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sz w:val="22"/>
        </w:rPr>
      </w:pPr>
      <w:r>
        <w:rPr>
          <w:sz w:val="22"/>
        </w:rPr>
      </w:r>
    </w:p>
    <w:p>
      <w:pPr>
        <w:pStyle w:val="Normal"/>
        <w:ind w:firstLine="720" w:end="0"/>
        <w:jc w:val="center"/>
        <w:rPr>
          <w:sz w:val="22"/>
        </w:rPr>
      </w:pPr>
      <w:r>
        <w:rPr>
          <w:sz w:val="22"/>
        </w:rPr>
      </w:r>
    </w:p>
    <w:p>
      <w:pPr>
        <w:pStyle w:val="Normal"/>
        <w:tabs>
          <w:tab w:val="clear" w:pos="720"/>
          <w:tab w:val="left" w:pos="2520" w:leader="none"/>
        </w:tabs>
        <w:jc w:val="center"/>
        <w:rPr/>
      </w:pPr>
      <w:r>
        <w:rPr>
          <w:b/>
          <w:sz w:val="22"/>
        </w:rPr>
        <w:t>ENRON INDIA LLC</w:t>
      </w:r>
      <w:r>
        <w:rPr>
          <w:sz w:val="22"/>
        </w:rPr>
        <w:t xml:space="preserve"> </w:t>
      </w:r>
    </w:p>
    <w:p>
      <w:pPr>
        <w:pStyle w:val="Normal"/>
        <w:tabs>
          <w:tab w:val="clear" w:pos="720"/>
          <w:tab w:val="left" w:pos="2520" w:leader="none"/>
        </w:tabs>
        <w:jc w:val="center"/>
        <w:rPr>
          <w:sz w:val="22"/>
        </w:rPr>
      </w:pPr>
      <w:r>
        <w:rPr>
          <w:sz w:val="22"/>
        </w:rPr>
      </w:r>
    </w:p>
    <w:p>
      <w:pPr>
        <w:pStyle w:val="Normal"/>
        <w:tabs>
          <w:tab w:val="clear" w:pos="720"/>
          <w:tab w:val="left" w:pos="2520" w:leader="none"/>
        </w:tabs>
        <w:jc w:val="center"/>
        <w:rPr>
          <w:sz w:val="22"/>
        </w:rPr>
      </w:pPr>
      <w:r>
        <w:rPr>
          <w:sz w:val="22"/>
        </w:rPr>
        <w:t>Unanimous Consent of Directors</w:t>
      </w:r>
    </w:p>
    <w:p>
      <w:pPr>
        <w:pStyle w:val="Normal"/>
        <w:tabs>
          <w:tab w:val="clear" w:pos="720"/>
          <w:tab w:val="left" w:pos="2520" w:leader="none"/>
        </w:tabs>
        <w:rPr>
          <w:sz w:val="22"/>
        </w:rPr>
      </w:pPr>
      <w:r>
        <w:rPr>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sz w:val="22"/>
        </w:rPr>
      </w:pPr>
      <w:r>
        <w:rPr>
          <w:sz w:val="22"/>
        </w:rPr>
        <w:tab/>
        <w:t>The undersigned, constituting all of the directors of ENRON INDIA LLC, a Delaware limited liability company (the "Company"),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lineRule="atLeast" w:line="480"/>
        <w:jc w:val="center"/>
        <w:rPr>
          <w:b/>
          <w:sz w:val="22"/>
        </w:rPr>
      </w:pPr>
      <w:r>
        <w:rPr>
          <w:b/>
          <w:sz w:val="22"/>
        </w:rPr>
        <w:t>OPENING OF BROKERAGE ACCOUNT(S);</w:t>
      </w:r>
    </w:p>
    <w:p>
      <w:pPr>
        <w:pStyle w:val="Normal"/>
        <w:tabs>
          <w:tab w:val="left" w:pos="720" w:leader="none"/>
        </w:tabs>
        <w:jc w:val="center"/>
        <w:rPr>
          <w:sz w:val="22"/>
        </w:rPr>
      </w:pPr>
      <w:r>
        <w:rPr>
          <w:b/>
          <w:sz w:val="22"/>
        </w:rPr>
        <w:t>CONDUCTING TRANSACTIONS</w:t>
      </w:r>
    </w:p>
    <w:p>
      <w:pPr>
        <w:pStyle w:val="Normal"/>
        <w:spacing w:lineRule="atLeast" w:line="240" w:before="240" w:after="0"/>
        <w:jc w:val="both"/>
        <w:rPr>
          <w:sz w:val="22"/>
        </w:rPr>
      </w:pPr>
      <w:r>
        <w:rPr>
          <w:sz w:val="22"/>
        </w:rPr>
        <w:tab/>
        <w:t>RESOLVED, that any one of (i) the Directors, or (ii) William D. Gathmann, acting together with any one of (i) the Executive Vice President and Chief Risk Officer of Enron Corp., or (ii) Theodore R. Murphy, Vice President of Risk Assessment and Control Group, a division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w:t>
      </w:r>
    </w:p>
    <w:p>
      <w:pPr>
        <w:pStyle w:val="Normal"/>
        <w:spacing w:lineRule="atLeast" w:line="240" w:before="240" w:after="0"/>
        <w:jc w:val="both"/>
        <w:rPr>
          <w:sz w:val="22"/>
        </w:rPr>
      </w:pPr>
      <w:r>
        <w:rPr>
          <w:sz w:val="22"/>
        </w:rPr>
        <w:tab/>
        <w:t>FURTHER RESOLVED, that (i) the Directors, (ii) William D. Gathmann, (iii) the Executive Vice President and Chief Risk Officer of Enron Corp., or (iv)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spacing w:lineRule="atLeast" w:line="240" w:before="240" w:after="0"/>
        <w:jc w:val="both"/>
        <w:rPr>
          <w:sz w:val="22"/>
        </w:rPr>
      </w:pPr>
      <w:r>
        <w:rPr>
          <w:sz w:val="22"/>
        </w:rPr>
        <w:tab/>
        <w:t>FURTHER RESOLVED, that brokerage firms with whom accounts may be established hereunder may deal with such other persons as may be designated from time to time by (i) the Directors, (ii) William D. Gathmann, (iii) the Executive Vice President and Chief Risk Officer of Enron Corp., or (iv) Theodore R. Murphy, Vice President of Risk Assessment and Control Group, a division of Enron Corp., as though they were dealing with the Company directly and may rely upon any certification given in accordance with these resolutions;</w:t>
      </w:r>
    </w:p>
    <w:p>
      <w:pPr>
        <w:pStyle w:val="Normal"/>
        <w:spacing w:lineRule="atLeast" w:line="240" w:before="240" w:after="0"/>
        <w:jc w:val="both"/>
        <w:rPr>
          <w:sz w:val="22"/>
        </w:rPr>
      </w:pPr>
      <w:r>
        <w:rPr>
          <w:sz w:val="22"/>
        </w:rPr>
        <w:tab/>
        <w:t>FURTHER RESOLVED, that (i) the Directors, (ii) William D. Gathmann, (iii) the Executive Vice President and Chief Risk Officer of Enron Corp., (iv) Theodore R. Murphy, Vice President of Risk Assessment and Control Group, a division of Enron Corp., or (v) any Secretary, Deputy Secretary or Assistant Secretary of the Company is authorized, empowered and directed to certify, under the seal of the Company, or otherwise to such brokers with whom accounts may be established hereunder, specimen signatures of each and every person empowered by these resolutions;</w:t>
      </w:r>
    </w:p>
    <w:p>
      <w:pPr>
        <w:pStyle w:val="Normal"/>
        <w:tabs>
          <w:tab w:val="clear" w:pos="720"/>
          <w:tab w:val="left" w:pos="0" w:leader="none"/>
        </w:tabs>
        <w:spacing w:lineRule="atLeast" w:line="0" w:before="120" w:after="0"/>
        <w:ind w:end="-18"/>
        <w:jc w:val="both"/>
        <w:rPr>
          <w:sz w:val="22"/>
        </w:rPr>
      </w:pPr>
      <w:r>
        <w:rPr>
          <w:sz w:val="22"/>
        </w:rPr>
        <w:tab/>
        <w:t>FURTHER RESOLVED, that the proper officers and directors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tabs>
          <w:tab w:val="left" w:pos="720" w:leader="none"/>
        </w:tabs>
        <w:spacing w:before="240" w:after="120"/>
        <w:jc w:val="center"/>
        <w:rPr>
          <w:sz w:val="22"/>
        </w:rPr>
      </w:pPr>
      <w:r>
        <w:rPr>
          <w:b/>
          <w:sz w:val="22"/>
        </w:rPr>
        <w:t>EFFECTIVENESS</w:t>
      </w:r>
    </w:p>
    <w:p>
      <w:pPr>
        <w:pStyle w:val="Normal"/>
        <w:ind w:end="-18"/>
        <w:jc w:val="both"/>
        <w:rPr/>
      </w:pPr>
      <w:r>
        <w:rPr>
          <w:sz w:val="22"/>
        </w:rPr>
        <w:tab/>
        <w:t>FURTHER RESOLVED</w:t>
      </w:r>
      <w:r>
        <w:rPr>
          <w:b/>
          <w:sz w:val="22"/>
        </w:rPr>
        <w:t>,</w:t>
      </w:r>
      <w:r>
        <w:rPr>
          <w:sz w:val="22"/>
        </w:rPr>
        <w:t xml:space="preserve">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tabs>
          <w:tab w:val="clear" w:pos="720"/>
          <w:tab w:val="left" w:pos="2520" w:leader="none"/>
        </w:tabs>
        <w:spacing w:before="240" w:after="0"/>
        <w:jc w:val="both"/>
        <w:rPr>
          <w:sz w:val="22"/>
        </w:rPr>
      </w:pPr>
      <w:r>
        <w:rPr>
          <w:sz w:val="22"/>
        </w:rPr>
        <w:t>Dated  as of 09 June, 2000.</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Sanjay Bhatnagar</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K. Wade Cline</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James V. Derrick, Jr.</w:t>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t>___________________________</w:t>
      </w:r>
    </w:p>
    <w:p>
      <w:pPr>
        <w:pStyle w:val="Normal"/>
        <w:tabs>
          <w:tab w:val="clear" w:pos="720"/>
          <w:tab w:val="left" w:pos="2520" w:leader="none"/>
          <w:tab w:val="left" w:pos="5760" w:leader="none"/>
        </w:tabs>
        <w:ind w:start="5040" w:end="0"/>
        <w:jc w:val="both"/>
        <w:rPr>
          <w:sz w:val="22"/>
        </w:rPr>
      </w:pPr>
      <w:r>
        <w:rPr>
          <w:sz w:val="22"/>
        </w:rPr>
        <w:t>Robert H. Walls, Jr.</w:t>
      </w:r>
    </w:p>
    <w:p>
      <w:pPr>
        <w:pStyle w:val="Expanded"/>
        <w:spacing w:before="0" w:after="0"/>
        <w:jc w:val="start"/>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/mnt/main-storage/datasets/enron-docs/doc/000_broker_res__FORM_.doc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0" w:end="0"/>
      <w:jc w:val="center"/>
      <w:outlineLvl w:val="0"/>
    </w:pPr>
    <w:rPr>
      <w:b/>
      <w:sz w:val="22"/>
      <w:u w:val="single"/>
    </w:rPr>
  </w:style>
  <w:style w:type="paragraph" w:styleId="Heading2">
    <w:name w:val="heading 2"/>
    <w:basedOn w:val="Normal"/>
    <w:next w:val="Normal"/>
    <w:qFormat/>
    <w:pPr>
      <w:keepNext w:val="true"/>
      <w:numPr>
        <w:ilvl w:val="1"/>
        <w:numId w:val="1"/>
      </w:numPr>
      <w:spacing w:lineRule="atLeast" w:line="240" w:before="240" w:after="0"/>
      <w:jc w:val="center"/>
      <w:outlineLvl w:val="1"/>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xpanded">
    <w:name w:val="Expanded"/>
    <w:basedOn w:val="Normal"/>
    <w:next w:val="Normal"/>
    <w:qFormat/>
    <w:pPr>
      <w:spacing w:lineRule="atLeast" w:line="240" w:before="0" w:after="240"/>
      <w:jc w:val="center"/>
    </w:pPr>
    <w:rPr>
      <w:rFonts w:ascii="Times" w:hAnsi="Times" w:cs="Times"/>
      <w:b/>
      <w:caps/>
      <w:spacing w:val="60"/>
      <w:sz w:val="2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2000-06-21T16:28:00Z</dcterms:created>
  <dc:creator>mheard</dc:creator>
  <dc:description/>
  <dc:language>en-CA</dc:language>
  <cp:lastModifiedBy>sboyd2</cp:lastModifiedBy>
  <cp:lastPrinted>2000-06-09T14:25:00Z</cp:lastPrinted>
  <dcterms:modified xsi:type="dcterms:W3CDTF">2000-06-21T16:28:00Z</dcterms:modified>
  <cp:revision>2</cp:revision>
  <dc:subject/>
  <dc:title>INFORMATION REQUIRED FOR BROKERAGE ACCOUNTS</dc:title>
</cp:coreProperties>
</file>