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Expanded"/>
        <w:spacing w:before="0" w:after="0"/>
        <w:rPr>
          <w:rFonts w:ascii="Times New Roman" w:hAnsi="Times New Roman" w:cs="Times New Roman"/>
          <w:b w:val="false"/>
          <w:caps w:val="false"/>
          <w:smallCaps w:val="false"/>
          <w:spacing w:val="0"/>
          <w:sz w:val="22"/>
        </w:rPr>
      </w:pPr>
      <w:r>
        <w:rPr>
          <w:rFonts w:cs="Times New Roman" w:ascii="Times New Roman" w:hAnsi="Times New Roman"/>
          <w:caps w:val="false"/>
          <w:smallCaps w:val="false"/>
          <w:spacing w:val="0"/>
          <w:sz w:val="22"/>
          <w:u w:val="single"/>
        </w:rPr>
        <w:t>SAMPLE</w:t>
      </w:r>
    </w:p>
    <w:p>
      <w:pPr>
        <w:pStyle w:val="Normal"/>
        <w:rPr>
          <w:rFonts w:ascii="Times New Roman" w:hAnsi="Times New Roman" w:cs="Times New Roman"/>
          <w:b/>
          <w:caps/>
          <w:spacing w:val="0"/>
          <w:sz w:val="22"/>
        </w:rPr>
      </w:pPr>
      <w:r>
        <w:rPr>
          <w:rFonts w:cs="Times New Roman"/>
          <w:b/>
          <w:caps/>
          <w:spacing w:val="0"/>
          <w:sz w:val="22"/>
        </w:rPr>
      </w:r>
    </w:p>
    <w:p>
      <w:pPr>
        <w:pStyle w:val="Normal"/>
        <w:rPr/>
      </w:pPr>
      <w:r>
        <w:rPr/>
      </w:r>
    </w:p>
    <w:p>
      <w:pPr>
        <w:pStyle w:val="Expanded"/>
        <w:spacing w:before="0" w:after="0"/>
        <w:rPr>
          <w:rFonts w:ascii="Times New Roman" w:hAnsi="Times New Roman" w:cs="Times New Roman"/>
          <w:caps w:val="false"/>
          <w:smallCaps w:val="false"/>
          <w:spacing w:val="0"/>
        </w:rPr>
      </w:pPr>
      <w:r>
        <w:rPr>
          <w:rFonts w:cs="Times New Roman" w:ascii="Times New Roman" w:hAnsi="Times New Roman"/>
          <w:caps w:val="false"/>
          <w:smallCaps w:val="false"/>
          <w:spacing w:val="0"/>
        </w:rPr>
        <w:t>ENRON CAPITAL &amp; TRADE RESOURCES CORP.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AUTHORIZED OFFICERS AND TRADERS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FOR EQUITY TRADING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CORPORATE OFFICERS (Partial Listing)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514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 Clifford Baxter</w:t>
            </w:r>
          </w:p>
        </w:tc>
        <w:tc>
          <w:tcPr>
            <w:tcW w:w="51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Chairman, Chief Executive Officer and Managing Director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Lawrence G. Whalley</w:t>
            </w:r>
          </w:p>
        </w:tc>
        <w:tc>
          <w:tcPr>
            <w:tcW w:w="51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President and Chief Operating Officer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E. Haedicke</w:t>
            </w:r>
          </w:p>
        </w:tc>
        <w:tc>
          <w:tcPr>
            <w:tcW w:w="51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 and General Counsel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Raymond M. Bowen, Jr.</w:t>
            </w:r>
          </w:p>
        </w:tc>
        <w:tc>
          <w:tcPr>
            <w:tcW w:w="51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 and Treasurer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Gary J. Hickerson</w:t>
            </w:r>
          </w:p>
        </w:tc>
        <w:tc>
          <w:tcPr>
            <w:tcW w:w="51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Julia Heintz Murray</w:t>
            </w:r>
          </w:p>
        </w:tc>
        <w:tc>
          <w:tcPr>
            <w:tcW w:w="51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Director, General Counsel, Finance and Assistant Secretary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Jeffrey A. Shankman</w:t>
            </w:r>
          </w:p>
        </w:tc>
        <w:tc>
          <w:tcPr>
            <w:tcW w:w="51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Angus H. Davis</w:t>
            </w:r>
          </w:p>
        </w:tc>
        <w:tc>
          <w:tcPr>
            <w:tcW w:w="51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 and Secretary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Kate B. Cole</w:t>
            </w:r>
          </w:p>
        </w:tc>
        <w:tc>
          <w:tcPr>
            <w:tcW w:w="51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Assistant Secretary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79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730"/>
        <w:gridCol w:w="2238"/>
        <w:gridCol w:w="1882"/>
        <w:gridCol w:w="83"/>
        <w:gridCol w:w="1678"/>
        <w:gridCol w:w="94"/>
        <w:gridCol w:w="1092"/>
      </w:tblGrid>
      <w:tr>
        <w:trPr>
          <w:trHeight w:val="259" w:hRule="atLeast"/>
        </w:trPr>
        <w:tc>
          <w:tcPr>
            <w:tcW w:w="9797" w:type="dxa"/>
            <w:gridSpan w:val="7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2"/>
              </w:rPr>
              <w:t>TRADING AUTHORIZATION</w:t>
            </w:r>
            <w:r>
              <w:rPr>
                <w:color w:val="000000"/>
                <w:sz w:val="22"/>
              </w:rPr>
              <w:t xml:space="preserve"> - The following individuals are authorized to enter orders on behalf of the customer:</w:t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2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Name</w:t>
            </w:r>
          </w:p>
        </w:tc>
        <w:tc>
          <w:tcPr>
            <w:tcW w:w="223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Phone Number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</w:r>
          </w:p>
        </w:tc>
        <w:tc>
          <w:tcPr>
            <w:tcW w:w="109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  <w:u w:val="single"/>
              </w:rPr>
            </w:r>
          </w:p>
        </w:tc>
        <w:tc>
          <w:tcPr>
            <w:tcW w:w="22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Michael Bradley</w:t>
            </w:r>
          </w:p>
        </w:tc>
        <w:tc>
          <w:tcPr>
            <w:tcW w:w="22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853-4271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John M. Greene</w:t>
            </w:r>
          </w:p>
        </w:tc>
        <w:tc>
          <w:tcPr>
            <w:tcW w:w="22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853-5355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Gary J. Hickerson</w:t>
            </w:r>
          </w:p>
        </w:tc>
        <w:tc>
          <w:tcPr>
            <w:tcW w:w="22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853-7617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Jeffrey P. Kinneman</w:t>
            </w:r>
          </w:p>
        </w:tc>
        <w:tc>
          <w:tcPr>
            <w:tcW w:w="22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853-5398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Selena Reyes</w:t>
            </w:r>
          </w:p>
        </w:tc>
        <w:tc>
          <w:tcPr>
            <w:tcW w:w="22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853-5168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David Vitrella</w:t>
            </w:r>
          </w:p>
        </w:tc>
        <w:tc>
          <w:tcPr>
            <w:tcW w:w="22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853-7143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/>
      </w:pPr>
      <w:r>
        <w:rPr>
          <w:b/>
          <w:sz w:val="22"/>
        </w:rPr>
        <w:t xml:space="preserve">CONFIRMATIONS </w:t>
      </w:r>
      <w:r>
        <w:rPr>
          <w:sz w:val="22"/>
        </w:rPr>
        <w:t>- The following individual(s) shall receive written copies of all confirmations and statements:</w:t>
      </w:r>
    </w:p>
    <w:p>
      <w:pPr>
        <w:pStyle w:val="Normal"/>
        <w:keepNext w:val="true"/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sz w:val="22"/>
        </w:rPr>
      </w:pPr>
      <w:r>
        <w:rPr>
          <w:sz w:val="22"/>
        </w:rPr>
        <w:t>All confirmations relating to securities trading should be sent to our clearing brokers: The Bear Stearns Companies Inc. or Morgan Stanley &amp; Co.  Any confirmations relating to over-the-counter derivative transactions should be sent to the following individual.</w:t>
      </w:r>
    </w:p>
    <w:p>
      <w:pPr>
        <w:pStyle w:val="Normal"/>
        <w:keepNext w:val="true"/>
        <w:rPr>
          <w:sz w:val="22"/>
        </w:rPr>
      </w:pPr>
      <w:r>
        <w:rPr>
          <w:sz w:val="22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800"/>
        <w:gridCol w:w="1980"/>
        <w:gridCol w:w="3240"/>
      </w:tblGrid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Name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Phone Number</w:t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Fax Number</w:t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snapToGrid w:val="false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snapToGrid w:val="false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snapToGrid w:val="false"/>
              <w:ind w:end="1332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Sheila Glover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Senior 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(713) 853-3210</w:t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ind w:end="1332"/>
              <w:rPr>
                <w:sz w:val="22"/>
              </w:rPr>
            </w:pPr>
            <w:r>
              <w:rPr>
                <w:sz w:val="22"/>
              </w:rPr>
              <w:t>(713) 646-2196</w:t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Theresa Brogan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Manager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853-1439</w:t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646-2196</w:t>
            </w:r>
          </w:p>
        </w:tc>
      </w:tr>
    </w:tbl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/mnt/main-storage/datasets/enron-docs/doc/000_Auth_traders_list__FORM_.doc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jc w:val="center"/>
      <w:outlineLvl w:val="1"/>
    </w:pPr>
    <w:rPr>
      <w:b/>
      <w:sz w:val="22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Expanded">
    <w:name w:val="Expanded"/>
    <w:basedOn w:val="Normal"/>
    <w:next w:val="Normal"/>
    <w:qFormat/>
    <w:pPr>
      <w:spacing w:lineRule="atLeast" w:line="240" w:before="0" w:after="240"/>
      <w:jc w:val="center"/>
    </w:pPr>
    <w:rPr>
      <w:rFonts w:ascii="Times" w:hAnsi="Times" w:cs="Times"/>
      <w:b/>
      <w:caps/>
      <w:spacing w:val="60"/>
      <w:sz w:val="26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2000-07-19T16:20:00Z</dcterms:created>
  <dc:creator>mheard</dc:creator>
  <dc:description/>
  <dc:language>en-CA</dc:language>
  <cp:lastModifiedBy>sboyd2</cp:lastModifiedBy>
  <cp:lastPrinted>2000-06-09T14:19:00Z</cp:lastPrinted>
  <dcterms:modified xsi:type="dcterms:W3CDTF">2000-07-19T16:20:00Z</dcterms:modified>
  <cp:revision>2</cp:revision>
  <dc:subject/>
  <dc:title>INFORMATION REQUIRED FOR BROKERAGE ACCOUNTS</dc:title>
</cp:coreProperties>
</file>