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jc w:val="end"/>
        <w:rPr/>
      </w:pPr>
      <w:r>
        <w:rPr/>
        <w:t>October ____, 2000</w:t>
      </w:r>
    </w:p>
    <w:p>
      <w:pPr>
        <w:pStyle w:val="Heading1"/>
        <w:ind w:hanging="0" w:start="0"/>
        <w:rPr/>
      </w:pPr>
      <w:r>
        <w:rPr/>
      </w:r>
    </w:p>
    <w:p>
      <w:pPr>
        <w:pStyle w:val="Normal"/>
        <w:rPr/>
      </w:pPr>
      <w:r>
        <w:rPr/>
      </w:r>
    </w:p>
    <w:p>
      <w:pPr>
        <w:pStyle w:val="Normal"/>
        <w:rPr/>
      </w:pPr>
      <w:r>
        <w:rPr/>
      </w:r>
    </w:p>
    <w:p>
      <w:pPr>
        <w:pStyle w:val="Normal"/>
        <w:rPr>
          <w:sz w:val="24"/>
        </w:rPr>
      </w:pPr>
      <w:r>
        <w:rPr>
          <w:sz w:val="24"/>
        </w:rPr>
        <w:t>Mr. George Willamson</w:t>
      </w:r>
    </w:p>
    <w:p>
      <w:pPr>
        <w:pStyle w:val="Normal"/>
        <w:rPr>
          <w:sz w:val="24"/>
        </w:rPr>
      </w:pPr>
      <w:r>
        <w:rPr>
          <w:sz w:val="24"/>
        </w:rPr>
        <w:t>Tampa Port Authority</w:t>
      </w:r>
    </w:p>
    <w:p>
      <w:pPr>
        <w:pStyle w:val="Normal"/>
        <w:rPr>
          <w:sz w:val="24"/>
        </w:rPr>
      </w:pPr>
      <w:r>
        <w:rPr>
          <w:sz w:val="24"/>
        </w:rPr>
        <w:t>1101 Channelside Drive</w:t>
      </w:r>
    </w:p>
    <w:p>
      <w:pPr>
        <w:pStyle w:val="Normal"/>
        <w:rPr>
          <w:sz w:val="24"/>
        </w:rPr>
      </w:pPr>
      <w:r>
        <w:rPr>
          <w:sz w:val="24"/>
        </w:rPr>
        <w:t>Tampa, FL 33602</w:t>
      </w:r>
    </w:p>
    <w:p>
      <w:pPr>
        <w:pStyle w:val="Normal"/>
        <w:rPr>
          <w:sz w:val="24"/>
        </w:rPr>
      </w:pPr>
      <w:r>
        <w:rPr>
          <w:sz w:val="24"/>
        </w:rPr>
      </w:r>
    </w:p>
    <w:p>
      <w:pPr>
        <w:pStyle w:val="Normal"/>
        <w:rPr>
          <w:sz w:val="24"/>
        </w:rPr>
      </w:pPr>
      <w:r>
        <w:rPr>
          <w:sz w:val="24"/>
        </w:rPr>
        <w:t>Dear Mr. Willamson:</w:t>
      </w:r>
    </w:p>
    <w:p>
      <w:pPr>
        <w:pStyle w:val="Normal"/>
        <w:jc w:val="both"/>
        <w:rPr>
          <w:sz w:val="24"/>
        </w:rPr>
      </w:pPr>
      <w:r>
        <w:rPr>
          <w:sz w:val="24"/>
        </w:rPr>
      </w:r>
    </w:p>
    <w:p>
      <w:pPr>
        <w:pStyle w:val="BodyText2"/>
        <w:rPr/>
      </w:pPr>
      <w:r>
        <w:rPr/>
        <w:t xml:space="preserve">The purpose of this letter is to confirm the interest of Enron Global LNG, L.L.C. (“Enron”) and the Tampa Port Authority (“Port Authority”) to negotiate an option to lease a parcel of land at Hooker’s Point suitable to construct an LNG Regasification Facility (the “Project”). </w:t>
      </w:r>
    </w:p>
    <w:p>
      <w:pPr>
        <w:pStyle w:val="BodyText2"/>
        <w:rPr/>
      </w:pPr>
      <w:r>
        <w:rPr/>
      </w:r>
    </w:p>
    <w:p>
      <w:pPr>
        <w:pStyle w:val="BodyText2"/>
        <w:rPr/>
      </w:pPr>
      <w:r>
        <w:rPr/>
        <w:t>This letter will be valid through December 31, 2000.  From the date of this letter until its expiration, Enron and/or the Port Authority will conduct, among others, the following activities:</w:t>
      </w:r>
    </w:p>
    <w:p>
      <w:pPr>
        <w:pStyle w:val="Normal"/>
        <w:jc w:val="both"/>
        <w:rPr>
          <w:sz w:val="24"/>
        </w:rPr>
      </w:pPr>
      <w:r>
        <w:rPr>
          <w:sz w:val="24"/>
        </w:rPr>
      </w:r>
    </w:p>
    <w:p>
      <w:pPr>
        <w:pStyle w:val="Normal"/>
        <w:numPr>
          <w:ilvl w:val="0"/>
          <w:numId w:val="2"/>
        </w:numPr>
        <w:tabs>
          <w:tab w:val="left" w:pos="720" w:leader="none"/>
        </w:tabs>
        <w:ind w:hanging="360" w:start="720" w:end="0"/>
        <w:jc w:val="both"/>
        <w:rPr>
          <w:b/>
          <w:sz w:val="24"/>
        </w:rPr>
      </w:pPr>
      <w:r>
        <w:rPr>
          <w:sz w:val="24"/>
        </w:rPr>
        <w:t>Identify an exact parcel of land on Hooker’s Point that will be suitable for use as an LNG terminal.</w:t>
      </w:r>
    </w:p>
    <w:p>
      <w:pPr>
        <w:pStyle w:val="Normal"/>
        <w:numPr>
          <w:ilvl w:val="0"/>
          <w:numId w:val="2"/>
        </w:numPr>
        <w:tabs>
          <w:tab w:val="left" w:pos="720" w:leader="none"/>
        </w:tabs>
        <w:ind w:hanging="360" w:start="720" w:end="0"/>
        <w:jc w:val="both"/>
        <w:rPr>
          <w:sz w:val="24"/>
        </w:rPr>
      </w:pPr>
      <w:r>
        <w:rPr>
          <w:sz w:val="24"/>
        </w:rPr>
        <w:t>Negotiate the terms of lease for the identified parcel of land.</w:t>
      </w:r>
    </w:p>
    <w:p>
      <w:pPr>
        <w:pStyle w:val="Normal"/>
        <w:numPr>
          <w:ilvl w:val="0"/>
          <w:numId w:val="2"/>
        </w:numPr>
        <w:tabs>
          <w:tab w:val="left" w:pos="720" w:leader="none"/>
        </w:tabs>
        <w:ind w:hanging="360" w:start="720" w:end="0"/>
        <w:jc w:val="both"/>
        <w:rPr>
          <w:b/>
          <w:sz w:val="24"/>
        </w:rPr>
      </w:pPr>
      <w:r>
        <w:rPr>
          <w:sz w:val="24"/>
        </w:rPr>
        <w:t>Negotiate an option to lease the parcel of land according to the negotiated terms.</w:t>
      </w:r>
    </w:p>
    <w:p>
      <w:pPr>
        <w:pStyle w:val="Normal"/>
        <w:numPr>
          <w:ilvl w:val="0"/>
          <w:numId w:val="2"/>
        </w:numPr>
        <w:tabs>
          <w:tab w:val="left" w:pos="720" w:leader="none"/>
        </w:tabs>
        <w:ind w:hanging="360" w:start="720" w:end="0"/>
        <w:jc w:val="both"/>
        <w:rPr>
          <w:sz w:val="24"/>
        </w:rPr>
      </w:pPr>
      <w:r>
        <w:rPr>
          <w:sz w:val="24"/>
        </w:rPr>
        <w:t>Identify all permits, licenses, approvals, exemptions and consents including any environmental or import permits or registrations required to implement the Project, and a plan as to how to obtain such consents in a timely fashion.</w:t>
      </w:r>
    </w:p>
    <w:p>
      <w:pPr>
        <w:pStyle w:val="Normal"/>
        <w:numPr>
          <w:ilvl w:val="0"/>
          <w:numId w:val="2"/>
        </w:numPr>
        <w:tabs>
          <w:tab w:val="left" w:pos="720" w:leader="none"/>
        </w:tabs>
        <w:ind w:hanging="360" w:start="720" w:end="0"/>
        <w:jc w:val="both"/>
        <w:rPr>
          <w:sz w:val="24"/>
        </w:rPr>
      </w:pPr>
      <w:r>
        <w:rPr>
          <w:sz w:val="24"/>
        </w:rPr>
        <w:t>Meet with key agencies, e.g., the FERC, the US Coast Guard and appropriate state agencies to confirm their support of the Project.</w:t>
      </w:r>
    </w:p>
    <w:p>
      <w:pPr>
        <w:pStyle w:val="Normal"/>
        <w:numPr>
          <w:ilvl w:val="0"/>
          <w:numId w:val="2"/>
        </w:numPr>
        <w:tabs>
          <w:tab w:val="left" w:pos="720" w:leader="none"/>
        </w:tabs>
        <w:ind w:hanging="360" w:start="720" w:end="0"/>
        <w:jc w:val="both"/>
        <w:rPr>
          <w:sz w:val="24"/>
        </w:rPr>
      </w:pPr>
      <w:r>
        <w:rPr>
          <w:sz w:val="24"/>
        </w:rPr>
        <w:t>Define the project schedule and determine if equipment to accelerate dewatering of the site is necessary.</w:t>
      </w:r>
    </w:p>
    <w:p>
      <w:pPr>
        <w:pStyle w:val="Normal"/>
        <w:jc w:val="both"/>
        <w:rPr>
          <w:sz w:val="24"/>
        </w:rPr>
      </w:pPr>
      <w:r>
        <w:rPr>
          <w:sz w:val="24"/>
        </w:rPr>
      </w:r>
    </w:p>
    <w:p>
      <w:pPr>
        <w:pStyle w:val="Normal"/>
        <w:numPr>
          <w:ilvl w:val="0"/>
          <w:numId w:val="4"/>
        </w:numPr>
        <w:jc w:val="both"/>
        <w:rPr>
          <w:sz w:val="24"/>
        </w:rPr>
      </w:pPr>
      <w:r>
        <w:rPr>
          <w:b/>
          <w:sz w:val="24"/>
        </w:rPr>
        <w:t>Exclusivity</w:t>
      </w:r>
      <w:r>
        <w:rPr>
          <w:sz w:val="24"/>
        </w:rPr>
        <w:t>. The Port Authority acknowledges that in the course of conducting its due diligence and negotiating the lease option agreement, Enron will expend significant time and expense in connection with its review and analysis of the contemplated transaction and the Project.  In consideration of the foregoing, the Port Authority agrees on behalf of itself and its shareholders, affiliates, agents and representatives that it shall not directly or indirectly engage in any negotiations with or solicit or entertain any offer of or from another person or entity regarding</w:t>
      </w:r>
      <w:r>
        <w:rPr>
          <w:b/>
          <w:sz w:val="24"/>
        </w:rPr>
        <w:t xml:space="preserve"> </w:t>
      </w:r>
      <w:r>
        <w:rPr>
          <w:sz w:val="24"/>
        </w:rPr>
        <w:t>the lease, sale or transfer of any land controlled by the Port Authority to allow any competing LNG project during the term of this letter.  The lease option agreement will also contain an exclusivity provision while it is in effect.  The Port Authority specifically covenants not to lease, sell or make available real estate, right of ways, rights of use or permits to any other project or business that competes with the Project during the term of this Agreement.</w:t>
      </w:r>
    </w:p>
    <w:p>
      <w:pPr>
        <w:pStyle w:val="Normal"/>
        <w:jc w:val="both"/>
        <w:rPr>
          <w:b/>
          <w:sz w:val="24"/>
        </w:rPr>
      </w:pPr>
      <w:r>
        <w:rPr>
          <w:b/>
          <w:sz w:val="24"/>
        </w:rPr>
      </w:r>
    </w:p>
    <w:p>
      <w:pPr>
        <w:pStyle w:val="Normal"/>
        <w:numPr>
          <w:ilvl w:val="0"/>
          <w:numId w:val="4"/>
        </w:numPr>
        <w:jc w:val="both"/>
        <w:rPr>
          <w:sz w:val="24"/>
        </w:rPr>
      </w:pPr>
      <w:r>
        <w:rPr>
          <w:b/>
          <w:sz w:val="24"/>
        </w:rPr>
        <w:t>Confidentiality</w:t>
      </w:r>
      <w:r>
        <w:rPr>
          <w:sz w:val="24"/>
        </w:rPr>
        <w:t>.</w:t>
      </w:r>
    </w:p>
    <w:p>
      <w:pPr>
        <w:pStyle w:val="Normal"/>
        <w:numPr>
          <w:ilvl w:val="0"/>
          <w:numId w:val="3"/>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1"/>
        <w:widowControl/>
        <w:numPr>
          <w:ilvl w:val="1"/>
          <w:numId w:val="4"/>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Port Authority acknowledges that all information relating to the Project constitutes confidential and proprietary information.  For the period of this letter, each party shall, except with the prior written consent of the disclosing party, (a) not use or disclose to any other person or entity any Confidential Information (as defined below) disclosed by either party except for purpose of evaluating the Project or investigating financing alternatives for the Project, or otherwise as necessary for performance of their respective responsibilities under this letter, and (b) limit access to all Confidential Information disclosed by either party to such employees, agents, consultants, affiliates, lenders and advisors (“Representatives”) as have a direct need to know in connection with the Project and which Representatives have been informed of the provisions of this letter and have agreed to be bound by such provisions as if a party thereto.</w:t>
      </w:r>
    </w:p>
    <w:p>
      <w:pPr>
        <w:pStyle w:val="1"/>
        <w:widowContro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pPr>
      <w:r>
        <w:rPr/>
      </w:r>
    </w:p>
    <w:p>
      <w:pPr>
        <w:pStyle w:val="1"/>
        <w:widowControl/>
        <w:numPr>
          <w:ilvl w:val="1"/>
          <w:numId w:val="4"/>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t>
      </w:r>
      <w:r>
        <w:rPr/>
        <w:t>Confidential Information” shall mean all materials, documents and information furnished to the other party or which was developed for this Project by the parties in relation to the Project or this letter</w:t>
      </w:r>
      <w:r>
        <w:rPr>
          <w:color w:val="000000"/>
        </w:rPr>
        <w:t>, whether written or oral, tangible or intangible and in whatever form or medium provided.</w:t>
      </w:r>
    </w:p>
    <w:p>
      <w:pPr>
        <w:pStyle w:val="1"/>
        <w:widowContro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1"/>
        <w:widowControl/>
        <w:numPr>
          <w:ilvl w:val="1"/>
          <w:numId w:val="4"/>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If either party becomes compelled by applicable law to disclose any Confidential Information disclosed to it by the other party, it shall promptly notify the disclosing party so that the disclosing party may seek a protective order or other appropriate remedy, and the receiving party shall disclose only that portion of the Confidential Information that it is advised by opinion of counsel that it is required to disclose by applicable law and will use reasonable efforts to obtain confidential treatment for such Confidential Information.</w:t>
      </w:r>
    </w:p>
    <w:p>
      <w:pPr>
        <w:pStyle w:val="1"/>
        <w:widowContro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numPr>
          <w:ilvl w:val="0"/>
          <w:numId w:val="4"/>
        </w:numPr>
        <w:jc w:val="both"/>
        <w:rPr>
          <w:sz w:val="24"/>
        </w:rPr>
      </w:pPr>
      <w:r>
        <w:rPr>
          <w:b/>
          <w:sz w:val="24"/>
        </w:rPr>
        <w:t>Public Announcement.</w:t>
      </w:r>
      <w:r>
        <w:rPr>
          <w:sz w:val="24"/>
        </w:rPr>
        <w:t xml:space="preserve">  </w:t>
      </w:r>
      <w:r>
        <w:rPr>
          <w:b/>
          <w:sz w:val="24"/>
        </w:rPr>
        <w:t>Neither party shall, save as required by any applicable law or regulation or the rules of any recognized national stock exchange, cause any public announcement to be made regarding the Project or this letter without the prior written consent of the other party.  In the event that either party shall be required to cause such a public announcement to be made pursuant to any applicable law or regulation or the rules of any recognized national securities exchange, such party shall provide the other party 48 hours written notice of such announcement.  The Port acknowledges that the Project being analyzed by Enron is extremely confidential and that no public announcement concerning the Project or the proposed lease should be made by the Port without Enron’s prior consent.</w:t>
      </w:r>
      <w:r>
        <w:rPr>
          <w:sz w:val="24"/>
        </w:rPr>
        <w:t xml:space="preserve"> </w:t>
      </w:r>
    </w:p>
    <w:p>
      <w:pPr>
        <w:pStyle w:val="Normal"/>
        <w:jc w:val="both"/>
        <w:rPr>
          <w:sz w:val="24"/>
        </w:rPr>
      </w:pPr>
      <w:r>
        <w:rPr>
          <w:sz w:val="24"/>
        </w:rPr>
      </w:r>
    </w:p>
    <w:p>
      <w:pPr>
        <w:pStyle w:val="BodyText"/>
        <w:jc w:val="both"/>
        <w:rPr/>
      </w:pPr>
      <w:r>
        <w:rPr/>
        <w:t>This letter reflects our mutual intent towards negotiating and executing a definitive agreement regarding the potential transaction, all on the terms set forth in such agreement. With the exception of paragraphs 1 through 3, the parties agree that this letter sets forth the parties’ non-binding mutual interest only, and neither this letter nor any prior understanding among the parties creates or is intended to create a binding and enforceable contract among the parties and may not be relied upon by either party as the basis for a contract by estoppel or otherwise.  Neither of the parties is bound to enter into a definitive agreement concerning the proposed transaction or any other agreement, and the final terms of any agreement may differ from those described herein.  A binding contract between the parties can arise only upon the negotiation, execution, and delivery of a final written agreement containing terms and conditions satisfactory to both Enron and Port Authority.  If, for any reason, either party shall determine not to enter into such contract, neither party shall have any liability arising out of this letter, except to the extent expressly provided in paragraphs 1 through 3.</w:t>
      </w:r>
    </w:p>
    <w:p>
      <w:pPr>
        <w:pStyle w:val="BodyText"/>
        <w:jc w:val="both"/>
        <w:rPr/>
      </w:pPr>
      <w:r>
        <w:rPr/>
      </w:r>
    </w:p>
    <w:p>
      <w:pPr>
        <w:pStyle w:val="Normal"/>
        <w:rPr>
          <w:sz w:val="24"/>
        </w:rPr>
      </w:pPr>
      <w:r>
        <w:rPr>
          <w:sz w:val="24"/>
        </w:rPr>
      </w:r>
    </w:p>
    <w:p>
      <w:pPr>
        <w:pStyle w:val="Normal"/>
        <w:ind w:firstLine="720" w:start="4320" w:end="0"/>
        <w:rPr>
          <w:sz w:val="24"/>
        </w:rPr>
      </w:pPr>
      <w:r>
        <w:rPr>
          <w:sz w:val="24"/>
        </w:rPr>
        <w:t>Sincerely,</w:t>
      </w:r>
    </w:p>
    <w:p>
      <w:pPr>
        <w:pStyle w:val="Normal"/>
        <w:rPr>
          <w:sz w:val="24"/>
        </w:rPr>
      </w:pPr>
      <w:r>
        <w:rPr>
          <w:sz w:val="24"/>
        </w:rPr>
      </w:r>
    </w:p>
    <w:p>
      <w:pPr>
        <w:pStyle w:val="Normal"/>
        <w:ind w:firstLine="720" w:start="4320" w:end="0"/>
        <w:rPr>
          <w:sz w:val="24"/>
        </w:rPr>
      </w:pPr>
      <w:r>
        <w:rPr>
          <w:sz w:val="24"/>
        </w:rPr>
        <w:t>ENRON GLOBAL LNG, L.L.C.</w:t>
      </w:r>
    </w:p>
    <w:p>
      <w:pPr>
        <w:pStyle w:val="Normal"/>
        <w:rPr>
          <w:sz w:val="24"/>
        </w:rPr>
      </w:pPr>
      <w:r>
        <w:rPr>
          <w:sz w:val="24"/>
        </w:rPr>
      </w:r>
    </w:p>
    <w:p>
      <w:pPr>
        <w:pStyle w:val="Normal"/>
        <w:rPr>
          <w:sz w:val="24"/>
        </w:rPr>
      </w:pPr>
      <w:r>
        <w:rPr>
          <w:sz w:val="24"/>
        </w:rPr>
      </w:r>
    </w:p>
    <w:p>
      <w:pPr>
        <w:pStyle w:val="Normal"/>
        <w:ind w:firstLine="720" w:start="4320" w:end="0"/>
        <w:rPr>
          <w:sz w:val="24"/>
        </w:rPr>
      </w:pPr>
      <w:r>
        <w:rPr>
          <w:sz w:val="24"/>
        </w:rPr>
        <w:t>By:___________________________</w:t>
      </w:r>
    </w:p>
    <w:p>
      <w:pPr>
        <w:pStyle w:val="Normal"/>
        <w:ind w:firstLine="720" w:start="4320" w:end="0"/>
        <w:rPr>
          <w:sz w:val="24"/>
        </w:rPr>
      </w:pPr>
      <w:r>
        <w:rPr>
          <w:sz w:val="24"/>
        </w:rPr>
        <w:t>Name:</w:t>
        <w:tab/>
        <w:t>Doug Arnell</w:t>
      </w:r>
    </w:p>
    <w:p>
      <w:pPr>
        <w:pStyle w:val="Normal"/>
        <w:ind w:firstLine="720" w:start="4320" w:end="0"/>
        <w:rPr>
          <w:sz w:val="24"/>
        </w:rPr>
      </w:pPr>
      <w:r>
        <w:rPr>
          <w:sz w:val="24"/>
        </w:rPr>
        <w:t>Title:</w:t>
        <w:tab/>
        <w:t>General Manager</w:t>
      </w:r>
    </w:p>
    <w:p>
      <w:pPr>
        <w:pStyle w:val="Normal"/>
        <w:rPr>
          <w:sz w:val="24"/>
        </w:rPr>
      </w:pPr>
      <w:r>
        <w:rPr>
          <w:sz w:val="24"/>
        </w:rPr>
      </w:r>
    </w:p>
    <w:p>
      <w:pPr>
        <w:pStyle w:val="Normal"/>
        <w:keepNext w:val="true"/>
        <w:rPr>
          <w:sz w:val="24"/>
        </w:rPr>
      </w:pPr>
      <w:r>
        <w:rPr>
          <w:sz w:val="24"/>
        </w:rPr>
        <w:t>ACCEPTED AND AGREED TO:</w:t>
      </w:r>
    </w:p>
    <w:p>
      <w:pPr>
        <w:pStyle w:val="Normal"/>
        <w:keepNext w:val="true"/>
        <w:rPr>
          <w:sz w:val="24"/>
        </w:rPr>
      </w:pPr>
      <w:r>
        <w:rPr>
          <w:sz w:val="24"/>
        </w:rPr>
      </w:r>
    </w:p>
    <w:p>
      <w:pPr>
        <w:pStyle w:val="BodyText"/>
        <w:rPr/>
      </w:pPr>
      <w:r>
        <w:rPr/>
        <w:t>TAMPA PORT AUTHORITY, LTD.</w:t>
      </w:r>
    </w:p>
    <w:p>
      <w:pPr>
        <w:pStyle w:val="Normal"/>
        <w:keepNext w:val="true"/>
        <w:rPr>
          <w:sz w:val="24"/>
        </w:rPr>
      </w:pPr>
      <w:r>
        <w:rPr>
          <w:sz w:val="24"/>
        </w:rPr>
      </w:r>
    </w:p>
    <w:p>
      <w:pPr>
        <w:pStyle w:val="Normal"/>
        <w:keepNext w:val="true"/>
        <w:rPr>
          <w:sz w:val="24"/>
        </w:rPr>
      </w:pPr>
      <w:r>
        <w:rPr>
          <w:sz w:val="24"/>
        </w:rPr>
      </w:r>
    </w:p>
    <w:p>
      <w:pPr>
        <w:pStyle w:val="Heading1"/>
        <w:ind w:hanging="0" w:start="0"/>
        <w:rPr/>
      </w:pPr>
      <w:r>
        <w:rPr/>
        <w:t>By:__________________________________</w:t>
      </w:r>
    </w:p>
    <w:p>
      <w:pPr>
        <w:pStyle w:val="Normal"/>
        <w:keepNext w:val="true"/>
        <w:rPr>
          <w:sz w:val="24"/>
        </w:rPr>
      </w:pPr>
      <w:r>
        <w:rPr>
          <w:sz w:val="24"/>
        </w:rPr>
        <w:t>Name:________________________________</w:t>
      </w:r>
    </w:p>
    <w:p>
      <w:pPr>
        <w:pStyle w:val="Normal"/>
        <w:keepNext w:val="true"/>
        <w:rPr>
          <w:sz w:val="24"/>
        </w:rPr>
      </w:pPr>
      <w:r>
        <w:rPr>
          <w:sz w:val="24"/>
        </w:rPr>
        <w:t>Title:_________________________________</w:t>
      </w:r>
    </w:p>
    <w:p>
      <w:pPr>
        <w:pStyle w:val="Normal"/>
        <w:keepNext w:val="true"/>
        <w:rPr>
          <w:sz w:val="24"/>
        </w:rPr>
      </w:pPr>
      <w:r>
        <w:rPr>
          <w:sz w:val="24"/>
        </w:rPr>
      </w:r>
    </w:p>
    <w:p>
      <w:pPr>
        <w:pStyle w:val="Normal"/>
        <w:keepNext w:val="true"/>
        <w:rPr>
          <w:sz w:val="14"/>
          <w:lang w:eastAsia="en-US"/>
        </w:rPr>
      </w:pPr>
      <w:r>
        <w:rPr>
          <w:sz w:val="14"/>
          <w:lang w:eastAsia="en-U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lang w:eastAsia="en-US"/>
      </w:rPr>
    </w:pPr>
    <w:r>
      <w:rPr>
        <w:sz w:val="8"/>
        <w:lang w:eastAsia="en-US"/>
      </w:rPr>
      <w:t>328 Bahamas Joint Venture Letter.doc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b w:val="false"/>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end"/>
      <w:outlineLvl w:val="2"/>
    </w:pPr>
    <w:rPr>
      <w:b/>
      <w:sz w:val="2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b w:val="false"/>
    </w:rPr>
  </w:style>
  <w:style w:type="character" w:styleId="WW8Num6z1">
    <w:name w:val="WW8Num6z1"/>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sz w:val="24"/>
    </w:rPr>
  </w:style>
  <w:style w:type="paragraph" w:styleId="1">
    <w:name w:val="1"/>
    <w:basedOn w:val="Normal"/>
    <w:qFormat/>
    <w:pPr>
      <w:widowControl w:val="false"/>
      <w:numPr>
        <w:ilvl w:val="0"/>
        <w:numId w:val="5"/>
      </w:numPr>
      <w:ind w:hanging="720" w:start="720" w:end="0"/>
    </w:pPr>
    <w:rPr>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2000-09-29T18:27:00Z</dcterms:created>
  <dc:creator>rod ponton</dc:creator>
  <dc:description/>
  <dc:language>en-CA</dc:language>
  <cp:lastModifiedBy>ENRON</cp:lastModifiedBy>
  <cp:lastPrinted>2000-10-10T10:01:00Z</cp:lastPrinted>
  <dcterms:modified xsi:type="dcterms:W3CDTF">2000-10-10T12:39:00Z</dcterms:modified>
  <cp:revision>5</cp:revision>
  <dc:subject/>
  <dc:title>January 18, 1999</dc:title>
</cp:coreProperties>
</file>