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fldChar w:fldCharType="begin"/>
      </w:r>
      <w:r>
        <w:rPr/>
        <w:instrText xml:space="preserve">ADVANCE \y 144</w:instrText>
      </w:r>
      <w:r>
        <w:rPr/>
      </w:r>
      <w:r>
        <w:rPr/>
        <w:fldChar w:fldCharType="separate"/>
      </w:r>
      <w:r>
        <w:rPr/>
      </w:r>
      <w:r>
        <w:rPr/>
      </w:r>
      <w:r>
        <w:rPr/>
        <w:fldChar w:fldCharType="end"/>
      </w:r>
      <w:r>
        <w:rPr>
          <w:b/>
        </w:rPr>
        <w:t>CONFIDENTIAL AND PRIVILEGED ATTORNEY-CLIENT COMMUNICATION</w:t>
      </w:r>
    </w:p>
    <w:p>
      <w:pPr>
        <w:pStyle w:val="Normal"/>
        <w:rPr/>
      </w:pPr>
      <w:r>
        <w:rPr/>
      </w:r>
    </w:p>
    <w:p>
      <w:pPr>
        <w:pStyle w:val="Normal"/>
        <w:jc w:val="center"/>
        <w:rPr>
          <w:spacing w:val="40"/>
        </w:rPr>
      </w:pPr>
      <w:r>
        <w:rPr>
          <w:b/>
          <w:smallCaps/>
          <w:spacing w:val="40"/>
          <w:sz w:val="40"/>
        </w:rPr>
        <w:t>Memorandum</w:t>
      </w:r>
    </w:p>
    <w:p>
      <w:pPr>
        <w:pStyle w:val="Normal"/>
        <w:rPr>
          <w:spacing w:val="40"/>
        </w:rPr>
      </w:pPr>
      <w:r>
        <w:rPr>
          <w:spacing w:val="40"/>
        </w:rPr>
      </w:r>
    </w:p>
    <w:p>
      <w:pPr>
        <w:pStyle w:val="Normal"/>
        <w:rPr/>
      </w:pPr>
      <w:r>
        <w:rPr/>
      </w:r>
    </w:p>
    <w:p>
      <w:pPr>
        <w:pStyle w:val="Normal"/>
        <w:tabs>
          <w:tab w:val="left" w:pos="720" w:leader="none"/>
          <w:tab w:val="left" w:pos="1440" w:leader="none"/>
        </w:tabs>
        <w:ind w:hanging="1440" w:start="1440" w:end="0"/>
        <w:rPr/>
      </w:pPr>
      <w:r>
        <w:rPr/>
        <w:t>TO:</w:t>
        <w:tab/>
        <w:tab/>
        <w:t>Steven Kelly</w:t>
      </w:r>
    </w:p>
    <w:p>
      <w:pPr>
        <w:pStyle w:val="Normal"/>
        <w:tabs>
          <w:tab w:val="left" w:pos="720" w:leader="none"/>
          <w:tab w:val="left" w:pos="1440" w:leader="none"/>
        </w:tabs>
        <w:ind w:hanging="1440" w:start="1440" w:end="0"/>
        <w:rPr/>
      </w:pPr>
      <w:r>
        <w:rPr/>
        <w:tab/>
        <w:t>cc:</w:t>
        <w:tab/>
        <w:t>Jan Smutny-Jones</w:t>
      </w:r>
    </w:p>
    <w:p>
      <w:pPr>
        <w:pStyle w:val="Normal"/>
        <w:tabs>
          <w:tab w:val="left" w:pos="720" w:leader="none"/>
          <w:tab w:val="left" w:pos="1440" w:leader="none"/>
        </w:tabs>
        <w:ind w:hanging="1440" w:start="1440" w:end="0"/>
        <w:rPr/>
      </w:pPr>
      <w:r>
        <w:rPr/>
        <w:tab/>
        <w:tab/>
        <w:t>Katie Kaplan</w:t>
      </w:r>
    </w:p>
    <w:p>
      <w:pPr>
        <w:pStyle w:val="Normal"/>
        <w:tabs>
          <w:tab w:val="left" w:pos="720" w:leader="none"/>
          <w:tab w:val="left" w:pos="1440" w:leader="none"/>
        </w:tabs>
        <w:ind w:hanging="1440" w:start="1440" w:end="0"/>
        <w:rPr/>
      </w:pPr>
      <w:r>
        <w:rPr/>
        <w:tab/>
        <w:tab/>
        <w:t>Douglas K. Kerner</w:t>
      </w:r>
    </w:p>
    <w:p>
      <w:pPr>
        <w:pStyle w:val="Normal"/>
        <w:rPr/>
      </w:pPr>
      <w:r>
        <w:rPr/>
      </w:r>
    </w:p>
    <w:p>
      <w:pPr>
        <w:pStyle w:val="Normal"/>
        <w:tabs>
          <w:tab w:val="left" w:pos="720" w:leader="none"/>
          <w:tab w:val="left" w:pos="1440" w:leader="none"/>
        </w:tabs>
        <w:ind w:hanging="1440" w:start="1440" w:end="0"/>
        <w:rPr/>
      </w:pPr>
      <w:r>
        <w:rPr/>
        <w:t>FROM:</w:t>
        <w:tab/>
        <w:t>Andy Brown</w:t>
      </w:r>
    </w:p>
    <w:p>
      <w:pPr>
        <w:pStyle w:val="Normal"/>
        <w:rPr/>
      </w:pPr>
      <w:r>
        <w:rPr/>
      </w:r>
    </w:p>
    <w:p>
      <w:pPr>
        <w:pStyle w:val="Normal"/>
        <w:tabs>
          <w:tab w:val="left" w:pos="720" w:leader="none"/>
          <w:tab w:val="left" w:pos="1440" w:leader="none"/>
        </w:tabs>
        <w:ind w:hanging="1440" w:start="1440" w:end="0"/>
        <w:rPr/>
      </w:pPr>
      <w:r>
        <w:rPr/>
        <w:t>RE:</w:t>
        <w:tab/>
        <w:tab/>
        <w:t>CAISO Amendment No. 31, Extension of Price Cap Authority</w:t>
      </w:r>
    </w:p>
    <w:p>
      <w:pPr>
        <w:pStyle w:val="Normal"/>
        <w:rPr/>
      </w:pPr>
      <w:r>
        <w:rPr/>
      </w:r>
    </w:p>
    <w:p>
      <w:pPr>
        <w:pStyle w:val="Normal"/>
        <w:rPr/>
      </w:pPr>
      <w:r>
        <w:rPr/>
        <w:t>DATE:</w:t>
        <w:tab/>
        <w:tab/>
        <w:t>September 20, 2000</w: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-2540</wp:posOffset>
                </wp:positionH>
                <wp:positionV relativeFrom="paragraph">
                  <wp:posOffset>81280</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6.4pt" to="424.55pt,6.4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r>
    </w:p>
    <w:p>
      <w:pPr>
        <w:pStyle w:val="Normal"/>
        <w:rPr/>
      </w:pPr>
      <w:r>
        <w:rPr/>
        <w:tab/>
        <w:t>On September 14, 2000, the California Independent System Operator ("CAISO") filed the 31</w:t>
      </w:r>
      <w:r>
        <w:rPr>
          <w:vertAlign w:val="superscript"/>
        </w:rPr>
        <w:t>st</w:t>
      </w:r>
      <w:r>
        <w:rPr/>
        <w:t xml:space="preserve"> Amendment to its tariff.  This amendment seeks to remove the current sunset date on its purchase price cap authority and replace it with language that would give CAISO authority to set the cap at its discretion.</w:t>
      </w:r>
      <w:r>
        <w:rPr>
          <w:rStyle w:val="FootnoteCharacters"/>
          <w:rStyle w:val="FootnoteReference"/>
        </w:rPr>
        <w:footnoteReference w:id="2"/>
      </w:r>
      <w:r>
        <w:rPr/>
        <w:t xml:space="preserve">  The amendment also would allow the imposition of caps on any CAISO market.  On September 18 the Federal Energy Regulatory Commission ("FERC" or "Commission") issued its Notice in the docket establishing October 5 as the deadline for the filing of motions to intervene and/or protests.  This memorandum provides a brief summary of the filing, suggests a potential form of response, and sets forth some “next steps” that are necessary to undertake this filing.</w:t>
      </w:r>
    </w:p>
    <w:p>
      <w:pPr>
        <w:pStyle w:val="Normal"/>
        <w:rPr/>
      </w:pPr>
      <w:r>
        <w:rPr/>
      </w:r>
    </w:p>
    <w:p>
      <w:pPr>
        <w:pStyle w:val="Heading1"/>
        <w:ind w:hanging="0" w:start="0"/>
        <w:rPr/>
      </w:pPr>
      <w:r>
        <w:rPr/>
        <w:t>Overview</w:t>
      </w:r>
    </w:p>
    <w:p>
      <w:pPr>
        <w:pStyle w:val="Normal"/>
        <w:rPr/>
      </w:pPr>
      <w:r>
        <w:rPr/>
      </w:r>
    </w:p>
    <w:p>
      <w:pPr>
        <w:pStyle w:val="Normal"/>
        <w:rPr/>
      </w:pPr>
      <w:r>
        <w:rPr/>
        <w:tab/>
        <w:t xml:space="preserve">CAISO extended its purchase price caps in its Amendment No. 21 filing about a year ago.  FERC granted the request and clarified that the purchase price caps are very distinct from the imposition of limitations on sellers’ offers.  The distinction was again repeated in the </w:t>
      </w:r>
      <w:r>
        <w:rPr>
          <w:i/>
          <w:iCs/>
        </w:rPr>
        <w:t>Morgan Stanley</w:t>
      </w:r>
      <w:r>
        <w:rPr/>
        <w:t xml:space="preserve"> decision issued earlier this summer in response to the lowering of the caps.  Part of the rationale, according to CAISO, turns on the fact that sellers are not required to sell into the CAISO markets.  By this filing, CAISO seeks to modify its tariff to permanently remove the November 15, 2000 sunset date that is currently in the language, and to insert the authority to unilaterally impose purchase price caps </w:t>
      </w:r>
      <w:r>
        <w:rPr>
          <w:i/>
          <w:iCs/>
        </w:rPr>
        <w:t>in any market</w:t>
      </w:r>
      <w:r>
        <w:rPr/>
        <w:t xml:space="preserve"> pursuant to certain criteria established by the Board of Governors.</w:t>
      </w:r>
      <w:r>
        <w:rPr>
          <w:rStyle w:val="FootnoteCharacters"/>
          <w:rStyle w:val="FootnoteReference"/>
        </w:rPr>
        <w:footnoteReference w:id="3"/>
      </w:r>
      <w:r>
        <w:rPr/>
        <w:t xml:space="preserve">  </w:t>
      </w:r>
      <w:r>
        <w:rPr>
          <w:i/>
          <w:iCs/>
        </w:rPr>
        <w:t>Those criteria do not appear to be specified at this time.</w:t>
      </w:r>
      <w:r>
        <w:rPr/>
        <w:t xml:space="preserve">  CAISO cites current market conditions as part of the need to continue with price caps.</w:t>
      </w:r>
    </w:p>
    <w:p>
      <w:pPr>
        <w:pStyle w:val="Normal"/>
        <w:rPr/>
      </w:pPr>
      <w:r>
        <w:rPr/>
      </w:r>
    </w:p>
    <w:p>
      <w:pPr>
        <w:pStyle w:val="Normal"/>
        <w:rPr/>
      </w:pPr>
      <w:r>
        <w:rPr/>
        <w:tab/>
        <w:t xml:space="preserve">The filing also addresses CAISO’s recent request for authority to enter the forward markets to procure energy it anticipates will necessary in the realtime market due to underscheduling.  This authority was recently requested by CAISO in Amendment No. 30 (the topic of an earlier memorandum) in response to the FERC opinion on the SDG&amp;E Complaint seeking to impose bid caps on sellers.  In Amendment 31 the CAISO states again that the taking of forward positions should be done by the load serving entities (i.e., the utility distribution companies), but that because the UDCs do not appear to have adequate authority to do so at this time—and to be responsive to FERC—CAISO will need to enter the forward markets to avoid last minute purchasing.  </w:t>
      </w:r>
    </w:p>
    <w:p>
      <w:pPr>
        <w:pStyle w:val="Normal"/>
        <w:rPr/>
      </w:pPr>
      <w:r>
        <w:rPr/>
      </w:r>
    </w:p>
    <w:p>
      <w:pPr>
        <w:pStyle w:val="Heading1"/>
        <w:ind w:hanging="0" w:start="0"/>
        <w:rPr/>
      </w:pPr>
      <w:r>
        <w:rPr/>
        <w:t>Suggested Response</w:t>
      </w:r>
    </w:p>
    <w:p>
      <w:pPr>
        <w:pStyle w:val="Normal"/>
        <w:rPr/>
      </w:pPr>
      <w:r>
        <w:rPr/>
      </w:r>
    </w:p>
    <w:p>
      <w:pPr>
        <w:pStyle w:val="Normal"/>
        <w:rPr/>
      </w:pPr>
      <w:r>
        <w:rPr/>
        <w:tab/>
        <w:t xml:space="preserve">IEP has traditionally opposed price caps in the marketplace.  In light of the current political climate, the various investigations into California’s markets including the operations of the CAISO and CalPX, and in light of existing FERC precedent, it is unclear that opposing the revised tariff language would yield anything.  There are, however, a few issues which could be explicitly addressed.  IEP’s response could: (1) state our support for maintaining the distinctions articulated in </w:t>
      </w:r>
      <w:r>
        <w:rPr>
          <w:i/>
          <w:iCs/>
        </w:rPr>
        <w:t>Morgan Stanley</w:t>
      </w:r>
      <w:r>
        <w:rPr/>
        <w:t xml:space="preserve"> regarding “purchase caps” vs. “seller caps”; (2) state our concern about the reference to “criteria” to be used by the CAISO Board where no such criteria have been articulated in the tariff provision or the submittal, as well as whether criteria would be established for the removal or upward adjustment of the caps; and, (3) rearticulate our concerns regarding CAISO participation in the forward markets (if IEP chooses to intervene &amp; comment in that separate case).  These are preliminary thoughts based on a short review of the filing; other issues are likely to arise in discussions with the membership.</w:t>
      </w:r>
    </w:p>
    <w:p>
      <w:pPr>
        <w:pStyle w:val="Normal"/>
        <w:rPr/>
      </w:pPr>
      <w:r>
        <w:rPr/>
      </w:r>
    </w:p>
    <w:p>
      <w:pPr>
        <w:pStyle w:val="Heading1"/>
        <w:ind w:hanging="0" w:start="0"/>
        <w:rPr/>
      </w:pPr>
      <w:r>
        <w:rPr/>
        <w:t>Next Steps</w:t>
      </w:r>
    </w:p>
    <w:p>
      <w:pPr>
        <w:pStyle w:val="Normal"/>
        <w:rPr/>
      </w:pPr>
      <w:r>
        <w:rPr/>
      </w:r>
    </w:p>
    <w:p>
      <w:pPr>
        <w:pStyle w:val="Normal"/>
        <w:rPr/>
      </w:pPr>
      <w:r>
        <w:rPr/>
        <w:tab/>
        <w:t>We have not reviewed all the materials submitted with the filing.</w:t>
      </w:r>
      <w:r>
        <w:rPr>
          <w:rStyle w:val="FootnoteCharacters"/>
          <w:rStyle w:val="FootnoteReference"/>
        </w:rPr>
        <w:footnoteReference w:id="4"/>
      </w:r>
      <w:r>
        <w:rPr/>
        <w:t xml:space="preserve">  There could be some additional points in those documents which IEP would like to address.  We will prepare, at minimum, a “plain vanilla” motion to intervene unless you direct otherwise.  Please advise if you would like to pursue substantive comments to this filing on behalf of IEP.  I need direction from you by September 26 at the latest.  As noted earlier, the deadline established by FERC is October 5, 2000.  This would allow for a draft to circulate to membership on October 2.  Alternatively, we could discuss IEP’s response to Amendment No. 30 (forward markets) and Amendment No. 31 (price caps) at the same time and same a round of discussion.  If that is your preference, this discussion would need to occur no later than September 26</w:t>
      </w:r>
      <w:r>
        <w:rPr>
          <w:vertAlign w:val="superscript"/>
        </w:rPr>
        <w:t>th</w:t>
      </w:r>
      <w:r>
        <w:rPr/>
        <w:t xml:space="preserve"> as the first set of comments are due October 2.</w:t>
      </w:r>
    </w:p>
    <w:p>
      <w:pPr>
        <w:pStyle w:val="Normal"/>
        <w:rPr/>
      </w:pPr>
      <w:r>
        <w:rPr/>
      </w:r>
    </w:p>
    <w:sectPr>
      <w:headerReference w:type="default" r:id="rId2"/>
      <w:headerReference w:type="first" r:id="rId3"/>
      <w:footnotePr>
        <w:numFmt w:val="decimal"/>
      </w:footnotePr>
      <w:type w:val="nextPage"/>
      <w:pgSz w:w="12240" w:h="15840"/>
      <w:pgMar w:left="1440" w:right="1440" w:gutter="0" w:header="720" w:top="1440" w:footer="0" w:bottom="1440"/>
      <w:pgNumType w:fmt="decimal"/>
      <w:formProt w:val="false"/>
      <w:titlePg/>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amendment has not been placed on the CAISO’s website as of this time.  We are trying to secure an electronic version of the document that can be sent to members, and will forward those materials when we get them.</w:t>
      </w:r>
    </w:p>
  </w:footnote>
  <w:footnote w:id="3">
    <w:p>
      <w:pPr>
        <w:pStyle w:val="FootnoteText"/>
        <w:rPr/>
      </w:pPr>
      <w:r>
        <w:rPr>
          <w:rStyle w:val="FootnoteCharacters"/>
        </w:rPr>
        <w:footnoteRef/>
      </w:r>
      <w:r>
        <w:rPr/>
        <w:t xml:space="preserve"> </w:t>
      </w:r>
      <w:r>
        <w:rPr/>
        <w:t xml:space="preserve">Currently the caps apply to the realtime energy and ancillary services markets.  The question is obviously begged whether the CAISO would impose caps on other markets as well as which markets those could be.  </w:t>
      </w:r>
    </w:p>
  </w:footnote>
  <w:footnote w:id="4">
    <w:p>
      <w:pPr>
        <w:pStyle w:val="FootnoteText"/>
        <w:rPr/>
      </w:pPr>
      <w:r>
        <w:rPr>
          <w:rStyle w:val="FootnoteCharacters"/>
        </w:rPr>
        <w:footnoteRef/>
      </w:r>
      <w:r>
        <w:rPr/>
        <w:t xml:space="preserve"> </w:t>
      </w:r>
      <w:r>
        <w:rPr/>
        <w:t xml:space="preserve">The filing included five substantive attachments in addition to the transmittal letter and the tariff changes in clean and black-lined formats.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360"/>
      <w:jc w:val="center"/>
      <w:rPr>
        <w:smallCaps/>
        <w:szCs w:val="24"/>
      </w:rPr>
    </w:pPr>
    <w:r>
      <w:rPr>
        <w:smallCaps/>
        <w:color w:val="008080"/>
        <w:sz w:val="26"/>
        <w:szCs w:val="26"/>
      </w:rPr>
      <w:t>Ellison, Schneider &amp; Harris L.L.P.</w:t>
    </w:r>
  </w:p>
  <w:p>
    <w:pPr>
      <w:pStyle w:val="Normal"/>
      <w:spacing w:lineRule="atLeast" w:line="312"/>
      <w:jc w:val="center"/>
      <w:rPr>
        <w:smallCaps/>
        <w:szCs w:val="24"/>
      </w:rPr>
    </w:pPr>
    <w:r>
      <w:rPr>
        <w:smallCaps/>
        <w:sz w:val="22"/>
        <w:szCs w:val="22"/>
      </w:rPr>
      <w:t>Attorneys at Law</w:t>
    </w:r>
  </w:p>
  <w:p>
    <w:pPr>
      <w:pStyle w:val="Normal"/>
      <w:jc w:val="center"/>
      <w:rPr/>
    </w:pPr>
    <w:r>
      <w:rPr>
        <w:smallCaps/>
      </w:rPr>
      <w:t>2015 H</w:t>
    </w:r>
    <w:r>
      <w:fldChar w:fldCharType="begin"/>
    </w:r>
    <w:r>
      <w:rPr>
        <w:smallCaps/>
      </w:rPr>
      <w:instrText xml:space="preserve">ADVANCE \r 0</w:instrText>
    </w:r>
    <w:r>
      <w:rPr>
        <w:smallCaps/>
      </w:rPr>
    </w:r>
    <w:r>
      <w:rPr>
        <w:smallCaps/>
      </w:rPr>
      <w:fldChar w:fldCharType="separate"/>
    </w:r>
    <w:r>
      <w:rPr>
        <w:smallCaps/>
      </w:rPr>
    </w:r>
    <w:r>
      <w:rPr>
        <w:smallCaps/>
      </w:rPr>
    </w:r>
    <w:r>
      <w:rPr>
        <w:smallCaps/>
      </w:rPr>
      <w:fldChar w:fldCharType="end"/>
    </w:r>
    <w:r>
      <w:rPr>
        <w:smallCaps/>
      </w:rPr>
      <w:t xml:space="preserve"> Street</w:t>
    </w:r>
  </w:p>
  <w:p>
    <w:pPr>
      <w:pStyle w:val="Normal"/>
      <w:jc w:val="center"/>
      <w:rPr>
        <w:smallCaps/>
      </w:rPr>
    </w:pPr>
    <w:r>
      <w:rPr>
        <w:smallCaps/>
      </w:rPr>
      <w:t>Sacramento, California  95814-3109</w:t>
    </w:r>
  </w:p>
  <w:p>
    <w:pPr>
      <w:pStyle w:val="Normal"/>
      <w:jc w:val="center"/>
      <w:rPr>
        <w:szCs w:val="24"/>
      </w:rPr>
    </w:pPr>
    <w:r>
      <w:rPr>
        <w:smallCaps/>
      </w:rPr>
      <w:t>Telephone (916) 447-2166   Fax (916) 447-3512</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esh memo format with eltr header</Template>
  <TotalTime>943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2000-09-21T13:53:00Z</dcterms:created>
  <dc:creator>Andrew Brown</dc:creator>
  <dc:description/>
  <dc:language>en-CA</dc:language>
  <cp:lastModifiedBy>Steven Kelly</cp:lastModifiedBy>
  <cp:lastPrinted>2000-09-20T17:37:00Z</cp:lastPrinted>
  <dcterms:modified xsi:type="dcterms:W3CDTF">2000-09-21T13:53:00Z</dcterms:modified>
  <cp:revision>2</cp:revision>
  <dc:subject/>
  <dc:title>CONFIDENTIAL AND PRIVILEGED ATTORNEY-CLIENT COMMUNICATION</dc:title>
</cp:coreProperties>
</file>