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BEFORE THE</w:t>
      </w:r>
    </w:p>
    <w:p>
      <w:pPr>
        <w:pStyle w:val="Normal"/>
        <w:jc w:val="center"/>
        <w:rPr>
          <w:b/>
        </w:rPr>
      </w:pPr>
      <w:r>
        <w:rPr>
          <w:b/>
        </w:rPr>
        <w:t>FEDERAL ENERGY REGULATORY COMMISSION</w:t>
      </w:r>
    </w:p>
    <w:p>
      <w:pPr>
        <w:pStyle w:val="Normal"/>
        <w:tabs>
          <w:tab w:val="left" w:pos="720" w:leader="none"/>
        </w:tabs>
        <w:autoSpaceDE w:val="false"/>
        <w:ind w:start="1080" w:end="0"/>
        <w:rPr>
          <w:b/>
        </w:rPr>
      </w:pPr>
      <w:r>
        <w:rPr>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s>
        <w:ind w:hanging="6480" w:start="6480" w:end="0"/>
        <w:rPr>
          <w:sz w:val="26"/>
          <w:szCs w:val="26"/>
        </w:rPr>
      </w:pPr>
      <w:r>
        <w:rPr>
          <w:sz w:val="26"/>
          <w:szCs w:val="26"/>
        </w:rPr>
        <w:t>California Electricity Oversight Board</w:t>
        <w:tab/>
      </w:r>
    </w:p>
    <w:p>
      <w:pPr>
        <w:pStyle w:val="Normal"/>
        <w:rPr>
          <w:sz w:val="26"/>
          <w:szCs w:val="26"/>
        </w:rPr>
      </w:pPr>
      <w:r>
        <w:rPr>
          <w:sz w:val="26"/>
          <w:szCs w:val="26"/>
        </w:rPr>
        <w:tab/>
        <w:tab/>
        <w:t>Complainant</w:t>
      </w:r>
    </w:p>
    <w:p>
      <w:pPr>
        <w:pStyle w:val="Normal"/>
        <w:rPr>
          <w:sz w:val="26"/>
          <w:szCs w:val="26"/>
        </w:rPr>
      </w:pPr>
      <w:r>
        <w:rPr>
          <w:sz w:val="26"/>
          <w:szCs w:val="26"/>
        </w:rPr>
      </w:r>
    </w:p>
    <w:p>
      <w:pPr>
        <w:pStyle w:val="Normal"/>
        <w:rPr>
          <w:sz w:val="26"/>
          <w:szCs w:val="26"/>
        </w:rPr>
      </w:pPr>
      <w:r>
        <w:rPr>
          <w:sz w:val="26"/>
          <w:szCs w:val="26"/>
        </w:rPr>
        <w:tab/>
        <w:tab/>
        <w:tab/>
        <w:t>v.</w:t>
      </w:r>
    </w:p>
    <w:p>
      <w:pPr>
        <w:pStyle w:val="Normal"/>
        <w:rPr>
          <w:sz w:val="26"/>
          <w:szCs w:val="26"/>
        </w:rPr>
      </w:pPr>
      <w:r>
        <w:rPr>
          <w:sz w:val="26"/>
          <w:szCs w:val="26"/>
        </w:rPr>
      </w:r>
    </w:p>
    <w:p>
      <w:pPr>
        <w:pStyle w:val="Normal"/>
        <w:rPr>
          <w:sz w:val="26"/>
          <w:szCs w:val="26"/>
        </w:rPr>
      </w:pPr>
      <w:r>
        <w:rPr>
          <w:sz w:val="26"/>
          <w:szCs w:val="26"/>
        </w:rPr>
        <w:t>All Sellers of Energy and Ancillary Services</w:t>
      </w:r>
    </w:p>
    <w:p>
      <w:pPr>
        <w:pStyle w:val="Normal"/>
        <w:rPr>
          <w:sz w:val="26"/>
          <w:szCs w:val="26"/>
        </w:rPr>
      </w:pPr>
      <w:r>
        <w:rPr>
          <w:sz w:val="26"/>
          <w:szCs w:val="26"/>
        </w:rPr>
        <w:tab/>
        <w:t>Into the Energy and Ancillary</w:t>
      </w:r>
    </w:p>
    <w:p>
      <w:pPr>
        <w:pStyle w:val="Normal"/>
        <w:rPr>
          <w:sz w:val="26"/>
          <w:szCs w:val="26"/>
        </w:rPr>
      </w:pPr>
      <w:r>
        <w:rPr>
          <w:sz w:val="26"/>
          <w:szCs w:val="26"/>
        </w:rPr>
        <w:tab/>
        <w:t>Services Markets Operated by the</w:t>
      </w:r>
    </w:p>
    <w:p>
      <w:pPr>
        <w:pStyle w:val="Normal"/>
        <w:rPr>
          <w:sz w:val="26"/>
          <w:szCs w:val="26"/>
        </w:rPr>
      </w:pPr>
      <w:r>
        <w:rPr>
          <w:sz w:val="26"/>
          <w:szCs w:val="26"/>
        </w:rPr>
        <w:tab/>
        <w:t>California Independent System</w:t>
        <w:tab/>
        <w:tab/>
        <w:tab/>
        <w:t>Docket No. EL00-104-000</w:t>
      </w:r>
    </w:p>
    <w:p>
      <w:pPr>
        <w:pStyle w:val="Normal"/>
        <w:rPr>
          <w:sz w:val="26"/>
          <w:szCs w:val="26"/>
        </w:rPr>
      </w:pPr>
      <w:r>
        <w:rPr>
          <w:sz w:val="26"/>
          <w:szCs w:val="26"/>
        </w:rPr>
        <w:tab/>
        <w:t>Operator Corporation and the</w:t>
      </w:r>
    </w:p>
    <w:p>
      <w:pPr>
        <w:pStyle w:val="Normal"/>
        <w:rPr>
          <w:sz w:val="26"/>
          <w:szCs w:val="26"/>
        </w:rPr>
      </w:pPr>
      <w:r>
        <w:rPr>
          <w:sz w:val="26"/>
          <w:szCs w:val="26"/>
        </w:rPr>
        <w:tab/>
        <w:t>California Power Exchange;</w:t>
      </w:r>
    </w:p>
    <w:p>
      <w:pPr>
        <w:pStyle w:val="Normal"/>
        <w:rPr>
          <w:sz w:val="26"/>
          <w:szCs w:val="26"/>
        </w:rPr>
      </w:pPr>
      <w:r>
        <w:rPr>
          <w:sz w:val="26"/>
          <w:szCs w:val="26"/>
        </w:rPr>
      </w:r>
    </w:p>
    <w:p>
      <w:pPr>
        <w:pStyle w:val="Normal"/>
        <w:rPr>
          <w:sz w:val="26"/>
          <w:szCs w:val="26"/>
        </w:rPr>
      </w:pPr>
      <w:r>
        <w:rPr>
          <w:sz w:val="26"/>
          <w:szCs w:val="26"/>
        </w:rPr>
        <w:t>All Scheduling Coordinators Acting</w:t>
      </w:r>
    </w:p>
    <w:p>
      <w:pPr>
        <w:pStyle w:val="Normal"/>
        <w:rPr>
          <w:sz w:val="26"/>
          <w:szCs w:val="26"/>
        </w:rPr>
      </w:pPr>
      <w:r>
        <w:rPr>
          <w:sz w:val="26"/>
          <w:szCs w:val="26"/>
        </w:rPr>
        <w:tab/>
        <w:t>On behalf of the Above Sellers;</w:t>
      </w:r>
    </w:p>
    <w:p>
      <w:pPr>
        <w:pStyle w:val="Normal"/>
        <w:rPr>
          <w:sz w:val="26"/>
          <w:szCs w:val="26"/>
        </w:rPr>
      </w:pPr>
      <w:r>
        <w:rPr>
          <w:sz w:val="26"/>
          <w:szCs w:val="26"/>
        </w:rPr>
      </w:r>
    </w:p>
    <w:p>
      <w:pPr>
        <w:pStyle w:val="Normal"/>
        <w:rPr>
          <w:sz w:val="26"/>
          <w:szCs w:val="26"/>
        </w:rPr>
      </w:pPr>
      <w:r>
        <w:rPr>
          <w:sz w:val="26"/>
          <w:szCs w:val="26"/>
        </w:rPr>
        <w:t>California Independent System</w:t>
      </w:r>
    </w:p>
    <w:p>
      <w:pPr>
        <w:pStyle w:val="Normal"/>
        <w:rPr>
          <w:sz w:val="26"/>
          <w:szCs w:val="26"/>
        </w:rPr>
      </w:pPr>
      <w:r>
        <w:rPr>
          <w:sz w:val="26"/>
          <w:szCs w:val="26"/>
        </w:rPr>
        <w:tab/>
        <w:t>Operator Corporation; and</w:t>
      </w:r>
    </w:p>
    <w:p>
      <w:pPr>
        <w:pStyle w:val="Normal"/>
        <w:rPr>
          <w:sz w:val="26"/>
          <w:szCs w:val="26"/>
        </w:rPr>
      </w:pPr>
      <w:r>
        <w:rPr>
          <w:sz w:val="26"/>
          <w:szCs w:val="26"/>
        </w:rPr>
      </w:r>
    </w:p>
    <w:p>
      <w:pPr>
        <w:pStyle w:val="Normal"/>
        <w:rPr>
          <w:sz w:val="26"/>
          <w:szCs w:val="26"/>
        </w:rPr>
      </w:pPr>
      <w:r>
        <w:rPr>
          <w:sz w:val="26"/>
          <w:szCs w:val="26"/>
        </w:rPr>
        <w:t>California Power Exchange Corporation</w:t>
      </w:r>
    </w:p>
    <w:p>
      <w:pPr>
        <w:pStyle w:val="Normal"/>
        <w:rPr>
          <w:sz w:val="26"/>
          <w:szCs w:val="26"/>
        </w:rPr>
      </w:pPr>
      <w:r>
        <w:rPr>
          <w:sz w:val="26"/>
          <w:szCs w:val="26"/>
        </w:rPr>
        <w:tab/>
        <w:tab/>
        <w:t>Respondents</w:t>
      </w:r>
    </w:p>
    <w:p>
      <w:pPr>
        <w:pStyle w:val="Normal"/>
        <w:rPr/>
      </w:pPr>
      <w:r>
        <w:rPr/>
      </w:r>
    </w:p>
    <w:p>
      <w:pPr>
        <w:pStyle w:val="Normal"/>
        <w:jc w:val="center"/>
        <w:rPr>
          <w:b/>
        </w:rPr>
      </w:pPr>
      <w:r>
        <w:rPr>
          <w:b/>
        </w:rPr>
        <w:t>Motion to Intervene and Protest</w:t>
      </w:r>
    </w:p>
    <w:p>
      <w:pPr>
        <w:pStyle w:val="Normal"/>
        <w:jc w:val="center"/>
        <w:rPr>
          <w:b/>
        </w:rPr>
      </w:pPr>
      <w:r>
        <w:rPr>
          <w:b/>
        </w:rPr>
        <w:t>of the Independent Energy Producers Association</w:t>
      </w:r>
    </w:p>
    <w:p>
      <w:pPr>
        <w:pStyle w:val="Normal"/>
        <w:jc w:val="center"/>
        <w:rPr>
          <w:b/>
        </w:rPr>
      </w:pPr>
      <w:r>
        <w:rPr>
          <w:b/>
        </w:rPr>
      </w:r>
    </w:p>
    <w:p>
      <w:pPr>
        <w:pStyle w:val="BodyTextIndent"/>
        <w:rPr/>
      </w:pPr>
      <w:r>
        <w:rPr/>
        <w:t xml:space="preserve">Pursuant to Rules 211 and 214 of the Federal Energy Regulatory Commission’s (“FERC” or “Commission”) Rules of Practice and Procedure, 18 CFR §§ 385.211 and  385.214, the Independent Energy Producers Association (“IEP”) hereby moves to intervene and protests the above captioned proceeding.  On August 29, 2000, the California Electricity Oversight Board (“EOB”) filed a broad Complaint which essentially names all market participants involved in the supply-side of the California markets as “real parties of interest.”  (“EOB Complaint.”)  Notice was provided by the Commission on August 29, 2000, calling for motions to intervene and/or protests to be filed by September 18, 2000.  </w:t>
      </w:r>
    </w:p>
    <w:p>
      <w:pPr>
        <w:pStyle w:val="BodyTextIndent"/>
        <w:rPr/>
      </w:pPr>
      <w:r>
        <w:rPr/>
      </w:r>
    </w:p>
    <w:p>
      <w:pPr>
        <w:pStyle w:val="BodyTextIndent"/>
        <w:ind w:hanging="0" w:end="0"/>
        <w:rPr>
          <w:b/>
          <w:bCs/>
        </w:rPr>
      </w:pPr>
      <w:r>
        <w:rPr>
          <w:b/>
          <w:bCs/>
          <w:u w:val="single"/>
        </w:rPr>
        <w:t>Background</w:t>
      </w:r>
    </w:p>
    <w:p>
      <w:pPr>
        <w:pStyle w:val="BodyTextIndent"/>
        <w:ind w:hanging="0" w:end="0"/>
        <w:rPr/>
      </w:pPr>
      <w:r>
        <w:rPr/>
        <w:tab/>
        <w:t xml:space="preserve">In all respects, the EOB Complaint is most simply an expansion of the complaint filed by San Diego Gas &amp; Electric Company on August 2, 2000; Docket EL00-95-000. (“SDG&amp;E Complaint.”)   On August 14, 2000, IEP filed its intervention and protest to the SDG&amp;E complaint.  To the extent the EOB Complaint rests upon the “analysis” presented in the SDG&amp;E Complaint (EOB Complaint at 8), IEP hereby renews by this reference those arguments made in its Protest to the SDG&amp;E Complaint.  The EOB Complaint </w:t>
      </w:r>
      <w:r>
        <w:rPr>
          <w:i/>
          <w:iCs/>
        </w:rPr>
        <w:t>adds absolutely nothing</w:t>
      </w:r>
      <w:r>
        <w:rPr/>
        <w:t xml:space="preserve"> but additional “real parties of interest” as respondents to the proceedings already underway pursuant to the SDG&amp;E Complaint and the investigation initiated by this Commission in EL00-98-000.  While recognizing the duplicative nature of its filing to processes already underway, the EOB also states that it does not “necessarily seek a change in the rate schedules of jurisdictional sellers.”  EOB Complaint, at Footnote 1, page 1.  Nonetheless, the EOB Complaint does seek to alter the independence of the California Independent System Operator (“CAISO”) in terms of its ability to voluntarily impose a purchase price caps in its markets until some nebulous set of conditions are achieved.   EOB Complaint at 2, 7.  Based upon its own “preliminary investigation,” the EOB concludes that the restructured markets in California are not “workably competitive.”  EOB Complaint at 3.  No information is provided by the EOB—other than some conclusory statements—in terms of this preliminary investigation.  Armed with this presumably “preliminary” conclusion, the EOB appears ready to ask this Commission to retroactively declare all transactions made within the CAISO and CalPX pursuant to market-based rate authority to be unjust and unreasonable.   This is justified—in the EOB’s eyes—because it believes the prices discovered in the CalPX and CAISO markets during periods of peak demand exceed the marginal costs of production for some theoretical generation plant.  The EOB did not even bother to update SDG&amp;E’s analysis based upon the very real and well known escalation of natural gas prices, although it makes passing reference to that fact.  EOB Complaint at 8.  It completely ignores real costs associated with air pollution regulation in the larger load centers, as well as other salient criticisms articulated in response to the SDG&amp;E Complaint.  [citations needed]  </w:t>
      </w:r>
    </w:p>
    <w:p>
      <w:pPr>
        <w:pStyle w:val="BodyTextIndent"/>
        <w:ind w:hanging="710" w:start="710" w:end="0"/>
        <w:rPr/>
      </w:pPr>
      <w:r>
        <w:rPr>
          <w:b/>
          <w:bCs/>
        </w:rPr>
        <w:t>I.</w:t>
        <w:tab/>
      </w:r>
      <w:r>
        <w:rPr>
          <w:b/>
          <w:bCs/>
          <w:u w:val="single"/>
        </w:rPr>
        <w:t>Notice Information, Party Description And Nature of Interest</w:t>
      </w:r>
    </w:p>
    <w:p>
      <w:pPr>
        <w:pStyle w:val="Normal"/>
        <w:spacing w:lineRule="auto" w:line="480"/>
        <w:rPr/>
      </w:pPr>
      <w:r>
        <w:rPr/>
        <w:tab/>
        <w:t>The following persons should be included in the official service list in these proceedings and all notices and communications with respect to these proceedings should be addressed to:</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Douglas K. Kerner</w:t>
        <w:tab/>
        <w:tab/>
        <w:tab/>
        <w:tab/>
        <w:t>Jan Smutny-Jones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Andrew B. Brown</w:t>
        <w:tab/>
        <w:tab/>
        <w:tab/>
        <w:tab/>
        <w:t>Independent Energy Producers</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Ellison, Schneider &amp; Harris, LLP</w:t>
        <w:tab/>
        <w:tab/>
        <w:t xml:space="preserve">  Association</w:t>
      </w:r>
    </w:p>
    <w:p>
      <w:pPr>
        <w:pStyle w:val="Normal"/>
        <w:keepNext w:val="true"/>
        <w:keepLines/>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2015 H Street</w:t>
        <w:tab/>
        <w:tab/>
        <w:tab/>
        <w:tab/>
        <w:tab/>
        <w:t>1112 I Street, Suite 380</w:t>
      </w:r>
    </w:p>
    <w:p>
      <w:pPr>
        <w:pStyle w:val="Normal"/>
        <w:keepLines/>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Sacramento, CA  95814</w:t>
        <w:tab/>
        <w:tab/>
        <w:tab/>
        <w:t>Sacramento, CA  95814</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(916) 447-2166</w:t>
        <w:tab/>
        <w:tab/>
        <w:tab/>
        <w:tab/>
        <w:t>(916) 448-9499</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(916) 447-3512 (fax)</w:t>
        <w:tab/>
        <w:tab/>
        <w:tab/>
        <w:tab/>
        <w:t>(916) 448-0182 (fax)</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tab/>
        <w:t xml:space="preserve">abb@eslawfirm.com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ind w:hanging="5040" w:start="5040" w:end="0"/>
        <w:rPr/>
      </w:pPr>
      <w:r>
        <w:rPr/>
      </w:r>
    </w:p>
    <w:p>
      <w:pPr>
        <w:pStyle w:val="Normal"/>
        <w:spacing w:lineRule="auto" w:line="480"/>
        <w:rPr/>
      </w:pPr>
      <w:r>
        <w:rPr/>
        <w:tab/>
        <w:t>IEP is a nonprofit trade association representing the interests of electric generators and certified independent power marketers in California.  The majority of IEP’s membership consists of the owners and operators of exempt wholesale generators and qualifying facility projects using cogeneration, solar-thermal, wind, biomass and geothermal technologies, as well as the purchasers of fossil facilities voluntarily divested by the California investor-owned public utilities.  Some of this supply resources are bid into the California Power Exchange (“CalPX”) markets by the large investor-owned utilities (“IOUs”) while others participate directly in various markets throughout the western region.  IEP’s membership collectively owns and operates more than 20,000 MW of installed generating capacity participating in California’s competitive markets, and many are actively pursuing new project developments.  Other members, consisting of power marketers, consultants and law firms, provide support services for the industry.</w:t>
      </w:r>
    </w:p>
    <w:p>
      <w:pPr>
        <w:pStyle w:val="Normal"/>
        <w:spacing w:lineRule="auto" w:line="480"/>
        <w:rPr/>
      </w:pPr>
      <w:r>
        <w:rPr/>
        <w:tab/>
        <w:t>As the entities directly and actively participating in California’s restructured wholesale electric markets, IEP’s membership has an immediate and substantial interest in the instant proceedings.  The facilities of IEP’s members are located throughout California, and they currently use, or will use, the CAISO Controlled Grid for the transportation of power, the provision and purchase of related ancillary services and imbalance energy within the competitive California markets.  IEP’s membership compete in the CAISO, CalPX and/or other bilateral markets and exchanges for energy and ancillary services.  To this end all issues involving the status of market-based rate authority granted by the Commission are of vital concern to IEP’s membership. Given these interests, no other party can adequately represent IEP’s interests in this case.  Therefore, IEP requests that the Commission grant this motion and make IEP a party to the above-captioned proceedings for all purposes.</w:t>
      </w:r>
    </w:p>
    <w:p>
      <w:pPr>
        <w:pStyle w:val="Heading1"/>
        <w:rPr/>
      </w:pPr>
      <w:r>
        <w:rPr/>
        <w:t>Discussion</w:t>
      </w:r>
    </w:p>
    <w:p>
      <w:pPr>
        <w:pStyle w:val="Normal"/>
        <w:spacing w:lineRule="auto" w:line="480"/>
        <w:ind w:firstLine="710" w:end="0"/>
        <w:rPr/>
      </w:pPr>
      <w:r>
        <w:rPr/>
        <w:t>EOB’s Complaint is nothing more than a “piling on” to SDG&amp;E’s own efforts some 27 days later.  The scope of this Commission’s investigation and the consolidated complaint case, as articulated in the August 23 Order, was already more than sufficient to cover the very issues raised in the subsequent EOB Complaint.</w:t>
      </w:r>
      <w:r>
        <w:rPr>
          <w:rStyle w:val="FootnoteCharacters"/>
          <w:rStyle w:val="FootnoteReference"/>
        </w:rPr>
        <w:footnoteReference w:id="2"/>
      </w:r>
      <w:r>
        <w:rPr/>
        <w:t xml:space="preserve">  While IEP recognizes from the EOB’s Complaint a desire to establish an expanded regulatory role over the CalPX and CAISO, we fail to see how this complaint moves California generally, and this Commission in particular, closer to the identification of potential solutions to the market design issues currently under investigation.   The EOB should voluntarily move to withdraw its Complaint in recognition of the fact that there are already a multitude of efforts and investigations already well underway examining the California wholesale and retail marketplace, that it is an active participant in those processes, and that its Complaint is utterly superfluous.  Alternatively, we would urge this Commission to dismiss the EOB Complaint as moot given its August 23 Order and the scope of the various state and federal investigations currently pending.</w:t>
      </w:r>
    </w:p>
    <w:p>
      <w:pPr>
        <w:pStyle w:val="Normal"/>
        <w:spacing w:lineRule="auto" w:line="480"/>
        <w:ind w:firstLine="710" w:end="0"/>
        <w:rPr/>
      </w:pPr>
      <w:r>
        <w:rPr/>
        <w:t xml:space="preserve">Perhaps the most disconcerting element of the EOB’s Complaint is its undiluted bias.  Put simply, based upon its “preliminary investigation” the EOB appears to have concluded that </w:t>
      </w:r>
      <w:r>
        <w:rPr>
          <w:i/>
          <w:iCs/>
        </w:rPr>
        <w:t>only the supply side of the California Markets need to be investigated</w:t>
      </w:r>
      <w:r>
        <w:rPr/>
        <w:t xml:space="preserve">.  Supply alone a market does not make.  Any regulatory entity seeking to undertake a fair and reasonable assessment of the conditions of the marketplace </w:t>
      </w:r>
      <w:r>
        <w:rPr>
          <w:i/>
          <w:iCs/>
        </w:rPr>
        <w:t>must necessarily</w:t>
      </w:r>
      <w:r>
        <w:rPr/>
        <w:t xml:space="preserve"> look at the activities of </w:t>
      </w:r>
      <w:r>
        <w:rPr>
          <w:i/>
          <w:iCs/>
        </w:rPr>
        <w:t>all participants</w:t>
      </w:r>
      <w:r>
        <w:rPr/>
        <w:t xml:space="preserve">, including entities representing end-user loads.  The presence of high prices cannot be said to definitively indicate abuses of market power, which the EOB appears to imply.  As this Commission is well aware, generation must follow loads into the market as electricity is not storable and control areas must be kept in balance to avoid imposing detrimental impacts on others.  If the parties bidding demand into the CalPX’s forward markets choose to shape their bids in a manner which ensures that any supply over a particular price will not be called on a forward basis (such as the CalPX Day-Ahead market), they effectively move that demand into the CAISO’s realtime markets where it must ultimately be met by generation.  [cite to FERC hearing (need the transcript)/ Fluckinger at Congressional hearing?] Yet, unexplicably, the EOB has decided in its complaint to ignore at least half of this equation and to only target the participants on the supply-side.  </w:t>
      </w:r>
    </w:p>
    <w:p>
      <w:pPr>
        <w:pStyle w:val="Normal"/>
        <w:spacing w:lineRule="auto" w:line="480"/>
        <w:ind w:firstLine="710" w:end="0"/>
        <w:rPr/>
      </w:pPr>
      <w:r>
        <w:rPr/>
        <w:t xml:space="preserve">What the EOB also seeks by its Complaint is to ham-string the CAISO in term of its independent ability to discern the efficacy of its purchase price caps.  EOB Complaint at XX.  Moreover, much like its SDG&amp;E counterpart, the EOB Complaint challenges the Commission’s rationale as to the desirability to replace cost-of-service regulation with market forces by directly altering the basis upon which market-based rate authority.  In essence, the EOB Complaint argues that high wholesale costs during the peak season, particularly those that exceed some proxy for marginal production costs, are unsupportable as “just and reasonable.”   Presumably the EOB believes that private capital can somehow be attracted to California to construct the needed supply additions required to meet expanding demand in California and throughout the western region with price caps in place, but without countervailing price floors or other interventionist mechanisms.   This view is completely at odds with the rationales underpinning the Commission’s efforts at wholesale market development.  As the Commission is well aware, a number of parties, including the CAISO’s Chair of the Market Surveillance Committee </w:t>
      </w:r>
      <w:r>
        <w:rPr>
          <w:b/>
          <w:bCs/>
        </w:rPr>
        <w:t>[check this and comment re EOB’s citations to Wolak]</w:t>
      </w:r>
      <w:r>
        <w:rPr/>
        <w:t xml:space="preserve">, have shown that the very price caps the EOB seeks to require CAISO to keep in place have increased average prices.  </w:t>
      </w:r>
      <w:r>
        <w:rPr>
          <w:b/>
          <w:bCs/>
        </w:rPr>
        <w:t xml:space="preserve">[need cite here; MSC report.]  </w:t>
      </w:r>
      <w:r>
        <w:rPr/>
        <w:t>Hence the “solution” the EOB vigorously embraces—capped prices in the major California markets—coupled with frozen retail rates, is more likely to perpetuate the problems now seen in this State in terms of insufficient regional supply and lack of demand responsiveness.  [MSC cite?]</w:t>
      </w:r>
    </w:p>
    <w:p>
      <w:pPr>
        <w:pStyle w:val="Normal"/>
        <w:spacing w:lineRule="auto" w:line="480"/>
        <w:rPr/>
      </w:pPr>
      <w:r>
        <w:rPr>
          <w:b/>
          <w:bCs/>
        </w:rPr>
        <w:t>III.</w:t>
        <w:tab/>
      </w:r>
      <w:r>
        <w:rPr>
          <w:b/>
          <w:bCs/>
          <w:u w:val="single"/>
        </w:rPr>
        <w:t>Conclusion</w:t>
      </w:r>
    </w:p>
    <w:p>
      <w:pPr>
        <w:pStyle w:val="BodyTextIndent"/>
        <w:rPr/>
      </w:pPr>
      <w:r>
        <w:rPr/>
        <w:t>IEP respectfully requests that the Commission grant its motion to intervene.  We also suggest that the EOB voluntarily withdraw its Complaint given its superfluous nature, particularly in light of the expedited efforts currently underway in Dockets EL00-95 and EL00-98.   Should EOB not withdraw the Complaint, the Commission should dismiss it as moot because the issues raised therein are already within the scope of the consolidated proceedings before this Commission as well as other active duplicate investigations.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ind w:hanging="2160" w:start="2160" w:end="0"/>
        <w:jc w:val="both"/>
        <w:rPr/>
      </w:pPr>
      <w:r>
        <w:rPr/>
        <w:t>Dated:  September 18, 2000</w:t>
        <w:tab/>
        <w:tab/>
        <w:tab/>
        <w:t>Respectfully submitted,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tLeast" w:line="480"/>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spacing w:lineRule="atLeast" w:line="480"/>
        <w:rPr/>
      </w:pPr>
      <w:r>
        <w:rPr/>
        <w:tab/>
        <w:tab/>
        <w:tab/>
        <w:tab/>
        <w:tab/>
        <w:tab/>
        <w:t>By ________________________________</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ab/>
        <w:tab/>
        <w:tab/>
        <w:tab/>
        <w:tab/>
        <w:tab/>
        <w:t>Douglas K. Kerner, of Counsel</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3600" w:start="3600" w:end="0"/>
        <w:rPr/>
      </w:pPr>
      <w:r>
        <w:rPr/>
        <w:tab/>
        <w:tab/>
        <w:tab/>
        <w:tab/>
        <w:tab/>
        <w:tab/>
        <w:t>Andrew B. Brown</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ELLISON, SCHNEIDER &amp; HARRIS, LLP</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2015 H Street</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Sacramento, CA  95814-3109</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tab/>
        <w:tab/>
        <w:tab/>
        <w:tab/>
        <w:tab/>
        <w:tab/>
        <w:t>Telephone:  (916) 447-2166</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hanging="4320" w:start="4320" w:end="0"/>
        <w:rPr/>
      </w:pPr>
      <w:r>
        <w:rPr/>
        <w:tab/>
        <w:tab/>
        <w:tab/>
        <w:tab/>
        <w:tab/>
        <w:tab/>
        <w:t>Email: abb@eslawfirm.com</w:t>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t>Attorneys for the Independent Energy Producers Association</w:t>
      </w:r>
      <w:r>
        <w:br w:type="page"/>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pBdr>
          <w:bottom w:val="dotted" w:sz="24" w:space="1" w:color="000000"/>
        </w:pBd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rPr/>
      </w:pPr>
      <w:r>
        <w:rPr/>
      </w:r>
    </w:p>
    <w:p>
      <w:pPr>
        <w:pStyle w:val="Normal"/>
        <w:keepNext w:val="true"/>
        <w:keepLines/>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center" w:pos="7200" w:leader="none"/>
        </w:tabs>
        <w:ind w:start="4320" w:end="0"/>
        <w:rPr/>
      </w:pPr>
      <w:r>
        <w:rPr/>
      </w:r>
    </w:p>
    <w:p>
      <w:pPr>
        <w:pStyle w:val="Normal"/>
        <w:jc w:val="center"/>
        <w:rPr>
          <w:b/>
        </w:rPr>
      </w:pPr>
      <w:r>
        <w:rPr>
          <w:b/>
        </w:rPr>
        <w:t>CERTIFICATE OF SERVICE</w:t>
      </w:r>
    </w:p>
    <w:p>
      <w:pPr>
        <w:pStyle w:val="Normal"/>
        <w:jc w:val="center"/>
        <w:rPr>
          <w:b/>
        </w:rPr>
      </w:pPr>
      <w:r>
        <w:rPr>
          <w:b/>
        </w:rPr>
      </w:r>
    </w:p>
    <w:p>
      <w:pPr>
        <w:pStyle w:val="Normal"/>
        <w:spacing w:lineRule="auto" w:line="360"/>
        <w:rPr/>
      </w:pPr>
      <w:r>
        <w:rPr/>
        <w:tab/>
        <w:t>I hereby certify that I have this day served the foregoing document upon each party designated on the official service list Compiled by the Secretary in this proceeding.</w:t>
      </w:r>
    </w:p>
    <w:p>
      <w:pPr>
        <w:pStyle w:val="Normal"/>
        <w:spacing w:lineRule="auto" w:line="360"/>
        <w:rPr/>
      </w:pPr>
      <w:r>
        <w:rPr/>
        <w:tab/>
        <w:t>Dated at Sacramento, California, this 18th day of September, 2000.</w:t>
      </w:r>
    </w:p>
    <w:p>
      <w:pPr>
        <w:pStyle w:val="Normal"/>
        <w:spacing w:lineRule="auto" w:line="360"/>
        <w:rPr/>
      </w:pPr>
      <w:r>
        <w:rPr/>
      </w:r>
    </w:p>
    <w:p>
      <w:pPr>
        <w:pStyle w:val="footnotetex"/>
        <w:spacing w:lineRule="auto" w:line="360"/>
        <w:rPr>
          <w:rFonts w:ascii="Times New Roman" w:hAnsi="Times New Roman" w:cs="Times New Roman"/>
        </w:rPr>
      </w:pPr>
      <w:r>
        <w:rPr>
          <w:rFonts w:cs="Times New Roman" w:ascii="Times New Roman" w:hAnsi="Times New Roman"/>
        </w:rPr>
      </w:r>
    </w:p>
    <w:p>
      <w:pPr>
        <w:pStyle w:val="Normal"/>
        <w:rPr>
          <w:u w:val="single"/>
        </w:rPr>
      </w:pPr>
      <w:r>
        <w:rPr/>
        <w:tab/>
        <w:tab/>
        <w:tab/>
        <w:tab/>
        <w:tab/>
        <w:tab/>
        <w:t>___________________________________</w:t>
      </w:r>
    </w:p>
    <w:p>
      <w:pPr>
        <w:pStyle w:val="Normal"/>
        <w:rPr/>
      </w:pPr>
      <w:r>
        <w:rPr/>
        <w:tab/>
        <w:tab/>
        <w:tab/>
        <w:tab/>
        <w:tab/>
        <w:tab/>
        <w:tab/>
        <w:tab/>
        <w:t>Ron O’Connor</w:t>
      </w:r>
    </w:p>
    <w:p>
      <w:pPr>
        <w:pStyle w:val="Normal"/>
        <w:spacing w:lineRule="auto" w:line="360"/>
        <w:rPr/>
      </w:pPr>
      <w:r>
        <w:rPr/>
      </w:r>
    </w:p>
    <w:p>
      <w:pPr>
        <w:pStyle w:val="Normal"/>
        <w:spacing w:lineRule="auto" w:line="360"/>
        <w:rPr/>
      </w:pPr>
      <w:r>
        <w:rPr/>
      </w:r>
    </w:p>
    <w:p>
      <w:pPr>
        <w:pStyle w:val="Normal"/>
        <w:spacing w:lineRule="auto" w:line="360"/>
        <w:rPr>
          <w:sz w:val="16"/>
        </w:rPr>
      </w:pPr>
      <w:r>
        <w:rPr>
          <w:sz w:val="16"/>
        </w:rPr>
        <w:fldChar w:fldCharType="begin"/>
      </w:r>
      <w:r>
        <w:rPr>
          <w:sz w:val="16"/>
        </w:rPr>
        <w:instrText xml:space="preserve"> FILENAME \p </w:instrText>
      </w:r>
      <w:r>
        <w:rPr>
          <w:sz w:val="16"/>
        </w:rPr>
        <w:fldChar w:fldCharType="separate"/>
      </w:r>
      <w:r>
        <w:rPr>
          <w:sz w:val="16"/>
        </w:rPr>
        <w:t>/mnt/main-storage/datasets/enron-docs/doc/000918_IEP_Mo_Interv_EL00_104.doc</w:t>
      </w:r>
      <w:r>
        <w:rPr>
          <w:sz w:val="16"/>
        </w:rPr>
        <w:fldChar w:fldCharType="end"/>
      </w:r>
    </w:p>
    <w:sectPr>
      <w:footerReference w:type="default" r:id="rId2"/>
      <w:footnotePr>
        <w:numFmt w:val="decimal"/>
      </w:footnotePr>
      <w:type w:val="nextPage"/>
      <w:pgSz w:w="12240" w:h="15840"/>
      <w:pgMar w:left="1440" w:right="1440" w:gutter="0" w:header="0" w:top="1440" w:footer="720" w:bottom="1350"/>
      <w:pgNumType w:fmt="decimal"/>
      <w:formProt w:val="false"/>
      <w:textDirection w:val="lrTb"/>
      <w:docGrid w:type="default" w:linePitch="9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Order Initiating Hearing Proceedings To Investigate Justness And Reasonableness Of Rates Of Public Utility Sellers In California ISO And PX Markets And To Investigate ISO And PX Tariffs, Contracts, Institutional Structures And Bylaws; And Providing Further Guidance To California Entities, 92 FERC ¶61,172 (August 2000).</w:t>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upperRoman"/>
      <w:lvlText w:val="%1."/>
      <w:lvlJc w:val="start"/>
      <w:pPr>
        <w:tabs>
          <w:tab w:val="num" w:pos="1080"/>
        </w:tabs>
        <w:ind w:start="1080" w:hanging="720"/>
      </w:pPr>
      <w:rPr>
        <w:u w:val="none"/>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710" w:leader="none"/>
      </w:tabs>
      <w:spacing w:lineRule="auto" w:line="480"/>
      <w:ind w:hanging="0" w:start="710" w:end="0"/>
      <w:outlineLvl w:val="0"/>
    </w:pPr>
    <w:rPr>
      <w:b/>
      <w:bCs/>
      <w:u w:val="single"/>
    </w:rPr>
  </w:style>
  <w:style w:type="character" w:styleId="WW8Num1z0">
    <w:name w:val="WW8Num1z0"/>
    <w:qFormat/>
    <w:rPr>
      <w:u w:val="non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480"/>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footnotetex">
    <w:name w:val="footnote tex"/>
    <w:qFormat/>
    <w:pPr>
      <w:widowControl w:val="false"/>
      <w:autoSpaceDE w:val="false"/>
      <w:bidi w:val="0"/>
    </w:pPr>
    <w:rPr>
      <w:rFonts w:ascii="Courier" w:hAnsi="Courier" w:eastAsia="Times New Roman" w:cs="Courier"/>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doubleindent">
    <w:name w:val="double indent"/>
    <w:basedOn w:val="BodyTextIndent"/>
    <w:qFormat/>
    <w:pPr>
      <w:spacing w:lineRule="auto" w:line="240"/>
      <w:ind w:hanging="0" w:start="710" w:end="769"/>
    </w:pPr>
    <w:rPr>
      <w:szCs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2000-09-13T14:21:00Z</dcterms:created>
  <dc:creator>Andrew Brown</dc:creator>
  <dc:description/>
  <dc:language>en-CA</dc:language>
  <cp:lastModifiedBy>Andrew Brown</cp:lastModifiedBy>
  <cp:lastPrinted>2000-09-14T09:21:00Z</cp:lastPrinted>
  <dcterms:modified xsi:type="dcterms:W3CDTF">2000-09-14T14:35:00Z</dcterms:modified>
  <cp:revision>11</cp:revision>
  <dc:subject/>
  <dc:title>UNITED STATES OF AMERICA</dc:title>
</cp:coreProperties>
</file>