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tabs>
          <w:tab w:val="left" w:pos="720" w:leader="none"/>
          <w:tab w:val="left" w:pos="1440" w:leader="none"/>
        </w:tabs>
        <w:ind w:hanging="1440" w:start="1440" w:end="0"/>
        <w:rPr/>
      </w:pPr>
      <w:r>
        <w:rPr/>
        <w:t>TO:</w:t>
        <w:tab/>
        <w:tab/>
        <w:t xml:space="preserve">Jan Smutny-Jones, </w:t>
      </w:r>
    </w:p>
    <w:p>
      <w:pPr>
        <w:pStyle w:val="Normal"/>
        <w:tabs>
          <w:tab w:val="left" w:pos="720" w:leader="none"/>
          <w:tab w:val="left" w:pos="1440" w:leader="none"/>
        </w:tabs>
        <w:ind w:hanging="1440" w:start="1440" w:end="0"/>
        <w:rPr/>
      </w:pPr>
      <w:r>
        <w:rPr/>
        <w:tab/>
        <w:tab/>
        <w:t>Steven Kelly</w:t>
      </w:r>
    </w:p>
    <w:p>
      <w:pPr>
        <w:pStyle w:val="Normal"/>
        <w:tabs>
          <w:tab w:val="left" w:pos="720" w:leader="none"/>
          <w:tab w:val="left" w:pos="1440" w:leader="none"/>
        </w:tabs>
        <w:ind w:hanging="1440" w:start="1440" w:end="0"/>
        <w:rPr/>
      </w:pPr>
      <w:r>
        <w:rPr/>
      </w:r>
    </w:p>
    <w:p>
      <w:pPr>
        <w:pStyle w:val="Normal"/>
        <w:tabs>
          <w:tab w:val="left" w:pos="720" w:leader="none"/>
          <w:tab w:val="left" w:pos="1440" w:leader="none"/>
        </w:tabs>
        <w:ind w:hanging="1440" w:start="1440" w:end="0"/>
        <w:rPr/>
      </w:pPr>
      <w:r>
        <w:rPr/>
        <w:tab/>
        <w:t>cc:</w:t>
        <w:tab/>
        <w:t>Doug Kerner</w:t>
      </w:r>
    </w:p>
    <w:p>
      <w:pPr>
        <w:pStyle w:val="Normal"/>
        <w:rPr/>
      </w:pPr>
      <w:r>
        <w:rPr/>
      </w:r>
    </w:p>
    <w:p>
      <w:pPr>
        <w:pStyle w:val="Normal"/>
        <w:tabs>
          <w:tab w:val="left" w:pos="720" w:leader="none"/>
          <w:tab w:val="left" w:pos="1440" w:leader="none"/>
        </w:tabs>
        <w:ind w:hanging="1440" w:start="1440" w:end="0"/>
        <w:rPr/>
      </w:pPr>
      <w:r>
        <w:rPr/>
        <w:t>FROM:</w:t>
        <w:tab/>
        <w:t>Andy Brown and Greg Maxim</w:t>
      </w:r>
    </w:p>
    <w:p>
      <w:pPr>
        <w:pStyle w:val="Normal"/>
        <w:rPr/>
      </w:pPr>
      <w:r>
        <w:rPr/>
      </w:r>
    </w:p>
    <w:p>
      <w:pPr>
        <w:pStyle w:val="Normal"/>
        <w:tabs>
          <w:tab w:val="left" w:pos="720" w:leader="none"/>
          <w:tab w:val="left" w:pos="1440" w:leader="none"/>
        </w:tabs>
        <w:ind w:hanging="1440" w:start="1440" w:end="0"/>
        <w:rPr/>
      </w:pPr>
      <w:r>
        <w:rPr/>
        <w:t>RE:</w:t>
        <w:tab/>
        <w:tab/>
        <w:t>Summary of California Electricity Oversight Board’s FERC Bid Cap Complaint (EL00-104-000) and CalPX’s Proposed Tariff Amendment.</w:t>
      </w:r>
    </w:p>
    <w:p>
      <w:pPr>
        <w:pStyle w:val="Normal"/>
        <w:rPr/>
      </w:pPr>
      <w:r>
        <w:rPr/>
      </w:r>
    </w:p>
    <w:p>
      <w:pPr>
        <w:pStyle w:val="Normal"/>
        <w:rPr/>
      </w:pPr>
      <w:r>
        <w:rPr/>
        <w:t>DATE:</w:t>
        <w:tab/>
        <w:tab/>
        <w:t>August 31, 2000</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BodyTextIndent"/>
        <w:rPr>
          <w:sz w:val="24"/>
        </w:rPr>
      </w:pPr>
      <w:r>
        <w:rPr>
          <w:sz w:val="24"/>
        </w:rPr>
        <w:t xml:space="preserve">The purpose of this memorandum is to summarize two recent Federal Energy Regulatory Commission (“FERC” or “Commission”) filings of interest to IEP’s members.  The first filing is a complaint filed the California Electricity Oversight Board’s (“EOB”) on August 29, 2000.  This complaint reiterates arguments previously filed by San Diego Gas &amp; Electric (“SDG&amp;E”), and requests that the California Independent System Operator (“CAISO”) impose “bid caps” at a level no greater than $250 per MWh for energy and ancillary services products ($100/MWh for Replacement Reserves).  The second filing is a proposed CalPX tariff amendment that imposes a $350/MWh maximum price for its Day-Ahead and Day-of Markets.  This market cap would automatically terminate when the CAISO no longer imposes price caps in its markets.  Additionally, CalPX requests the authority to change the maximum price in response to actions by CAISO or the market, without the need of an additional FERC filing.  </w:t>
      </w:r>
    </w:p>
    <w:p>
      <w:pPr>
        <w:pStyle w:val="BodyTextIndent"/>
        <w:rPr>
          <w:sz w:val="24"/>
        </w:rPr>
      </w:pPr>
      <w:r>
        <w:rPr>
          <w:sz w:val="24"/>
        </w:rPr>
        <w:t>IEP intervened in opposition to the SDG&amp;E complaint, raising substantive arguments against caps on sellers’ bids.  Similar issues arise in the context of this two dockets.  We would suggest, at a minimum, filing interventions in both the EOB and CalPX dockets.  Substantive comments in opposition could also be filed if desired by the membership.  Interventions and/or protests are due on the CalPX filing by September 12, and for the EOB filing by September 18.  Please contact us at your earliest convenience to advise how to proceed.</w:t>
      </w:r>
    </w:p>
    <w:p>
      <w:pPr>
        <w:pStyle w:val="BodyTextIndent"/>
        <w:spacing w:lineRule="auto" w:line="336"/>
        <w:ind w:hanging="0" w:end="0"/>
        <w:rPr>
          <w:b/>
          <w:i/>
          <w:i/>
          <w:sz w:val="24"/>
        </w:rPr>
      </w:pPr>
      <w:r>
        <w:rPr>
          <w:b/>
          <w:i/>
          <w:sz w:val="24"/>
        </w:rPr>
        <w:t>Electricity Oversight Board Complaint (EL00-104)</w:t>
      </w:r>
    </w:p>
    <w:p>
      <w:pPr>
        <w:pStyle w:val="BodyTextIndent2"/>
        <w:rPr/>
      </w:pPr>
      <w:r>
        <w:rPr/>
        <w:t>In its complaint, the EOB asks that FERC find that the wholesale markets in California are not currently workably competitive and that the Commission should take action necessary to ensure that wholesale prices for energy and ancillary services are just and reasonable.  In addition to any other interim or long-term relief that the Commission may deem reasonable, the EOB requests that the Commission direct the CAISO to maintain bid caps at a level no greater than $250 per MWh for energy and ancillary services products, and $100 for Replacement Reserves, until the Commission has completed its investigation of California markets and any necessary reforms are implanted to make the markets operated by the CAISO and CalPX workably competitive.  Additionally, the EOB requests that its complaint be consolidated with Dockets EL00-95-000 (SDG&amp;E’s complaint) and EL00-98-000 (the Commission’s own action investigating California’s market).</w:t>
      </w:r>
    </w:p>
    <w:p>
      <w:pPr>
        <w:pStyle w:val="Normal"/>
        <w:spacing w:lineRule="auto" w:line="360"/>
        <w:ind w:firstLine="720" w:end="0"/>
        <w:rPr/>
      </w:pPr>
      <w:r>
        <w:rPr/>
        <w:t xml:space="preserve">The EOB states that its complaint is based upon its investigation that indicates Sellers and Scheduling Coordinators have and exercise market power commanding prices far above rates that would be determined by cost-of-service ratemaking or prices voluntarily agreed to by buyers and sellers in a workably competitive market.  The EOB makes arguments that are very similar to those found in the SDG&amp;E complaint.  It is not entirely clear whether EOB is seeking the imposition of a </w:t>
      </w:r>
      <w:r>
        <w:rPr>
          <w:i/>
          <w:iCs/>
        </w:rPr>
        <w:t>sellers’</w:t>
      </w:r>
      <w:r>
        <w:rPr/>
        <w:t xml:space="preserve"> cap, attempting to established conditions on CAISO’s </w:t>
      </w:r>
      <w:r>
        <w:rPr>
          <w:i/>
          <w:iCs/>
        </w:rPr>
        <w:t>purchasers’</w:t>
      </w:r>
      <w:r>
        <w:rPr/>
        <w:t xml:space="preserve"> cap.  The filing, however, is primarily symbolic given the consolidated FERC investigation and SDG&amp;E complaint.  </w:t>
      </w:r>
    </w:p>
    <w:p>
      <w:pPr>
        <w:pStyle w:val="Heading2"/>
        <w:ind w:hanging="0" w:start="0"/>
        <w:rPr/>
      </w:pPr>
      <w:r>
        <w:rPr/>
        <w:t>California Power Exchange (ER00-3461)</w:t>
      </w:r>
    </w:p>
    <w:p>
      <w:pPr>
        <w:pStyle w:val="BodyTextIndent2"/>
        <w:rPr/>
      </w:pPr>
      <w:r>
        <w:rPr/>
        <w:t>On August 22, 2000, CalPX filed with the Commission its Tariff Amendment No. 19 which would impose a maximum price in its forward energy markets of $350/MWh, which would automatically terminate when CAISO’s price caps end.  While the maximum prices are in effect, CalPX Board of Governors would have the authority to change the maximum price in response to actions by CAISO or the market, without making a further filing with the Commission.</w:t>
      </w:r>
    </w:p>
    <w:p>
      <w:pPr>
        <w:pStyle w:val="BodyTextIndent2"/>
        <w:rPr/>
      </w:pPr>
      <w:r>
        <w:rPr/>
        <w:t>CalPX states that its initial price limit of $350/MWh represents the sum of the $250/MWh price limitation on CAISO purchases of Imbalance Energy plus the $100/MW that CAISO pays for Replacement Reserves.  CalPX asserts that the establishment of maximum price limits will have the consequence of mitigating any potential significant supply migrations from the CalPX Day-Ahead and Day-Of markets into the CAISO markets.  Further, CalPX argues that any loss of supply volumes from its forward energy markets (the Day-Ahead and Day-Of markets) would diminish the depth, liquidity and price transparency that has made CalPX’s forward markets successful.  The premise of the CalPX filing is that the pricing limitations should minimize the migration of market activity into the CAISO realtime markets.</w:t>
      </w:r>
    </w:p>
    <w:p>
      <w:pPr>
        <w:pStyle w:val="Heading2"/>
        <w:ind w:hanging="0" w:start="0"/>
        <w:rPr/>
      </w:pPr>
      <w:r>
        <w:rPr/>
        <w:t>Conclusion</w:t>
      </w:r>
    </w:p>
    <w:p>
      <w:pPr>
        <w:pStyle w:val="Normal"/>
        <w:spacing w:lineRule="auto" w:line="360"/>
        <w:rPr/>
      </w:pPr>
      <w:r>
        <w:rPr/>
        <w:tab/>
        <w:t>At a minimum, IEP should intervene in the cases to obtain party status.  It can be anticipated that the EOB complaint will be rolled into the existing SDG&amp;E complaint and FERC investigation.  IEP raised substantive comments in opposition to the seller price caps suggested in the SDG&amp;E Complaint.  Many of those arguments could be reiterated in opposition to the EOB filing, with additional updates to reflect new information (e.g., additional increases in gas rates and subsequent statements from CAISO and CalPX).  Such a filing would maintain IEP’s visibility in defense of the generation industry.  Substantive comments in opposition to the CalPX price cap could also be made on similar grounds, including recent information that suggests that such limitations on the market will increase market uncertainty and divert capital from needed supply projects.</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/mnt/main-storage/datasets/enron-docs/doc/000901_IEP_memo_re_EOB_CalPX_FERC.doc</w:t>
      </w:r>
      <w:r>
        <w:rPr>
          <w:sz w:val="16"/>
        </w:rPr>
        <w:fldChar w:fldCharType="end"/>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3"/>
      <w:rPr/>
    </w:pPr>
    <w:r>
      <w:rPr/>
      <w:t>Summary of EOB Complaint and CalPX’s Proposed Tariff Amendment</w:t>
      <w:tab/>
      <w:tab/>
      <w:t>Page</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Normal"/>
      <w:rPr/>
    </w:pPr>
    <w:r>
      <w:rPr/>
      <w:t>August 31, 2000</w:t>
    </w:r>
  </w:p>
  <w:p>
    <w:pPr>
      <w:pStyle w:val="Normal"/>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rPr>
    </w:pPr>
    <w:r>
      <w:rPr>
        <w:smallCaps/>
        <w:color w:val="008080"/>
        <w:sz w:val="26"/>
      </w:rPr>
      <w:t>Ellison, Schneider &amp; Harris, L.L.P.</w:t>
    </w:r>
  </w:p>
  <w:p>
    <w:pPr>
      <w:pStyle w:val="Normal"/>
      <w:spacing w:lineRule="atLeast" w:line="312"/>
      <w:jc w:val="center"/>
      <w:rPr>
        <w:smallCaps/>
      </w:rPr>
    </w:pPr>
    <w:r>
      <w:rPr>
        <w:smallCaps/>
        <w:sz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mallCaps/>
      </w:rPr>
    </w:pPr>
    <w:r>
      <w:rPr>
        <w:smallCaps/>
      </w:rPr>
      <w:t>Telephone (916) 447-2166   Fax (916) 447-3512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i/>
      <w:iCs/>
      <w:u w:val="single"/>
    </w:rPr>
  </w:style>
  <w:style w:type="paragraph" w:styleId="Heading2">
    <w:name w:val="heading 2"/>
    <w:basedOn w:val="Normal"/>
    <w:next w:val="Normal"/>
    <w:qFormat/>
    <w:pPr>
      <w:keepNext w:val="true"/>
      <w:numPr>
        <w:ilvl w:val="1"/>
        <w:numId w:val="1"/>
      </w:numPr>
      <w:spacing w:lineRule="auto" w:line="336"/>
      <w:outlineLvl w:val="1"/>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sz w:val="20"/>
    </w:rPr>
  </w:style>
  <w:style w:type="paragraph" w:styleId="BodyTextIndent2">
    <w:name w:val="Body Text Indent 2"/>
    <w:basedOn w:val="Normal"/>
    <w:qFormat/>
    <w:pPr>
      <w:spacing w:lineRule="auto" w:line="360"/>
      <w:ind w:firstLine="720" w:start="0" w:end="0"/>
    </w:pPr>
    <w:rPr/>
  </w:style>
  <w:style w:type="paragraph" w:styleId="BodyTextIndent3">
    <w:name w:val="Body Text Indent 3"/>
    <w:basedOn w:val="Normal"/>
    <w:qFormat/>
    <w:pPr>
      <w:tabs>
        <w:tab w:val="left" w:pos="720" w:leader="none"/>
        <w:tab w:val="left" w:pos="1633" w:leader="none"/>
      </w:tabs>
      <w:ind w:hanging="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e&amp;s memo with e ltr head.dot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2000-09-01T21:29:00Z</dcterms:created>
  <dc:creator>Andrew Brown</dc:creator>
  <dc:description/>
  <dc:language>en-CA</dc:language>
  <cp:lastModifiedBy>Andrew Brown</cp:lastModifiedBy>
  <cp:lastPrinted>2000-09-01T17:00:00Z</cp:lastPrinted>
  <dcterms:modified xsi:type="dcterms:W3CDTF">2000-09-01T21:54:00Z</dcterms:modified>
  <cp:revision>6</cp:revision>
  <dc:subject/>
  <dc:title>memo re EOB and CalPX filings</dc:title>
</cp:coreProperties>
</file>