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5.xml" ContentType="application/vnd.openxmlformats-officedocument.wordprocessingml.footer+xml"/>
  <Override PartName="/word/media/image1.wmf" ContentType="image/x-wmf"/>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072" w:type="dxa"/>
        <w:jc w:val="center"/>
        <w:tblInd w:w="0" w:type="dxa"/>
        <w:tblLayout w:type="fixed"/>
        <w:tblCellMar>
          <w:top w:w="0" w:type="dxa"/>
          <w:start w:w="0" w:type="dxa"/>
          <w:bottom w:w="0" w:type="dxa"/>
          <w:end w:w="0" w:type="dxa"/>
        </w:tblCellMar>
      </w:tblPr>
      <w:tblGrid>
        <w:gridCol w:w="7035"/>
        <w:gridCol w:w="2037"/>
      </w:tblGrid>
      <w:tr>
        <w:trPr/>
        <w:tc>
          <w:tcPr>
            <w:tcW w:w="7035" w:type="dxa"/>
            <w:tcBorders/>
          </w:tcPr>
          <w:p>
            <w:pPr>
              <w:pStyle w:val="Body"/>
              <w:snapToGrid w:val="false"/>
              <w:spacing w:before="0" w:after="140"/>
              <w:rPr/>
            </w:pPr>
            <w:r>
              <w:rPr/>
            </w:r>
          </w:p>
        </w:tc>
        <w:tc>
          <w:tcPr>
            <w:tcW w:w="2037" w:type="dxa"/>
            <w:tcBorders/>
          </w:tcPr>
          <w:p>
            <w:pPr>
              <w:pStyle w:val="Normal"/>
              <w:snapToGrid w:val="false"/>
              <w:jc w:val="end"/>
              <w:rPr/>
            </w:pPr>
            <w:r>
              <w:rPr/>
            </w:r>
            <w:bookmarkStart w:id="0" w:name="bmkConformedCopy"/>
            <w:bookmarkStart w:id="1" w:name="bmkConformedCopy"/>
            <w:bookmarkEnd w:id="1"/>
          </w:p>
        </w:tc>
      </w:tr>
      <w:tr>
        <w:trPr>
          <w:trHeight w:val="960" w:hRule="exact"/>
        </w:trPr>
        <w:tc>
          <w:tcPr>
            <w:tcW w:w="9072" w:type="dxa"/>
            <w:gridSpan w:val="2"/>
            <w:tcBorders/>
            <w:vAlign w:val="bottom"/>
          </w:tcPr>
          <w:p>
            <w:pPr>
              <w:pStyle w:val="zFSDate1"/>
              <w:rPr/>
            </w:pPr>
            <w:bookmarkStart w:id="2" w:name="tbmk1"/>
            <w:r>
              <w:rPr/>
              <w:t>Dated</w:t>
            </w:r>
            <w:bookmarkEnd w:id="2"/>
            <w:r>
              <w:rPr/>
              <w:t xml:space="preserve">  </w:t>
            </w:r>
            <w:bookmarkStart w:id="3" w:name="bmkDate"/>
            <w:r>
              <w:rPr/>
              <w:t>[             ] 2000</w:t>
            </w:r>
            <w:bookmarkEnd w:id="3"/>
          </w:p>
        </w:tc>
      </w:tr>
      <w:tr>
        <w:trPr>
          <w:trHeight w:val="1080" w:hRule="exact"/>
        </w:trPr>
        <w:tc>
          <w:tcPr>
            <w:tcW w:w="9072" w:type="dxa"/>
            <w:gridSpan w:val="2"/>
            <w:tcBorders/>
            <w:vAlign w:val="bottom"/>
          </w:tcPr>
          <w:p>
            <w:pPr>
              <w:pStyle w:val="Normal"/>
              <w:tabs>
                <w:tab w:val="clear" w:pos="567"/>
                <w:tab w:val="right" w:pos="9356" w:leader="none"/>
              </w:tabs>
              <w:snapToGrid w:val="false"/>
              <w:jc w:val="center"/>
              <w:rPr>
                <w:sz w:val="24"/>
              </w:rPr>
            </w:pPr>
            <w:r>
              <w:rPr>
                <w:sz w:val="24"/>
              </w:rPr>
            </w:r>
            <w:r>
              <mc:AlternateContent>
                <mc:Choice Requires="wps">
                  <w:drawing>
                    <wp:anchor behindDoc="0" distT="0" distB="0" distL="114935" distR="114935" simplePos="0" locked="0" layoutInCell="0" allowOverlap="1" relativeHeight="3">
                      <wp:simplePos x="0" y="0"/>
                      <wp:positionH relativeFrom="page">
                        <wp:posOffset>713105</wp:posOffset>
                      </wp:positionH>
                      <wp:positionV relativeFrom="page">
                        <wp:posOffset>9050655</wp:posOffset>
                      </wp:positionV>
                      <wp:extent cx="6583680" cy="1281430"/>
                      <wp:effectExtent l="0" t="0" r="0" b="0"/>
                      <wp:wrapNone/>
                      <wp:docPr id="1" name="Frame1"/>
                      <a:graphic xmlns:a="http://schemas.openxmlformats.org/drawingml/2006/main">
                        <a:graphicData uri="http://schemas.microsoft.com/office/word/2010/wordprocessingShape">
                          <wps:wsp>
                            <wps:cNvSpPr txBox="1"/>
                            <wps:spPr>
                              <a:xfrm>
                                <a:off x="0" y="0"/>
                                <a:ext cx="6583680" cy="1281430"/>
                              </a:xfrm>
                              <a:prstGeom prst="rect"/>
                              <a:solidFill>
                                <a:srgbClr val="FFFFFF"/>
                              </a:solidFill>
                            </wps:spPr>
                            <wps:txbx>
                              <w:txbxContent>
                                <w:tbl>
                                  <w:tblPr>
                                    <w:tblW w:w="9599" w:type="dxa"/>
                                    <w:jc w:val="start"/>
                                    <w:tblInd w:w="284" w:type="dxa"/>
                                    <w:tblLayout w:type="fixed"/>
                                    <w:tblCellMar>
                                      <w:top w:w="0" w:type="dxa"/>
                                      <w:start w:w="0" w:type="dxa"/>
                                      <w:bottom w:w="0" w:type="dxa"/>
                                      <w:end w:w="0" w:type="dxa"/>
                                    </w:tblCellMar>
                                  </w:tblPr>
                                  <w:tblGrid>
                                    <w:gridCol w:w="5953"/>
                                    <w:gridCol w:w="3646"/>
                                  </w:tblGrid>
                                  <w:tr>
                                    <w:trPr>
                                      <w:trHeight w:val="600" w:hRule="atLeast"/>
                                    </w:trPr>
                                    <w:tc>
                                      <w:tcPr>
                                        <w:tcW w:w="5953" w:type="dxa"/>
                                        <w:tcBorders/>
                                      </w:tcPr>
                                      <w:p>
                                        <w:pPr>
                                          <w:pStyle w:val="zFSFooter"/>
                                          <w:snapToGrid w:val="false"/>
                                          <w:spacing w:before="0" w:after="0"/>
                                          <w:ind w:start="0" w:end="0"/>
                                          <w:rPr/>
                                        </w:pPr>
                                        <w:r>
                                          <w:rPr/>
                                        </w:r>
                                      </w:p>
                                    </w:tc>
                                    <w:tc>
                                      <w:tcPr>
                                        <w:tcW w:w="3646" w:type="dxa"/>
                                        <w:tcBorders/>
                                      </w:tcPr>
                                      <w:p>
                                        <w:pPr>
                                          <w:pStyle w:val="zFSFooter"/>
                                          <w:spacing w:before="0" w:after="0"/>
                                          <w:ind w:start="0" w:end="0"/>
                                          <w:rPr/>
                                        </w:pPr>
                                        <w:r>
                                          <w:rPr/>
                                          <w:t>LINKLATERS</w:t>
                                          <w:br/>
                                          <w:t>One Silk Street</w:t>
                                        </w:r>
                                      </w:p>
                                      <w:p>
                                        <w:pPr>
                                          <w:pStyle w:val="zFSFooter"/>
                                          <w:spacing w:before="0" w:after="0"/>
                                          <w:ind w:start="0" w:end="0"/>
                                          <w:rPr/>
                                        </w:pPr>
                                        <w:r>
                                          <w:rPr/>
                                          <w:t>London EC2Y 8HQ</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rHeight w:val="432" w:hRule="atLeast"/>
                                    </w:trPr>
                                    <w:tc>
                                      <w:tcPr>
                                        <w:tcW w:w="5953" w:type="dxa"/>
                                        <w:tcBorders/>
                                      </w:tcPr>
                                      <w:p>
                                        <w:pPr>
                                          <w:pStyle w:val="zFSFooter"/>
                                          <w:tabs>
                                            <w:tab w:val="clear" w:pos="6521"/>
                                            <w:tab w:val="left" w:pos="850" w:leader="none"/>
                                          </w:tabs>
                                          <w:snapToGrid w:val="false"/>
                                          <w:spacing w:before="0" w:after="0"/>
                                          <w:ind w:start="0" w:end="0"/>
                                          <w:rPr>
                                            <w:sz w:val="22"/>
                                          </w:rPr>
                                        </w:pPr>
                                        <w:r>
                                          <w:rPr>
                                            <w:sz w:val="22"/>
                                          </w:rPr>
                                        </w:r>
                                      </w:p>
                                    </w:tc>
                                    <w:tc>
                                      <w:tcPr>
                                        <w:tcW w:w="3646" w:type="dxa"/>
                                        <w:tcBorders/>
                                      </w:tcPr>
                                      <w:p>
                                        <w:pPr>
                                          <w:pStyle w:val="zFSFooter"/>
                                          <w:tabs>
                                            <w:tab w:val="clear" w:pos="6521"/>
                                            <w:tab w:val="left" w:pos="851" w:leader="none"/>
                                          </w:tabs>
                                          <w:spacing w:before="0" w:after="0"/>
                                          <w:ind w:start="0" w:end="0"/>
                                          <w:rPr/>
                                        </w:pPr>
                                        <w:r>
                                          <w:rPr/>
                                          <w:t>Telephone:</w:t>
                                          <w:tab/>
                                          <w:t>(44-20) 7456 2000</w:t>
                                          <w:br/>
                                          <w:t>Facsimile:</w:t>
                                          <w:tab/>
                                          <w:t>(44-20) 7456 2222</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pacing w:before="0" w:after="120"/>
                                          <w:ind w:start="0" w:end="0"/>
                                          <w:rPr/>
                                        </w:pPr>
                                        <w:r>
                                          <w:rPr/>
                                          <w:t>Ref:  HAP/ULEE</w:t>
                                        </w:r>
                                      </w:p>
                                    </w:tc>
                                  </w:tr>
                                </w:tbl>
                                <w:p>
                                  <w:pPr>
                                    <w:pStyle w:val="Normal"/>
                                    <w:rPr/>
                                  </w:pPr>
                                  <w:r>
                                    <w:rPr/>
                                  </w:r>
                                </w:p>
                              </w:txbxContent>
                            </wps:txbx>
                            <wps:bodyPr anchor="t" lIns="635" tIns="635" rIns="635" bIns="635">
                              <a:noAutofit/>
                            </wps:bodyPr>
                          </wps:wsp>
                        </a:graphicData>
                      </a:graphic>
                    </wp:anchor>
                  </w:drawing>
                </mc:Choice>
                <mc:Fallback>
                  <w:pict>
                    <v:rect fillcolor="#FFFFFF" style="position:absolute;rotation:-0;width:518.4pt;height:100.9pt;mso-wrap-distance-left:9.05pt;mso-wrap-distance-right:9.05pt;mso-wrap-distance-top:0pt;mso-wrap-distance-bottom:0pt;margin-top:712.65pt;mso-position-vertical-relative:page;margin-left:56.15pt;mso-position-horizontal-relative:page">
                      <v:textbox inset="0.000694444444444445in,0.000694444444444445in,0.000694444444444445in,0.000694444444444445in">
                        <w:txbxContent>
                          <w:tbl>
                            <w:tblPr>
                              <w:tblW w:w="9599" w:type="dxa"/>
                              <w:jc w:val="start"/>
                              <w:tblInd w:w="284" w:type="dxa"/>
                              <w:tblLayout w:type="fixed"/>
                              <w:tblCellMar>
                                <w:top w:w="0" w:type="dxa"/>
                                <w:start w:w="0" w:type="dxa"/>
                                <w:bottom w:w="0" w:type="dxa"/>
                                <w:end w:w="0" w:type="dxa"/>
                              </w:tblCellMar>
                            </w:tblPr>
                            <w:tblGrid>
                              <w:gridCol w:w="5953"/>
                              <w:gridCol w:w="3646"/>
                            </w:tblGrid>
                            <w:tr>
                              <w:trPr>
                                <w:trHeight w:val="600" w:hRule="atLeast"/>
                              </w:trPr>
                              <w:tc>
                                <w:tcPr>
                                  <w:tcW w:w="5953" w:type="dxa"/>
                                  <w:tcBorders/>
                                </w:tcPr>
                                <w:p>
                                  <w:pPr>
                                    <w:pStyle w:val="zFSFooter"/>
                                    <w:snapToGrid w:val="false"/>
                                    <w:spacing w:before="0" w:after="0"/>
                                    <w:ind w:start="0" w:end="0"/>
                                    <w:rPr/>
                                  </w:pPr>
                                  <w:r>
                                    <w:rPr/>
                                  </w:r>
                                </w:p>
                              </w:tc>
                              <w:tc>
                                <w:tcPr>
                                  <w:tcW w:w="3646" w:type="dxa"/>
                                  <w:tcBorders/>
                                </w:tcPr>
                                <w:p>
                                  <w:pPr>
                                    <w:pStyle w:val="zFSFooter"/>
                                    <w:spacing w:before="0" w:after="0"/>
                                    <w:ind w:start="0" w:end="0"/>
                                    <w:rPr/>
                                  </w:pPr>
                                  <w:r>
                                    <w:rPr/>
                                    <w:t>LINKLATERS</w:t>
                                    <w:br/>
                                    <w:t>One Silk Street</w:t>
                                  </w:r>
                                </w:p>
                                <w:p>
                                  <w:pPr>
                                    <w:pStyle w:val="zFSFooter"/>
                                    <w:spacing w:before="0" w:after="0"/>
                                    <w:ind w:start="0" w:end="0"/>
                                    <w:rPr/>
                                  </w:pPr>
                                  <w:r>
                                    <w:rPr/>
                                    <w:t>London EC2Y 8HQ</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rHeight w:val="432" w:hRule="atLeast"/>
                              </w:trPr>
                              <w:tc>
                                <w:tcPr>
                                  <w:tcW w:w="5953" w:type="dxa"/>
                                  <w:tcBorders/>
                                </w:tcPr>
                                <w:p>
                                  <w:pPr>
                                    <w:pStyle w:val="zFSFooter"/>
                                    <w:tabs>
                                      <w:tab w:val="clear" w:pos="6521"/>
                                      <w:tab w:val="left" w:pos="850" w:leader="none"/>
                                    </w:tabs>
                                    <w:snapToGrid w:val="false"/>
                                    <w:spacing w:before="0" w:after="0"/>
                                    <w:ind w:start="0" w:end="0"/>
                                    <w:rPr>
                                      <w:sz w:val="22"/>
                                    </w:rPr>
                                  </w:pPr>
                                  <w:r>
                                    <w:rPr>
                                      <w:sz w:val="22"/>
                                    </w:rPr>
                                  </w:r>
                                </w:p>
                              </w:tc>
                              <w:tc>
                                <w:tcPr>
                                  <w:tcW w:w="3646" w:type="dxa"/>
                                  <w:tcBorders/>
                                </w:tcPr>
                                <w:p>
                                  <w:pPr>
                                    <w:pStyle w:val="zFSFooter"/>
                                    <w:tabs>
                                      <w:tab w:val="clear" w:pos="6521"/>
                                      <w:tab w:val="left" w:pos="851" w:leader="none"/>
                                    </w:tabs>
                                    <w:spacing w:before="0" w:after="0"/>
                                    <w:ind w:start="0" w:end="0"/>
                                    <w:rPr/>
                                  </w:pPr>
                                  <w:r>
                                    <w:rPr/>
                                    <w:t>Telephone:</w:t>
                                    <w:tab/>
                                    <w:t>(44-20) 7456 2000</w:t>
                                    <w:br/>
                                    <w:t>Facsimile:</w:t>
                                    <w:tab/>
                                    <w:t>(44-20) 7456 2222</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pacing w:before="0" w:after="120"/>
                                    <w:ind w:start="0" w:end="0"/>
                                    <w:rPr/>
                                  </w:pPr>
                                  <w:r>
                                    <w:rPr/>
                                    <w:t>Ref:  HAP/ULEE</w:t>
                                  </w:r>
                                </w:p>
                              </w:tc>
                            </w:tr>
                          </w:tbl>
                          <w:p>
                            <w:pPr>
                              <w:pStyle w:val="Normal"/>
                              <w:rPr/>
                            </w:pPr>
                            <w:r>
                              <w:rPr/>
                            </w:r>
                          </w:p>
                        </w:txbxContent>
                      </v:textbox>
                      <w10:wrap type="none"/>
                    </v:rect>
                  </w:pict>
                </mc:Fallback>
              </mc:AlternateContent>
            </w:r>
          </w:p>
        </w:tc>
      </w:tr>
      <w:tr>
        <w:trPr>
          <w:trHeight w:val="9100" w:hRule="exact"/>
        </w:trPr>
        <w:tc>
          <w:tcPr>
            <w:tcW w:w="9072" w:type="dxa"/>
            <w:gridSpan w:val="2"/>
            <w:tcBorders/>
          </w:tcPr>
          <w:p>
            <w:pPr>
              <w:pStyle w:val="zFSco-names"/>
              <w:rPr/>
            </w:pPr>
            <w:bookmarkStart w:id="4" w:name="bmkCompanyNames"/>
            <w:bookmarkEnd w:id="4"/>
            <w:r>
              <mc:AlternateContent>
                <mc:Choice Requires="wps">
                  <w:drawing>
                    <wp:anchor behindDoc="0" distT="0" distB="0" distL="114935" distR="114935" simplePos="0" locked="0" layoutInCell="0" allowOverlap="1" relativeHeight="4">
                      <wp:simplePos x="0" y="0"/>
                      <wp:positionH relativeFrom="page">
                        <wp:posOffset>0</wp:posOffset>
                      </wp:positionH>
                      <wp:positionV relativeFrom="page">
                        <wp:posOffset>1403985</wp:posOffset>
                      </wp:positionV>
                      <wp:extent cx="7560310" cy="0"/>
                      <wp:effectExtent l="0" t="5080" r="0" b="5080"/>
                      <wp:wrapNone/>
                      <wp:docPr id="2" name=""/>
                      <a:graphic xmlns:a="http://schemas.openxmlformats.org/drawingml/2006/main">
                        <a:graphicData uri="http://schemas.microsoft.com/office/word/2010/wordprocessingShape">
                          <wps:wsp>
                            <wps:cNvSpPr/>
                            <wps:spPr>
                              <a:xfrm>
                                <a:off x="0" y="0"/>
                                <a:ext cx="7560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10.55pt" to="595.25pt,110.55pt" stroked="t" o:allowincell="f" style="position:absolute;mso-position-horizontal-relative:page;mso-position-vertical-relative:page">
                      <v:stroke color="black" weight="9360" joinstyle="miter" endcap="flat"/>
                      <v:fill o:detectmouseclick="t" on="false"/>
                      <w10:wrap type="none"/>
                    </v:line>
                  </w:pict>
                </mc:Fallback>
              </mc:AlternateContent>
            </w:r>
            <w:r>
              <w:rPr/>
              <w:t>ENRON CAPITAL &amp; TRADE RESOURCES LIMITED</w:t>
            </w:r>
          </w:p>
          <w:p>
            <w:pPr>
              <w:pStyle w:val="zFSand"/>
              <w:rPr/>
            </w:pPr>
            <w:r>
              <w:rPr/>
              <w:t>and</w:t>
            </w:r>
          </w:p>
          <w:p>
            <w:pPr>
              <w:pStyle w:val="zFStitle"/>
              <w:rPr/>
            </w:pPr>
            <w:bookmarkStart w:id="5" w:name="bmkTitle"/>
            <w:bookmarkEnd w:id="5"/>
            <w:r>
              <w:rPr/>
              <w:t>[MG PLC]</w:t>
            </w:r>
          </w:p>
          <w:p>
            <w:pPr>
              <w:pStyle w:val="zFSnarrative"/>
              <w:rPr/>
            </w:pPr>
            <w:r>
              <w:rPr/>
            </w:r>
          </w:p>
          <w:p>
            <w:pPr>
              <w:pStyle w:val="zFSnarrative"/>
              <w:rPr/>
            </w:pPr>
            <w:r>
              <w:rPr/>
            </w:r>
          </w:p>
          <w:p>
            <w:pPr>
              <w:pStyle w:val="zFSnarrative"/>
              <w:rPr/>
            </w:pPr>
            <w:r>
              <w:rPr/>
              <w:t>AGREEMENT</w:t>
            </w:r>
          </w:p>
          <w:p>
            <w:pPr>
              <w:pStyle w:val="zFSnarrative"/>
              <w:rPr/>
            </w:pPr>
            <w:r>
              <w:rPr/>
            </w:r>
          </w:p>
          <w:p>
            <w:pPr>
              <w:pStyle w:val="zFSnarrative"/>
              <w:rPr/>
            </w:pPr>
            <w:r>
              <w:rPr/>
              <w:t>relating to</w:t>
            </w:r>
          </w:p>
          <w:p>
            <w:pPr>
              <w:pStyle w:val="zFSnarrative"/>
              <w:rPr/>
            </w:pPr>
            <w:r>
              <w:rPr/>
              <w:t>physical commodity transactions</w:t>
            </w:r>
          </w:p>
          <w:p>
            <w:pPr>
              <w:pStyle w:val="zFSnarrative"/>
              <w:rPr/>
            </w:pPr>
            <w:r>
              <w:rPr/>
            </w:r>
            <w:bookmarkStart w:id="6" w:name="bmkNarrative"/>
            <w:bookmarkStart w:id="7" w:name="bmkNarrative"/>
            <w:bookmarkEnd w:id="7"/>
          </w:p>
          <w:p>
            <w:pPr>
              <w:pStyle w:val="Normal"/>
              <w:tabs>
                <w:tab w:val="clear" w:pos="567"/>
                <w:tab w:val="left" w:pos="6521" w:leader="none"/>
              </w:tabs>
              <w:jc w:val="center"/>
              <w:rPr>
                <w:smallCaps/>
                <w:sz w:val="22"/>
              </w:rPr>
            </w:pPr>
            <w:r>
              <w:rPr>
                <w:smallCaps/>
                <w:sz w:val="22"/>
              </w:rPr>
            </w:r>
          </w:p>
        </w:tc>
      </w:tr>
    </w:tbl>
    <w:p>
      <w:pPr>
        <w:sectPr>
          <w:headerReference w:type="default" r:id="rId2"/>
          <w:footerReference w:type="default" r:id="rId3"/>
          <w:type w:val="nextPage"/>
          <w:pgSz w:w="11906" w:h="16838"/>
          <w:pgMar w:left="1418" w:right="1418" w:gutter="0" w:header="765" w:top="2500" w:footer="284" w:bottom="1418"/>
          <w:pgNumType w:fmt="decimal"/>
          <w:formProt w:val="false"/>
          <w:textDirection w:val="lrTb"/>
          <w:docGrid w:type="default" w:linePitch="360" w:charSpace="0"/>
        </w:sectPr>
      </w:pPr>
    </w:p>
    <w:p>
      <w:pPr>
        <w:pStyle w:val="Body"/>
        <w:rPr/>
      </w:pPr>
      <w:r>
        <w:rPr>
          <w:b/>
        </w:rPr>
        <w:t>This Agreement</w:t>
      </w:r>
      <w:r>
        <w:rPr/>
        <w:t xml:space="preserve"> is made on [             ] 2000 </w:t>
      </w:r>
      <w:r>
        <w:rPr>
          <w:b/>
        </w:rPr>
        <w:t>between</w:t>
      </w:r>
      <w:r>
        <w:rPr/>
        <w:t>:</w:t>
      </w:r>
    </w:p>
    <w:p>
      <w:pPr>
        <w:pStyle w:val="Parties"/>
        <w:numPr>
          <w:ilvl w:val="0"/>
          <w:numId w:val="9"/>
        </w:numPr>
        <w:ind w:hanging="0" w:start="0"/>
        <w:rPr/>
      </w:pPr>
      <w:r>
        <w:rPr>
          <w:b/>
        </w:rPr>
        <w:t>ENRON CAPITAL &amp; TRADE RESOURCES LIMITED</w:t>
      </w:r>
      <w:r>
        <w:rPr/>
        <w:t>, whose registered office is at [                  ] (“</w:t>
      </w:r>
      <w:r>
        <w:rPr>
          <w:b/>
        </w:rPr>
        <w:t>Enron</w:t>
      </w:r>
      <w:r>
        <w:rPr/>
        <w:t>”); and</w:t>
      </w:r>
    </w:p>
    <w:p>
      <w:pPr>
        <w:pStyle w:val="Parties"/>
        <w:numPr>
          <w:ilvl w:val="0"/>
          <w:numId w:val="9"/>
        </w:numPr>
        <w:ind w:hanging="0" w:start="0"/>
        <w:rPr/>
      </w:pPr>
      <w:r>
        <w:rPr>
          <w:b/>
        </w:rPr>
        <w:t>[MG PLC]</w:t>
      </w:r>
      <w:r>
        <w:rPr/>
        <w:t>, whose registered office is at [                  ] (“</w:t>
      </w:r>
      <w:r>
        <w:rPr>
          <w:b/>
        </w:rPr>
        <w:t>MG PLC</w:t>
      </w:r>
      <w:r>
        <w:rPr/>
        <w:t>”).</w:t>
      </w:r>
    </w:p>
    <w:p>
      <w:pPr>
        <w:pStyle w:val="Body"/>
        <w:rPr>
          <w:b/>
        </w:rPr>
      </w:pPr>
      <w:r>
        <w:rPr>
          <w:b/>
        </w:rPr>
        <w:t>Whereas</w:t>
      </w:r>
      <w:r>
        <w:rPr/>
        <w:t>:</w:t>
      </w:r>
    </w:p>
    <w:p>
      <w:pPr>
        <w:pStyle w:val="Recitals"/>
        <w:numPr>
          <w:ilvl w:val="0"/>
          <w:numId w:val="15"/>
        </w:numPr>
        <w:ind w:hanging="0" w:start="0"/>
        <w:rPr/>
      </w:pPr>
      <w:r>
        <w:rPr/>
        <w:t xml:space="preserve">Enron and MG PLC anticipate entering into the Back-to-Back Transaction the purpose of which is to replicate each of Counterparty Transactions (save for provisions relating to margin, collateral or credit support) and, thereby, to transfer the whole of the market risk relating to Counterparty Transactions to MG PLC. </w:t>
      </w:r>
    </w:p>
    <w:p>
      <w:pPr>
        <w:pStyle w:val="Recitals"/>
        <w:numPr>
          <w:ilvl w:val="0"/>
          <w:numId w:val="15"/>
        </w:numPr>
        <w:ind w:hanging="0" w:start="0"/>
        <w:rPr/>
      </w:pPr>
      <w:r>
        <w:rPr/>
        <w:t>Enron wish to engage MG PLC to carry out certain functions in connection with Counterparty Transactions and MG PLC has agreed to carry out the functions set out in this Agreement subject to the terms and conditions of this Agreement.</w:t>
      </w:r>
    </w:p>
    <w:p>
      <w:pPr>
        <w:pStyle w:val="Body"/>
        <w:rPr/>
      </w:pPr>
      <w:r>
        <w:rPr>
          <w:b/>
        </w:rPr>
        <w:t>NOW THIS AGREEMENT WITNESSES</w:t>
      </w:r>
      <w:r>
        <w:rPr/>
        <w:t xml:space="preserve"> as follows:</w:t>
      </w:r>
    </w:p>
    <w:p>
      <w:pPr>
        <w:pStyle w:val="Level1"/>
        <w:numPr>
          <w:ilvl w:val="0"/>
          <w:numId w:val="14"/>
        </w:numPr>
        <w:ind w:hanging="0" w:start="0"/>
        <w:rPr/>
      </w:pPr>
      <w:r>
        <w:rPr/>
        <w:t>Interpretation</w:t>
      </w:r>
    </w:p>
    <w:p>
      <w:pPr>
        <w:pStyle w:val="Body1"/>
        <w:rPr/>
      </w:pPr>
      <w:r>
        <w:rPr/>
        <w:t>In this Agreement, including the Schedules, the headings shall not affect its interpretation and, unless the context otherwise requires:</w:t>
      </w:r>
    </w:p>
    <w:p>
      <w:pPr>
        <w:pStyle w:val="Body1"/>
        <w:rPr/>
      </w:pPr>
      <w:r>
        <w:rPr>
          <w:b/>
        </w:rPr>
        <w:t>Additional Services</w:t>
      </w:r>
      <w:r>
        <w:rPr/>
        <w:t xml:space="preserve"> means services (other than those of a </w:t>
      </w:r>
      <w:r>
        <w:rPr>
          <w:i/>
        </w:rPr>
        <w:t>de minimis</w:t>
      </w:r>
      <w:r>
        <w:rPr/>
        <w:t xml:space="preserve"> nature) which are related to or connected with the Services, including other tasks the need for which was not evident or the scope of which was unclear at the time of execution of this Agreement, and also tasks which arise as a consequence of new Applicable Law;</w:t>
      </w:r>
    </w:p>
    <w:p>
      <w:pPr>
        <w:pStyle w:val="Body1"/>
        <w:rPr/>
      </w:pPr>
      <w:r>
        <w:rPr>
          <w:b/>
        </w:rPr>
        <w:t>Applicable Law</w:t>
      </w:r>
      <w:r>
        <w:rPr/>
        <w:t xml:space="preserve"> means in relation to any Party, all laws and regulations that are applicable to that Party, including, without limitation, any regulations, requirements, stipulations or conditions made by any professional or regulatory organisation or association of which the Party is from time to time a member or to which the Party is subject from time to time;</w:t>
      </w:r>
    </w:p>
    <w:p>
      <w:pPr>
        <w:pStyle w:val="Body1"/>
        <w:rPr/>
      </w:pPr>
      <w:r>
        <w:rPr>
          <w:b/>
        </w:rPr>
        <w:t>Affiliates</w:t>
      </w:r>
      <w:r>
        <w:rPr/>
        <w:t xml:space="preserve"> means in relation to either Party, any entity controlled directly or indirectly by the Party, any entity that controls directly or indirectly the Party or any entity directly or indirectly under common control with the Party. For this purpose “control” of any entity or Party means ownership of a majority of the voting power of the entity or Party;</w:t>
      </w:r>
    </w:p>
    <w:p>
      <w:pPr>
        <w:pStyle w:val="Body1"/>
        <w:rPr/>
      </w:pPr>
      <w:r>
        <w:rPr>
          <w:b/>
        </w:rPr>
        <w:t>Back-to-Back Transaction</w:t>
      </w:r>
      <w:r>
        <w:rPr/>
        <w:t xml:space="preserve"> means, in respect of each Counterparty Transaction a transaction entered into between Enron and MG PLC which is on the same terms as that Counterparty Transaction, except insofar as is necessary to reflect (i) the fact that the identity of the parties to it are different and Enron shall take the place of the relevant Counterparty and MG PLC shall take the place of Enron, (ii) the exclusion of any terms relating to the calculation and/or payment or delivery of margin, collateral or credit support (however described) and (iii) the accounts to which payments and deliveries are to be made;</w:t>
      </w:r>
    </w:p>
    <w:p>
      <w:pPr>
        <w:pStyle w:val="Body1"/>
        <w:rPr/>
      </w:pPr>
      <w:r>
        <w:rPr>
          <w:b/>
        </w:rPr>
        <w:t>Business Day</w:t>
      </w:r>
      <w:r>
        <w:rPr/>
        <w:t xml:space="preserve"> means a day (other than Saturday or Sunday) on which banks are generally open for business in London;</w:t>
      </w:r>
    </w:p>
    <w:p>
      <w:pPr>
        <w:pStyle w:val="Body1"/>
        <w:rPr/>
      </w:pPr>
      <w:r>
        <w:rPr>
          <w:b/>
        </w:rPr>
        <w:t>Change to Services</w:t>
      </w:r>
      <w:r>
        <w:rPr/>
        <w:t xml:space="preserve"> means the process for management of changes to the Services set out in Clause 3.5;</w:t>
      </w:r>
    </w:p>
    <w:p>
      <w:pPr>
        <w:pStyle w:val="Body1"/>
        <w:rPr/>
      </w:pPr>
      <w:r>
        <w:rPr>
          <w:b/>
        </w:rPr>
        <w:t>Counterparty</w:t>
      </w:r>
      <w:r>
        <w:rPr/>
        <w:t xml:space="preserve"> means any entity that has entered into a Counterparty Transaction;</w:t>
      </w:r>
    </w:p>
    <w:p>
      <w:pPr>
        <w:pStyle w:val="Body1"/>
        <w:rPr/>
      </w:pPr>
      <w:r>
        <w:rPr>
          <w:b/>
        </w:rPr>
        <w:t>Counterparty Transaction</w:t>
      </w:r>
      <w:r>
        <w:rPr/>
        <w:t xml:space="preserve"> means any transaction entered into between Enron and a Counterparty which (a) Enron’s records indicate it originated as an Enron on-line product, and (b) remains to be performed by either or any party to it (in whole or in part);</w:t>
      </w:r>
    </w:p>
    <w:p>
      <w:pPr>
        <w:pStyle w:val="Body1"/>
        <w:rPr/>
      </w:pPr>
      <w:r>
        <w:rPr>
          <w:b/>
        </w:rPr>
        <w:t>Defaulting Party</w:t>
      </w:r>
      <w:r>
        <w:rPr/>
        <w:t xml:space="preserve"> has the meaning given to it in Clause [12] of this Agreement;</w:t>
      </w:r>
      <w:r>
        <w:rPr>
          <w:b/>
        </w:rPr>
        <w:t xml:space="preserve"> </w:t>
      </w:r>
    </w:p>
    <w:p>
      <w:pPr>
        <w:pStyle w:val="Body1"/>
        <w:rPr/>
      </w:pPr>
      <w:r>
        <w:rPr>
          <w:b/>
        </w:rPr>
        <w:t>Default Notifying Party</w:t>
      </w:r>
      <w:r>
        <w:rPr/>
        <w:t xml:space="preserve"> has the meaning specified in Clause [12] of this Agreement;</w:t>
      </w:r>
      <w:r>
        <w:rPr>
          <w:b/>
        </w:rPr>
        <w:t xml:space="preserve"> </w:t>
      </w:r>
    </w:p>
    <w:p>
      <w:pPr>
        <w:pStyle w:val="Body1"/>
        <w:rPr/>
      </w:pPr>
      <w:r>
        <w:rPr>
          <w:b/>
        </w:rPr>
        <w:t>Default Termination</w:t>
      </w:r>
      <w:r>
        <w:rPr/>
        <w:t xml:space="preserve"> </w:t>
      </w:r>
      <w:r>
        <w:rPr>
          <w:b/>
        </w:rPr>
        <w:t>Notice</w:t>
      </w:r>
      <w:r>
        <w:rPr/>
        <w:t xml:space="preserve"> has the meaning specified in Clause [12] of this Agreement;</w:t>
      </w:r>
    </w:p>
    <w:p>
      <w:pPr>
        <w:pStyle w:val="Body1"/>
        <w:rPr/>
      </w:pPr>
      <w:r>
        <w:rPr>
          <w:b/>
        </w:rPr>
        <w:t>Fees</w:t>
      </w:r>
      <w:r>
        <w:rPr/>
        <w:t xml:space="preserve"> has the meaning defined in Clause 4 of this Agreement;</w:t>
      </w:r>
    </w:p>
    <w:p>
      <w:pPr>
        <w:pStyle w:val="Body1"/>
        <w:rPr/>
      </w:pPr>
      <w:r>
        <w:rPr>
          <w:b/>
        </w:rPr>
        <w:t>Last Settlement Date</w:t>
      </w:r>
      <w:r>
        <w:rPr/>
        <w:t xml:space="preserve"> has the meaning defined in Clause 12.3 of this Agreement;</w:t>
      </w:r>
    </w:p>
    <w:p>
      <w:pPr>
        <w:pStyle w:val="Body1"/>
        <w:rPr/>
      </w:pPr>
      <w:r>
        <w:rPr>
          <w:b/>
        </w:rPr>
        <w:t>Losses</w:t>
      </w:r>
      <w:r>
        <w:rPr/>
        <w:t xml:space="preserve"> means all losses, liabilities, costs (including, without limitation, reasonable legal costs), charges, expenses, actions, proceedings, claims and demands;</w:t>
      </w:r>
    </w:p>
    <w:p>
      <w:pPr>
        <w:pStyle w:val="Body1"/>
        <w:rPr/>
      </w:pPr>
      <w:r>
        <w:rPr>
          <w:b/>
        </w:rPr>
        <w:t>Non-Defaulting Party</w:t>
      </w:r>
      <w:r>
        <w:rPr/>
        <w:t xml:space="preserve"> has the meaning given to it in Clause [12] of this Agreement;</w:t>
      </w:r>
    </w:p>
    <w:p>
      <w:pPr>
        <w:pStyle w:val="Body1"/>
        <w:rPr/>
      </w:pPr>
      <w:r>
        <w:rPr>
          <w:b/>
        </w:rPr>
        <w:t>Offer</w:t>
      </w:r>
      <w:r>
        <w:rPr/>
        <w:t xml:space="preserve"> means a takeover offer made by Enron for all the issued and to be issued ordinary shares in MG PLC pursuant to an offer document dated 25 May 2000;</w:t>
      </w:r>
    </w:p>
    <w:p>
      <w:pPr>
        <w:pStyle w:val="Body1"/>
        <w:rPr/>
      </w:pPr>
      <w:r>
        <w:rPr>
          <w:b/>
        </w:rPr>
        <w:t>Parties</w:t>
      </w:r>
      <w:r>
        <w:rPr/>
        <w:t xml:space="preserve"> means Enron and MG PLC;</w:t>
      </w:r>
    </w:p>
    <w:p>
      <w:pPr>
        <w:pStyle w:val="Body1"/>
        <w:rPr/>
      </w:pPr>
      <w:r>
        <w:rPr>
          <w:b/>
        </w:rPr>
        <w:t>Services</w:t>
      </w:r>
      <w:r>
        <w:rPr/>
        <w:t xml:space="preserve"> means the services described in the Schedule;</w:t>
      </w:r>
    </w:p>
    <w:p>
      <w:pPr>
        <w:pStyle w:val="Body1"/>
        <w:rPr/>
      </w:pPr>
      <w:r>
        <w:rPr>
          <w:b/>
        </w:rPr>
        <w:t>Unconditional Date</w:t>
      </w:r>
      <w:r>
        <w:rPr/>
        <w:t xml:space="preserve"> means the date on which the Offer becomes, or is declared wholly unconditional; and</w:t>
      </w:r>
    </w:p>
    <w:p>
      <w:pPr>
        <w:pStyle w:val="Body1"/>
        <w:rPr/>
      </w:pPr>
      <w:r>
        <w:rPr>
          <w:b/>
        </w:rPr>
        <w:t>Unconditional Date Termination Notice</w:t>
      </w:r>
      <w:r>
        <w:rPr/>
        <w:t xml:space="preserve"> has the meaning specified in Clause 12 of this Agreement.</w:t>
      </w:r>
    </w:p>
    <w:p>
      <w:pPr>
        <w:pStyle w:val="Level1"/>
        <w:numPr>
          <w:ilvl w:val="0"/>
          <w:numId w:val="14"/>
        </w:numPr>
        <w:ind w:hanging="0" w:start="0"/>
        <w:rPr/>
      </w:pPr>
      <w:r>
        <w:rPr/>
        <w:t>Back-to-Back Transactions</w:t>
      </w:r>
    </w:p>
    <w:p>
      <w:pPr>
        <w:pStyle w:val="Body2"/>
        <w:rPr/>
      </w:pPr>
      <w:r>
        <w:rPr/>
        <w:t>Each Back-to-Back Transaction shall be automatically entered into between Enron and MG PLC as of the time at which the corresponding Counterparty Transaction is entered into between Enron and a Counterparty. Enron shall promptly send MG PLC copies (whether held in writing, electronically or otherwise) of the documentation constituting such Counterparty Transaction.</w:t>
      </w:r>
    </w:p>
    <w:p>
      <w:pPr>
        <w:pStyle w:val="Level1"/>
        <w:numPr>
          <w:ilvl w:val="0"/>
          <w:numId w:val="14"/>
        </w:numPr>
        <w:ind w:hanging="0" w:start="0"/>
        <w:rPr/>
      </w:pPr>
      <w:r>
        <w:rPr/>
        <w:t>Functions to be carried out by the Parties</w:t>
      </w:r>
    </w:p>
    <w:p>
      <w:pPr>
        <w:pStyle w:val="Level2"/>
        <w:numPr>
          <w:ilvl w:val="1"/>
          <w:numId w:val="14"/>
        </w:numPr>
        <w:ind w:hanging="0" w:start="0"/>
        <w:rPr/>
      </w:pPr>
      <w:r>
        <w:rPr/>
        <w:t>Services</w:t>
      </w:r>
    </w:p>
    <w:p>
      <w:pPr>
        <w:pStyle w:val="alpha2"/>
        <w:numPr>
          <w:ilvl w:val="0"/>
          <w:numId w:val="2"/>
        </w:numPr>
        <w:ind w:hanging="0" w:start="0"/>
        <w:rPr/>
      </w:pPr>
      <w:r>
        <w:rPr/>
        <w:t>MG PLC shall, during the term of this Agreement, provide the Services to Enron upon and subject to the provisions of this Agreement. Where the provision of the Services requires changes such changes shall be governed by Change to Services.</w:t>
      </w:r>
    </w:p>
    <w:p>
      <w:pPr>
        <w:pStyle w:val="alpha2"/>
        <w:numPr>
          <w:ilvl w:val="0"/>
          <w:numId w:val="2"/>
        </w:numPr>
        <w:ind w:hanging="0" w:start="0"/>
        <w:rPr/>
      </w:pPr>
      <w:r>
        <w:rPr/>
        <w:t>MG PLC shall obtain and maintain in force all memberships, licences, approvals or qualifications it requires to perform its functions under this Agreement and shall comply with all Applicable Law.</w:t>
      </w:r>
    </w:p>
    <w:p>
      <w:pPr>
        <w:pStyle w:val="alpha2"/>
        <w:numPr>
          <w:ilvl w:val="0"/>
          <w:numId w:val="2"/>
        </w:numPr>
        <w:ind w:hanging="0" w:start="0"/>
        <w:rPr/>
      </w:pPr>
      <w:r>
        <w:rPr/>
        <w:t>MG PLC will perform its functions under this Agreement in such a way that it does not cause Enron to breach any Applicable Law.</w:t>
      </w:r>
    </w:p>
    <w:p>
      <w:pPr>
        <w:pStyle w:val="Level2"/>
        <w:numPr>
          <w:ilvl w:val="1"/>
          <w:numId w:val="14"/>
        </w:numPr>
        <w:ind w:hanging="0" w:start="0"/>
        <w:rPr/>
      </w:pPr>
      <w:r>
        <w:rPr/>
        <w:t>Addition</w:t>
      </w:r>
      <w:r>
        <w:rPr>
          <w:sz w:val="22"/>
        </w:rPr>
        <w:t>a</w:t>
      </w:r>
      <w:r>
        <w:rPr/>
        <w:t>l Services</w:t>
      </w:r>
    </w:p>
    <w:p>
      <w:pPr>
        <w:pStyle w:val="Body2"/>
        <w:rPr/>
      </w:pPr>
      <w:r>
        <w:rPr/>
        <w:t>MG PLC will provide such Additional Services as it agrees with Enron from time to time (such agreement not to be unreasonably withheld or delayed). The Schedule shall be signed on behalf of MG PLC and Enron and thereupon shall be deemed to be appended hereto and shall henceforth be included in the Services. The provisions of this Agreement shall apply to the provision of all such Additional Services in the same way as they apply to the other Services.</w:t>
      </w:r>
    </w:p>
    <w:p>
      <w:pPr>
        <w:pStyle w:val="Level2"/>
        <w:numPr>
          <w:ilvl w:val="1"/>
          <w:numId w:val="14"/>
        </w:numPr>
        <w:ind w:hanging="0" w:start="0"/>
        <w:rPr/>
      </w:pPr>
      <w:r>
        <w:rPr/>
        <w:t>Enron obligations</w:t>
      </w:r>
    </w:p>
    <w:p>
      <w:pPr>
        <w:pStyle w:val="Body2"/>
        <w:rPr/>
      </w:pPr>
      <w:r>
        <w:rPr/>
        <w:t>Enron agrees:</w:t>
      </w:r>
    </w:p>
    <w:p>
      <w:pPr>
        <w:pStyle w:val="alpha2"/>
        <w:numPr>
          <w:ilvl w:val="0"/>
          <w:numId w:val="27"/>
        </w:numPr>
        <w:ind w:hanging="0" w:start="0"/>
        <w:rPr/>
      </w:pPr>
      <w:r>
        <w:rPr/>
        <w:t>to provide MG PLC as soon as reasonably practicable with all records and other information which MG PLC may from time to time reasonably request to enable it to perform its obligations hereunder;</w:t>
      </w:r>
    </w:p>
    <w:p>
      <w:pPr>
        <w:pStyle w:val="alpha2"/>
        <w:numPr>
          <w:ilvl w:val="0"/>
          <w:numId w:val="2"/>
        </w:numPr>
        <w:ind w:hanging="0" w:start="0"/>
        <w:rPr/>
      </w:pPr>
      <w:r>
        <w:rPr/>
        <w:t>to obtain and maintain in force all memberships, licences, approvals or qualifications required by any Applicable Law in relation to the activities which Enron undertakes in relation to the Client Transaction;</w:t>
      </w:r>
    </w:p>
    <w:p>
      <w:pPr>
        <w:pStyle w:val="Level2"/>
        <w:numPr>
          <w:ilvl w:val="1"/>
          <w:numId w:val="14"/>
        </w:numPr>
        <w:ind w:hanging="0" w:start="0"/>
        <w:rPr/>
      </w:pPr>
      <w:r>
        <w:rPr/>
        <w:t>Duties of MG PLC</w:t>
      </w:r>
    </w:p>
    <w:p>
      <w:pPr>
        <w:pStyle w:val="Body2"/>
        <w:rPr/>
      </w:pPr>
      <w:r>
        <w:rPr/>
        <w:t>MG PLC shall perform its obligations under this Agreement with all reasonable care, skill and diligence and shall deploy such suitably qualified personnel and other resources as may be necessary for the efficient and timely performance of the Services.</w:t>
      </w:r>
    </w:p>
    <w:p>
      <w:pPr>
        <w:pStyle w:val="Level2"/>
        <w:numPr>
          <w:ilvl w:val="1"/>
          <w:numId w:val="14"/>
        </w:numPr>
        <w:ind w:hanging="0" w:start="0"/>
        <w:rPr/>
      </w:pPr>
      <w:r>
        <w:rPr/>
        <w:t>Change to Services</w:t>
      </w:r>
    </w:p>
    <w:p>
      <w:pPr>
        <w:pStyle w:val="alpha2"/>
        <w:numPr>
          <w:ilvl w:val="0"/>
          <w:numId w:val="28"/>
        </w:numPr>
        <w:ind w:hanging="0" w:start="0"/>
        <w:rPr/>
      </w:pPr>
      <w:r>
        <w:rPr/>
        <w:t>Enron may at any time request changes in the Services.</w:t>
      </w:r>
    </w:p>
    <w:p>
      <w:pPr>
        <w:pStyle w:val="alpha2"/>
        <w:numPr>
          <w:ilvl w:val="0"/>
          <w:numId w:val="2"/>
        </w:numPr>
        <w:ind w:hanging="0" w:start="0"/>
        <w:rPr/>
      </w:pPr>
      <w:r>
        <w:rPr/>
        <w:t>MG PLC will not be obliged to agree to any requested change but will not unreasonably withhold its agreement to such request.</w:t>
      </w:r>
    </w:p>
    <w:p>
      <w:pPr>
        <w:pStyle w:val="alpha2"/>
        <w:numPr>
          <w:ilvl w:val="0"/>
          <w:numId w:val="2"/>
        </w:numPr>
        <w:ind w:hanging="0" w:start="0"/>
        <w:rPr/>
      </w:pPr>
      <w:r>
        <w:rPr/>
        <w:t>MG PLC will respond in writing to or will meet to discuss any requested changes as soon as practicable and in any event within five Business Days following receipt of the request.</w:t>
      </w:r>
    </w:p>
    <w:p>
      <w:pPr>
        <w:pStyle w:val="alpha2"/>
        <w:numPr>
          <w:ilvl w:val="0"/>
          <w:numId w:val="2"/>
        </w:numPr>
        <w:ind w:hanging="0" w:start="0"/>
        <w:rPr/>
      </w:pPr>
      <w:r>
        <w:rPr/>
        <w:t>Until such time as any change is formally agreed MG PLC will, unless otherwise agreed, continue to provide the Services as if such change had not been requested.</w:t>
      </w:r>
    </w:p>
    <w:p>
      <w:pPr>
        <w:pStyle w:val="alpha2"/>
        <w:numPr>
          <w:ilvl w:val="0"/>
          <w:numId w:val="2"/>
        </w:numPr>
        <w:ind w:hanging="0" w:start="0"/>
        <w:rPr/>
      </w:pPr>
      <w:r>
        <w:rPr/>
        <w:t>Any agreement to a requested change will become valid as an amendment to this Agreement only when confirmed in writing.</w:t>
      </w:r>
    </w:p>
    <w:p>
      <w:pPr>
        <w:pStyle w:val="Level2"/>
        <w:numPr>
          <w:ilvl w:val="1"/>
          <w:numId w:val="14"/>
        </w:numPr>
        <w:ind w:hanging="0" w:start="0"/>
        <w:rPr/>
      </w:pPr>
      <w:r>
        <w:rPr/>
        <w:t>Access to Records</w:t>
      </w:r>
    </w:p>
    <w:p>
      <w:pPr>
        <w:pStyle w:val="alpha2"/>
        <w:numPr>
          <w:ilvl w:val="0"/>
          <w:numId w:val="29"/>
        </w:numPr>
        <w:ind w:hanging="0" w:start="0"/>
        <w:rPr/>
      </w:pPr>
      <w:r>
        <w:rPr/>
        <w:t xml:space="preserve">All records maintained by MG PLC pursuant to the performance of the Services (including data stored on computer tapes or disks pursuant to this Agreement and all other accounts, books, vouchers, correspondence, papers, internal audit files and other material supplied by, prepared for or belonging to Enron) shall remain the property of Enron. On the termination of this Agreement for any reason, MG PLC shall return all such property to Enron. </w:t>
      </w:r>
    </w:p>
    <w:p>
      <w:pPr>
        <w:pStyle w:val="alpha2"/>
        <w:numPr>
          <w:ilvl w:val="0"/>
          <w:numId w:val="2"/>
        </w:numPr>
        <w:ind w:hanging="0" w:start="0"/>
        <w:rPr/>
      </w:pPr>
      <w:r>
        <w:rPr/>
        <w:t>Enron may appoint its servants or agents, and may permit anybody pursuant to any Applicable Law to inspect, examine and verify at the offices of MG PLC all accounts, books, vouchers, correspondence, papers and other material relating to any of the Services that are to be performed by MG PLC under this Agreement, the application of any money belonging to Enron that is paid, received or delivered by MG PLC pursuant to this Agreement and the operation of bank accounts of Enron by MG PLC pursuant to this Agreement. MG PLC shall, whenever required on reasonable notice, give such persons access to its offices for such purposes during MG PLC’s normal business hours.</w:t>
      </w:r>
    </w:p>
    <w:p>
      <w:pPr>
        <w:pStyle w:val="Body1"/>
        <w:rPr/>
      </w:pPr>
      <w:r>
        <w:rPr/>
        <w:t xml:space="preserve">MG PLC will allow Enron, its directors, employees or agents and any regulatory authority specified by Enron, to carry out audits and other inspections of the performance of the Services, at such intervals as may reasonably be required by Enron from time to time </w:t>
      </w:r>
    </w:p>
    <w:p>
      <w:pPr>
        <w:pStyle w:val="Level2"/>
        <w:numPr>
          <w:ilvl w:val="1"/>
          <w:numId w:val="14"/>
        </w:numPr>
        <w:ind w:hanging="0" w:start="0"/>
        <w:rPr/>
      </w:pPr>
      <w:r>
        <w:rPr/>
        <w:t>Extracts of management reports</w:t>
      </w:r>
    </w:p>
    <w:p>
      <w:pPr>
        <w:pStyle w:val="Body1"/>
        <w:rPr/>
      </w:pPr>
      <w:r>
        <w:rPr/>
        <w:t>Within two days of receiving from its external auditors the final version of the management report prepared as part of MG PLC’s statutory audit process, MG PLC shall notify Enron if such management report contains any information regarding the Services and shall provide a reasonable summary of such information.</w:t>
      </w:r>
    </w:p>
    <w:p>
      <w:pPr>
        <w:pStyle w:val="Level2"/>
        <w:numPr>
          <w:ilvl w:val="1"/>
          <w:numId w:val="14"/>
        </w:numPr>
        <w:ind w:hanging="0" w:start="0"/>
        <w:rPr/>
      </w:pPr>
      <w:r>
        <w:rPr/>
        <w:t>Contract for services</w:t>
      </w:r>
    </w:p>
    <w:p>
      <w:pPr>
        <w:pStyle w:val="Body1"/>
        <w:rPr/>
      </w:pPr>
      <w:r>
        <w:rPr/>
        <w:t xml:space="preserve">Any employee of MG PLC that is engaged in the carrying out of Services shall not thereby become an employee of Enron. </w:t>
      </w:r>
    </w:p>
    <w:p>
      <w:pPr>
        <w:pStyle w:val="Level2"/>
        <w:numPr>
          <w:ilvl w:val="1"/>
          <w:numId w:val="14"/>
        </w:numPr>
        <w:ind w:hanging="0" w:start="0"/>
        <w:rPr/>
      </w:pPr>
      <w:r>
        <w:rPr/>
        <w:t xml:space="preserve">Communication with Counterparties </w:t>
      </w:r>
    </w:p>
    <w:p>
      <w:pPr>
        <w:pStyle w:val="Body1"/>
        <w:rPr/>
      </w:pPr>
      <w:r>
        <w:rPr/>
        <w:t>To the extent that MG PLC has any contact with a Counterparty in connection with the carrying out of the Services, MG PLC shall make clear to that Counterparty the capacity in which it is acting. In carrying out the Services and with any communication with Counterparties, MG shall comply with any instructions given by Enron with regard to informing the Counterparty of the capacity in which MG is acting.</w:t>
      </w:r>
    </w:p>
    <w:p>
      <w:pPr>
        <w:pStyle w:val="Level2"/>
        <w:numPr>
          <w:ilvl w:val="1"/>
          <w:numId w:val="14"/>
        </w:numPr>
        <w:ind w:hanging="0" w:start="0"/>
        <w:rPr>
          <w:b w:val="false"/>
        </w:rPr>
      </w:pPr>
      <w:r>
        <w:rPr/>
        <w:t>Authority</w:t>
      </w:r>
    </w:p>
    <w:p>
      <w:pPr>
        <w:pStyle w:val="Body2"/>
        <w:rPr/>
      </w:pPr>
      <w:r>
        <w:rPr/>
        <w:t>Neither MG PLC nor any director, employee or agent shall take or omit to take any action on behalf of Enron beyond the provisions of this Agreement, including, without limitation, executing any document on behalf of Enron.</w:t>
      </w:r>
    </w:p>
    <w:p>
      <w:pPr>
        <w:pStyle w:val="Level2"/>
        <w:numPr>
          <w:ilvl w:val="1"/>
          <w:numId w:val="14"/>
        </w:numPr>
        <w:ind w:hanging="0" w:start="0"/>
        <w:rPr>
          <w:b w:val="false"/>
        </w:rPr>
      </w:pPr>
      <w:r>
        <w:rPr/>
        <w:t>Complaints</w:t>
      </w:r>
    </w:p>
    <w:p>
      <w:pPr>
        <w:pStyle w:val="Body2"/>
        <w:rPr/>
      </w:pPr>
      <w:r>
        <w:rPr/>
        <w:t>MG PLC shall notify Enron in writing as soon as it becomes aware of any claim against MG PLC or any Affiliate in connection with the Services and MG PLC will also notify Enron of all complaints notified to it concerning the business or operations of any member of Enron or any Affiliate (other than claims from directors, employees or agents of MG PLC) and MG PLC shall co-operate with Enron in dealing with such claims and complaints and shall provide Enron with such information relating to such claims as Enron may reasonably require. In addition, MG PLC shall take or procure to be taken such action as Enron may reasonably request to avoid, dispute, resist, appeal, compromise or defend such claim.</w:t>
      </w:r>
    </w:p>
    <w:p>
      <w:pPr>
        <w:pStyle w:val="Level1"/>
        <w:numPr>
          <w:ilvl w:val="0"/>
          <w:numId w:val="14"/>
        </w:numPr>
        <w:ind w:hanging="0" w:start="0"/>
        <w:rPr/>
      </w:pPr>
      <w:r>
        <w:rPr/>
        <w:t>Fees</w:t>
      </w:r>
    </w:p>
    <w:p>
      <w:pPr>
        <w:pStyle w:val="Body1"/>
        <w:rPr/>
      </w:pPr>
      <w:r>
        <w:rPr/>
        <w:t>Subject to Clause 12, MG PLC shall pay to Enron fees as follows [</w:t>
      </w:r>
      <w:r>
        <w:rPr>
          <w:b/>
        </w:rPr>
        <w:t>Enron to complete</w:t>
      </w:r>
      <w:r>
        <w:rPr/>
        <w:t>].</w:t>
      </w:r>
    </w:p>
    <w:p>
      <w:pPr>
        <w:pStyle w:val="Level1"/>
        <w:numPr>
          <w:ilvl w:val="0"/>
          <w:numId w:val="14"/>
        </w:numPr>
        <w:ind w:hanging="0" w:start="0"/>
        <w:rPr/>
      </w:pPr>
      <w:r>
        <w:rPr/>
        <w:t>Satisfaction of obligations</w:t>
      </w:r>
    </w:p>
    <w:p>
      <w:pPr>
        <w:pStyle w:val="Body1"/>
        <w:rPr/>
      </w:pPr>
      <w:r>
        <w:rPr/>
        <w:t>To the extent that, pursuant to the performance of the Services, MG PLC makes a payment or delivery, as the case may be, to a Counterparty under a particular Counterparty Transaction, then such payment or delivery shall be deemed to satisfy MG PLC’s equivalent obligations to Enron under the corresponding Back-to-Back Transaction.  To the extent that, pursuant to the performance of the Services, MG PLC receives a payment or delivery, as the case may be, from a Counterparty under a particular Counterparty Transaction, then such payment or delivery shall be deemed to satisfy Enron’s corresponding obligations to MG PLC under the corresponding Back-to-Back Transactions.</w:t>
      </w:r>
    </w:p>
    <w:p>
      <w:pPr>
        <w:pStyle w:val="Level1"/>
        <w:numPr>
          <w:ilvl w:val="0"/>
          <w:numId w:val="14"/>
        </w:numPr>
        <w:ind w:hanging="0" w:start="0"/>
        <w:rPr/>
      </w:pPr>
      <w:r>
        <w:rPr/>
        <w:t>Representations and warranties</w:t>
      </w:r>
    </w:p>
    <w:p>
      <w:pPr>
        <w:pStyle w:val="Body1"/>
        <w:rPr/>
      </w:pPr>
      <w:r>
        <w:rPr/>
        <w:t>Each Party represents and warrants to the other that:</w:t>
      </w:r>
    </w:p>
    <w:p>
      <w:pPr>
        <w:pStyle w:val="alpha2"/>
        <w:numPr>
          <w:ilvl w:val="0"/>
          <w:numId w:val="30"/>
        </w:numPr>
        <w:ind w:hanging="0" w:start="0"/>
        <w:rPr/>
      </w:pPr>
      <w:r>
        <w:rPr/>
        <w:t>this Agreement has been duly authorised, executed and delivered by it and constitutes valid and legally binding obligations of it;</w:t>
      </w:r>
    </w:p>
    <w:p>
      <w:pPr>
        <w:pStyle w:val="alpha2"/>
        <w:numPr>
          <w:ilvl w:val="0"/>
          <w:numId w:val="2"/>
        </w:numPr>
        <w:ind w:hanging="0" w:start="0"/>
        <w:rPr/>
      </w:pPr>
      <w:r>
        <w:rPr/>
        <w:t>no action or thing is required to be taken, fulfilled or done (including, without limitation, the obtaining of any consent or licence or the making of any filing or registration) for the entry into and performance of this Agreement; and</w:t>
      </w:r>
    </w:p>
    <w:p>
      <w:pPr>
        <w:pStyle w:val="alpha2"/>
        <w:numPr>
          <w:ilvl w:val="0"/>
          <w:numId w:val="2"/>
        </w:numPr>
        <w:ind w:hanging="0" w:start="0"/>
        <w:rPr/>
      </w:pPr>
      <w:r>
        <w:rPr/>
        <w:t>its execution and delivery of, and its performance of its obligations under, this Agreement will not result in a breach of:</w:t>
      </w:r>
    </w:p>
    <w:p>
      <w:pPr>
        <w:pStyle w:val="Level4"/>
        <w:numPr>
          <w:ilvl w:val="3"/>
          <w:numId w:val="14"/>
        </w:numPr>
        <w:ind w:hanging="0" w:start="0"/>
        <w:rPr/>
      </w:pPr>
      <w:r>
        <w:rPr/>
        <w:t xml:space="preserve">any provision of its memorandum or articles of association; or </w:t>
      </w:r>
    </w:p>
    <w:p>
      <w:pPr>
        <w:pStyle w:val="Level4"/>
        <w:numPr>
          <w:ilvl w:val="3"/>
          <w:numId w:val="14"/>
        </w:numPr>
        <w:ind w:hanging="0" w:start="0"/>
        <w:rPr/>
      </w:pPr>
      <w:r>
        <w:rPr/>
        <w:t>any material agreement, licence or other instrument or any order, judgment or decree of any court, governmental agency or regulatory body to which it is a party or by whose rules or requirements it is bound; and</w:t>
      </w:r>
    </w:p>
    <w:p>
      <w:pPr>
        <w:pStyle w:val="alpha2"/>
        <w:numPr>
          <w:ilvl w:val="0"/>
          <w:numId w:val="2"/>
        </w:numPr>
        <w:ind w:hanging="0" w:start="0"/>
        <w:rPr/>
      </w:pPr>
      <w:r>
        <w:rPr/>
        <w:t>none of the events referred to in Clause 12.1 has occurred with respect to it and is continuing.</w:t>
      </w:r>
    </w:p>
    <w:p>
      <w:pPr>
        <w:pStyle w:val="Body2"/>
        <w:rPr/>
      </w:pPr>
      <w:r>
        <w:rPr/>
        <w:t>MG PLC represents and warrants to Enron that it has in place back-up and contingency procedures which are designed to preserve all data held in computerised form and that such procedures comply in all material respects with any applicable regulatory requirements.</w:t>
      </w:r>
    </w:p>
    <w:p>
      <w:pPr>
        <w:pStyle w:val="Level1"/>
        <w:numPr>
          <w:ilvl w:val="0"/>
          <w:numId w:val="14"/>
        </w:numPr>
        <w:ind w:hanging="0" w:start="0"/>
        <w:rPr/>
      </w:pPr>
      <w:r>
        <w:rPr/>
        <w:t xml:space="preserve">Indemnity </w:t>
      </w:r>
    </w:p>
    <w:p>
      <w:pPr>
        <w:pStyle w:val="Body2"/>
        <w:rPr/>
      </w:pPr>
      <w:r>
        <w:rPr/>
        <w:t>Each party shall indemnify the other (on an after tax basis) for:</w:t>
      </w:r>
    </w:p>
    <w:p>
      <w:pPr>
        <w:pStyle w:val="alpha2"/>
        <w:numPr>
          <w:ilvl w:val="0"/>
          <w:numId w:val="31"/>
        </w:numPr>
        <w:ind w:hanging="0" w:start="0"/>
        <w:rPr/>
      </w:pPr>
      <w:r>
        <w:rPr/>
        <w:t xml:space="preserve">any liability which either Party incurs as a result of a breach or an alleged breach of a Back-to-Back Transaction or this Agreement which is caused by a breach by the other Party to this Agreement (including, without limitation, any costs incurred in settling any claim which is made in respect of such breach or alleged breach); and </w:t>
      </w:r>
    </w:p>
    <w:p>
      <w:pPr>
        <w:pStyle w:val="alpha2"/>
        <w:numPr>
          <w:ilvl w:val="0"/>
          <w:numId w:val="2"/>
        </w:numPr>
        <w:ind w:hanging="0" w:start="0"/>
        <w:rPr/>
      </w:pPr>
      <w:r>
        <w:rPr/>
        <w:t>any Losses which either Party reasonably incurs in investigating the validity of, or disputing or defending, any claim which is made in respect of such breach or alleged breach by the other Party.</w:t>
      </w:r>
    </w:p>
    <w:p>
      <w:pPr>
        <w:pStyle w:val="Level1"/>
        <w:numPr>
          <w:ilvl w:val="0"/>
          <w:numId w:val="14"/>
        </w:numPr>
        <w:ind w:hanging="0" w:start="0"/>
        <w:rPr/>
      </w:pPr>
      <w:r>
        <w:rPr/>
        <w:t>Whole Agreement</w:t>
      </w:r>
    </w:p>
    <w:p>
      <w:pPr>
        <w:pStyle w:val="Body1"/>
        <w:rPr/>
      </w:pPr>
      <w:r>
        <w:rPr/>
        <w:t>This Agreement contains the whole agreement between the Parties relating to the subject matter of this Agreement at the date hereof, to the exclusion of any terms implied by law which may be excluded by contract (including, without limitation, the Supply of Goods and Services Act 1982 (as amended)). Each Party acknowledges that it has not been induced to enter into this Agreement by any warranties, representations and undertakings not incorporated into this Agreement, and so far as is permitted by law and except in the case of the fraud of any other Party, hereby waives any remedy in respect of such warranties, representations and undertakings. The Parties also agree that, to the fullest extent permissible by law, the legislation resulting from the Contracts (Rights of Third Parties) Act 1999 shall not apply to this Agreement.</w:t>
      </w:r>
    </w:p>
    <w:p>
      <w:pPr>
        <w:pStyle w:val="Level1"/>
        <w:numPr>
          <w:ilvl w:val="0"/>
          <w:numId w:val="14"/>
        </w:numPr>
        <w:ind w:hanging="0" w:start="0"/>
        <w:rPr/>
      </w:pPr>
      <w:r>
        <w:rPr/>
        <w:t>Non-reliance</w:t>
      </w:r>
    </w:p>
    <w:p>
      <w:pPr>
        <w:pStyle w:val="Body1"/>
        <w:rPr/>
      </w:pPr>
      <w:r>
        <w:rPr/>
        <w:t xml:space="preserve">The arrangements between the Parties contemplated by this Agreement are entered into on the basis that each Party has the capability to make, and has made, an independent decision on the risks involved in them, and their appropriateness for it. Each Party represents and warrants to the other Parties that it has taken whatever tax, accounting, regulatory, legal, financial and other advice it considers necessary and will not be relying on the other Parties to assess on its behalf, or to advise it about, the merits or suitability of these arrangements. Therefore, no Party assumes any fiduciary or other responsibility for advising any other Party about its suitability, or the suitability of any particular transaction, or for giving it all the information it may need in order to decide whether to enter into them (except for any responsibility expressly agreed on in writing). </w:t>
      </w:r>
    </w:p>
    <w:p>
      <w:pPr>
        <w:pStyle w:val="Level1"/>
        <w:numPr>
          <w:ilvl w:val="0"/>
          <w:numId w:val="14"/>
        </w:numPr>
        <w:ind w:hanging="0" w:start="0"/>
        <w:rPr/>
      </w:pPr>
      <w:r>
        <w:rPr/>
        <w:t xml:space="preserve">Confidentiality </w:t>
      </w:r>
    </w:p>
    <w:p>
      <w:pPr>
        <w:pStyle w:val="Body2"/>
        <w:rPr/>
      </w:pPr>
      <w:r>
        <w:rPr/>
        <w:t xml:space="preserve">Each of the Parties agrees that any information relating to a Counterparty Transaction or a Back-to-Back Transaction or the existence of this Agreement and any information obtained pursuant to this Agreement shall be kept confidential and shall not be disclosed by it except to the extent that such disclosure is (a) necessary to enable it to perform its obligations under this Agreement, (b) required by Applicable Law, (c) requested by any regulatory authority to whose rules or requirements it is subject, (d) made to its professional advisers by it, (e) in relation to information which has come into the public domain otherwise than as a result of a breach by it of this Clause [10] [or (f) in relation to the disclosure to a particular Counterparty to a Counterparty Transaction of the part of Schedule which relates to that Counterparty]. </w:t>
      </w:r>
    </w:p>
    <w:p>
      <w:pPr>
        <w:pStyle w:val="Level1"/>
        <w:numPr>
          <w:ilvl w:val="0"/>
          <w:numId w:val="14"/>
        </w:numPr>
        <w:ind w:hanging="0" w:start="0"/>
        <w:rPr/>
      </w:pPr>
      <w:r>
        <w:rPr/>
        <w:t xml:space="preserve">Assignment </w:t>
      </w:r>
    </w:p>
    <w:p>
      <w:pPr>
        <w:pStyle w:val="Body1"/>
        <w:rPr/>
      </w:pPr>
      <w:r>
        <w:rPr/>
        <w:t>This Agreement shall be binding on and ensure to the benefit of the Parties and their respective successors and permitted assignees and transferees but no Party may assign, transfer or delegate all or any part of its rights or obligations under this Agreement without the prior written consent of the other Party, except that either Party (the “</w:t>
      </w:r>
      <w:r>
        <w:rPr>
          <w:b/>
        </w:rPr>
        <w:t>Assignor</w:t>
      </w:r>
      <w:r>
        <w:rPr/>
        <w:t>”) may assign, transfer or delegate any of their respective rights and obligations under this Agreement or any Back-to-Back Transaction to any Affiliate provided that such Affiliate undertakes to perform the obligations of the Assignor under this Agreement or, as the case may be, under such Back-to-Back Transaction and the Assignor remains bound by those obligations.</w:t>
      </w:r>
    </w:p>
    <w:p>
      <w:pPr>
        <w:pStyle w:val="Level1"/>
        <w:numPr>
          <w:ilvl w:val="0"/>
          <w:numId w:val="14"/>
        </w:numPr>
        <w:ind w:hanging="0" w:start="0"/>
        <w:rPr/>
      </w:pPr>
      <w:r>
        <w:rPr/>
        <w:t>Termination</w:t>
      </w:r>
    </w:p>
    <w:p>
      <w:pPr>
        <w:pStyle w:val="Level2"/>
        <w:numPr>
          <w:ilvl w:val="1"/>
          <w:numId w:val="14"/>
        </w:numPr>
        <w:ind w:hanging="0" w:start="0"/>
        <w:rPr/>
      </w:pPr>
      <w:r>
        <w:rPr/>
        <w:t>Termination upon default</w:t>
      </w:r>
    </w:p>
    <w:p>
      <w:pPr>
        <w:pStyle w:val="alpha2"/>
        <w:numPr>
          <w:ilvl w:val="0"/>
          <w:numId w:val="32"/>
        </w:numPr>
        <w:ind w:hanging="0" w:start="0"/>
        <w:rPr/>
      </w:pPr>
      <w:r>
        <w:rPr/>
        <w:t>Either Party (the “</w:t>
      </w:r>
      <w:r>
        <w:rPr>
          <w:b/>
        </w:rPr>
        <w:t>Default Notifying Party</w:t>
      </w:r>
      <w:r>
        <w:rPr/>
        <w:t>”) may terminate this Agreement at any time by written notice (the “</w:t>
      </w:r>
      <w:r>
        <w:rPr>
          <w:b/>
        </w:rPr>
        <w:t>Default Termination Notice</w:t>
      </w:r>
      <w:r>
        <w:rPr/>
        <w:t>”) to the other Party if either</w:t>
      </w:r>
    </w:p>
    <w:p>
      <w:pPr>
        <w:pStyle w:val="roman3"/>
        <w:numPr>
          <w:ilvl w:val="0"/>
          <w:numId w:val="4"/>
        </w:numPr>
        <w:ind w:hanging="0" w:start="0"/>
        <w:rPr/>
      </w:pPr>
      <w:r>
        <w:rPr/>
        <w:t>such other Party is in material breach of its obligations under this Agreement and either that breach is incapable of remedy or it shall have failed to remedy that breach to the reasonable satisfaction of the other Party within 30 calendar days after receiving written notice requiring it to remedy that breach; or</w:t>
      </w:r>
    </w:p>
    <w:p>
      <w:pPr>
        <w:pStyle w:val="roman3"/>
        <w:numPr>
          <w:ilvl w:val="0"/>
          <w:numId w:val="4"/>
        </w:numPr>
        <w:ind w:hanging="0" w:start="0"/>
        <w:rPr/>
      </w:pPr>
      <w:r>
        <w:rPr/>
        <w:t>such other Party is a Defaulting Party in accordance with the provisions of any Back-to-Back Transaction.</w:t>
      </w:r>
    </w:p>
    <w:p>
      <w:pPr>
        <w:pStyle w:val="alpha2"/>
        <w:numPr>
          <w:ilvl w:val="0"/>
          <w:numId w:val="2"/>
        </w:numPr>
        <w:ind w:hanging="0" w:start="0"/>
        <w:rPr/>
      </w:pPr>
      <w:r>
        <w:rPr/>
        <w:t>Any Default Termination Notice given under Clause 12.1 shall identify the ground for termination and shall specify a period of not less than two Business Days from the date of the notice at the end of which period this Agreement shall terminate, save where earlier termination is required by any Applicable Law in which case termination shall take place at the earlier time so required.</w:t>
      </w:r>
    </w:p>
    <w:p>
      <w:pPr>
        <w:pStyle w:val="alpha2"/>
        <w:numPr>
          <w:ilvl w:val="0"/>
          <w:numId w:val="2"/>
        </w:numPr>
        <w:ind w:hanging="0" w:start="0"/>
        <w:rPr/>
      </w:pPr>
      <w:r>
        <w:rPr/>
        <w:t>At the election of the Default Notifying Party, as specified by the Default Notifying Party in its Default Termination Notice any or all of, the following shall occur:</w:t>
      </w:r>
    </w:p>
    <w:p>
      <w:pPr>
        <w:pStyle w:val="roman3"/>
        <w:numPr>
          <w:ilvl w:val="0"/>
          <w:numId w:val="33"/>
        </w:numPr>
        <w:ind w:hanging="0" w:start="0"/>
        <w:rPr/>
      </w:pPr>
      <w:r>
        <w:rPr/>
        <w:t>the operation of Clause 2 of this Agreement shall cease;</w:t>
      </w:r>
    </w:p>
    <w:p>
      <w:pPr>
        <w:pStyle w:val="roman3"/>
        <w:numPr>
          <w:ilvl w:val="0"/>
          <w:numId w:val="4"/>
        </w:numPr>
        <w:ind w:hanging="0" w:start="0"/>
        <w:rPr/>
      </w:pPr>
      <w:r>
        <w:rPr/>
        <w:t>any right under Section 7 of the terms of any Back-to-Back Transaction may be exercised by the Default Notifying Party as if the Default Notifying Party were the Non-Defaulting Party (despite any provision to the contrary in those terms);</w:t>
      </w:r>
    </w:p>
    <w:p>
      <w:pPr>
        <w:pStyle w:val="roman3"/>
        <w:numPr>
          <w:ilvl w:val="0"/>
          <w:numId w:val="4"/>
        </w:numPr>
        <w:ind w:hanging="0" w:start="0"/>
        <w:rPr/>
      </w:pPr>
      <w:r>
        <w:rPr/>
        <w:t>any or all of the Back-to-Back Transactions shall be terminated in accordance with Section 7.2(c) of the terms of the relevant Back-to-Back Transaction and the Party other than the Default Notifying Party shall be the Defaulting Party (as defined in the Back-to-Back Transaction); and/or</w:t>
      </w:r>
    </w:p>
    <w:p>
      <w:pPr>
        <w:pStyle w:val="roman3"/>
        <w:numPr>
          <w:ilvl w:val="0"/>
          <w:numId w:val="4"/>
        </w:numPr>
        <w:ind w:hanging="0" w:start="0"/>
        <w:rPr/>
      </w:pPr>
      <w:r>
        <w:rPr/>
        <w:t>the provision of Services by MG PLC to Enron shall cease.</w:t>
      </w:r>
    </w:p>
    <w:p>
      <w:pPr>
        <w:pStyle w:val="Body3"/>
        <w:rPr/>
      </w:pPr>
      <w:r>
        <w:rPr/>
        <w:t>In the case that the Default Notifying Party shall elect for the occurrence of the events in all of paragraphs (i), (iii) and (iv), then any accrued and unpaid fees arising in accordance with Clause [4] of this Agreement shall be paid on the last to occur of these events. Enron may set off those fees against any other amount owing to it.</w:t>
      </w:r>
    </w:p>
    <w:p>
      <w:pPr>
        <w:pStyle w:val="Level5"/>
        <w:numPr>
          <w:ilvl w:val="0"/>
          <w:numId w:val="0"/>
        </w:numPr>
        <w:ind w:hanging="630" w:start="1350" w:end="0"/>
        <w:rPr/>
      </w:pPr>
      <w:r>
        <w:rPr/>
        <w:t>(d)</w:t>
        <w:tab/>
        <w:t>The Party other than the Notifying Party shall indemnify, defend and hold harmless the Notifying Party from and against all costs an expenses incurred by the Notifying Party as a result of a Default and incurred in the exercise of any remedies under a Transaction (including without limitation legal fees and expenses reasonably incurred , court costs, collection costs, interest charges and other disbursements).</w:t>
      </w:r>
    </w:p>
    <w:p>
      <w:pPr>
        <w:pStyle w:val="Level2"/>
        <w:numPr>
          <w:ilvl w:val="1"/>
          <w:numId w:val="14"/>
        </w:numPr>
        <w:ind w:hanging="0" w:start="0"/>
        <w:rPr/>
      </w:pPr>
      <w:r>
        <w:rPr/>
        <w:t>Termination following Unconditional Date</w:t>
      </w:r>
    </w:p>
    <w:p>
      <w:pPr>
        <w:pStyle w:val="alpha2"/>
        <w:numPr>
          <w:ilvl w:val="0"/>
          <w:numId w:val="34"/>
        </w:numPr>
        <w:ind w:hanging="0" w:start="0"/>
        <w:rPr/>
      </w:pPr>
      <w:r>
        <w:rPr/>
        <w:t>Subject to not receiving a Default Termination Notice from the other Party, either Party may terminate this Agreement at any time by written notice (the “</w:t>
      </w:r>
      <w:r>
        <w:rPr>
          <w:b/>
        </w:rPr>
        <w:t>Unconditional Date Termination Notice</w:t>
      </w:r>
      <w:r>
        <w:rPr/>
        <w:t>”) following the Unconditional Date.</w:t>
      </w:r>
    </w:p>
    <w:p>
      <w:pPr>
        <w:pStyle w:val="alpha2"/>
        <w:numPr>
          <w:ilvl w:val="0"/>
          <w:numId w:val="2"/>
        </w:numPr>
        <w:ind w:hanging="0" w:start="0"/>
        <w:rPr/>
      </w:pPr>
      <w:r>
        <w:rPr/>
        <w:t>Any Unconditional Date Termination Notice given under this Clause 12.2 shall specify that it is such a notice and shall specify a period of not less than two Business Days from the date of the notice at the end of which period this Agreement shall terminate.</w:t>
      </w:r>
    </w:p>
    <w:p>
      <w:pPr>
        <w:pStyle w:val="alpha2"/>
        <w:numPr>
          <w:ilvl w:val="0"/>
          <w:numId w:val="2"/>
        </w:numPr>
        <w:ind w:hanging="0" w:start="0"/>
        <w:rPr/>
      </w:pPr>
      <w:r>
        <w:rPr/>
        <w:t>If the Agreement is terminated pursuant to this Clause 12.2 then:</w:t>
      </w:r>
    </w:p>
    <w:p>
      <w:pPr>
        <w:pStyle w:val="roman3"/>
        <w:numPr>
          <w:ilvl w:val="0"/>
          <w:numId w:val="35"/>
        </w:numPr>
        <w:ind w:hanging="0" w:start="0"/>
        <w:rPr/>
      </w:pPr>
      <w:r>
        <w:rPr/>
        <w:t>the operation of Clause 2 shall cease;</w:t>
      </w:r>
    </w:p>
    <w:p>
      <w:pPr>
        <w:pStyle w:val="roman3"/>
        <w:numPr>
          <w:ilvl w:val="0"/>
          <w:numId w:val="4"/>
        </w:numPr>
        <w:ind w:hanging="0" w:start="0"/>
        <w:rPr/>
      </w:pPr>
      <w:r>
        <w:rPr/>
        <w:t>the provision of Services by MG PLC in relation to outstanding Counterparty Transactions shall cease;</w:t>
      </w:r>
    </w:p>
    <w:p>
      <w:pPr>
        <w:pStyle w:val="roman3"/>
        <w:numPr>
          <w:ilvl w:val="0"/>
          <w:numId w:val="4"/>
        </w:numPr>
        <w:ind w:hanging="0" w:start="0"/>
        <w:rPr/>
      </w:pPr>
      <w:r>
        <w:rPr/>
        <w:t>all rights and obligations of the Parties to the Back-to-Back Agreement shall cease; and</w:t>
      </w:r>
    </w:p>
    <w:p>
      <w:pPr>
        <w:pStyle w:val="roman3"/>
        <w:numPr>
          <w:ilvl w:val="0"/>
          <w:numId w:val="4"/>
        </w:numPr>
        <w:ind w:hanging="0" w:start="0"/>
        <w:rPr/>
      </w:pPr>
      <w:r>
        <w:rPr/>
        <w:t>any obligation to pay any fees arising in accordance with Clause [4] shall be extinguished.</w:t>
      </w:r>
    </w:p>
    <w:p>
      <w:pPr>
        <w:pStyle w:val="Level2"/>
        <w:numPr>
          <w:ilvl w:val="1"/>
          <w:numId w:val="14"/>
        </w:numPr>
        <w:ind w:hanging="0" w:start="0"/>
        <w:rPr/>
      </w:pPr>
      <w:r>
        <w:rPr/>
        <w:t>Termination following a lapse in the Offer or End Date</w:t>
      </w:r>
    </w:p>
    <w:p>
      <w:pPr>
        <w:pStyle w:val="alpha2"/>
        <w:numPr>
          <w:ilvl w:val="0"/>
          <w:numId w:val="36"/>
        </w:numPr>
        <w:ind w:hanging="0" w:start="0"/>
        <w:rPr/>
      </w:pPr>
      <w:r>
        <w:rPr/>
        <w:t>Subject to not receiving a Default Termination Notice from the other Party, this Agreement shall terminate automatically on the earlier of the Offer lapsing and [31 December 2000].</w:t>
      </w:r>
    </w:p>
    <w:p>
      <w:pPr>
        <w:pStyle w:val="alpha2"/>
        <w:numPr>
          <w:ilvl w:val="0"/>
          <w:numId w:val="2"/>
        </w:numPr>
        <w:ind w:hanging="0" w:start="0"/>
        <w:rPr/>
      </w:pPr>
      <w:r>
        <w:rPr/>
        <w:t>If the Agreement is terminated pursuant to this Clause 12.3 then the following shall occur:</w:t>
      </w:r>
    </w:p>
    <w:p>
      <w:pPr>
        <w:pStyle w:val="roman3"/>
        <w:numPr>
          <w:ilvl w:val="0"/>
          <w:numId w:val="37"/>
        </w:numPr>
        <w:ind w:hanging="0" w:start="0"/>
        <w:rPr/>
      </w:pPr>
      <w:r>
        <w:rPr/>
        <w:t>the operation of Clause 2 shall cease;</w:t>
      </w:r>
    </w:p>
    <w:p>
      <w:pPr>
        <w:pStyle w:val="roman3"/>
        <w:numPr>
          <w:ilvl w:val="0"/>
          <w:numId w:val="4"/>
        </w:numPr>
        <w:ind w:hanging="0" w:start="0"/>
        <w:rPr/>
      </w:pPr>
      <w:r>
        <w:rPr/>
        <w:t>the provision of Services by MG PLC in relation to all outstanding Counterparty Transactions shall continue until the settlement of the relevant Counterparty Transactions (the “</w:t>
      </w:r>
      <w:r>
        <w:rPr>
          <w:b/>
        </w:rPr>
        <w:t>Last Settlement Date</w:t>
      </w:r>
      <w:r>
        <w:rPr/>
        <w:t>”); and</w:t>
      </w:r>
    </w:p>
    <w:p>
      <w:pPr>
        <w:pStyle w:val="roman3"/>
        <w:numPr>
          <w:ilvl w:val="0"/>
          <w:numId w:val="4"/>
        </w:numPr>
        <w:ind w:hanging="0" w:start="0"/>
        <w:rPr/>
      </w:pPr>
      <w:r>
        <w:rPr/>
        <w:t xml:space="preserve">any accrued and unpaid fees arising in accordance with Clause [4] of this Agreement shall be paid three Business Days following the Last Settlement Date </w:t>
      </w:r>
    </w:p>
    <w:p>
      <w:pPr>
        <w:pStyle w:val="Level1"/>
        <w:numPr>
          <w:ilvl w:val="0"/>
          <w:numId w:val="14"/>
        </w:numPr>
        <w:ind w:hanging="0" w:start="0"/>
        <w:rPr/>
      </w:pPr>
      <w:r>
        <w:rPr/>
        <w:t>Survivorship</w:t>
      </w:r>
    </w:p>
    <w:p>
      <w:pPr>
        <w:pStyle w:val="Body2"/>
        <w:rPr/>
      </w:pPr>
      <w:r>
        <w:rPr/>
        <w:t xml:space="preserve">All remedies, exclusions of remedies and limitations under this Agreement shall survive termination of this Agreement. </w:t>
      </w:r>
    </w:p>
    <w:p>
      <w:pPr>
        <w:pStyle w:val="Level1"/>
        <w:numPr>
          <w:ilvl w:val="0"/>
          <w:numId w:val="14"/>
        </w:numPr>
        <w:ind w:hanging="0" w:start="0"/>
        <w:rPr/>
      </w:pPr>
      <w:r>
        <w:rPr/>
        <w:t>Time of the essence</w:t>
      </w:r>
    </w:p>
    <w:p>
      <w:pPr>
        <w:pStyle w:val="Body1"/>
        <w:rPr/>
      </w:pPr>
      <w:r>
        <w:rPr/>
        <w:t>Any time, date or period referred to in this Agreement may be extended by mutual agreement between the Parties, but as regards any time, date or period originally fixed or any time, date or period so extended time shall be of the essence.</w:t>
      </w:r>
    </w:p>
    <w:p>
      <w:pPr>
        <w:pStyle w:val="Level1"/>
        <w:numPr>
          <w:ilvl w:val="0"/>
          <w:numId w:val="14"/>
        </w:numPr>
        <w:ind w:hanging="0" w:start="0"/>
        <w:rPr/>
      </w:pPr>
      <w:r>
        <w:rPr/>
        <w:t>No waiver</w:t>
      </w:r>
    </w:p>
    <w:p>
      <w:pPr>
        <w:pStyle w:val="Body1"/>
        <w:rPr/>
      </w:pPr>
      <w:r>
        <w:rPr/>
        <w:t>Except as otherwise provided in this Agreement, no failure or delay to exercise any power, right or remedy under this Agreement shall operate as a waiver thereof, nor shall any single or partial exercise or waiver of any such power, right or remedy preclude its further exercise or the exercise of any other power, right or remedy. Except as otherwise provided in this Agreement, the powers, rights and remedies provided in this Agreement are cumulative and not exclusive of any powers, rights or remedies provided by law.</w:t>
      </w:r>
    </w:p>
    <w:p>
      <w:pPr>
        <w:pStyle w:val="Level1"/>
        <w:numPr>
          <w:ilvl w:val="0"/>
          <w:numId w:val="14"/>
        </w:numPr>
        <w:ind w:hanging="0" w:start="0"/>
        <w:rPr/>
      </w:pPr>
      <w:r>
        <w:rPr/>
        <w:t>No partnership</w:t>
      </w:r>
    </w:p>
    <w:p>
      <w:pPr>
        <w:pStyle w:val="Body1"/>
        <w:rPr/>
      </w:pPr>
      <w:r>
        <w:rPr/>
        <w:t>Nothing in this Agreement shall constitute a partnership between the Parties.</w:t>
      </w:r>
    </w:p>
    <w:p>
      <w:pPr>
        <w:pStyle w:val="Level1"/>
        <w:numPr>
          <w:ilvl w:val="0"/>
          <w:numId w:val="14"/>
        </w:numPr>
        <w:ind w:hanging="0" w:start="0"/>
        <w:rPr/>
      </w:pPr>
      <w:r>
        <w:rPr/>
        <w:t>Notices</w:t>
      </w:r>
    </w:p>
    <w:p>
      <w:pPr>
        <w:pStyle w:val="Level2"/>
        <w:numPr>
          <w:ilvl w:val="1"/>
          <w:numId w:val="14"/>
        </w:numPr>
        <w:ind w:hanging="0" w:start="0"/>
        <w:rPr/>
      </w:pPr>
      <w:r>
        <w:rPr/>
        <w:t>In Writing</w:t>
      </w:r>
    </w:p>
    <w:p>
      <w:pPr>
        <w:pStyle w:val="Body2"/>
        <w:rPr/>
      </w:pPr>
      <w:r>
        <w:rPr/>
        <w:t>Any notice or other communication which is required to be given or served under or in connection with this Agreement shall be in writing and shall be sufficiently given or served if delivered or sent to a Party at its address stated above (or, as the case may be, any other address notified to the Party making the communication, in accordance with this Clause 17) and marked for the attention of the Legal Department.</w:t>
      </w:r>
    </w:p>
    <w:p>
      <w:pPr>
        <w:pStyle w:val="Level2"/>
        <w:numPr>
          <w:ilvl w:val="1"/>
          <w:numId w:val="14"/>
        </w:numPr>
        <w:ind w:hanging="0" w:start="0"/>
        <w:rPr/>
      </w:pPr>
      <w:r>
        <w:rPr/>
        <w:t xml:space="preserve">Delivery </w:t>
      </w:r>
    </w:p>
    <w:p>
      <w:pPr>
        <w:pStyle w:val="Body2"/>
        <w:rPr/>
      </w:pPr>
      <w:r>
        <w:rPr/>
        <w:t>Any such notice or other communication shall be delivered by hand or sent by courier, fax or prepaid first class post. If sent by courier or fax such notice or communication shall conclusively be deemed to have been given or served at the time of despatch. If sent by post such notice or communication shall conclusively be deemed to have been received two Business Days from the time of posting.</w:t>
      </w:r>
    </w:p>
    <w:p>
      <w:pPr>
        <w:pStyle w:val="Level1"/>
        <w:numPr>
          <w:ilvl w:val="0"/>
          <w:numId w:val="14"/>
        </w:numPr>
        <w:ind w:hanging="0" w:start="0"/>
        <w:rPr/>
      </w:pPr>
      <w:r>
        <w:rPr/>
        <w:t>Costs and expenses; VAT</w:t>
      </w:r>
    </w:p>
    <w:p>
      <w:pPr>
        <w:pStyle w:val="Body1"/>
        <w:rPr/>
      </w:pPr>
      <w:r>
        <w:rPr/>
        <w:t>Each Party shall bear its own costs and expenses in connection with the negotiation, preparation, and entering into this Agreement. All amounts referred to in this Agreement are exclusive of any applicable value added tax and, accordingly, MG PLC shall pay on demand to Enron (in addition to such amounts) any value added tax properly chargeable in respect of such amounts.</w:t>
      </w:r>
    </w:p>
    <w:p>
      <w:pPr>
        <w:pStyle w:val="Level1"/>
        <w:numPr>
          <w:ilvl w:val="0"/>
          <w:numId w:val="14"/>
        </w:numPr>
        <w:ind w:hanging="677" w:start="677" w:end="0"/>
        <w:rPr/>
      </w:pPr>
      <w:r>
        <w:rPr/>
        <w:t>Counterparts</w:t>
      </w:r>
    </w:p>
    <w:p>
      <w:pPr>
        <w:pStyle w:val="Body1"/>
        <w:rPr/>
      </w:pPr>
      <w:r>
        <w:rPr/>
        <w:t>This Agreement may be executed in any number of counterparts, each of which shall be deemed an original, but all the counterparts shall together constitute one and the same instrument.</w:t>
      </w:r>
    </w:p>
    <w:p>
      <w:pPr>
        <w:pStyle w:val="Level1"/>
        <w:numPr>
          <w:ilvl w:val="0"/>
          <w:numId w:val="14"/>
        </w:numPr>
        <w:ind w:hanging="0" w:start="0"/>
        <w:rPr/>
      </w:pPr>
      <w:r>
        <w:rPr/>
        <w:t>Governing law</w:t>
      </w:r>
    </w:p>
    <w:p>
      <w:pPr>
        <w:pStyle w:val="Body2"/>
        <w:rPr/>
      </w:pPr>
      <w:r>
        <w:rPr/>
        <w:t>This Agreement and the documents to be entered into pursuant to it, shall be governed by and construed in accordance with English law.</w:t>
      </w:r>
    </w:p>
    <w:p>
      <w:pPr>
        <w:pStyle w:val="Body"/>
        <w:rPr/>
      </w:pPr>
      <w:r>
        <w:rPr>
          <w:b/>
        </w:rPr>
        <w:t>In witness</w:t>
      </w:r>
      <w:r>
        <w:rPr/>
        <w:t xml:space="preserve"> whereof this document has been duly executed as of the date stated at the beginning.</w:t>
      </w:r>
    </w:p>
    <w:p>
      <w:pPr>
        <w:pStyle w:val="Normal"/>
        <w:rPr/>
      </w:pPr>
      <w:r>
        <w:rPr/>
      </w:r>
    </w:p>
    <w:tbl>
      <w:tblPr>
        <w:tblW w:w="9297" w:type="dxa"/>
        <w:jc w:val="start"/>
        <w:tblInd w:w="0" w:type="dxa"/>
        <w:tblLayout w:type="fixed"/>
        <w:tblCellMar>
          <w:top w:w="0" w:type="dxa"/>
          <w:start w:w="108" w:type="dxa"/>
          <w:bottom w:w="0" w:type="dxa"/>
          <w:end w:w="108" w:type="dxa"/>
        </w:tblCellMar>
      </w:tblPr>
      <w:tblGrid>
        <w:gridCol w:w="4968"/>
        <w:gridCol w:w="1230"/>
        <w:gridCol w:w="3099"/>
      </w:tblGrid>
      <w:tr>
        <w:trPr/>
        <w:tc>
          <w:tcPr>
            <w:tcW w:w="4968" w:type="dxa"/>
            <w:tcBorders/>
          </w:tcPr>
          <w:p>
            <w:pPr>
              <w:pStyle w:val="CellBody"/>
              <w:spacing w:before="0" w:after="0"/>
              <w:rPr/>
            </w:pPr>
            <w:r>
              <w:rPr>
                <w:b/>
              </w:rPr>
              <w:t>ENRON CAPITAL &amp; TRADE RESOURCES LIMITED</w:t>
            </w:r>
            <w:r>
              <w:rPr/>
              <w:br/>
            </w:r>
          </w:p>
          <w:p>
            <w:pPr>
              <w:pStyle w:val="CellBody"/>
              <w:spacing w:before="0" w:after="0"/>
              <w:rPr/>
            </w:pPr>
            <w:r>
              <w:rPr/>
              <w:t>By:</w:t>
            </w:r>
          </w:p>
          <w:p>
            <w:pPr>
              <w:pStyle w:val="CellBody"/>
              <w:spacing w:before="0" w:after="0"/>
              <w:rPr/>
            </w:pPr>
            <w:r>
              <w:rPr/>
            </w:r>
          </w:p>
        </w:tc>
        <w:tc>
          <w:tcPr>
            <w:tcW w:w="1230" w:type="dxa"/>
            <w:tcBorders/>
          </w:tcPr>
          <w:p>
            <w:pPr>
              <w:pStyle w:val="CellBody"/>
              <w:snapToGrid w:val="false"/>
              <w:spacing w:before="0" w:after="0"/>
              <w:rPr/>
            </w:pPr>
            <w:r>
              <w:rPr/>
            </w:r>
          </w:p>
        </w:tc>
        <w:tc>
          <w:tcPr>
            <w:tcW w:w="3099" w:type="dxa"/>
            <w:tcBorders/>
          </w:tcPr>
          <w:p>
            <w:pPr>
              <w:pStyle w:val="CellBody"/>
              <w:snapToGrid w:val="false"/>
              <w:spacing w:before="0" w:after="0"/>
              <w:rPr/>
            </w:pPr>
            <w:r>
              <w:rPr/>
            </w:r>
          </w:p>
          <w:p>
            <w:pPr>
              <w:pStyle w:val="CellBody"/>
              <w:spacing w:before="0" w:after="0"/>
              <w:rPr/>
            </w:pPr>
            <w:r>
              <w:rPr/>
            </w:r>
          </w:p>
        </w:tc>
      </w:tr>
    </w:tbl>
    <w:p>
      <w:pPr>
        <w:pStyle w:val="Normal"/>
        <w:rPr/>
      </w:pPr>
      <w:r>
        <w:rPr/>
      </w:r>
    </w:p>
    <w:tbl>
      <w:tblPr>
        <w:tblW w:w="9297" w:type="dxa"/>
        <w:jc w:val="start"/>
        <w:tblInd w:w="0" w:type="dxa"/>
        <w:tblLayout w:type="fixed"/>
        <w:tblCellMar>
          <w:top w:w="0" w:type="dxa"/>
          <w:start w:w="108" w:type="dxa"/>
          <w:bottom w:w="0" w:type="dxa"/>
          <w:end w:w="108" w:type="dxa"/>
        </w:tblCellMar>
      </w:tblPr>
      <w:tblGrid>
        <w:gridCol w:w="4968"/>
        <w:gridCol w:w="1230"/>
        <w:gridCol w:w="3099"/>
      </w:tblGrid>
      <w:tr>
        <w:trPr/>
        <w:tc>
          <w:tcPr>
            <w:tcW w:w="4968" w:type="dxa"/>
            <w:tcBorders/>
          </w:tcPr>
          <w:p>
            <w:pPr>
              <w:pStyle w:val="CellBody"/>
              <w:spacing w:before="0" w:after="0"/>
              <w:rPr>
                <w:b/>
              </w:rPr>
            </w:pPr>
            <w:r>
              <w:rPr>
                <w:b/>
              </w:rPr>
              <w:t>[MG PLC]</w:t>
            </w:r>
          </w:p>
          <w:p>
            <w:pPr>
              <w:pStyle w:val="CellBody"/>
              <w:spacing w:before="0" w:after="0"/>
              <w:rPr>
                <w:b/>
              </w:rPr>
            </w:pPr>
            <w:r>
              <w:rPr>
                <w:b/>
              </w:rPr>
            </w:r>
          </w:p>
          <w:p>
            <w:pPr>
              <w:pStyle w:val="CellBody"/>
              <w:spacing w:before="0" w:after="0"/>
              <w:rPr/>
            </w:pPr>
            <w:r>
              <w:rPr/>
              <w:t>By:</w:t>
            </w:r>
          </w:p>
          <w:p>
            <w:pPr>
              <w:pStyle w:val="CellBody"/>
              <w:spacing w:before="0" w:after="0"/>
              <w:rPr>
                <w:b/>
              </w:rPr>
            </w:pPr>
            <w:r>
              <w:rPr>
                <w:b/>
              </w:rPr>
            </w:r>
          </w:p>
        </w:tc>
        <w:tc>
          <w:tcPr>
            <w:tcW w:w="1230" w:type="dxa"/>
            <w:tcBorders/>
          </w:tcPr>
          <w:p>
            <w:pPr>
              <w:pStyle w:val="CellBody"/>
              <w:snapToGrid w:val="false"/>
              <w:spacing w:before="0" w:after="0"/>
              <w:rPr>
                <w:b/>
              </w:rPr>
            </w:pPr>
            <w:r>
              <w:rPr>
                <w:b/>
              </w:rPr>
            </w:r>
          </w:p>
        </w:tc>
        <w:tc>
          <w:tcPr>
            <w:tcW w:w="3099" w:type="dxa"/>
            <w:tcBorders/>
          </w:tcPr>
          <w:p>
            <w:pPr>
              <w:pStyle w:val="CellBody"/>
              <w:snapToGrid w:val="false"/>
              <w:spacing w:before="0" w:after="0"/>
              <w:rPr>
                <w:b/>
              </w:rPr>
            </w:pPr>
            <w:r>
              <w:rPr>
                <w:b/>
              </w:rPr>
            </w:r>
          </w:p>
        </w:tc>
      </w:tr>
      <w:tr>
        <w:trPr>
          <w:trHeight w:val="240" w:hRule="exact"/>
        </w:trPr>
        <w:tc>
          <w:tcPr>
            <w:tcW w:w="4968" w:type="dxa"/>
            <w:tcBorders/>
          </w:tcPr>
          <w:p>
            <w:pPr>
              <w:pStyle w:val="CellBody"/>
              <w:snapToGrid w:val="false"/>
              <w:spacing w:before="140" w:after="60"/>
              <w:rPr>
                <w:b/>
              </w:rPr>
            </w:pPr>
            <w:r>
              <w:rPr>
                <w:b/>
              </w:rPr>
            </w:r>
          </w:p>
        </w:tc>
        <w:tc>
          <w:tcPr>
            <w:tcW w:w="1230" w:type="dxa"/>
            <w:tcBorders/>
          </w:tcPr>
          <w:p>
            <w:pPr>
              <w:pStyle w:val="CellBody"/>
              <w:snapToGrid w:val="false"/>
              <w:spacing w:before="140" w:after="60"/>
              <w:rPr/>
            </w:pPr>
            <w:r>
              <w:rPr/>
            </w:r>
          </w:p>
        </w:tc>
        <w:tc>
          <w:tcPr>
            <w:tcW w:w="3099" w:type="dxa"/>
            <w:tcBorders/>
          </w:tcPr>
          <w:p>
            <w:pPr>
              <w:pStyle w:val="CellBody"/>
              <w:snapToGrid w:val="false"/>
              <w:spacing w:before="140" w:after="60"/>
              <w:rPr/>
            </w:pPr>
            <w:r>
              <w:rPr/>
            </w:r>
          </w:p>
        </w:tc>
      </w:tr>
    </w:tbl>
    <w:p>
      <w:pPr>
        <w:sectPr>
          <w:headerReference w:type="default" r:id="rId4"/>
          <w:headerReference w:type="first" r:id="rId5"/>
          <w:footerReference w:type="default" r:id="rId6"/>
          <w:footerReference w:type="first" r:id="rId7"/>
          <w:type w:val="nextPage"/>
          <w:pgSz w:w="11906" w:h="16838"/>
          <w:pgMar w:left="1411" w:right="1152" w:gutter="0" w:header="720" w:top="1699" w:footer="461" w:bottom="1699"/>
          <w:pgNumType w:start="1" w:fmt="decimal"/>
          <w:formProt w:val="false"/>
          <w:textDirection w:val="lrTb"/>
          <w:docGrid w:type="default" w:linePitch="360" w:charSpace="0"/>
        </w:sectPr>
      </w:pPr>
    </w:p>
    <w:p>
      <w:pPr>
        <w:pStyle w:val="SchedApps"/>
        <w:rPr/>
      </w:pPr>
      <w:r>
        <w:rPr/>
        <w:t>Schedule [TO BE COMPLETED BY ENRON]</w:t>
      </w:r>
    </w:p>
    <w:p>
      <w:pPr>
        <w:pStyle w:val="Body"/>
        <w:jc w:val="center"/>
        <w:rPr/>
      </w:pPr>
      <w:r>
        <w:rPr/>
        <w:t>Services</w:t>
      </w:r>
    </w:p>
    <w:tbl>
      <w:tblPr>
        <w:tblW w:w="14418" w:type="dxa"/>
        <w:jc w:val="start"/>
        <w:tblInd w:w="0" w:type="dxa"/>
        <w:tblLayout w:type="fixed"/>
        <w:tblCellMar>
          <w:top w:w="0" w:type="dxa"/>
          <w:start w:w="108" w:type="dxa"/>
          <w:bottom w:w="0" w:type="dxa"/>
          <w:end w:w="108" w:type="dxa"/>
        </w:tblCellMar>
      </w:tblPr>
      <w:tblGrid>
        <w:gridCol w:w="2268"/>
        <w:gridCol w:w="7"/>
        <w:gridCol w:w="243"/>
        <w:gridCol w:w="1197"/>
        <w:gridCol w:w="1584"/>
        <w:gridCol w:w="1584"/>
        <w:gridCol w:w="1584"/>
        <w:gridCol w:w="11"/>
        <w:gridCol w:w="5893"/>
        <w:gridCol w:w="47"/>
      </w:tblGrid>
      <w:tr>
        <w:trPr>
          <w:tblHeader w:val="true"/>
        </w:trPr>
        <w:tc>
          <w:tcPr>
            <w:tcW w:w="2268" w:type="dxa"/>
            <w:tcBorders/>
          </w:tcPr>
          <w:p>
            <w:pPr>
              <w:pStyle w:val="CellHead"/>
              <w:spacing w:before="60" w:after="60"/>
              <w:jc w:val="center"/>
              <w:rPr/>
            </w:pPr>
            <w:r>
              <w:rPr/>
              <w:t>Product - Copper</w:t>
            </w:r>
          </w:p>
        </w:tc>
        <w:tc>
          <w:tcPr>
            <w:tcW w:w="6210" w:type="dxa"/>
            <w:gridSpan w:val="7"/>
            <w:tcBorders/>
          </w:tcPr>
          <w:p>
            <w:pPr>
              <w:pStyle w:val="CellHead"/>
              <w:spacing w:before="60" w:after="60"/>
              <w:jc w:val="center"/>
              <w:rPr/>
            </w:pPr>
            <w:r>
              <w:rPr/>
              <w:t>Performance Dates</w:t>
            </w:r>
          </w:p>
        </w:tc>
        <w:tc>
          <w:tcPr>
            <w:tcW w:w="5940" w:type="dxa"/>
            <w:gridSpan w:val="2"/>
            <w:tcBorders/>
          </w:tcPr>
          <w:p>
            <w:pPr>
              <w:pStyle w:val="CellHead"/>
              <w:spacing w:before="60" w:after="60"/>
              <w:jc w:val="center"/>
              <w:rPr/>
            </w:pPr>
            <w:r>
              <w:rPr/>
              <w:t>Detail of Function for that Product</w:t>
            </w:r>
          </w:p>
        </w:tc>
      </w:tr>
      <w:tr>
        <w:trPr/>
        <w:tc>
          <w:tcPr>
            <w:tcW w:w="2275" w:type="dxa"/>
            <w:gridSpan w:val="2"/>
            <w:tcBorders/>
          </w:tcPr>
          <w:p>
            <w:pPr>
              <w:pStyle w:val="CellHead"/>
              <w:snapToGrid w:val="false"/>
              <w:spacing w:before="60" w:after="60"/>
              <w:jc w:val="center"/>
              <w:rPr/>
            </w:pPr>
            <w:r>
              <w:rPr/>
            </w:r>
          </w:p>
        </w:tc>
        <w:tc>
          <w:tcPr>
            <w:tcW w:w="1440" w:type="dxa"/>
            <w:gridSpan w:val="2"/>
            <w:tcBorders/>
          </w:tcPr>
          <w:p>
            <w:pPr>
              <w:pStyle w:val="CellHead"/>
              <w:spacing w:before="60" w:after="60"/>
              <w:jc w:val="center"/>
              <w:rPr/>
            </w:pPr>
            <w:r>
              <w:rPr/>
              <w:t>Weekly</w:t>
            </w:r>
          </w:p>
        </w:tc>
        <w:tc>
          <w:tcPr>
            <w:tcW w:w="1584" w:type="dxa"/>
            <w:tcBorders/>
          </w:tcPr>
          <w:p>
            <w:pPr>
              <w:pStyle w:val="CellHead"/>
              <w:spacing w:before="60" w:after="60"/>
              <w:jc w:val="center"/>
              <w:rPr/>
            </w:pPr>
            <w:r>
              <w:rPr/>
              <w:t>Monthly</w:t>
            </w:r>
          </w:p>
        </w:tc>
        <w:tc>
          <w:tcPr>
            <w:tcW w:w="1584" w:type="dxa"/>
            <w:tcBorders/>
          </w:tcPr>
          <w:p>
            <w:pPr>
              <w:pStyle w:val="CellHead"/>
              <w:spacing w:before="60" w:after="60"/>
              <w:jc w:val="center"/>
              <w:rPr/>
            </w:pPr>
            <w:r>
              <w:rPr/>
              <w:t>Quarterly</w:t>
            </w:r>
          </w:p>
        </w:tc>
        <w:tc>
          <w:tcPr>
            <w:tcW w:w="1595" w:type="dxa"/>
            <w:gridSpan w:val="2"/>
            <w:tcBorders/>
          </w:tcPr>
          <w:p>
            <w:pPr>
              <w:pStyle w:val="CellHead"/>
              <w:spacing w:before="60" w:after="60"/>
              <w:jc w:val="center"/>
              <w:rPr/>
            </w:pPr>
            <w:r>
              <w:rPr/>
              <w:t>Other</w:t>
            </w:r>
          </w:p>
        </w:tc>
        <w:tc>
          <w:tcPr>
            <w:tcW w:w="5893" w:type="dxa"/>
            <w:tcBorders/>
          </w:tcPr>
          <w:p>
            <w:pPr>
              <w:pStyle w:val="CellHead"/>
              <w:snapToGrid w:val="false"/>
              <w:spacing w:before="60" w:after="60"/>
              <w:jc w:val="center"/>
              <w:rPr/>
            </w:pPr>
            <w:r>
              <w:rPr/>
            </w:r>
          </w:p>
        </w:tc>
        <w:tc>
          <w:tcPr>
            <w:tcW w:w="47" w:type="dxa"/>
            <w:tcBorders/>
            <w:tcMar>
              <w:start w:w="0" w:type="dxa"/>
              <w:end w:w="0" w:type="dxa"/>
            </w:tcMar>
          </w:tcPr>
          <w:p>
            <w:pPr>
              <w:pStyle w:val="Normal"/>
              <w:snapToGrid w:val="false"/>
              <w:rPr>
                <w:b/>
              </w:rPr>
            </w:pPr>
            <w:r>
              <w:rPr>
                <w:b/>
              </w:rPr>
            </w:r>
          </w:p>
        </w:tc>
      </w:tr>
      <w:tr>
        <w:trPr/>
        <w:tc>
          <w:tcPr>
            <w:tcW w:w="2275" w:type="dxa"/>
            <w:gridSpan w:val="2"/>
            <w:tcBorders/>
          </w:tcPr>
          <w:p>
            <w:pPr>
              <w:pStyle w:val="Body"/>
              <w:snapToGrid w:val="false"/>
              <w:spacing w:before="0" w:after="140"/>
              <w:rPr>
                <w:b/>
              </w:rPr>
            </w:pPr>
            <w:r>
              <w:rPr>
                <w:b/>
              </w:rPr>
            </w:r>
          </w:p>
        </w:tc>
        <w:tc>
          <w:tcPr>
            <w:tcW w:w="1440" w:type="dxa"/>
            <w:gridSpan w:val="2"/>
            <w:tcBorders/>
          </w:tcPr>
          <w:p>
            <w:pPr>
              <w:pStyle w:val="Body"/>
              <w:snapToGrid w:val="false"/>
              <w:spacing w:before="0" w:after="140"/>
              <w:jc w:val="center"/>
              <w:rPr>
                <w:b/>
              </w:rPr>
            </w:pPr>
            <w:r>
              <w:rPr>
                <w:b/>
              </w:rPr>
            </w:r>
          </w:p>
        </w:tc>
        <w:tc>
          <w:tcPr>
            <w:tcW w:w="1584" w:type="dxa"/>
            <w:tcBorders/>
          </w:tcPr>
          <w:p>
            <w:pPr>
              <w:pStyle w:val="Body"/>
              <w:snapToGrid w:val="false"/>
              <w:spacing w:before="0" w:after="140"/>
              <w:jc w:val="center"/>
              <w:rPr>
                <w:b/>
              </w:rPr>
            </w:pPr>
            <w:r>
              <w:rPr>
                <w:b/>
              </w:rPr>
            </w:r>
          </w:p>
        </w:tc>
        <w:tc>
          <w:tcPr>
            <w:tcW w:w="1584" w:type="dxa"/>
            <w:tcBorders/>
          </w:tcPr>
          <w:p>
            <w:pPr>
              <w:pStyle w:val="Body"/>
              <w:snapToGrid w:val="false"/>
              <w:spacing w:before="0" w:after="140"/>
              <w:jc w:val="center"/>
              <w:rPr>
                <w:b/>
              </w:rPr>
            </w:pPr>
            <w:r>
              <w:rPr>
                <w:b/>
              </w:rPr>
            </w:r>
          </w:p>
        </w:tc>
        <w:tc>
          <w:tcPr>
            <w:tcW w:w="1595" w:type="dxa"/>
            <w:gridSpan w:val="2"/>
            <w:tcBorders/>
          </w:tcPr>
          <w:p>
            <w:pPr>
              <w:pStyle w:val="Body"/>
              <w:snapToGrid w:val="false"/>
              <w:spacing w:before="0" w:after="140"/>
              <w:jc w:val="center"/>
              <w:rPr>
                <w:b/>
              </w:rPr>
            </w:pPr>
            <w:r>
              <w:rPr>
                <w:b/>
              </w:rPr>
            </w:r>
          </w:p>
        </w:tc>
        <w:tc>
          <w:tcPr>
            <w:tcW w:w="5893" w:type="dxa"/>
            <w:tcBorders/>
          </w:tcPr>
          <w:p>
            <w:pPr>
              <w:pStyle w:val="Body"/>
              <w:snapToGrid w:val="false"/>
              <w:spacing w:before="0" w:after="140"/>
              <w:rPr>
                <w:b/>
              </w:rPr>
            </w:pPr>
            <w:r>
              <w:rPr>
                <w:b/>
              </w:rPr>
            </w:r>
          </w:p>
        </w:tc>
        <w:tc>
          <w:tcPr>
            <w:tcW w:w="47" w:type="dxa"/>
            <w:tcBorders/>
            <w:tcMar>
              <w:start w:w="0" w:type="dxa"/>
              <w:end w:w="0" w:type="dxa"/>
            </w:tcMar>
          </w:tcPr>
          <w:p>
            <w:pPr>
              <w:pStyle w:val="Normal"/>
              <w:snapToGrid w:val="false"/>
              <w:rPr/>
            </w:pPr>
            <w:r>
              <w:rPr/>
            </w:r>
          </w:p>
        </w:tc>
      </w:tr>
      <w:tr>
        <w:trPr/>
        <w:tc>
          <w:tcPr>
            <w:tcW w:w="2518" w:type="dxa"/>
            <w:gridSpan w:val="3"/>
            <w:tcBorders/>
          </w:tcPr>
          <w:p>
            <w:pPr>
              <w:pStyle w:val="Schedule1"/>
              <w:keepNext w:val="true"/>
              <w:numPr>
                <w:ilvl w:val="0"/>
                <w:numId w:val="24"/>
              </w:numPr>
              <w:spacing w:before="140" w:after="140"/>
              <w:ind w:hanging="0" w:start="0"/>
              <w:rPr>
                <w:b/>
                <w:sz w:val="22"/>
              </w:rPr>
            </w:pPr>
            <w:r>
              <w:rPr>
                <w:b/>
                <w:sz w:val="22"/>
              </w:rPr>
              <w:t>Confirmations</w:t>
            </w:r>
          </w:p>
        </w:tc>
        <w:tc>
          <w:tcPr>
            <w:tcW w:w="1197" w:type="dxa"/>
            <w:tcBorders/>
          </w:tcPr>
          <w:p>
            <w:pPr>
              <w:pStyle w:val="Body"/>
              <w:snapToGrid w:val="false"/>
              <w:spacing w:before="0" w:after="140"/>
              <w:jc w:val="center"/>
              <w:rPr>
                <w:b/>
                <w:sz w:val="22"/>
              </w:rPr>
            </w:pPr>
            <w:r>
              <w:rPr>
                <w:b/>
                <w:sz w:val="22"/>
              </w:rPr>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95" w:type="dxa"/>
            <w:gridSpan w:val="2"/>
            <w:tcBorders/>
          </w:tcPr>
          <w:p>
            <w:pPr>
              <w:pStyle w:val="Body"/>
              <w:spacing w:before="0" w:after="140"/>
              <w:jc w:val="start"/>
              <w:rPr/>
            </w:pPr>
            <w:r>
              <w:rPr/>
              <w:t>Promptly after trade date</w:t>
            </w:r>
          </w:p>
        </w:tc>
        <w:tc>
          <w:tcPr>
            <w:tcW w:w="5893" w:type="dxa"/>
            <w:tcBorders/>
          </w:tcPr>
          <w:p>
            <w:pPr>
              <w:pStyle w:val="Body"/>
              <w:widowControl/>
              <w:bidi w:val="0"/>
              <w:spacing w:lineRule="auto" w:line="288" w:before="0" w:after="140"/>
              <w:jc w:val="both"/>
              <w:rPr/>
            </w:pPr>
            <w:r>
              <w:rPr/>
              <w:t>MG PLC shall prepare a Confirmation on Enron’s letterhead and send to Counterparty</w:t>
            </w:r>
          </w:p>
        </w:tc>
        <w:tc>
          <w:tcPr>
            <w:tcW w:w="47" w:type="dxa"/>
            <w:tcBorders/>
            <w:tcMar>
              <w:start w:w="0" w:type="dxa"/>
              <w:end w:w="0" w:type="dxa"/>
            </w:tcMar>
          </w:tcPr>
          <w:p>
            <w:pPr>
              <w:pStyle w:val="Normal"/>
              <w:snapToGrid w:val="false"/>
              <w:rPr>
                <w:b/>
              </w:rPr>
            </w:pPr>
            <w:r>
              <w:rPr>
                <w:b/>
              </w:rPr>
            </w:r>
          </w:p>
        </w:tc>
      </w:tr>
      <w:tr>
        <w:trPr/>
        <w:tc>
          <w:tcPr>
            <w:tcW w:w="2518" w:type="dxa"/>
            <w:gridSpan w:val="3"/>
            <w:tcBorders/>
          </w:tcPr>
          <w:p>
            <w:pPr>
              <w:pStyle w:val="Body"/>
              <w:snapToGrid w:val="false"/>
              <w:spacing w:before="0" w:after="140"/>
              <w:rPr>
                <w:b/>
              </w:rPr>
            </w:pPr>
            <w:r>
              <w:rPr>
                <w:b/>
              </w:rPr>
            </w:r>
          </w:p>
        </w:tc>
        <w:tc>
          <w:tcPr>
            <w:tcW w:w="1197"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95" w:type="dxa"/>
            <w:gridSpan w:val="2"/>
            <w:tcBorders/>
          </w:tcPr>
          <w:p>
            <w:pPr>
              <w:pStyle w:val="Body"/>
              <w:spacing w:before="0" w:after="140"/>
              <w:jc w:val="start"/>
              <w:rPr/>
            </w:pPr>
            <w:r>
              <w:rPr/>
              <w:t>Within 5 Business Days of trade date</w:t>
            </w:r>
          </w:p>
        </w:tc>
        <w:tc>
          <w:tcPr>
            <w:tcW w:w="5893" w:type="dxa"/>
            <w:tcBorders/>
          </w:tcPr>
          <w:p>
            <w:pPr>
              <w:pStyle w:val="Body"/>
              <w:widowControl/>
              <w:bidi w:val="0"/>
              <w:spacing w:lineRule="auto" w:line="288" w:before="0" w:after="140"/>
              <w:jc w:val="both"/>
              <w:rPr/>
            </w:pPr>
            <w:r>
              <w:rPr/>
              <w:t>MG PLC will arrange for the Confirmation to be executed by the Counterparty and Enron (either by a Designated Signatory of MG PLC or otherwise)</w:t>
            </w:r>
          </w:p>
        </w:tc>
        <w:tc>
          <w:tcPr>
            <w:tcW w:w="47" w:type="dxa"/>
            <w:tcBorders/>
            <w:tcMar>
              <w:start w:w="0" w:type="dxa"/>
              <w:end w:w="0" w:type="dxa"/>
            </w:tcMar>
          </w:tcPr>
          <w:p>
            <w:pPr>
              <w:pStyle w:val="Normal"/>
              <w:snapToGrid w:val="false"/>
              <w:rPr>
                <w:b/>
              </w:rPr>
            </w:pPr>
            <w:r>
              <w:rPr>
                <w:b/>
              </w:rPr>
            </w:r>
          </w:p>
        </w:tc>
      </w:tr>
      <w:tr>
        <w:trPr/>
        <w:tc>
          <w:tcPr>
            <w:tcW w:w="2518" w:type="dxa"/>
            <w:gridSpan w:val="3"/>
            <w:tcBorders/>
          </w:tcPr>
          <w:p>
            <w:pPr>
              <w:pStyle w:val="Body"/>
              <w:snapToGrid w:val="false"/>
              <w:spacing w:before="0" w:after="140"/>
              <w:rPr>
                <w:b/>
              </w:rPr>
            </w:pPr>
            <w:r>
              <w:rPr>
                <w:b/>
              </w:rPr>
            </w:r>
          </w:p>
        </w:tc>
        <w:tc>
          <w:tcPr>
            <w:tcW w:w="1197"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95" w:type="dxa"/>
            <w:gridSpan w:val="2"/>
            <w:tcBorders/>
          </w:tcPr>
          <w:p>
            <w:pPr>
              <w:pStyle w:val="Body"/>
              <w:spacing w:before="0" w:after="140"/>
              <w:jc w:val="start"/>
              <w:rPr/>
            </w:pPr>
            <w:r>
              <w:rPr/>
              <w:t>Within one Business Day of execution of the Confirmation</w:t>
            </w:r>
          </w:p>
        </w:tc>
        <w:tc>
          <w:tcPr>
            <w:tcW w:w="5893" w:type="dxa"/>
            <w:tcBorders/>
          </w:tcPr>
          <w:p>
            <w:pPr>
              <w:pStyle w:val="Body"/>
              <w:widowControl/>
              <w:bidi w:val="0"/>
              <w:spacing w:lineRule="auto" w:line="288" w:before="0" w:after="140"/>
              <w:jc w:val="both"/>
              <w:rPr/>
            </w:pPr>
            <w:r>
              <w:rPr/>
              <w:t>MG PLC shall send to Enron a copy of the executed Confirmation</w:t>
            </w:r>
          </w:p>
        </w:tc>
        <w:tc>
          <w:tcPr>
            <w:tcW w:w="47" w:type="dxa"/>
            <w:tcBorders/>
            <w:tcMar>
              <w:start w:w="0" w:type="dxa"/>
              <w:end w:w="0" w:type="dxa"/>
            </w:tcMar>
          </w:tcPr>
          <w:p>
            <w:pPr>
              <w:pStyle w:val="Normal"/>
              <w:snapToGrid w:val="false"/>
              <w:rPr>
                <w:b/>
              </w:rPr>
            </w:pPr>
            <w:r>
              <w:rPr>
                <w:b/>
              </w:rPr>
            </w:r>
          </w:p>
        </w:tc>
      </w:tr>
      <w:tr>
        <w:trPr/>
        <w:tc>
          <w:tcPr>
            <w:tcW w:w="2518" w:type="dxa"/>
            <w:gridSpan w:val="3"/>
            <w:tcBorders/>
          </w:tcPr>
          <w:p>
            <w:pPr>
              <w:pStyle w:val="Schedule1"/>
              <w:keepNext w:val="true"/>
              <w:numPr>
                <w:ilvl w:val="0"/>
                <w:numId w:val="24"/>
              </w:numPr>
              <w:spacing w:before="140" w:after="140"/>
              <w:ind w:hanging="0" w:start="0"/>
              <w:rPr>
                <w:b/>
                <w:sz w:val="22"/>
              </w:rPr>
            </w:pPr>
            <w:r>
              <w:rPr>
                <w:b/>
                <w:sz w:val="22"/>
              </w:rPr>
              <w:t>[Valuations]</w:t>
            </w:r>
          </w:p>
        </w:tc>
        <w:tc>
          <w:tcPr>
            <w:tcW w:w="1197" w:type="dxa"/>
            <w:tcBorders/>
          </w:tcPr>
          <w:p>
            <w:pPr>
              <w:pStyle w:val="Body"/>
              <w:spacing w:before="0" w:after="140"/>
              <w:jc w:val="center"/>
              <w:rPr/>
            </w:pPr>
            <w:r>
              <w:rPr/>
              <w:t>[Yes]</w:t>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95" w:type="dxa"/>
            <w:gridSpan w:val="2"/>
            <w:tcBorders/>
          </w:tcPr>
          <w:p>
            <w:pPr>
              <w:pStyle w:val="Body"/>
              <w:snapToGrid w:val="false"/>
              <w:spacing w:before="0" w:after="140"/>
              <w:jc w:val="start"/>
              <w:rPr/>
            </w:pPr>
            <w:r>
              <w:rPr/>
            </w:r>
          </w:p>
        </w:tc>
        <w:tc>
          <w:tcPr>
            <w:tcW w:w="5893" w:type="dxa"/>
            <w:tcBorders/>
          </w:tcPr>
          <w:p>
            <w:pPr>
              <w:pStyle w:val="Body"/>
              <w:snapToGrid w:val="false"/>
              <w:spacing w:before="0" w:after="140"/>
              <w:rPr/>
            </w:pPr>
            <w:r>
              <w:rPr/>
            </w:r>
          </w:p>
        </w:tc>
        <w:tc>
          <w:tcPr>
            <w:tcW w:w="47" w:type="dxa"/>
            <w:tcBorders/>
            <w:tcMar>
              <w:start w:w="0" w:type="dxa"/>
              <w:end w:w="0" w:type="dxa"/>
            </w:tcMar>
          </w:tcPr>
          <w:p>
            <w:pPr>
              <w:pStyle w:val="Normal"/>
              <w:snapToGrid w:val="false"/>
              <w:rPr>
                <w:b/>
              </w:rPr>
            </w:pPr>
            <w:r>
              <w:rPr>
                <w:b/>
              </w:rPr>
            </w:r>
          </w:p>
        </w:tc>
      </w:tr>
      <w:tr>
        <w:trPr/>
        <w:tc>
          <w:tcPr>
            <w:tcW w:w="2518" w:type="dxa"/>
            <w:gridSpan w:val="3"/>
            <w:tcBorders/>
          </w:tcPr>
          <w:p>
            <w:pPr>
              <w:pStyle w:val="Schedule1"/>
              <w:keepNext w:val="true"/>
              <w:numPr>
                <w:ilvl w:val="0"/>
                <w:numId w:val="24"/>
              </w:numPr>
              <w:spacing w:before="140" w:after="140"/>
              <w:ind w:hanging="0" w:start="0"/>
              <w:rPr>
                <w:b/>
                <w:sz w:val="22"/>
              </w:rPr>
            </w:pPr>
            <w:r>
              <w:rPr>
                <w:b/>
                <w:sz w:val="22"/>
              </w:rPr>
              <w:t>Settlement</w:t>
            </w:r>
          </w:p>
        </w:tc>
        <w:tc>
          <w:tcPr>
            <w:tcW w:w="1197" w:type="dxa"/>
            <w:tcBorders/>
          </w:tcPr>
          <w:p>
            <w:pPr>
              <w:pStyle w:val="Body"/>
              <w:snapToGrid w:val="false"/>
              <w:spacing w:before="0" w:after="140"/>
              <w:jc w:val="center"/>
              <w:rPr>
                <w:b/>
                <w:sz w:val="22"/>
              </w:rPr>
            </w:pPr>
            <w:r>
              <w:rPr>
                <w:b/>
                <w:sz w:val="22"/>
              </w:rPr>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start"/>
              <w:rPr/>
            </w:pPr>
            <w:r>
              <w:rPr/>
            </w:r>
          </w:p>
        </w:tc>
        <w:tc>
          <w:tcPr>
            <w:tcW w:w="5904" w:type="dxa"/>
            <w:gridSpan w:val="2"/>
            <w:tcBorders/>
          </w:tcPr>
          <w:p>
            <w:pPr>
              <w:pStyle w:val="Body"/>
              <w:snapToGrid w:val="false"/>
              <w:spacing w:before="0" w:after="140"/>
              <w:rPr/>
            </w:pPr>
            <w:r>
              <w:rPr/>
            </w:r>
          </w:p>
        </w:tc>
        <w:tc>
          <w:tcPr>
            <w:tcW w:w="47" w:type="dxa"/>
            <w:tcBorders/>
            <w:tcMar>
              <w:start w:w="0" w:type="dxa"/>
              <w:end w:w="0" w:type="dxa"/>
            </w:tcMar>
          </w:tcPr>
          <w:p>
            <w:pPr>
              <w:pStyle w:val="Normal"/>
              <w:snapToGrid w:val="false"/>
              <w:rPr/>
            </w:pPr>
            <w:r>
              <w:rPr/>
            </w:r>
          </w:p>
        </w:tc>
      </w:tr>
      <w:tr>
        <w:trPr/>
        <w:tc>
          <w:tcPr>
            <w:tcW w:w="2518" w:type="dxa"/>
            <w:gridSpan w:val="3"/>
            <w:tcBorders/>
          </w:tcPr>
          <w:p>
            <w:pPr>
              <w:pStyle w:val="Schedule2"/>
              <w:keepNext w:val="true"/>
              <w:numPr>
                <w:ilvl w:val="0"/>
                <w:numId w:val="0"/>
              </w:numPr>
              <w:snapToGrid w:val="false"/>
              <w:spacing w:before="140" w:after="60"/>
              <w:ind w:hanging="0" w:start="0"/>
              <w:rPr>
                <w:b/>
                <w:sz w:val="21"/>
              </w:rPr>
            </w:pPr>
            <w:r>
              <w:rPr>
                <w:b/>
                <w:sz w:val="21"/>
              </w:rPr>
            </w:r>
          </w:p>
        </w:tc>
        <w:tc>
          <w:tcPr>
            <w:tcW w:w="1197" w:type="dxa"/>
            <w:tcBorders/>
          </w:tcPr>
          <w:p>
            <w:pPr>
              <w:pStyle w:val="Body"/>
              <w:snapToGrid w:val="false"/>
              <w:spacing w:before="0" w:after="140"/>
              <w:jc w:val="center"/>
              <w:rPr>
                <w:b/>
                <w:sz w:val="21"/>
              </w:rPr>
            </w:pPr>
            <w:r>
              <w:rPr>
                <w:b/>
                <w:sz w:val="21"/>
              </w:rPr>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84" w:type="dxa"/>
            <w:tcBorders/>
          </w:tcPr>
          <w:p>
            <w:pPr>
              <w:pStyle w:val="Body"/>
              <w:spacing w:before="0" w:after="140"/>
              <w:jc w:val="start"/>
              <w:rPr/>
            </w:pPr>
            <w:r>
              <w:rPr/>
              <w:t>5 Business Days before the relevant Settlement Date</w:t>
            </w:r>
          </w:p>
        </w:tc>
        <w:tc>
          <w:tcPr>
            <w:tcW w:w="5904" w:type="dxa"/>
            <w:gridSpan w:val="2"/>
            <w:tcBorders/>
          </w:tcPr>
          <w:p>
            <w:pPr>
              <w:pStyle w:val="Body"/>
              <w:widowControl/>
              <w:bidi w:val="0"/>
              <w:spacing w:lineRule="auto" w:line="288" w:before="0" w:after="140"/>
              <w:jc w:val="both"/>
              <w:rPr/>
            </w:pPr>
            <w:r>
              <w:rPr/>
              <w:t xml:space="preserve">MG PLC will inform Enron of the estimated payments and deliveries due on the settlement date. </w:t>
            </w:r>
          </w:p>
        </w:tc>
        <w:tc>
          <w:tcPr>
            <w:tcW w:w="47" w:type="dxa"/>
            <w:tcBorders/>
            <w:tcMar>
              <w:start w:w="0" w:type="dxa"/>
              <w:end w:w="0" w:type="dxa"/>
            </w:tcMar>
          </w:tcPr>
          <w:p>
            <w:pPr>
              <w:pStyle w:val="Normal"/>
              <w:snapToGrid w:val="false"/>
              <w:rPr/>
            </w:pPr>
            <w:r>
              <w:rPr/>
            </w:r>
          </w:p>
        </w:tc>
      </w:tr>
      <w:tr>
        <w:trPr/>
        <w:tc>
          <w:tcPr>
            <w:tcW w:w="2518" w:type="dxa"/>
            <w:gridSpan w:val="3"/>
            <w:tcBorders/>
          </w:tcPr>
          <w:p>
            <w:pPr>
              <w:pStyle w:val="Schedule2"/>
              <w:numPr>
                <w:ilvl w:val="0"/>
                <w:numId w:val="0"/>
              </w:numPr>
              <w:snapToGrid w:val="false"/>
              <w:spacing w:before="0" w:after="140"/>
              <w:ind w:hanging="0" w:start="0"/>
              <w:rPr>
                <w:b/>
              </w:rPr>
            </w:pPr>
            <w:r>
              <w:rPr>
                <w:b/>
              </w:rPr>
            </w:r>
          </w:p>
        </w:tc>
        <w:tc>
          <w:tcPr>
            <w:tcW w:w="1197" w:type="dxa"/>
            <w:tcBorders/>
          </w:tcPr>
          <w:p>
            <w:pPr>
              <w:pStyle w:val="Body"/>
              <w:snapToGrid w:val="false"/>
              <w:spacing w:before="0" w:after="140"/>
              <w:jc w:val="center"/>
              <w:rPr>
                <w:b/>
              </w:rPr>
            </w:pPr>
            <w:r>
              <w:rPr>
                <w:b/>
              </w:rPr>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84" w:type="dxa"/>
            <w:tcBorders/>
          </w:tcPr>
          <w:p>
            <w:pPr>
              <w:pStyle w:val="Body"/>
              <w:spacing w:before="0" w:after="140"/>
              <w:jc w:val="start"/>
              <w:rPr/>
            </w:pPr>
            <w:r>
              <w:rPr/>
              <w:t>On the Settlement Date</w:t>
            </w:r>
          </w:p>
        </w:tc>
        <w:tc>
          <w:tcPr>
            <w:tcW w:w="5904" w:type="dxa"/>
            <w:gridSpan w:val="2"/>
            <w:tcBorders/>
          </w:tcPr>
          <w:p>
            <w:pPr>
              <w:pStyle w:val="Body"/>
              <w:widowControl/>
              <w:bidi w:val="0"/>
              <w:spacing w:lineRule="auto" w:line="288" w:before="0" w:after="140"/>
              <w:jc w:val="both"/>
              <w:rPr/>
            </w:pPr>
            <w:r>
              <w:rPr/>
              <w:t>MG PLC shall settle the Counterparty Transaction on behalf of Enron in accordance with its terms</w:t>
            </w:r>
          </w:p>
        </w:tc>
        <w:tc>
          <w:tcPr>
            <w:tcW w:w="47" w:type="dxa"/>
            <w:tcBorders/>
            <w:tcMar>
              <w:start w:w="0" w:type="dxa"/>
              <w:end w:w="0" w:type="dxa"/>
            </w:tcMar>
          </w:tcPr>
          <w:p>
            <w:pPr>
              <w:pStyle w:val="Normal"/>
              <w:snapToGrid w:val="false"/>
              <w:rPr/>
            </w:pPr>
            <w:r>
              <w:rPr/>
            </w:r>
          </w:p>
        </w:tc>
      </w:tr>
      <w:tr>
        <w:trPr/>
        <w:tc>
          <w:tcPr>
            <w:tcW w:w="2518" w:type="dxa"/>
            <w:gridSpan w:val="3"/>
            <w:tcBorders/>
          </w:tcPr>
          <w:p>
            <w:pPr>
              <w:pStyle w:val="Schedule2"/>
              <w:numPr>
                <w:ilvl w:val="0"/>
                <w:numId w:val="0"/>
              </w:numPr>
              <w:snapToGrid w:val="false"/>
              <w:spacing w:before="0" w:after="140"/>
              <w:ind w:hanging="0" w:start="0"/>
              <w:rPr>
                <w:b/>
              </w:rPr>
            </w:pPr>
            <w:r>
              <w:rPr>
                <w:b/>
              </w:rPr>
            </w:r>
          </w:p>
        </w:tc>
        <w:tc>
          <w:tcPr>
            <w:tcW w:w="1197" w:type="dxa"/>
            <w:tcBorders/>
          </w:tcPr>
          <w:p>
            <w:pPr>
              <w:pStyle w:val="Body"/>
              <w:snapToGrid w:val="false"/>
              <w:spacing w:before="0" w:after="140"/>
              <w:jc w:val="center"/>
              <w:rPr>
                <w:b/>
              </w:rPr>
            </w:pPr>
            <w:r>
              <w:rPr>
                <w:b/>
              </w:rPr>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84" w:type="dxa"/>
            <w:tcBorders/>
          </w:tcPr>
          <w:p>
            <w:pPr>
              <w:pStyle w:val="Body"/>
              <w:spacing w:before="0" w:after="140"/>
              <w:jc w:val="start"/>
              <w:rPr/>
            </w:pPr>
            <w:r>
              <w:rPr/>
              <w:t>One Business Day following relevant Settlement Date</w:t>
            </w:r>
          </w:p>
        </w:tc>
        <w:tc>
          <w:tcPr>
            <w:tcW w:w="5904" w:type="dxa"/>
            <w:gridSpan w:val="2"/>
            <w:tcBorders/>
          </w:tcPr>
          <w:p>
            <w:pPr>
              <w:pStyle w:val="Body"/>
              <w:widowControl/>
              <w:bidi w:val="0"/>
              <w:spacing w:lineRule="auto" w:line="288" w:before="0" w:after="140"/>
              <w:jc w:val="both"/>
              <w:rPr/>
            </w:pPr>
            <w:r>
              <w:rPr/>
              <w:t>MG PLC shall confirm in writing the settlement which took place to Enron</w:t>
            </w:r>
          </w:p>
        </w:tc>
        <w:tc>
          <w:tcPr>
            <w:tcW w:w="47" w:type="dxa"/>
            <w:tcBorders/>
            <w:tcMar>
              <w:start w:w="0" w:type="dxa"/>
              <w:end w:w="0" w:type="dxa"/>
            </w:tcMar>
          </w:tcPr>
          <w:p>
            <w:pPr>
              <w:pStyle w:val="Normal"/>
              <w:snapToGrid w:val="false"/>
              <w:rPr/>
            </w:pPr>
            <w:r>
              <w:rPr/>
            </w:r>
          </w:p>
        </w:tc>
      </w:tr>
    </w:tbl>
    <w:p>
      <w:pPr>
        <w:pStyle w:val="Body"/>
        <w:rPr/>
      </w:pPr>
      <w:r>
        <w:rPr/>
      </w:r>
      <w:r>
        <w:br w:type="page"/>
      </w:r>
    </w:p>
    <w:p>
      <w:pPr>
        <w:pStyle w:val="Body"/>
        <w:rPr/>
      </w:pPr>
      <w:r>
        <w:rPr/>
      </w:r>
    </w:p>
    <w:p>
      <w:pPr>
        <w:pStyle w:val="Head"/>
        <w:rPr/>
      </w:pPr>
      <w:r>
        <w:rPr/>
        <w:t>Schedule Definitions</w:t>
      </w:r>
    </w:p>
    <w:tbl>
      <w:tblPr>
        <w:tblW w:w="13652" w:type="dxa"/>
        <w:jc w:val="start"/>
        <w:tblInd w:w="0" w:type="dxa"/>
        <w:tblLayout w:type="fixed"/>
        <w:tblCellMar>
          <w:top w:w="0" w:type="dxa"/>
          <w:start w:w="108" w:type="dxa"/>
          <w:bottom w:w="0" w:type="dxa"/>
          <w:end w:w="108" w:type="dxa"/>
        </w:tblCellMar>
      </w:tblPr>
      <w:tblGrid>
        <w:gridCol w:w="3708"/>
        <w:gridCol w:w="9944"/>
      </w:tblGrid>
      <w:tr>
        <w:trPr/>
        <w:tc>
          <w:tcPr>
            <w:tcW w:w="3708" w:type="dxa"/>
            <w:tcBorders/>
          </w:tcPr>
          <w:p>
            <w:pPr>
              <w:pStyle w:val="Body"/>
              <w:widowControl/>
              <w:bidi w:val="0"/>
              <w:spacing w:lineRule="auto" w:line="288" w:before="0" w:after="140"/>
              <w:jc w:val="both"/>
              <w:rPr/>
            </w:pPr>
            <w:r>
              <w:rPr/>
              <w:t>“</w:t>
            </w:r>
            <w:r>
              <w:rPr/>
              <w:t>Confirmations”</w:t>
            </w:r>
          </w:p>
        </w:tc>
        <w:tc>
          <w:tcPr>
            <w:tcW w:w="9944" w:type="dxa"/>
            <w:tcBorders/>
          </w:tcPr>
          <w:p>
            <w:pPr>
              <w:pStyle w:val="Body"/>
              <w:widowControl/>
              <w:bidi w:val="0"/>
              <w:spacing w:lineRule="auto" w:line="288" w:before="0" w:after="140"/>
              <w:jc w:val="both"/>
              <w:rPr/>
            </w:pPr>
            <w:r>
              <w:rPr/>
              <w:t>means a confirmation between Enron and a Counterparty which confirms the terms for a Counterparty Transaction.</w:t>
            </w:r>
          </w:p>
        </w:tc>
      </w:tr>
      <w:tr>
        <w:trPr/>
        <w:tc>
          <w:tcPr>
            <w:tcW w:w="3708" w:type="dxa"/>
            <w:tcBorders/>
          </w:tcPr>
          <w:p>
            <w:pPr>
              <w:pStyle w:val="Body"/>
              <w:widowControl/>
              <w:bidi w:val="0"/>
              <w:spacing w:lineRule="auto" w:line="288" w:before="0" w:after="140"/>
              <w:jc w:val="both"/>
              <w:rPr/>
            </w:pPr>
            <w:r>
              <w:rPr/>
              <w:t>“</w:t>
            </w:r>
            <w:r>
              <w:rPr/>
              <w:t>Designated Signatory”</w:t>
            </w:r>
          </w:p>
        </w:tc>
        <w:tc>
          <w:tcPr>
            <w:tcW w:w="9944" w:type="dxa"/>
            <w:tcBorders/>
          </w:tcPr>
          <w:p>
            <w:pPr>
              <w:pStyle w:val="Body"/>
              <w:widowControl/>
              <w:bidi w:val="0"/>
              <w:spacing w:lineRule="auto" w:line="288" w:before="0" w:after="140"/>
              <w:jc w:val="both"/>
              <w:rPr/>
            </w:pPr>
            <w:r>
              <w:rPr/>
              <w:t>means a director, employee or agent of MG PLC that is authorised to sign documents on behalf of Enron.</w:t>
            </w:r>
          </w:p>
        </w:tc>
      </w:tr>
      <w:tr>
        <w:trPr/>
        <w:tc>
          <w:tcPr>
            <w:tcW w:w="3708" w:type="dxa"/>
            <w:tcBorders/>
          </w:tcPr>
          <w:p>
            <w:pPr>
              <w:pStyle w:val="Body"/>
              <w:widowControl/>
              <w:bidi w:val="0"/>
              <w:spacing w:lineRule="auto" w:line="288" w:before="0" w:after="140"/>
              <w:jc w:val="both"/>
              <w:rPr/>
            </w:pPr>
            <w:r>
              <w:rPr/>
              <w:t>[“Market Value”</w:t>
            </w:r>
          </w:p>
        </w:tc>
        <w:tc>
          <w:tcPr>
            <w:tcW w:w="9944" w:type="dxa"/>
            <w:tcBorders/>
          </w:tcPr>
          <w:p>
            <w:pPr>
              <w:pStyle w:val="Body"/>
              <w:widowControl/>
              <w:bidi w:val="0"/>
              <w:spacing w:lineRule="auto" w:line="288" w:before="0" w:after="140"/>
              <w:jc w:val="both"/>
              <w:rPr/>
            </w:pPr>
            <w:r>
              <w:rPr/>
              <w:t>means the mid-market value as computed by MG PLC by reference to traded prices available in the market.]</w:t>
            </w:r>
          </w:p>
        </w:tc>
      </w:tr>
      <w:tr>
        <w:trPr/>
        <w:tc>
          <w:tcPr>
            <w:tcW w:w="3708" w:type="dxa"/>
            <w:tcBorders/>
          </w:tcPr>
          <w:p>
            <w:pPr>
              <w:pStyle w:val="Body"/>
              <w:widowControl/>
              <w:bidi w:val="0"/>
              <w:spacing w:lineRule="auto" w:line="288" w:before="0" w:after="140"/>
              <w:jc w:val="both"/>
              <w:rPr/>
            </w:pPr>
            <w:r>
              <w:rPr/>
              <w:t>“</w:t>
            </w:r>
            <w:r>
              <w:rPr/>
              <w:t>Performance Date”</w:t>
            </w:r>
          </w:p>
        </w:tc>
        <w:tc>
          <w:tcPr>
            <w:tcW w:w="9944" w:type="dxa"/>
            <w:tcBorders/>
          </w:tcPr>
          <w:p>
            <w:pPr>
              <w:pStyle w:val="Body"/>
              <w:widowControl/>
              <w:bidi w:val="0"/>
              <w:spacing w:lineRule="auto" w:line="288" w:before="0" w:after="140"/>
              <w:jc w:val="both"/>
              <w:rPr/>
            </w:pPr>
            <w:r>
              <w:rPr/>
              <w:t>means the date specified under the column headed “Performance Date” in this Schedule.</w:t>
            </w:r>
          </w:p>
        </w:tc>
      </w:tr>
      <w:tr>
        <w:trPr/>
        <w:tc>
          <w:tcPr>
            <w:tcW w:w="3708" w:type="dxa"/>
            <w:tcBorders/>
          </w:tcPr>
          <w:p>
            <w:pPr>
              <w:pStyle w:val="Body"/>
              <w:widowControl/>
              <w:bidi w:val="0"/>
              <w:spacing w:lineRule="auto" w:line="288" w:before="0" w:after="140"/>
              <w:jc w:val="both"/>
              <w:rPr/>
            </w:pPr>
            <w:r>
              <w:rPr/>
              <w:t>[“Quarter”</w:t>
            </w:r>
          </w:p>
        </w:tc>
        <w:tc>
          <w:tcPr>
            <w:tcW w:w="9944" w:type="dxa"/>
            <w:tcBorders/>
          </w:tcPr>
          <w:p>
            <w:pPr>
              <w:pStyle w:val="Body"/>
              <w:widowControl/>
              <w:bidi w:val="0"/>
              <w:spacing w:lineRule="auto" w:line="288" w:before="0" w:after="140"/>
              <w:jc w:val="both"/>
              <w:rPr/>
            </w:pPr>
            <w:r>
              <w:rPr/>
              <w:t>means end of March, June, September and December in each year.]</w:t>
            </w:r>
          </w:p>
        </w:tc>
      </w:tr>
      <w:tr>
        <w:trPr/>
        <w:tc>
          <w:tcPr>
            <w:tcW w:w="3708" w:type="dxa"/>
            <w:tcBorders/>
          </w:tcPr>
          <w:p>
            <w:pPr>
              <w:pStyle w:val="Body"/>
              <w:widowControl/>
              <w:bidi w:val="0"/>
              <w:spacing w:lineRule="auto" w:line="288" w:before="0" w:after="140"/>
              <w:jc w:val="both"/>
              <w:rPr/>
            </w:pPr>
            <w:r>
              <w:rPr/>
              <w:t>“</w:t>
            </w:r>
            <w:r>
              <w:rPr/>
              <w:t>Product”</w:t>
            </w:r>
          </w:p>
        </w:tc>
        <w:tc>
          <w:tcPr>
            <w:tcW w:w="9944" w:type="dxa"/>
            <w:tcBorders/>
          </w:tcPr>
          <w:p>
            <w:pPr>
              <w:pStyle w:val="Body"/>
              <w:widowControl/>
              <w:bidi w:val="0"/>
              <w:spacing w:lineRule="auto" w:line="288" w:before="0" w:after="140"/>
              <w:jc w:val="both"/>
              <w:rPr/>
            </w:pPr>
            <w:r>
              <w:rPr/>
              <w:t>means the product specified under the column headed “Product” in this Schedule.</w:t>
            </w:r>
          </w:p>
        </w:tc>
      </w:tr>
      <w:tr>
        <w:trPr/>
        <w:tc>
          <w:tcPr>
            <w:tcW w:w="3708" w:type="dxa"/>
            <w:tcBorders/>
          </w:tcPr>
          <w:p>
            <w:pPr>
              <w:pStyle w:val="Body"/>
              <w:widowControl/>
              <w:bidi w:val="0"/>
              <w:spacing w:lineRule="auto" w:line="288" w:before="0" w:after="140"/>
              <w:jc w:val="both"/>
              <w:rPr/>
            </w:pPr>
            <w:r>
              <w:rPr/>
              <w:t>“</w:t>
            </w:r>
            <w:r>
              <w:rPr/>
              <w:t>Settlement Date”</w:t>
            </w:r>
          </w:p>
        </w:tc>
        <w:tc>
          <w:tcPr>
            <w:tcW w:w="9944" w:type="dxa"/>
            <w:tcBorders/>
          </w:tcPr>
          <w:p>
            <w:pPr>
              <w:pStyle w:val="Body"/>
              <w:widowControl/>
              <w:bidi w:val="0"/>
              <w:spacing w:lineRule="auto" w:line="288" w:before="0" w:after="140"/>
              <w:jc w:val="both"/>
              <w:rPr/>
            </w:pPr>
            <w:r>
              <w:rPr/>
              <w:t>means the date on which settlement is due to be made under the Confirmation unless otherwise specified in this Schedule.</w:t>
            </w:r>
          </w:p>
        </w:tc>
      </w:tr>
      <w:tr>
        <w:trPr/>
        <w:tc>
          <w:tcPr>
            <w:tcW w:w="3708" w:type="dxa"/>
            <w:tcBorders/>
          </w:tcPr>
          <w:p>
            <w:pPr>
              <w:pStyle w:val="Body"/>
              <w:widowControl/>
              <w:bidi w:val="0"/>
              <w:spacing w:lineRule="auto" w:line="288" w:before="0" w:after="140"/>
              <w:jc w:val="both"/>
              <w:rPr/>
            </w:pPr>
            <w:r>
              <w:rPr/>
              <w:t>[“Valuation Date”</w:t>
            </w:r>
          </w:p>
        </w:tc>
        <w:tc>
          <w:tcPr>
            <w:tcW w:w="9944" w:type="dxa"/>
            <w:tcBorders/>
          </w:tcPr>
          <w:p>
            <w:pPr>
              <w:pStyle w:val="Body"/>
              <w:widowControl/>
              <w:bidi w:val="0"/>
              <w:spacing w:lineRule="auto" w:line="288" w:before="0" w:after="140"/>
              <w:jc w:val="both"/>
              <w:rPr/>
            </w:pPr>
            <w:r>
              <w:rPr/>
              <w:t>means the relevant date specified under the heading “Performance Date” in this Schedule.]</w:t>
            </w:r>
          </w:p>
        </w:tc>
      </w:tr>
      <w:tr>
        <w:trPr/>
        <w:tc>
          <w:tcPr>
            <w:tcW w:w="3708" w:type="dxa"/>
            <w:tcBorders/>
          </w:tcPr>
          <w:p>
            <w:pPr>
              <w:pStyle w:val="Body"/>
              <w:snapToGrid w:val="false"/>
              <w:spacing w:before="0" w:after="140"/>
              <w:rPr/>
            </w:pPr>
            <w:r>
              <w:rPr/>
            </w:r>
          </w:p>
        </w:tc>
        <w:tc>
          <w:tcPr>
            <w:tcW w:w="9944" w:type="dxa"/>
            <w:tcBorders/>
          </w:tcPr>
          <w:p>
            <w:pPr>
              <w:pStyle w:val="Body"/>
              <w:snapToGrid w:val="false"/>
              <w:spacing w:before="0" w:after="140"/>
              <w:rPr/>
            </w:pPr>
            <w:r>
              <w:rPr/>
            </w:r>
          </w:p>
        </w:tc>
      </w:tr>
    </w:tbl>
    <w:p>
      <w:pPr>
        <w:pStyle w:val="Body"/>
        <w:spacing w:before="0" w:after="140"/>
        <w:jc w:val="center"/>
        <w:rPr/>
      </w:pPr>
      <w:r>
        <w:rPr/>
      </w:r>
    </w:p>
    <w:sectPr>
      <w:headerReference w:type="default" r:id="rId8"/>
      <w:headerReference w:type="first" r:id="rId9"/>
      <w:footerReference w:type="default" r:id="rId10"/>
      <w:footerReference w:type="first" r:id="rId11"/>
      <w:type w:val="nextPage"/>
      <w:pgSz w:orient="landscape" w:w="16838" w:h="11906"/>
      <w:pgMar w:left="1701" w:right="1701" w:gutter="0" w:header="720" w:top="1418" w:footer="454"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40"/>
      <w:rPr>
        <w:sz w:val="2"/>
      </w:rPr>
    </w:pPr>
    <w:r>
      <w:rPr>
        <w:sz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rPr>
        <w:sz w:val="16"/>
      </w:rPr>
    </w:pPr>
    <w:r>
      <w:rPr>
        <w:sz w:val="16"/>
      </w:rPr>
      <w:fldChar w:fldCharType="begin"/>
    </w:r>
    <w:r>
      <w:rPr>
        <w:sz w:val="16"/>
      </w:rPr>
      <w:instrText xml:space="preserve"> DOCPROPERTY "Document Number"</w:instrText>
    </w:r>
    <w:r>
      <w:rPr>
        <w:sz w:val="16"/>
      </w:rPr>
      <w:fldChar w:fldCharType="separate"/>
    </w:r>
    <w:r>
      <w:rPr>
        <w:sz w:val="16"/>
      </w:rPr>
      <w:t>A00752163</w:t>
    </w:r>
    <w:r>
      <w:rPr>
        <w:sz w:val="16"/>
      </w:rPr>
      <w:fldChar w:fldCharType="end"/>
    </w:r>
    <w:r>
      <w:rPr>
        <w:sz w:val="16"/>
      </w:rPr>
      <w:t>/</w:t>
    </w:r>
    <w:r>
      <w:rPr>
        <w:sz w:val="16"/>
      </w:rPr>
      <w:fldChar w:fldCharType="begin"/>
    </w:r>
    <w:r>
      <w:rPr>
        <w:sz w:val="16"/>
      </w:rPr>
      <w:instrText xml:space="preserve"> DOCPROPERTY "Version"</w:instrText>
    </w:r>
    <w:r>
      <w:rPr>
        <w:sz w:val="16"/>
      </w:rPr>
      <w:fldChar w:fldCharType="separate"/>
    </w:r>
    <w:r>
      <w:rPr>
        <w:sz w:val="16"/>
      </w:rPr>
      <w:t>0.7</w:t>
    </w:r>
    <w:r>
      <w:rPr>
        <w:sz w:val="16"/>
      </w:rPr>
      <w:fldChar w:fldCharType="end"/>
    </w:r>
    <w:r>
      <w:rPr>
        <w:sz w:val="16"/>
      </w:rPr>
      <w:t>/</w:t>
    </w:r>
    <w:r>
      <w:rPr>
        <w:sz w:val="16"/>
      </w:rPr>
      <w:fldChar w:fldCharType="begin"/>
    </w:r>
    <w:r>
      <w:rPr>
        <w:sz w:val="16"/>
      </w:rPr>
      <w:instrText xml:space="preserve"> DOCPROPERTY "Last Modified"</w:instrText>
    </w:r>
    <w:r>
      <w:rPr>
        <w:sz w:val="16"/>
      </w:rPr>
      <w:fldChar w:fldCharType="separate"/>
    </w:r>
    <w:r>
      <w:rPr>
        <w:sz w:val="16"/>
      </w:rPr>
      <w:t>20 Jun 2000</w:t>
    </w:r>
    <w:r>
      <w:rPr>
        <w:sz w:val="16"/>
      </w:rPr>
      <w:fldChar w:fldCharType="end"/>
    </w:r>
  </w:p>
  <w:p>
    <w:pPr>
      <w:pStyle w:val="Normal"/>
      <w:pBdr>
        <w:top w:val="single" w:sz="4" w:space="1" w:color="000000"/>
      </w:pBdr>
      <w:rPr>
        <w:sz w:val="16"/>
      </w:rPr>
    </w:pPr>
    <w:r>
      <w:rPr>
        <w:sz w:val="16"/>
      </w:rPr>
    </w:r>
  </w:p>
  <w:p>
    <w:pPr>
      <w:pStyle w:val="Normal"/>
      <w:jc w:val="center"/>
      <w:rPr/>
    </w:pPr>
    <w:r>
      <w:rPr/>
      <w:t xml:space="preserve">- </w:t>
    </w:r>
    <w:r>
      <w:rPr/>
      <w:fldChar w:fldCharType="begin"/>
    </w:r>
    <w:r>
      <w:rPr/>
      <w:instrText xml:space="preserve"> PAGE </w:instrText>
    </w:r>
    <w:r>
      <w:rPr/>
      <w:fldChar w:fldCharType="separate"/>
    </w:r>
    <w:r>
      <w:rPr/>
      <w:t>9</w:t>
    </w:r>
    <w:r>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rPr>
        <w:sz w:val="16"/>
      </w:rPr>
    </w:pPr>
    <w:r>
      <w:rPr>
        <w:sz w:val="16"/>
      </w:rPr>
      <w:fldChar w:fldCharType="begin"/>
    </w:r>
    <w:r>
      <w:rPr>
        <w:sz w:val="16"/>
      </w:rPr>
      <w:instrText xml:space="preserve"> DOCPROPERTY "Document Number"</w:instrText>
    </w:r>
    <w:r>
      <w:rPr>
        <w:sz w:val="16"/>
      </w:rPr>
      <w:fldChar w:fldCharType="separate"/>
    </w:r>
    <w:r>
      <w:rPr>
        <w:sz w:val="16"/>
      </w:rPr>
      <w:t>A00752163</w:t>
    </w:r>
    <w:r>
      <w:rPr>
        <w:sz w:val="16"/>
      </w:rPr>
      <w:fldChar w:fldCharType="end"/>
    </w:r>
    <w:r>
      <w:rPr>
        <w:sz w:val="16"/>
      </w:rPr>
      <w:t>/</w:t>
    </w:r>
    <w:r>
      <w:rPr>
        <w:sz w:val="16"/>
      </w:rPr>
      <w:fldChar w:fldCharType="begin"/>
    </w:r>
    <w:r>
      <w:rPr>
        <w:sz w:val="16"/>
      </w:rPr>
      <w:instrText xml:space="preserve"> DOCPROPERTY "Version"</w:instrText>
    </w:r>
    <w:r>
      <w:rPr>
        <w:sz w:val="16"/>
      </w:rPr>
      <w:fldChar w:fldCharType="separate"/>
    </w:r>
    <w:r>
      <w:rPr>
        <w:sz w:val="16"/>
      </w:rPr>
      <w:t>0.7</w:t>
    </w:r>
    <w:r>
      <w:rPr>
        <w:sz w:val="16"/>
      </w:rPr>
      <w:fldChar w:fldCharType="end"/>
    </w:r>
    <w:r>
      <w:rPr>
        <w:sz w:val="16"/>
      </w:rPr>
      <w:t>/</w:t>
    </w:r>
    <w:r>
      <w:rPr>
        <w:sz w:val="16"/>
      </w:rPr>
      <w:fldChar w:fldCharType="begin"/>
    </w:r>
    <w:r>
      <w:rPr>
        <w:sz w:val="16"/>
      </w:rPr>
      <w:instrText xml:space="preserve"> DOCPROPERTY "Last Modified"</w:instrText>
    </w:r>
    <w:r>
      <w:rPr>
        <w:sz w:val="16"/>
      </w:rPr>
      <w:fldChar w:fldCharType="separate"/>
    </w:r>
    <w:r>
      <w:rPr>
        <w:sz w:val="16"/>
      </w:rPr>
      <w:t>20 Jun 2000</w:t>
    </w:r>
    <w:r>
      <w:rPr>
        <w:sz w:val="16"/>
      </w:rPr>
      <w:fldChar w:fldCharType="end"/>
    </w:r>
  </w:p>
  <w:p>
    <w:pPr>
      <w:pStyle w:val="Normal"/>
      <w:jc w:val="center"/>
      <w:rPr/>
    </w:pPr>
    <w:r>
      <w:rPr/>
      <w:t xml:space="preserve">- </w:t>
    </w:r>
    <w:r>
      <w:rPr/>
      <w:fldChar w:fldCharType="begin"/>
    </w:r>
    <w:r>
      <w:rPr/>
      <w:instrText xml:space="preserve"> PAGE </w:instrText>
    </w:r>
    <w:r>
      <w:rPr/>
      <w:fldChar w:fldCharType="separate"/>
    </w:r>
    <w:r>
      <w:rPr/>
      <w:t>12</w:t>
    </w:r>
    <w:r>
      <w:rPr/>
      <w:fldChar w:fldCharType="end"/>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lang w:val="en-US"/>
      </w:rPr>
    </w:pPr>
    <w:bookmarkStart w:id="8" w:name="bmkLogo"/>
    <w:r>
      <w:rPr>
        <w:lang w:val="en-US"/>
      </w:rPr>
      <w:drawing>
        <wp:inline distT="0" distB="0" distL="0" distR="0">
          <wp:extent cx="1564005" cy="485775"/>
          <wp:effectExtent l="0" t="0" r="0" b="0"/>
          <wp:docPr id="3" name="L&amp;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mp;A2" descr="" title=""/>
                  <pic:cNvPicPr>
                    <a:picLocks noChangeAspect="1" noChangeArrowheads="1"/>
                  </pic:cNvPicPr>
                </pic:nvPicPr>
                <pic:blipFill>
                  <a:blip r:embed="rId1"/>
                  <a:srcRect l="-33" t="-107" r="-33" b="-107"/>
                  <a:stretch>
                    <a:fillRect/>
                  </a:stretch>
                </pic:blipFill>
                <pic:spPr bwMode="auto">
                  <a:xfrm>
                    <a:off x="0" y="0"/>
                    <a:ext cx="1564005" cy="485775"/>
                  </a:xfrm>
                  <a:prstGeom prst="rect">
                    <a:avLst/>
                  </a:prstGeom>
                  <a:noFill/>
                </pic:spPr>
              </pic:pic>
            </a:graphicData>
          </a:graphic>
        </wp:inline>
      </w:drawing>
    </w:r>
    <w:bookmarkEnd w:id="8"/>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368"/>
        </w:tabs>
        <w:ind w:start="1368" w:hanging="691"/>
      </w:pPr>
      <w:rPr>
        <w:sz w:val="20"/>
        <w:i w:val="false"/>
        <w:b w:val="false"/>
        <w:rFonts w:ascii="Arial" w:hAnsi="Arial" w:cs="Arial"/>
      </w:rPr>
    </w:lvl>
  </w:abstractNum>
  <w:abstractNum w:abstractNumId="3">
    <w:lvl w:ilvl="0">
      <w:start w:val="1"/>
      <w:numFmt w:val="lowerRoman"/>
      <w:lvlText w:val="(%1)"/>
      <w:lvlJc w:val="start"/>
      <w:pPr>
        <w:tabs>
          <w:tab w:val="num" w:pos="3969"/>
        </w:tabs>
        <w:ind w:start="3969" w:hanging="680"/>
      </w:pPr>
      <w:rPr/>
    </w:lvl>
  </w:abstractNum>
  <w:abstractNum w:abstractNumId="4">
    <w:lvl w:ilvl="0">
      <w:start w:val="1"/>
      <w:numFmt w:val="lowerRoman"/>
      <w:lvlText w:val="(%1)"/>
      <w:lvlJc w:val="start"/>
      <w:pPr>
        <w:tabs>
          <w:tab w:val="num" w:pos="2041"/>
        </w:tabs>
        <w:ind w:start="2041" w:hanging="680"/>
      </w:pPr>
    </w:lvl>
  </w:abstractNum>
  <w:abstractNum w:abstractNumId="5">
    <w:lvl w:ilvl="0">
      <w:start w:val="1"/>
      <w:numFmt w:val="lowerRoman"/>
      <w:lvlText w:val="(%1)"/>
      <w:lvlJc w:val="start"/>
      <w:pPr>
        <w:tabs>
          <w:tab w:val="num" w:pos="2722"/>
        </w:tabs>
        <w:ind w:start="2722" w:hanging="681"/>
      </w:pPr>
      <w:rPr/>
    </w:lvl>
  </w:abstractNum>
  <w:abstractNum w:abstractNumId="6">
    <w:lvl w:ilvl="0">
      <w:start w:val="1"/>
      <w:numFmt w:val="lowerRoman"/>
      <w:lvlText w:val="(%1)"/>
      <w:lvlJc w:val="start"/>
      <w:pPr>
        <w:tabs>
          <w:tab w:val="num" w:pos="1361"/>
        </w:tabs>
        <w:ind w:start="1361" w:hanging="681"/>
      </w:pPr>
    </w:lvl>
  </w:abstractNum>
  <w:abstractNum w:abstractNumId="7">
    <w:lvl w:ilvl="0">
      <w:start w:val="1"/>
      <w:numFmt w:val="bullet"/>
      <w:lvlText w:val=""/>
      <w:lvlJc w:val="start"/>
      <w:pPr>
        <w:tabs>
          <w:tab w:val="num" w:pos="2608"/>
        </w:tabs>
        <w:ind w:start="2608" w:hanging="567"/>
      </w:pPr>
      <w:rPr>
        <w:rFonts w:ascii="Symbol" w:hAnsi="Symbol" w:cs="Symbol" w:hint="default"/>
      </w:rPr>
    </w:lvl>
  </w:abstractNum>
  <w:abstractNum w:abstractNumId="8">
    <w:lvl w:ilvl="0">
      <w:start w:val="2"/>
      <w:numFmt w:val="decimal"/>
      <w:lvlText w:val="ARTICLE %1"/>
      <w:lvlJc w:val="start"/>
      <w:pPr>
        <w:tabs>
          <w:tab w:val="num" w:pos="1418"/>
        </w:tabs>
        <w:ind w:start="1418" w:hanging="1418"/>
      </w:pPr>
      <w:rPr>
        <w:i w:val="false"/>
        <w:b/>
      </w:rPr>
    </w:lvl>
    <w:lvl w:ilvl="1">
      <w:start w:val="1"/>
      <w:numFmt w:val="decimal"/>
      <w:lvlText w:val="%1.%2"/>
      <w:lvlJc w:val="start"/>
      <w:pPr>
        <w:tabs>
          <w:tab w:val="num" w:pos="851"/>
        </w:tabs>
        <w:ind w:start="851" w:hanging="851"/>
      </w:pPr>
      <w:rPr>
        <w:i w:val="false"/>
        <w:b/>
      </w:rPr>
    </w:lvl>
    <w:lvl w:ilvl="2">
      <w:start w:val="1"/>
      <w:numFmt w:val="decimal"/>
      <w:lvlText w:val="%1.%2.%3"/>
      <w:lvlJc w:val="start"/>
      <w:pPr>
        <w:tabs>
          <w:tab w:val="num" w:pos="851"/>
        </w:tabs>
        <w:ind w:start="851" w:hanging="851"/>
      </w:pPr>
    </w:lvl>
    <w:lvl w:ilvl="3">
      <w:start w:val="1"/>
      <w:numFmt w:val="none"/>
      <w:suff w:val="nothing"/>
      <w:lvlText w:val=""/>
      <w:lvlJc w:val="start"/>
      <w:pPr>
        <w:tabs>
          <w:tab w:val="num" w:pos="360"/>
        </w:tabs>
        <w:ind w:start="32767" w:firstLine="32767"/>
      </w:pPr>
    </w:lvl>
    <w:lvl w:ilvl="4">
      <w:start w:val="1"/>
      <w:numFmt w:val="none"/>
      <w:suff w:val="nothing"/>
      <w:lvlText w:val=""/>
      <w:lvlJc w:val="start"/>
      <w:pPr>
        <w:ind w:start="32767" w:hanging="0"/>
      </w:pPr>
    </w:lvl>
    <w:lvl w:ilvl="5">
      <w:start w:val="1"/>
      <w:numFmt w:val="none"/>
      <w:suff w:val="nothing"/>
      <w:lvlText w:val=""/>
      <w:lvlJc w:val="start"/>
      <w:pPr>
        <w:ind w:start="32767" w:hanging="0"/>
      </w:pPr>
    </w:lvl>
    <w:lvl w:ilvl="6">
      <w:start w:val="1"/>
      <w:numFmt w:val="none"/>
      <w:suff w:val="nothing"/>
      <w:lvlText w:val="%1"/>
      <w:lvlJc w:val="start"/>
      <w:pPr>
        <w:ind w:start="32767" w:hanging="0"/>
      </w:pPr>
    </w:lvl>
    <w:lvl w:ilvl="7">
      <w:start w:val="1"/>
      <w:numFmt w:val="none"/>
      <w:suff w:val="nothing"/>
      <w:lvlText w:val=""/>
      <w:lvlJc w:val="start"/>
      <w:pPr>
        <w:tabs>
          <w:tab w:val="num" w:pos="360"/>
        </w:tabs>
        <w:ind w:start="32767" w:firstLine="32767"/>
      </w:pPr>
    </w:lvl>
    <w:lvl w:ilvl="8">
      <w:start w:val="1"/>
      <w:numFmt w:val="none"/>
      <w:suff w:val="nothing"/>
      <w:lvlText w:val=""/>
      <w:lvlJc w:val="start"/>
      <w:pPr>
        <w:ind w:start="32767" w:hanging="0"/>
      </w:pPr>
    </w:lvl>
  </w:abstractNum>
  <w:abstractNum w:abstractNumId="9">
    <w:lvl w:ilvl="0">
      <w:start w:val="1"/>
      <w:numFmt w:val="decimal"/>
      <w:lvlText w:val="(%1)"/>
      <w:lvlJc w:val="start"/>
      <w:pPr>
        <w:tabs>
          <w:tab w:val="num" w:pos="680"/>
        </w:tabs>
        <w:ind w:start="680" w:hanging="680"/>
      </w:pPr>
      <w:rPr>
        <w:sz w:val="20"/>
        <w:i w:val="false"/>
        <w:b/>
      </w:rPr>
    </w:lvl>
  </w:abstractNum>
  <w:abstractNum w:abstractNumId="10">
    <w:lvl w:ilvl="0">
      <w:start w:val="1"/>
      <w:numFmt w:val="lowerRoman"/>
      <w:lvlText w:val="(%1)"/>
      <w:lvlJc w:val="start"/>
      <w:pPr>
        <w:tabs>
          <w:tab w:val="num" w:pos="3442"/>
        </w:tabs>
        <w:ind w:start="3289" w:hanging="567"/>
      </w:pPr>
      <w:rPr/>
    </w:lvl>
  </w:abstractNum>
  <w:abstractNum w:abstractNumId="11">
    <w:lvl w:ilvl="0">
      <w:start w:val="1"/>
      <w:numFmt w:val="bullet"/>
      <w:lvlText w:val=""/>
      <w:lvlJc w:val="start"/>
      <w:pPr>
        <w:tabs>
          <w:tab w:val="num" w:pos="3289"/>
        </w:tabs>
        <w:ind w:start="3289" w:hanging="681"/>
      </w:pPr>
      <w:rPr>
        <w:rFonts w:ascii="Symbol" w:hAnsi="Symbol" w:cs="Symbol" w:hint="default"/>
      </w:rPr>
    </w:lvl>
  </w:abstractNum>
  <w:abstractNum w:abstractNumId="12">
    <w:lvl w:ilvl="0">
      <w:start w:val="1"/>
      <w:numFmt w:val="lowerLetter"/>
      <w:lvlText w:val="(%1)"/>
      <w:lvlJc w:val="start"/>
      <w:pPr>
        <w:tabs>
          <w:tab w:val="num" w:pos="2041"/>
        </w:tabs>
        <w:ind w:start="2041" w:hanging="680"/>
      </w:pPr>
    </w:lvl>
  </w:abstractNum>
  <w:abstractNum w:abstractNumId="13">
    <w:lvl w:ilvl="0">
      <w:start w:val="1"/>
      <w:numFmt w:val="lowerLetter"/>
      <w:lvlText w:val="(%1)"/>
      <w:lvlJc w:val="start"/>
      <w:pPr>
        <w:tabs>
          <w:tab w:val="num" w:pos="3289"/>
        </w:tabs>
        <w:ind w:start="3289" w:hanging="681"/>
      </w:pPr>
    </w:lvl>
  </w:abstractNum>
  <w:abstractNum w:abstractNumId="14">
    <w:lvl w:ilvl="0">
      <w:start w:val="1"/>
      <w:numFmt w:val="decimal"/>
      <w:lvlText w:val="%1"/>
      <w:lvlJc w:val="start"/>
      <w:pPr>
        <w:tabs>
          <w:tab w:val="num" w:pos="680"/>
        </w:tabs>
        <w:ind w:start="680" w:hanging="680"/>
      </w:pPr>
      <w:rPr>
        <w:sz w:val="21"/>
        <w:i w:val="false"/>
        <w:b/>
        <w:rFonts w:ascii="Arial" w:hAnsi="Arial" w:cs="Arial"/>
      </w:rPr>
    </w:lvl>
    <w:lvl w:ilvl="1">
      <w:start w:val="1"/>
      <w:numFmt w:val="decimal"/>
      <w:lvlText w:val="%1.%2"/>
      <w:lvlJc w:val="start"/>
      <w:pPr>
        <w:tabs>
          <w:tab w:val="num" w:pos="680"/>
        </w:tabs>
        <w:ind w:start="680" w:hanging="680"/>
      </w:pPr>
      <w:rPr>
        <w:sz w:val="20"/>
        <w:i w:val="false"/>
        <w:b/>
        <w:rFonts w:ascii="Arial" w:hAnsi="Arial" w:cs="Arial"/>
      </w:rPr>
    </w:lvl>
    <w:lvl w:ilvl="2">
      <w:start w:val="1"/>
      <w:numFmt w:val="decimal"/>
      <w:lvlText w:val="%1.%2.%3"/>
      <w:lvlJc w:val="start"/>
      <w:pPr>
        <w:tabs>
          <w:tab w:val="num" w:pos="1361"/>
        </w:tabs>
        <w:ind w:start="1361" w:hanging="681"/>
      </w:pPr>
      <w:rPr>
        <w:sz w:val="17"/>
        <w:i w:val="false"/>
        <w:b/>
      </w:rPr>
    </w:lvl>
    <w:lvl w:ilvl="3">
      <w:start w:val="1"/>
      <w:numFmt w:val="lowerRoman"/>
      <w:lvlText w:val="(%4)"/>
      <w:lvlJc w:val="start"/>
      <w:pPr>
        <w:tabs>
          <w:tab w:val="num" w:pos="2041"/>
        </w:tabs>
        <w:ind w:start="2041" w:hanging="680"/>
      </w:pPr>
    </w:lvl>
    <w:lvl w:ilvl="4">
      <w:start w:val="1"/>
      <w:numFmt w:val="lowerLetter"/>
      <w:lvlText w:val="(%5)"/>
      <w:lvlJc w:val="start"/>
      <w:pPr>
        <w:tabs>
          <w:tab w:val="num" w:pos="2608"/>
        </w:tabs>
        <w:ind w:start="2608" w:hanging="567"/>
      </w:pPr>
    </w:lvl>
    <w:lvl w:ilvl="5">
      <w:start w:val="1"/>
      <w:numFmt w:val="upperRoman"/>
      <w:lvlText w:val="(%6)"/>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5">
    <w:lvl w:ilvl="0">
      <w:start w:val="1"/>
      <w:numFmt w:val="upperLetter"/>
      <w:lvlText w:val="(%1)"/>
      <w:lvlJc w:val="start"/>
      <w:pPr>
        <w:tabs>
          <w:tab w:val="num" w:pos="680"/>
        </w:tabs>
        <w:ind w:start="680" w:hanging="680"/>
      </w:pPr>
      <w:rPr>
        <w:sz w:val="20"/>
        <w:i w:val="false"/>
        <w:b w:val="false"/>
        <w:rFonts w:ascii="Arial" w:hAnsi="Arial" w:cs="Arial"/>
      </w:rPr>
    </w:lvl>
  </w:abstractNum>
  <w:abstractNum w:abstractNumId="16">
    <w:lvl w:ilvl="0">
      <w:start w:val="1"/>
      <w:numFmt w:val="bullet"/>
      <w:lvlText w:val=""/>
      <w:lvlJc w:val="start"/>
      <w:pPr>
        <w:tabs>
          <w:tab w:val="num" w:pos="1361"/>
        </w:tabs>
        <w:ind w:start="1361" w:hanging="681"/>
      </w:pPr>
      <w:rPr>
        <w:rFonts w:ascii="Symbol" w:hAnsi="Symbol" w:cs="Symbol" w:hint="default"/>
      </w:rPr>
    </w:lvl>
  </w:abstractNum>
  <w:abstractNum w:abstractNumId="17">
    <w:lvl w:ilvl="0">
      <w:start w:val="1"/>
      <w:numFmt w:val="lowerLetter"/>
      <w:lvlText w:val="(%1)"/>
      <w:lvlJc w:val="start"/>
      <w:pPr>
        <w:tabs>
          <w:tab w:val="num" w:pos="680"/>
        </w:tabs>
        <w:ind w:start="680" w:hanging="680"/>
      </w:pPr>
    </w:lvl>
  </w:abstractNum>
  <w:abstractNum w:abstractNumId="18">
    <w:lvl w:ilvl="0">
      <w:start w:val="1"/>
      <w:numFmt w:val="bullet"/>
      <w:lvlText w:val=""/>
      <w:lvlJc w:val="start"/>
      <w:pPr>
        <w:tabs>
          <w:tab w:val="num" w:pos="680"/>
        </w:tabs>
        <w:ind w:start="680" w:hanging="680"/>
      </w:pPr>
      <w:rPr>
        <w:rFonts w:ascii="Symbol" w:hAnsi="Symbol" w:cs="Symbol" w:hint="default"/>
      </w:rPr>
    </w:lvl>
  </w:abstractNum>
  <w:abstractNum w:abstractNumId="19">
    <w:lvl w:ilvl="0">
      <w:start w:val="1"/>
      <w:numFmt w:val="lowerRoman"/>
      <w:lvlText w:val="(%1)"/>
      <w:lvlJc w:val="start"/>
      <w:pPr>
        <w:tabs>
          <w:tab w:val="num" w:pos="680"/>
        </w:tabs>
        <w:ind w:start="680" w:hanging="680"/>
      </w:pPr>
    </w:lvl>
  </w:abstractNum>
  <w:abstractNum w:abstractNumId="20">
    <w:lvl w:ilvl="0">
      <w:start w:val="1"/>
      <w:numFmt w:val="decimal"/>
      <w:lvlText w:val="ARTICLE %1er"/>
      <w:lvlJc w:val="start"/>
      <w:pPr>
        <w:tabs>
          <w:tab w:val="num" w:pos="1418"/>
        </w:tabs>
        <w:ind w:start="1418" w:hanging="1418"/>
      </w:pPr>
      <w:rPr>
        <w:i w:val="false"/>
        <w:b/>
      </w:rPr>
    </w:lvl>
    <w:lvl w:ilvl="1">
      <w:start w:val="1"/>
      <w:numFmt w:val="decimal"/>
      <w:lvlText w:val="%1.%2"/>
      <w:lvlJc w:val="start"/>
      <w:pPr>
        <w:tabs>
          <w:tab w:val="num" w:pos="851"/>
        </w:tabs>
        <w:ind w:start="851" w:hanging="851"/>
      </w:pPr>
      <w:rPr>
        <w:i w:val="false"/>
        <w:b/>
      </w:rPr>
    </w:lvl>
    <w:lvl w:ilvl="2">
      <w:start w:val="1"/>
      <w:numFmt w:val="decimal"/>
      <w:lvlText w:val="%1.%2.%3"/>
      <w:lvlJc w:val="start"/>
      <w:pPr>
        <w:tabs>
          <w:tab w:val="num" w:pos="851"/>
        </w:tabs>
        <w:ind w:start="851" w:hanging="851"/>
      </w:pPr>
    </w:lvl>
    <w:lvl w:ilvl="3">
      <w:start w:val="1"/>
      <w:numFmt w:val="none"/>
      <w:suff w:val="nothing"/>
      <w:lvlText w:val=""/>
      <w:lvlJc w:val="start"/>
      <w:pPr>
        <w:ind w:start="32767" w:hanging="0"/>
      </w:pPr>
    </w:lvl>
    <w:lvl w:ilvl="4">
      <w:start w:val="1"/>
      <w:numFmt w:val="none"/>
      <w:suff w:val="nothing"/>
      <w:lvlText w:val=""/>
      <w:lvlJc w:val="start"/>
      <w:pPr>
        <w:ind w:start="32767" w:hanging="0"/>
      </w:pPr>
    </w:lvl>
    <w:lvl w:ilvl="5">
      <w:start w:val="1"/>
      <w:numFmt w:val="none"/>
      <w:suff w:val="nothing"/>
      <w:lvlText w:val=""/>
      <w:lvlJc w:val="start"/>
      <w:pPr>
        <w:ind w:start="32767" w:hanging="0"/>
      </w:pPr>
    </w:lvl>
    <w:lvl w:ilvl="6">
      <w:start w:val="1"/>
      <w:numFmt w:val="none"/>
      <w:suff w:val="nothing"/>
      <w:lvlText w:val=""/>
      <w:lvlJc w:val="start"/>
      <w:pPr>
        <w:tabs>
          <w:tab w:val="num" w:pos="360"/>
        </w:tabs>
        <w:ind w:start="32767" w:firstLine="32767"/>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21">
    <w:lvl w:ilvl="0">
      <w:start w:val="1"/>
      <w:numFmt w:val="lowerLetter"/>
      <w:lvlText w:val="(%1)"/>
      <w:lvlJc w:val="start"/>
      <w:pPr>
        <w:tabs>
          <w:tab w:val="num" w:pos="3969"/>
        </w:tabs>
        <w:ind w:start="3969" w:hanging="680"/>
      </w:pPr>
    </w:lvl>
  </w:abstractNum>
  <w:abstractNum w:abstractNumId="22">
    <w:lvl w:ilvl="0">
      <w:start w:val="1"/>
      <w:numFmt w:val="lowerLetter"/>
      <w:lvlText w:val="(%1)"/>
      <w:lvlJc w:val="start"/>
      <w:pPr>
        <w:tabs>
          <w:tab w:val="num" w:pos="2608"/>
        </w:tabs>
        <w:ind w:start="2608" w:hanging="567"/>
      </w:pPr>
    </w:lvl>
  </w:abstractNum>
  <w:abstractNum w:abstractNumId="23">
    <w:lvl w:ilvl="0">
      <w:start w:val="1"/>
      <w:numFmt w:val="decimal"/>
      <w:lvlText w:val="%1"/>
      <w:lvlJc w:val="start"/>
      <w:pPr>
        <w:tabs>
          <w:tab w:val="num" w:pos="680"/>
        </w:tabs>
        <w:ind w:start="680" w:hanging="680"/>
      </w:pPr>
      <w:rPr>
        <w:i w:val="false"/>
        <w:b/>
      </w:rPr>
    </w:lvl>
    <w:lvl w:ilvl="1">
      <w:start w:val="1"/>
      <w:numFmt w:val="lowerLetter"/>
      <w:lvlText w:val="(%2)"/>
      <w:lvlJc w:val="start"/>
      <w:pPr>
        <w:tabs>
          <w:tab w:val="num" w:pos="1361"/>
        </w:tabs>
        <w:ind w:start="1361" w:hanging="681"/>
      </w:pPr>
      <w:rPr/>
    </w:lvl>
    <w:lvl w:ilvl="2">
      <w:start w:val="1"/>
      <w:numFmt w:val="lowerRoman"/>
      <w:lvlText w:val="(%3)"/>
      <w:lvlJc w:val="start"/>
      <w:pPr>
        <w:tabs>
          <w:tab w:val="num" w:pos="2041"/>
        </w:tabs>
        <w:ind w:start="2041" w:hanging="680"/>
      </w:pPr>
      <w:rPr/>
    </w:lvl>
    <w:lvl w:ilvl="3">
      <w:start w:val="1"/>
      <w:numFmt w:val="upperLetter"/>
      <w:lvlText w:val="(%4)"/>
      <w:lvlJc w:val="start"/>
      <w:pPr>
        <w:tabs>
          <w:tab w:val="num" w:pos="2608"/>
        </w:tabs>
        <w:ind w:start="2608" w:hanging="567"/>
      </w:pPr>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24">
    <w:lvl w:ilvl="0">
      <w:start w:val="1"/>
      <w:numFmt w:val="decimal"/>
      <w:lvlText w:val="%1"/>
      <w:lvlJc w:val="start"/>
      <w:pPr>
        <w:tabs>
          <w:tab w:val="num" w:pos="680"/>
        </w:tabs>
        <w:ind w:start="680" w:hanging="680"/>
      </w:pPr>
      <w:rPr>
        <w:sz w:val="21"/>
        <w:i w:val="false"/>
        <w:b/>
        <w:rFonts w:ascii="Arial" w:hAnsi="Arial" w:cs="Arial"/>
      </w:rPr>
    </w:lvl>
    <w:lvl w:ilvl="1">
      <w:start w:val="1"/>
      <w:numFmt w:val="decimal"/>
      <w:lvlText w:val="%1.%2"/>
      <w:lvlJc w:val="start"/>
      <w:pPr>
        <w:tabs>
          <w:tab w:val="num" w:pos="680"/>
        </w:tabs>
        <w:ind w:start="680" w:hanging="680"/>
      </w:pPr>
      <w:rPr>
        <w:sz w:val="20"/>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5">
    <w:lvl w:ilvl="0">
      <w:start w:val="1"/>
      <w:numFmt w:val="bullet"/>
      <w:lvlText w:val=""/>
      <w:lvlJc w:val="start"/>
      <w:pPr>
        <w:tabs>
          <w:tab w:val="num" w:pos="2041"/>
        </w:tabs>
        <w:ind w:start="2041" w:hanging="680"/>
      </w:pPr>
      <w:rPr>
        <w:rFonts w:ascii="Symbol" w:hAnsi="Symbol" w:cs="Symbol" w:hint="default"/>
      </w:rPr>
    </w:lvl>
  </w:abstractNum>
  <w:abstractNum w:abstractNumId="26">
    <w:lvl w:ilvl="0">
      <w:start w:val="1"/>
      <w:numFmt w:val="bullet"/>
      <w:lvlText w:val=""/>
      <w:lvlJc w:val="start"/>
      <w:pPr>
        <w:tabs>
          <w:tab w:val="num" w:pos="3856"/>
        </w:tabs>
        <w:ind w:start="3856" w:hanging="567"/>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4"/>
    <w:lvlOverride w:ilvl="0">
      <w:startOverride w:val="1"/>
    </w:lvlOverride>
  </w:num>
  <w:num w:numId="34">
    <w:abstractNumId w:val="2"/>
    <w:lvlOverride w:ilvl="0">
      <w:startOverride w:val="1"/>
    </w:lvlOverride>
  </w:num>
  <w:num w:numId="35">
    <w:abstractNumId w:val="4"/>
    <w:lvlOverride w:ilvl="0">
      <w:startOverride w:val="1"/>
    </w:lvlOverride>
  </w:num>
  <w:num w:numId="36">
    <w:abstractNumId w:val="2"/>
    <w:lvlOverride w:ilvl="0">
      <w:startOverride w:val="1"/>
    </w:lvlOverride>
  </w:num>
  <w:num w:numId="37">
    <w:abstractNumId w:val="4"/>
    <w:lvlOverride w:ilvl="0">
      <w:startOverride w:val="1"/>
    </w:lvlOverride>
  </w:num>
</w:numbering>
</file>

<file path=word/settings.xml><?xml version="1.0" encoding="utf-8"?>
<w:settings xmlns:w="http://schemas.openxmlformats.org/wordprocessingml/2006/main">
  <w:zoom w:percent="100"/>
  <w:defaultTabStop w:val="567"/>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eastAsia="zh-CN" w:bidi="hi-IN"/>
    </w:rPr>
  </w:style>
  <w:style w:type="paragraph" w:styleId="Heading1">
    <w:name w:val="heading 1"/>
    <w:basedOn w:val="Normal"/>
    <w:next w:val="Normal"/>
    <w:qFormat/>
    <w:pPr>
      <w:numPr>
        <w:ilvl w:val="0"/>
        <w:numId w:val="1"/>
      </w:numPr>
      <w:spacing w:lineRule="auto" w:line="240"/>
      <w:outlineLvl w:val="0"/>
    </w:pPr>
    <w:rPr/>
  </w:style>
  <w:style w:type="paragraph" w:styleId="Heading2">
    <w:name w:val="heading 2"/>
    <w:basedOn w:val="Normal"/>
    <w:next w:val="Normal"/>
    <w:qFormat/>
    <w:pPr>
      <w:numPr>
        <w:ilvl w:val="1"/>
        <w:numId w:val="1"/>
      </w:numPr>
      <w:spacing w:lineRule="auto" w:line="240"/>
      <w:outlineLvl w:val="1"/>
    </w:pPr>
    <w:rPr/>
  </w:style>
  <w:style w:type="paragraph" w:styleId="Heading3">
    <w:name w:val="heading 3"/>
    <w:basedOn w:val="Normal"/>
    <w:next w:val="Normal"/>
    <w:qFormat/>
    <w:pPr>
      <w:numPr>
        <w:ilvl w:val="2"/>
        <w:numId w:val="1"/>
      </w:numPr>
      <w:spacing w:lineRule="auto" w:line="240"/>
      <w:outlineLvl w:val="2"/>
    </w:pPr>
    <w:rPr/>
  </w:style>
  <w:style w:type="paragraph" w:styleId="Heading4">
    <w:name w:val="heading 4"/>
    <w:basedOn w:val="Normal"/>
    <w:next w:val="Normal"/>
    <w:qFormat/>
    <w:pPr>
      <w:numPr>
        <w:ilvl w:val="3"/>
        <w:numId w:val="1"/>
      </w:numPr>
      <w:spacing w:lineRule="auto" w:line="240"/>
      <w:outlineLvl w:val="3"/>
    </w:pPr>
    <w:rPr/>
  </w:style>
  <w:style w:type="paragraph" w:styleId="Heading5">
    <w:name w:val="heading 5"/>
    <w:basedOn w:val="Normal"/>
    <w:next w:val="Normal"/>
    <w:qFormat/>
    <w:pPr>
      <w:numPr>
        <w:ilvl w:val="4"/>
        <w:numId w:val="1"/>
      </w:numPr>
      <w:spacing w:lineRule="auto" w:line="240"/>
      <w:outlineLvl w:val="4"/>
    </w:pPr>
    <w:rPr/>
  </w:style>
  <w:style w:type="paragraph" w:styleId="Heading6">
    <w:name w:val="heading 6"/>
    <w:basedOn w:val="Normal"/>
    <w:next w:val="Normal"/>
    <w:qFormat/>
    <w:pPr>
      <w:numPr>
        <w:ilvl w:val="5"/>
        <w:numId w:val="1"/>
      </w:numPr>
      <w:spacing w:lineRule="auto" w:line="240"/>
      <w:outlineLvl w:val="5"/>
    </w:pPr>
    <w:rPr/>
  </w:style>
  <w:style w:type="paragraph" w:styleId="Heading7">
    <w:name w:val="heading 7"/>
    <w:basedOn w:val="Normal"/>
    <w:next w:val="Normal"/>
    <w:qFormat/>
    <w:pPr>
      <w:numPr>
        <w:ilvl w:val="6"/>
        <w:numId w:val="1"/>
      </w:numPr>
      <w:spacing w:lineRule="auto" w:line="240"/>
      <w:outlineLvl w:val="6"/>
    </w:pPr>
    <w:rPr/>
  </w:style>
  <w:style w:type="paragraph" w:styleId="Heading8">
    <w:name w:val="heading 8"/>
    <w:basedOn w:val="Normal"/>
    <w:next w:val="Normal"/>
    <w:qFormat/>
    <w:pPr>
      <w:numPr>
        <w:ilvl w:val="7"/>
        <w:numId w:val="1"/>
      </w:numPr>
      <w:spacing w:lineRule="auto" w:line="240"/>
      <w:outlineLvl w:val="7"/>
    </w:pPr>
    <w:rPr/>
  </w:style>
  <w:style w:type="paragraph" w:styleId="Heading9">
    <w:name w:val="heading 9"/>
    <w:basedOn w:val="Normal"/>
    <w:next w:val="Normal"/>
    <w:qFormat/>
    <w:pPr>
      <w:numPr>
        <w:ilvl w:val="8"/>
        <w:numId w:val="1"/>
      </w:numPr>
      <w:spacing w:lineRule="auto" w:line="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rPr>
  </w:style>
  <w:style w:type="character" w:styleId="WW8Num11z1">
    <w:name w:val="WW8Num11z1"/>
    <w:qFormat/>
    <w:rPr/>
  </w:style>
  <w:style w:type="character" w:styleId="WW8Num11z4">
    <w:name w:val="WW8Num11z4"/>
    <w:qFormat/>
    <w:rPr>
      <w:rFonts w:ascii="Symbol" w:hAnsi="Symbol" w:cs="Symbol"/>
    </w:rPr>
  </w:style>
  <w:style w:type="character" w:styleId="WW8Num11z5">
    <w:name w:val="WW8Num11z5"/>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Arial" w:hAnsi="Arial" w:cs="Arial"/>
      <w:b/>
      <w:i w:val="false"/>
      <w:sz w:val="21"/>
    </w:rPr>
  </w:style>
  <w:style w:type="character" w:styleId="WW8Num14z1">
    <w:name w:val="WW8Num14z1"/>
    <w:qFormat/>
    <w:rPr>
      <w:rFonts w:ascii="Arial" w:hAnsi="Arial" w:cs="Arial"/>
      <w:b/>
      <w:i w:val="false"/>
      <w:sz w:val="20"/>
    </w:rPr>
  </w:style>
  <w:style w:type="character" w:styleId="WW8Num14z2">
    <w:name w:val="WW8Num14z2"/>
    <w:qFormat/>
    <w:rPr>
      <w:b/>
      <w:i w:val="false"/>
      <w:sz w:val="17"/>
    </w:rPr>
  </w:style>
  <w:style w:type="character" w:styleId="WW8Num15z0">
    <w:name w:val="WW8Num15z0"/>
    <w:qFormat/>
    <w:rPr>
      <w:rFonts w:ascii="Arial" w:hAnsi="Arial" w:cs="Arial"/>
      <w:b/>
      <w:i w:val="false"/>
      <w:sz w:val="21"/>
    </w:rPr>
  </w:style>
  <w:style w:type="character" w:styleId="WW8Num15z1">
    <w:name w:val="WW8Num15z1"/>
    <w:qFormat/>
    <w:rPr>
      <w:rFonts w:ascii="Arial" w:hAnsi="Arial" w:cs="Arial"/>
      <w:b/>
      <w:i w:val="false"/>
      <w:sz w:val="20"/>
    </w:rPr>
  </w:style>
  <w:style w:type="character" w:styleId="WW8Num15z2">
    <w:name w:val="WW8Num15z2"/>
    <w:qFormat/>
    <w:rPr>
      <w:rFonts w:ascii="Arial" w:hAnsi="Arial" w:cs="Arial"/>
      <w:b/>
      <w:i w:val="false"/>
      <w:sz w:val="17"/>
    </w:rPr>
  </w:style>
  <w:style w:type="character" w:styleId="WW8Num15z3">
    <w:name w:val="WW8Num15z3"/>
    <w:qFormat/>
    <w:rPr>
      <w:rFonts w:ascii="Arial" w:hAnsi="Arial" w:cs="Arial"/>
      <w:b w:val="false"/>
      <w:i w:val="false"/>
      <w:sz w:val="18"/>
    </w:rPr>
  </w:style>
  <w:style w:type="character" w:styleId="WW8Num16z0">
    <w:name w:val="WW8Num16z0"/>
    <w:qFormat/>
    <w:rPr>
      <w:rFonts w:ascii="Arial" w:hAnsi="Arial" w:cs="Arial"/>
      <w:b w:val="false"/>
      <w:i w:val="false"/>
      <w:sz w:val="20"/>
    </w:rPr>
  </w:style>
  <w:style w:type="character" w:styleId="WW8Num17z0">
    <w:name w:val="WW8Num17z0"/>
    <w:qFormat/>
    <w:rPr/>
  </w:style>
  <w:style w:type="character" w:styleId="WW8Num18z0">
    <w:name w:val="WW8Num18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Arial" w:hAnsi="Arial" w:cs="Arial"/>
      <w:b/>
      <w:i w:val="false"/>
      <w:sz w:val="22"/>
    </w:rPr>
  </w:style>
  <w:style w:type="character" w:styleId="WW8Num24z1">
    <w:name w:val="WW8Num24z1"/>
    <w:qFormat/>
    <w:rPr>
      <w:rFonts w:ascii="Arial" w:hAnsi="Arial" w:cs="Arial"/>
      <w:b/>
      <w:i w:val="false"/>
      <w:sz w:val="19"/>
    </w:rPr>
  </w:style>
  <w:style w:type="character" w:styleId="WW8Num24z2">
    <w:name w:val="WW8Num24z2"/>
    <w:qFormat/>
    <w:rPr>
      <w:rFonts w:ascii="Arial" w:hAnsi="Arial" w:cs="Arial"/>
      <w:b/>
      <w:i w:val="false"/>
      <w:sz w:val="18"/>
    </w:rPr>
  </w:style>
  <w:style w:type="character" w:styleId="WW8Num27z0">
    <w:name w:val="WW8Num27z0"/>
    <w:qFormat/>
    <w:rPr>
      <w:rFonts w:ascii="Symbol" w:hAnsi="Symbol" w:cs="Symbol"/>
    </w:rPr>
  </w:style>
  <w:style w:type="character" w:styleId="WW8Num28z0">
    <w:name w:val="WW8Num28z0"/>
    <w:qFormat/>
    <w:rPr>
      <w:rFonts w:ascii="Arial" w:hAnsi="Arial" w:cs="Arial"/>
      <w:b/>
      <w:i w:val="false"/>
      <w:sz w:val="21"/>
    </w:rPr>
  </w:style>
  <w:style w:type="character" w:styleId="WW8Num28z1">
    <w:name w:val="WW8Num28z1"/>
    <w:qFormat/>
    <w:rPr>
      <w:rFonts w:ascii="Arial" w:hAnsi="Arial" w:cs="Arial"/>
      <w:b/>
      <w:i w:val="false"/>
      <w:sz w:val="20"/>
    </w:rPr>
  </w:style>
  <w:style w:type="character" w:styleId="WW8Num28z2">
    <w:name w:val="WW8Num28z2"/>
    <w:qFormat/>
    <w:rPr>
      <w:rFonts w:ascii="Arial" w:hAnsi="Arial" w:cs="Arial"/>
      <w:b/>
      <w:i w:val="false"/>
      <w:sz w:val="17"/>
    </w:rPr>
  </w:style>
  <w:style w:type="character" w:styleId="WW8Num28z3">
    <w:name w:val="WW8Num28z3"/>
    <w:qFormat/>
    <w:rPr>
      <w:rFonts w:ascii="Arial" w:hAnsi="Arial" w:cs="Arial"/>
      <w:b w:val="false"/>
      <w:i w:val="false"/>
      <w:sz w:val="20"/>
    </w:rPr>
  </w:style>
  <w:style w:type="character" w:styleId="WW8Num29z0">
    <w:name w:val="WW8Num29z0"/>
    <w:qFormat/>
    <w:rPr>
      <w:b/>
      <w:i w:val="false"/>
    </w:rPr>
  </w:style>
  <w:style w:type="character" w:styleId="WW8Num30z0">
    <w:name w:val="WW8Num30z0"/>
    <w:qFormat/>
    <w:rPr>
      <w:b/>
      <w:i w:val="false"/>
    </w:rPr>
  </w:style>
  <w:style w:type="character" w:styleId="WW8Num32z0">
    <w:name w:val="WW8Num32z0"/>
    <w:qFormat/>
    <w:rPr>
      <w:b/>
      <w:i w:val="false"/>
    </w:rPr>
  </w:style>
  <w:style w:type="character" w:styleId="WW8Num32z1">
    <w:name w:val="WW8Num32z1"/>
    <w:qFormat/>
    <w:rPr/>
  </w:style>
  <w:style w:type="character" w:styleId="WW8Num32z3">
    <w:name w:val="WW8Num32z3"/>
    <w:qFormat/>
    <w:rPr>
      <w:rFonts w:ascii="Symbol" w:hAnsi="Symbol" w:cs="Symbol"/>
    </w:rPr>
  </w:style>
  <w:style w:type="character" w:styleId="WW8Num32z5">
    <w:name w:val="WW8Num32z5"/>
    <w:qFormat/>
    <w:rPr>
      <w:rFonts w:ascii="Wingdings" w:hAnsi="Wingdings" w:cs="Wingdings"/>
    </w:rPr>
  </w:style>
  <w:style w:type="character" w:styleId="WW8Num33z0">
    <w:name w:val="WW8Num33z0"/>
    <w:qFormat/>
    <w:rPr>
      <w:b/>
      <w:i w:val="false"/>
      <w:sz w:val="20"/>
    </w:rPr>
  </w:style>
  <w:style w:type="character" w:styleId="WW8Num35z0">
    <w:name w:val="WW8Num35z0"/>
    <w:qFormat/>
    <w:rPr>
      <w:rFonts w:ascii="Symbol" w:hAnsi="Symbol" w:cs="Symbol"/>
    </w:rPr>
  </w:style>
  <w:style w:type="character" w:styleId="WW8Num37z0">
    <w:name w:val="WW8Num37z0"/>
    <w:qFormat/>
    <w:rPr>
      <w:rFonts w:ascii="Arial" w:hAnsi="Arial" w:cs="Arial"/>
      <w:b/>
      <w:i w:val="false"/>
      <w:sz w:val="22"/>
    </w:rPr>
  </w:style>
  <w:style w:type="character" w:styleId="WW8Num37z1">
    <w:name w:val="WW8Num37z1"/>
    <w:qFormat/>
    <w:rPr>
      <w:rFonts w:ascii="Arial" w:hAnsi="Arial" w:cs="Arial"/>
      <w:b/>
      <w:i w:val="false"/>
      <w:sz w:val="19"/>
    </w:rPr>
  </w:style>
  <w:style w:type="character" w:styleId="WW8Num37z2">
    <w:name w:val="WW8Num37z2"/>
    <w:qFormat/>
    <w:rPr>
      <w:rFonts w:ascii="Arial" w:hAnsi="Arial" w:cs="Arial"/>
      <w:b/>
      <w:i w:val="false"/>
      <w:sz w:val="18"/>
    </w:rPr>
  </w:style>
  <w:style w:type="character" w:styleId="WW8Num38z0">
    <w:name w:val="WW8Num38z0"/>
    <w:qFormat/>
    <w:rPr/>
  </w:style>
  <w:style w:type="character" w:styleId="WW8Num44z0">
    <w:name w:val="WW8Num44z0"/>
    <w:qFormat/>
    <w:rPr>
      <w:rFonts w:ascii="Arial" w:hAnsi="Arial" w:cs="Arial"/>
      <w:b w:val="false"/>
      <w:i w:val="false"/>
      <w:sz w:val="20"/>
    </w:rPr>
  </w:style>
  <w:style w:type="character" w:styleId="WW8Num45z0">
    <w:name w:val="WW8Num45z0"/>
    <w:qFormat/>
    <w:rPr>
      <w:rFonts w:ascii="Symbol" w:hAnsi="Symbol" w:cs="Symbol"/>
    </w:rPr>
  </w:style>
  <w:style w:type="character" w:styleId="WW8Num46z0">
    <w:name w:val="WW8Num46z0"/>
    <w:qFormat/>
    <w:rPr>
      <w:rFonts w:ascii="Arial" w:hAnsi="Arial" w:cs="Arial"/>
      <w:b/>
      <w:i w:val="false"/>
      <w:sz w:val="22"/>
    </w:rPr>
  </w:style>
  <w:style w:type="character" w:styleId="WW8Num46z1">
    <w:name w:val="WW8Num46z1"/>
    <w:qFormat/>
    <w:rPr>
      <w:rFonts w:ascii="Arial" w:hAnsi="Arial" w:cs="Arial"/>
      <w:b/>
      <w:i w:val="false"/>
      <w:sz w:val="19"/>
    </w:rPr>
  </w:style>
  <w:style w:type="character" w:styleId="WW8Num46z2">
    <w:name w:val="WW8Num46z2"/>
    <w:qFormat/>
    <w:rPr>
      <w:rFonts w:ascii="Arial" w:hAnsi="Arial" w:cs="Arial"/>
      <w:b/>
      <w:i w:val="false"/>
      <w:sz w:val="18"/>
    </w:rPr>
  </w:style>
  <w:style w:type="character" w:styleId="WW8Num47z0">
    <w:name w:val="WW8Num47z0"/>
    <w:qFormat/>
    <w:rPr>
      <w:b/>
      <w:i w:val="false"/>
    </w:rPr>
  </w:style>
  <w:style w:type="character" w:styleId="WW8Num47z1">
    <w:name w:val="WW8Num47z1"/>
    <w:qFormat/>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Arial" w:hAnsi="Arial" w:cs="Arial"/>
      <w:b/>
      <w:i w:val="false"/>
      <w:sz w:val="20"/>
    </w:rPr>
  </w:style>
  <w:style w:type="character" w:styleId="WW8Num48z1">
    <w:name w:val="WW8Num48z1"/>
    <w:qFormat/>
    <w:rPr>
      <w:rFonts w:ascii="Arial" w:hAnsi="Arial" w:cs="Arial"/>
      <w:b/>
      <w:i w:val="false"/>
      <w:sz w:val="18"/>
    </w:rPr>
  </w:style>
  <w:style w:type="character" w:styleId="WW8Num50z0">
    <w:name w:val="WW8Num50z0"/>
    <w:qFormat/>
    <w:rPr>
      <w:rFonts w:ascii="Symbol" w:hAnsi="Symbol" w:cs="Symbol"/>
    </w:rPr>
  </w:style>
  <w:style w:type="character" w:styleId="WW8Num51z0">
    <w:name w:val="WW8Num51z0"/>
    <w:qFormat/>
    <w:rPr>
      <w:rFonts w:ascii="Symbol" w:hAnsi="Symbol" w:cs="Symbol"/>
      <w:color w:val="auto"/>
    </w:rPr>
  </w:style>
  <w:style w:type="character" w:styleId="WW8Num52z0">
    <w:name w:val="WW8Num52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Arial" w:hAnsi="Arial" w:cs="Arial"/>
      <w:b/>
      <w:i w:val="false"/>
      <w:sz w:val="21"/>
    </w:rPr>
  </w:style>
  <w:style w:type="character" w:styleId="WW8Num56z1">
    <w:name w:val="WW8Num56z1"/>
    <w:qFormat/>
    <w:rPr>
      <w:rFonts w:ascii="Arial" w:hAnsi="Arial" w:cs="Arial"/>
      <w:b/>
      <w:i w:val="false"/>
      <w:sz w:val="20"/>
    </w:rPr>
  </w:style>
  <w:style w:type="character" w:styleId="WW8Num56z2">
    <w:name w:val="WW8Num56z2"/>
    <w:qFormat/>
    <w:rPr>
      <w:b/>
      <w:i w:val="false"/>
      <w:sz w:val="17"/>
    </w:rPr>
  </w:style>
  <w:style w:type="character" w:styleId="WW8Num57z0">
    <w:name w:val="WW8Num57z0"/>
    <w:qFormat/>
    <w:rPr>
      <w:rFonts w:ascii="Arial" w:hAnsi="Arial" w:cs="Arial"/>
      <w:b w:val="false"/>
      <w:i w:val="false"/>
      <w:sz w:val="20"/>
    </w:rPr>
  </w:style>
  <w:style w:type="character" w:styleId="WW8Num58z0">
    <w:name w:val="WW8Num58z0"/>
    <w:qFormat/>
    <w:rPr>
      <w:b w:val="false"/>
      <w:i w:val="false"/>
    </w:rPr>
  </w:style>
  <w:style w:type="character" w:styleId="WW8Num59z0">
    <w:name w:val="WW8Num59z0"/>
    <w:qFormat/>
    <w:rPr>
      <w:rFonts w:ascii="Arial" w:hAnsi="Arial" w:cs="Arial"/>
      <w:b/>
      <w:i w:val="false"/>
      <w:sz w:val="21"/>
    </w:rPr>
  </w:style>
  <w:style w:type="character" w:styleId="WW8Num59z2">
    <w:name w:val="WW8Num59z2"/>
    <w:qFormat/>
    <w:rPr>
      <w:rFonts w:ascii="Arial" w:hAnsi="Arial" w:cs="Arial"/>
      <w:b/>
      <w:i w:val="false"/>
      <w:sz w:val="17"/>
    </w:rPr>
  </w:style>
  <w:style w:type="character" w:styleId="WW8Num59z3">
    <w:name w:val="WW8Num59z3"/>
    <w:qFormat/>
    <w:rPr>
      <w:rFonts w:ascii="Arial" w:hAnsi="Arial" w:cs="Arial"/>
      <w:b w:val="false"/>
      <w:i w:val="false"/>
      <w:sz w:val="20"/>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3z0">
    <w:name w:val="WW8Num63z0"/>
    <w:qFormat/>
    <w:rPr>
      <w:rFonts w:ascii="Arial" w:hAnsi="Arial" w:cs="Arial"/>
      <w:b/>
      <w:i w:val="false"/>
      <w:sz w:val="20"/>
    </w:rPr>
  </w:style>
  <w:style w:type="character" w:styleId="WW8Num63z2">
    <w:name w:val="WW8Num63z2"/>
    <w:qFormat/>
    <w:rPr>
      <w:rFonts w:ascii="Arial" w:hAnsi="Arial" w:cs="Arial"/>
      <w:b/>
      <w:i w:val="false"/>
      <w:sz w:val="17"/>
    </w:rPr>
  </w:style>
  <w:style w:type="character" w:styleId="WW8Num63z3">
    <w:name w:val="WW8Num63z3"/>
    <w:qFormat/>
    <w:rPr>
      <w:rFonts w:ascii="Arial" w:hAnsi="Arial" w:cs="Arial"/>
      <w:b w:val="false"/>
      <w:i w:val="false"/>
      <w:sz w:val="18"/>
    </w:rPr>
  </w:style>
  <w:style w:type="character" w:styleId="WW8Num64z0">
    <w:name w:val="WW8Num64z0"/>
    <w:qFormat/>
    <w:rPr>
      <w:rFonts w:ascii="Symbol" w:hAnsi="Symbol" w:cs="Symbol"/>
    </w:rPr>
  </w:style>
  <w:style w:type="character" w:styleId="WW8Num66z0">
    <w:name w:val="WW8Num66z0"/>
    <w:qFormat/>
    <w:rPr>
      <w:rFonts w:ascii="Symbol" w:hAnsi="Symbol" w:cs="Symbol"/>
      <w:color w:val="auto"/>
    </w:rPr>
  </w:style>
  <w:style w:type="character" w:styleId="WW8Num67z0">
    <w:name w:val="WW8Num67z0"/>
    <w:qFormat/>
    <w:rPr>
      <w:rFonts w:ascii="Arial" w:hAnsi="Arial" w:cs="Arial"/>
      <w:b/>
      <w:i w:val="false"/>
      <w:sz w:val="21"/>
    </w:rPr>
  </w:style>
  <w:style w:type="character" w:styleId="WW8Num67z1">
    <w:name w:val="WW8Num67z1"/>
    <w:qFormat/>
    <w:rPr>
      <w:rFonts w:ascii="Arial" w:hAnsi="Arial" w:cs="Arial"/>
      <w:b/>
      <w:i w:val="false"/>
      <w:sz w:val="20"/>
    </w:rPr>
  </w:style>
  <w:style w:type="character" w:styleId="WW8Num67z2">
    <w:name w:val="WW8Num67z2"/>
    <w:qFormat/>
    <w:rPr>
      <w:rFonts w:ascii="Arial" w:hAnsi="Arial" w:cs="Arial"/>
      <w:b/>
      <w:i w:val="false"/>
      <w:sz w:val="17"/>
    </w:rPr>
  </w:style>
  <w:style w:type="character" w:styleId="WW8Num67z3">
    <w:name w:val="WW8Num67z3"/>
    <w:qFormat/>
    <w:rPr>
      <w:rFonts w:ascii="Arial" w:hAnsi="Arial" w:cs="Arial"/>
      <w:b w:val="false"/>
      <w:i w:val="false"/>
      <w:sz w:val="20"/>
    </w:rPr>
  </w:style>
  <w:style w:type="character" w:styleId="WW8Num68z0">
    <w:name w:val="WW8Num68z0"/>
    <w:qFormat/>
    <w:rPr>
      <w:rFonts w:ascii="Symbol" w:hAnsi="Symbol" w:cs="Symbol"/>
    </w:rPr>
  </w:style>
  <w:style w:type="character" w:styleId="WW8Num71z0">
    <w:name w:val="WW8Num71z0"/>
    <w:qFormat/>
    <w:rPr>
      <w:rFonts w:ascii="Symbol" w:hAnsi="Symbol" w:cs="Symbol"/>
    </w:rPr>
  </w:style>
  <w:style w:type="character" w:styleId="WW8Num73z0">
    <w:name w:val="WW8Num73z0"/>
    <w:qFormat/>
    <w:rPr>
      <w:b/>
      <w:i w:val="false"/>
    </w:rPr>
  </w:style>
  <w:style w:type="character" w:styleId="WW8Num74z0">
    <w:name w:val="WW8Num74z0"/>
    <w:qFormat/>
    <w:rPr>
      <w:rFonts w:ascii="Arial" w:hAnsi="Arial" w:cs="Arial"/>
      <w:b/>
      <w:i w:val="false"/>
      <w:sz w:val="22"/>
    </w:rPr>
  </w:style>
  <w:style w:type="character" w:styleId="WW8Num74z1">
    <w:name w:val="WW8Num74z1"/>
    <w:qFormat/>
    <w:rPr>
      <w:rFonts w:ascii="Arial" w:hAnsi="Arial" w:cs="Arial"/>
      <w:b/>
      <w:i w:val="false"/>
      <w:sz w:val="19"/>
    </w:rPr>
  </w:style>
  <w:style w:type="character" w:styleId="WW8Num74z2">
    <w:name w:val="WW8Num74z2"/>
    <w:qFormat/>
    <w:rPr>
      <w:rFonts w:ascii="Arial" w:hAnsi="Arial" w:cs="Arial"/>
      <w:b/>
      <w:i w:val="false"/>
      <w:sz w:val="18"/>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color w:val="auto"/>
    </w:rPr>
  </w:style>
  <w:style w:type="character" w:styleId="WW8Num81z0">
    <w:name w:val="WW8Num81z0"/>
    <w:qFormat/>
    <w:rPr>
      <w:b/>
      <w:i w:val="false"/>
    </w:rPr>
  </w:style>
  <w:style w:type="character" w:styleId="WW8Num81z1">
    <w:name w:val="WW8Num81z1"/>
    <w:qFormat/>
    <w:rPr/>
  </w:style>
  <w:style w:type="character" w:styleId="WW8Num81z4">
    <w:name w:val="WW8Num81z4"/>
    <w:qFormat/>
    <w:rPr>
      <w:rFonts w:ascii="Symbol" w:hAnsi="Symbol" w:cs="Symbol"/>
    </w:rPr>
  </w:style>
  <w:style w:type="character" w:styleId="WW8Num81z5">
    <w:name w:val="WW8Num81z5"/>
    <w:qFormat/>
    <w:rPr>
      <w:rFonts w:ascii="Wingdings" w:hAnsi="Wingdings" w:cs="Wingdings"/>
    </w:rPr>
  </w:style>
  <w:style w:type="character" w:styleId="WW8Num83z0">
    <w:name w:val="WW8Num83z0"/>
    <w:qFormat/>
    <w:rPr>
      <w:rFonts w:ascii="Symbol" w:hAnsi="Symbol" w:cs="Symbol"/>
    </w:rPr>
  </w:style>
  <w:style w:type="character" w:styleId="WW8Num84z0">
    <w:name w:val="WW8Num84z0"/>
    <w:qFormat/>
    <w:rPr>
      <w:b/>
      <w:i w:val="false"/>
    </w:rPr>
  </w:style>
  <w:style w:type="character" w:styleId="WW8Num85z0">
    <w:name w:val="WW8Num85z0"/>
    <w:qFormat/>
    <w:rPr>
      <w:rFonts w:ascii="Arial" w:hAnsi="Arial" w:cs="Arial"/>
      <w:b/>
      <w:i w:val="false"/>
      <w:sz w:val="21"/>
    </w:rPr>
  </w:style>
  <w:style w:type="character" w:styleId="WW8Num85z1">
    <w:name w:val="WW8Num85z1"/>
    <w:qFormat/>
    <w:rPr>
      <w:rFonts w:ascii="Arial" w:hAnsi="Arial" w:cs="Arial"/>
      <w:b/>
      <w:i w:val="false"/>
      <w:sz w:val="20"/>
    </w:rPr>
  </w:style>
  <w:style w:type="character" w:styleId="WW8Num85z2">
    <w:name w:val="WW8Num85z2"/>
    <w:qFormat/>
    <w:rPr>
      <w:rFonts w:ascii="Arial" w:hAnsi="Arial" w:cs="Arial"/>
      <w:b/>
      <w:i w:val="false"/>
      <w:sz w:val="17"/>
    </w:rPr>
  </w:style>
  <w:style w:type="character" w:styleId="WW8Num85z3">
    <w:name w:val="WW8Num85z3"/>
    <w:qFormat/>
    <w:rPr>
      <w:rFonts w:ascii="Arial" w:hAnsi="Arial" w:cs="Arial"/>
      <w:b w:val="false"/>
      <w:i w:val="false"/>
      <w:sz w:val="20"/>
    </w:rPr>
  </w:style>
  <w:style w:type="character" w:styleId="WW8Num86z0">
    <w:name w:val="WW8Num86z0"/>
    <w:qFormat/>
    <w:rPr>
      <w:rFonts w:ascii="Arial" w:hAnsi="Arial" w:cs="Arial"/>
      <w:b/>
      <w:i w:val="false"/>
      <w:sz w:val="22"/>
    </w:rPr>
  </w:style>
  <w:style w:type="character" w:styleId="WW8Num86z1">
    <w:name w:val="WW8Num86z1"/>
    <w:qFormat/>
    <w:rPr>
      <w:rFonts w:ascii="Arial" w:hAnsi="Arial" w:cs="Arial"/>
      <w:b/>
      <w:i w:val="false"/>
      <w:sz w:val="21"/>
    </w:rPr>
  </w:style>
  <w:style w:type="character" w:styleId="WW8Num86z2">
    <w:name w:val="WW8Num86z2"/>
    <w:qFormat/>
    <w:rPr>
      <w:rFonts w:ascii="Arial" w:hAnsi="Arial" w:cs="Arial"/>
      <w:b/>
      <w:i w:val="false"/>
      <w:sz w:val="17"/>
    </w:rPr>
  </w:style>
  <w:style w:type="character" w:styleId="WW8Num86z3">
    <w:name w:val="WW8Num86z3"/>
    <w:qFormat/>
    <w:rPr>
      <w:rFonts w:ascii="Arial" w:hAnsi="Arial" w:cs="Arial"/>
      <w:b w:val="false"/>
      <w:i w:val="false"/>
      <w:sz w:val="20"/>
    </w:rPr>
  </w:style>
  <w:style w:type="character" w:styleId="WW8Num88z0">
    <w:name w:val="WW8Num88z0"/>
    <w:qFormat/>
    <w:rPr>
      <w:rFonts w:ascii="Arial" w:hAnsi="Arial" w:cs="Arial"/>
      <w:b/>
      <w:i w:val="false"/>
      <w:sz w:val="21"/>
    </w:rPr>
  </w:style>
  <w:style w:type="character" w:styleId="WW8Num88z1">
    <w:name w:val="WW8Num88z1"/>
    <w:qFormat/>
    <w:rPr>
      <w:rFonts w:ascii="Arial" w:hAnsi="Arial" w:cs="Arial"/>
      <w:b/>
      <w:i w:val="false"/>
      <w:sz w:val="20"/>
    </w:rPr>
  </w:style>
  <w:style w:type="character" w:styleId="WW8Num88z2">
    <w:name w:val="WW8Num88z2"/>
    <w:qFormat/>
    <w:rPr>
      <w:rFonts w:ascii="Arial" w:hAnsi="Arial" w:cs="Arial"/>
      <w:b/>
      <w:i w:val="false"/>
      <w:sz w:val="17"/>
    </w:rPr>
  </w:style>
  <w:style w:type="character" w:styleId="WW8Num88z3">
    <w:name w:val="WW8Num88z3"/>
    <w:qFormat/>
    <w:rPr>
      <w:rFonts w:ascii="Arial" w:hAnsi="Arial" w:cs="Arial"/>
      <w:b w:val="false"/>
      <w:i w:val="false"/>
      <w:sz w:val="20"/>
    </w:rPr>
  </w:style>
  <w:style w:type="character" w:styleId="WW8Num89z0">
    <w:name w:val="WW8Num89z0"/>
    <w:qFormat/>
    <w:rPr>
      <w:rFonts w:ascii="Arial" w:hAnsi="Arial" w:cs="Arial"/>
      <w:b/>
      <w:i w:val="false"/>
      <w:sz w:val="21"/>
    </w:rPr>
  </w:style>
  <w:style w:type="character" w:styleId="WW8Num89z1">
    <w:name w:val="WW8Num89z1"/>
    <w:qFormat/>
    <w:rPr>
      <w:rFonts w:ascii="Arial" w:hAnsi="Arial" w:cs="Arial"/>
      <w:b/>
      <w:i w:val="false"/>
      <w:sz w:val="20"/>
    </w:rPr>
  </w:style>
  <w:style w:type="character" w:styleId="WW8Num89z2">
    <w:name w:val="WW8Num89z2"/>
    <w:qFormat/>
    <w:rPr>
      <w:rFonts w:ascii="Arial" w:hAnsi="Arial" w:cs="Arial"/>
      <w:b/>
      <w:i w:val="false"/>
      <w:sz w:val="17"/>
    </w:rPr>
  </w:style>
  <w:style w:type="character" w:styleId="WW8Num89z3">
    <w:name w:val="WW8Num89z3"/>
    <w:qFormat/>
    <w:rPr>
      <w:rFonts w:ascii="Arial" w:hAnsi="Arial" w:cs="Arial"/>
      <w:b w:val="false"/>
      <w:i w:val="false"/>
      <w:sz w:val="20"/>
    </w:rPr>
  </w:style>
  <w:style w:type="character" w:styleId="WW8Num91z0">
    <w:name w:val="WW8Num91z0"/>
    <w:qFormat/>
    <w:rPr>
      <w:rFonts w:ascii="Symbol" w:hAnsi="Symbol" w:cs="Symbol"/>
    </w:rPr>
  </w:style>
  <w:style w:type="character" w:styleId="WW8Num92z0">
    <w:name w:val="WW8Num92z0"/>
    <w:qFormat/>
    <w:rPr>
      <w:b/>
      <w:i w:val="false"/>
    </w:rPr>
  </w:style>
  <w:style w:type="character" w:styleId="WW8Num92z1">
    <w:name w:val="WW8Num92z1"/>
    <w:qFormat/>
    <w:rPr/>
  </w:style>
  <w:style w:type="character" w:styleId="WW8Num92z4">
    <w:name w:val="WW8Num92z4"/>
    <w:qFormat/>
    <w:rPr>
      <w:rFonts w:ascii="Symbol" w:hAnsi="Symbol" w:cs="Symbol"/>
    </w:rPr>
  </w:style>
  <w:style w:type="character" w:styleId="WW8Num92z5">
    <w:name w:val="WW8Num92z5"/>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vertAlign w:val="superscript"/>
    </w:rPr>
  </w:style>
  <w:style w:type="character" w:styleId="EndnoteCharacters">
    <w:name w:val="Endnote Characters"/>
    <w:basedOn w:val="DefaultParagraphFont"/>
    <w:qFormat/>
    <w:rPr>
      <w:rFonts w:ascii="Arial" w:hAnsi="Arial" w:cs="Arial"/>
      <w:vertAlign w:val="superscript"/>
    </w:rPr>
  </w:style>
  <w:style w:type="paragraph" w:styleId="Heading">
    <w:name w:val="Heading"/>
    <w:basedOn w:val="Normal"/>
    <w:next w:val="Body"/>
    <w:qFormat/>
    <w:pPr>
      <w:keepNext w:val="true"/>
      <w:keepLines/>
      <w:spacing w:before="0" w:after="240"/>
      <w:jc w:val="both"/>
    </w:pPr>
    <w:rPr>
      <w:b/>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7"/>
      </w:numPr>
      <w:spacing w:before="0" w:after="140"/>
      <w:jc w:val="both"/>
    </w:pPr>
    <w:rPr/>
  </w:style>
  <w:style w:type="paragraph" w:styleId="alpha2">
    <w:name w:val="alpha 2"/>
    <w:basedOn w:val="Normal"/>
    <w:qFormat/>
    <w:pPr>
      <w:numPr>
        <w:ilvl w:val="0"/>
        <w:numId w:val="2"/>
      </w:numPr>
      <w:spacing w:before="0" w:after="140"/>
      <w:jc w:val="both"/>
    </w:pPr>
    <w:rPr/>
  </w:style>
  <w:style w:type="paragraph" w:styleId="alpha3">
    <w:name w:val="alpha 3"/>
    <w:basedOn w:val="Normal"/>
    <w:qFormat/>
    <w:pPr>
      <w:numPr>
        <w:ilvl w:val="0"/>
        <w:numId w:val="12"/>
      </w:numPr>
      <w:spacing w:before="0" w:after="140"/>
      <w:jc w:val="both"/>
    </w:pPr>
    <w:rPr/>
  </w:style>
  <w:style w:type="paragraph" w:styleId="Body">
    <w:name w:val="Body"/>
    <w:qFormat/>
    <w:pPr>
      <w:widowControl/>
      <w:tabs>
        <w:tab w:val="clear" w:pos="567"/>
        <w:tab w:val="left" w:pos="0" w:leader="none"/>
      </w:tabs>
      <w:bidi w:val="0"/>
      <w:spacing w:lineRule="auto" w:line="288" w:before="0" w:after="140"/>
      <w:jc w:val="both"/>
    </w:pPr>
    <w:rPr>
      <w:rFonts w:ascii="Arial" w:hAnsi="Arial" w:eastAsia="Times New Roman" w:cs="Arial"/>
      <w:color w:val="auto"/>
      <w:kern w:val="2"/>
      <w:sz w:val="20"/>
      <w:szCs w:val="20"/>
      <w:lang w:val="en-GB" w:eastAsia="zh-CN" w:bidi="hi-IN"/>
    </w:rPr>
  </w:style>
  <w:style w:type="paragraph" w:styleId="Body1">
    <w:name w:val="Body 1"/>
    <w:basedOn w:val="Body"/>
    <w:qFormat/>
    <w:pPr>
      <w:tabs>
        <w:tab w:val="clear" w:pos="0"/>
        <w:tab w:val="left" w:pos="680" w:leader="none"/>
      </w:tabs>
      <w:ind w:hanging="0" w:start="680" w:end="0"/>
    </w:pPr>
    <w:rPr/>
  </w:style>
  <w:style w:type="paragraph" w:styleId="Body2">
    <w:name w:val="Body 2"/>
    <w:basedOn w:val="Body"/>
    <w:qFormat/>
    <w:pPr>
      <w:tabs>
        <w:tab w:val="clear" w:pos="0"/>
        <w:tab w:val="left" w:pos="680" w:leader="none"/>
      </w:tabs>
      <w:ind w:hanging="0" w:start="680" w:end="0"/>
    </w:pPr>
    <w:rPr/>
  </w:style>
  <w:style w:type="paragraph" w:styleId="Body3">
    <w:name w:val="Body 3"/>
    <w:basedOn w:val="Body"/>
    <w:qFormat/>
    <w:pPr>
      <w:tabs>
        <w:tab w:val="clear" w:pos="0"/>
        <w:tab w:val="left" w:pos="1361" w:leader="none"/>
      </w:tabs>
      <w:ind w:hanging="0" w:start="1361" w:end="0"/>
    </w:pPr>
    <w:rPr/>
  </w:style>
  <w:style w:type="paragraph" w:styleId="Body4">
    <w:name w:val="Body 4"/>
    <w:basedOn w:val="Body"/>
    <w:qFormat/>
    <w:pPr>
      <w:tabs>
        <w:tab w:val="clear" w:pos="0"/>
        <w:tab w:val="left" w:pos="2041" w:leader="none"/>
      </w:tabs>
      <w:ind w:hanging="0" w:start="2041" w:end="0"/>
    </w:pPr>
    <w:rPr/>
  </w:style>
  <w:style w:type="paragraph" w:styleId="Body5">
    <w:name w:val="Body 5"/>
    <w:basedOn w:val="Body"/>
    <w:qFormat/>
    <w:pPr>
      <w:tabs>
        <w:tab w:val="clear" w:pos="0"/>
        <w:tab w:val="left" w:pos="2608" w:leader="none"/>
      </w:tabs>
      <w:ind w:hanging="0" w:start="2608" w:end="0"/>
    </w:pPr>
    <w:rPr/>
  </w:style>
  <w:style w:type="paragraph" w:styleId="Body6">
    <w:name w:val="Body 6"/>
    <w:basedOn w:val="Body"/>
    <w:qFormat/>
    <w:pPr>
      <w:tabs>
        <w:tab w:val="clear" w:pos="0"/>
        <w:tab w:val="left" w:pos="3289" w:leader="none"/>
      </w:tabs>
      <w:ind w:hanging="0" w:start="3289" w:end="0"/>
    </w:pPr>
    <w:rPr/>
  </w:style>
  <w:style w:type="paragraph" w:styleId="Bullet1">
    <w:name w:val="Bullet 1"/>
    <w:basedOn w:val="Normal"/>
    <w:qFormat/>
    <w:pPr>
      <w:numPr>
        <w:ilvl w:val="0"/>
        <w:numId w:val="18"/>
      </w:numPr>
      <w:spacing w:before="0" w:after="140"/>
      <w:jc w:val="both"/>
    </w:pPr>
    <w:rPr/>
  </w:style>
  <w:style w:type="paragraph" w:styleId="Bullet2">
    <w:name w:val="Bullet 2"/>
    <w:basedOn w:val="Normal"/>
    <w:qFormat/>
    <w:pPr>
      <w:numPr>
        <w:ilvl w:val="0"/>
        <w:numId w:val="16"/>
      </w:numPr>
      <w:spacing w:before="0" w:after="140"/>
      <w:jc w:val="both"/>
    </w:pPr>
    <w:rPr/>
  </w:style>
  <w:style w:type="paragraph" w:styleId="Bullet3">
    <w:name w:val="Bullet 3"/>
    <w:basedOn w:val="Normal"/>
    <w:qFormat/>
    <w:pPr>
      <w:numPr>
        <w:ilvl w:val="0"/>
        <w:numId w:val="25"/>
      </w:numPr>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spacing w:lineRule="auto" w:line="257" w:before="60" w:after="60"/>
    </w:pPr>
    <w:rPr>
      <w:b/>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tabs>
        <w:tab w:val="clear" w:pos="567"/>
        <w:tab w:val="center" w:pos="4536" w:leader="none"/>
        <w:tab w:val="right" w:pos="9072" w:leader="none"/>
      </w:tabs>
      <w:spacing w:lineRule="auto" w:line="240"/>
    </w:pPr>
    <w:rPr>
      <w:sz w:val="17"/>
    </w:rPr>
  </w:style>
  <w:style w:type="paragraph" w:styleId="FootnoteText">
    <w:name w:val="footnote text"/>
    <w:basedOn w:val="Normal"/>
    <w:pPr>
      <w:keepLines/>
      <w:tabs>
        <w:tab w:val="clear" w:pos="567"/>
        <w:tab w:val="left" w:pos="227" w:leader="none"/>
      </w:tabs>
      <w:spacing w:lineRule="atLeast" w:line="200" w:before="0" w:after="60"/>
      <w:ind w:hanging="227" w:start="227" w:end="0"/>
      <w:jc w:val="both"/>
    </w:pPr>
    <w:rPr>
      <w:sz w:val="16"/>
    </w:rPr>
  </w:style>
  <w:style w:type="paragraph" w:styleId="Head">
    <w:name w:val="Head"/>
    <w:basedOn w:val="Normal"/>
    <w:next w:val="Body"/>
    <w:qFormat/>
    <w:pPr>
      <w:keepNext w:val="true"/>
      <w:keepLines/>
      <w:spacing w:before="140" w:after="140"/>
      <w:jc w:val="both"/>
    </w:pPr>
    <w:rPr>
      <w:b/>
      <w:sz w:val="23"/>
    </w:rPr>
  </w:style>
  <w:style w:type="paragraph" w:styleId="Head1">
    <w:name w:val="Head 1"/>
    <w:basedOn w:val="Normal"/>
    <w:next w:val="Body1"/>
    <w:qFormat/>
    <w:pPr>
      <w:keepNext w:val="true"/>
      <w:keepLines/>
      <w:spacing w:before="140" w:after="140"/>
      <w:ind w:hanging="0" w:start="680" w:end="0"/>
      <w:jc w:val="both"/>
    </w:pPr>
    <w:rPr>
      <w:b/>
      <w:sz w:val="22"/>
    </w:rPr>
  </w:style>
  <w:style w:type="paragraph" w:styleId="Head2">
    <w:name w:val="Head 2"/>
    <w:basedOn w:val="Normal"/>
    <w:next w:val="Body2"/>
    <w:qFormat/>
    <w:pPr>
      <w:keepNext w:val="true"/>
      <w:keepLines/>
      <w:spacing w:before="140" w:after="60"/>
      <w:ind w:hanging="0" w:start="1361" w:end="0"/>
      <w:jc w:val="both"/>
    </w:pPr>
    <w:rPr>
      <w:b/>
      <w:sz w:val="21"/>
    </w:rPr>
  </w:style>
  <w:style w:type="paragraph" w:styleId="Head3">
    <w:name w:val="Head 3"/>
    <w:basedOn w:val="Normal"/>
    <w:next w:val="Body3"/>
    <w:qFormat/>
    <w:pPr>
      <w:keepNext w:val="true"/>
      <w:keepLines/>
      <w:spacing w:before="140" w:after="40"/>
      <w:ind w:hanging="0" w:start="2041" w:end="0"/>
      <w:jc w:val="both"/>
    </w:pPr>
    <w:rPr>
      <w:b/>
    </w:rPr>
  </w:style>
  <w:style w:type="paragraph" w:styleId="Header">
    <w:name w:val="header"/>
    <w:basedOn w:val="Normal"/>
    <w:pPr>
      <w:tabs>
        <w:tab w:val="clear" w:pos="567"/>
        <w:tab w:val="center" w:pos="4536" w:leader="none"/>
        <w:tab w:val="right" w:pos="9072" w:leader="none"/>
      </w:tabs>
      <w:spacing w:lineRule="auto" w:line="240"/>
    </w:pPr>
    <w:rPr>
      <w:sz w:val="19"/>
    </w:rPr>
  </w:style>
  <w:style w:type="paragraph" w:styleId="Level1">
    <w:name w:val="Level 1"/>
    <w:basedOn w:val="Normal"/>
    <w:next w:val="Body1"/>
    <w:qFormat/>
    <w:pPr>
      <w:keepNext w:val="true"/>
      <w:numPr>
        <w:ilvl w:val="0"/>
        <w:numId w:val="14"/>
      </w:numPr>
      <w:spacing w:before="140" w:after="140"/>
      <w:jc w:val="both"/>
      <w:outlineLvl w:val="0"/>
    </w:pPr>
    <w:rPr>
      <w:b/>
      <w:sz w:val="22"/>
    </w:rPr>
  </w:style>
  <w:style w:type="paragraph" w:styleId="Level2">
    <w:name w:val="Level 2"/>
    <w:basedOn w:val="Normal"/>
    <w:next w:val="Body2"/>
    <w:qFormat/>
    <w:pPr>
      <w:keepNext w:val="true"/>
      <w:numPr>
        <w:ilvl w:val="0"/>
        <w:numId w:val="14"/>
      </w:numPr>
      <w:spacing w:before="140" w:after="60"/>
      <w:jc w:val="both"/>
      <w:outlineLvl w:val="1"/>
    </w:pPr>
    <w:rPr>
      <w:b/>
      <w:sz w:val="21"/>
    </w:rPr>
  </w:style>
  <w:style w:type="paragraph" w:styleId="Level3">
    <w:name w:val="Level 3"/>
    <w:basedOn w:val="Normal"/>
    <w:qFormat/>
    <w:pPr>
      <w:numPr>
        <w:ilvl w:val="0"/>
        <w:numId w:val="14"/>
      </w:numPr>
      <w:spacing w:before="0" w:after="140"/>
      <w:jc w:val="both"/>
      <w:outlineLvl w:val="2"/>
    </w:pPr>
    <w:rPr/>
  </w:style>
  <w:style w:type="paragraph" w:styleId="Level4">
    <w:name w:val="Level 4"/>
    <w:basedOn w:val="Normal"/>
    <w:qFormat/>
    <w:pPr>
      <w:numPr>
        <w:ilvl w:val="0"/>
        <w:numId w:val="14"/>
      </w:numPr>
      <w:spacing w:before="0" w:after="140"/>
      <w:jc w:val="both"/>
      <w:outlineLvl w:val="3"/>
    </w:pPr>
    <w:rPr/>
  </w:style>
  <w:style w:type="paragraph" w:styleId="Level5">
    <w:name w:val="Level 5"/>
    <w:basedOn w:val="Normal"/>
    <w:qFormat/>
    <w:pPr>
      <w:numPr>
        <w:ilvl w:val="0"/>
        <w:numId w:val="14"/>
      </w:numPr>
      <w:spacing w:before="0" w:after="140"/>
      <w:jc w:val="both"/>
      <w:outlineLvl w:val="4"/>
    </w:pPr>
    <w:rPr/>
  </w:style>
  <w:style w:type="paragraph" w:styleId="Level6">
    <w:name w:val="Level 6"/>
    <w:basedOn w:val="Normal"/>
    <w:qFormat/>
    <w:pPr>
      <w:numPr>
        <w:ilvl w:val="0"/>
        <w:numId w:val="14"/>
      </w:numPr>
      <w:spacing w:before="0" w:after="140"/>
      <w:jc w:val="both"/>
      <w:outlineLvl w:val="5"/>
    </w:pPr>
    <w:rPr/>
  </w:style>
  <w:style w:type="paragraph" w:styleId="Parties">
    <w:name w:val="Parties"/>
    <w:basedOn w:val="Normal"/>
    <w:qFormat/>
    <w:pPr>
      <w:numPr>
        <w:ilvl w:val="0"/>
        <w:numId w:val="9"/>
      </w:numPr>
      <w:spacing w:before="0" w:after="140"/>
      <w:jc w:val="both"/>
    </w:pPr>
    <w:rPr/>
  </w:style>
  <w:style w:type="paragraph" w:styleId="Recitals">
    <w:name w:val="Recitals"/>
    <w:basedOn w:val="Normal"/>
    <w:qFormat/>
    <w:pPr>
      <w:numPr>
        <w:ilvl w:val="0"/>
        <w:numId w:val="15"/>
      </w:numPr>
      <w:spacing w:before="0" w:after="140"/>
      <w:jc w:val="both"/>
    </w:pPr>
    <w:rPr/>
  </w:style>
  <w:style w:type="paragraph" w:styleId="roman1">
    <w:name w:val="roman 1"/>
    <w:basedOn w:val="Normal"/>
    <w:qFormat/>
    <w:pPr>
      <w:numPr>
        <w:ilvl w:val="0"/>
        <w:numId w:val="19"/>
      </w:numPr>
      <w:spacing w:before="0" w:after="140"/>
      <w:jc w:val="both"/>
    </w:pPr>
    <w:rPr/>
  </w:style>
  <w:style w:type="paragraph" w:styleId="roman2">
    <w:name w:val="roman 2"/>
    <w:basedOn w:val="Normal"/>
    <w:qFormat/>
    <w:pPr>
      <w:numPr>
        <w:ilvl w:val="0"/>
        <w:numId w:val="6"/>
      </w:numPr>
      <w:spacing w:before="0" w:after="140"/>
      <w:jc w:val="both"/>
    </w:pPr>
    <w:rPr/>
  </w:style>
  <w:style w:type="paragraph" w:styleId="roman3">
    <w:name w:val="roman 3"/>
    <w:basedOn w:val="Normal"/>
    <w:qFormat/>
    <w:pPr>
      <w:numPr>
        <w:ilvl w:val="0"/>
        <w:numId w:val="4"/>
      </w:numPr>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qFormat/>
    <w:pPr>
      <w:numPr>
        <w:ilvl w:val="0"/>
        <w:numId w:val="24"/>
      </w:numPr>
      <w:spacing w:before="0" w:after="140"/>
      <w:jc w:val="both"/>
    </w:pPr>
    <w:rPr/>
  </w:style>
  <w:style w:type="paragraph" w:styleId="Schedule2">
    <w:name w:val="Schedule 2"/>
    <w:basedOn w:val="Normal"/>
    <w:qFormat/>
    <w:pPr>
      <w:numPr>
        <w:ilvl w:val="0"/>
        <w:numId w:val="24"/>
      </w:numPr>
      <w:spacing w:before="0" w:after="140"/>
      <w:jc w:val="both"/>
    </w:pPr>
    <w:rPr/>
  </w:style>
  <w:style w:type="paragraph" w:styleId="Schedule3">
    <w:name w:val="Schedule 3"/>
    <w:basedOn w:val="Normal"/>
    <w:qFormat/>
    <w:pPr>
      <w:numPr>
        <w:ilvl w:val="0"/>
        <w:numId w:val="24"/>
      </w:numPr>
      <w:spacing w:before="0" w:after="140"/>
      <w:jc w:val="both"/>
    </w:pPr>
    <w:rPr/>
  </w:style>
  <w:style w:type="paragraph" w:styleId="Schedule4">
    <w:name w:val="Schedule 4"/>
    <w:basedOn w:val="Normal"/>
    <w:qFormat/>
    <w:pPr>
      <w:numPr>
        <w:ilvl w:val="0"/>
        <w:numId w:val="24"/>
      </w:numPr>
      <w:spacing w:before="0" w:after="140"/>
      <w:jc w:val="both"/>
    </w:pPr>
    <w:rPr/>
  </w:style>
  <w:style w:type="paragraph" w:styleId="Schedule5">
    <w:name w:val="Schedule 5"/>
    <w:basedOn w:val="Normal"/>
    <w:qFormat/>
    <w:pPr>
      <w:numPr>
        <w:ilvl w:val="0"/>
        <w:numId w:val="24"/>
      </w:numPr>
      <w:spacing w:before="0" w:after="140"/>
      <w:jc w:val="both"/>
    </w:pPr>
    <w:rPr/>
  </w:style>
  <w:style w:type="paragraph" w:styleId="Schedule6">
    <w:name w:val="Schedule 6"/>
    <w:basedOn w:val="Normal"/>
    <w:qFormat/>
    <w:pPr>
      <w:numPr>
        <w:ilvl w:val="0"/>
        <w:numId w:val="24"/>
      </w:numPr>
      <w:spacing w:before="0" w:after="140"/>
      <w:jc w:val="both"/>
    </w:pPr>
    <w:rPr/>
  </w:style>
  <w:style w:type="paragraph" w:styleId="TableofAuthorities">
    <w:name w:val="Table of Authorities"/>
    <w:basedOn w:val="Normal"/>
    <w:next w:val="Normal"/>
    <w:qFormat/>
    <w:pPr>
      <w:ind w:hanging="200" w:start="200" w:end="0"/>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spacing w:lineRule="auto" w:line="341" w:before="240" w:after="160"/>
      <w:ind w:hanging="0" w:start="567" w:end="567"/>
      <w:jc w:val="center"/>
    </w:pPr>
    <w:rPr>
      <w:b/>
      <w:w w:val="125"/>
      <w:sz w:val="28"/>
    </w:rPr>
  </w:style>
  <w:style w:type="paragraph" w:styleId="EndnoteText">
    <w:name w:val="endnote text"/>
    <w:basedOn w:val="Normal"/>
    <w:pPr/>
    <w:rPr/>
  </w:style>
  <w:style w:type="paragraph" w:styleId="TOC1">
    <w:name w:val="toc 1"/>
    <w:basedOn w:val="Normal"/>
    <w:next w:val="Normal"/>
    <w:pPr>
      <w:spacing w:before="140" w:after="140"/>
      <w:ind w:hanging="680" w:start="680" w:end="425"/>
    </w:pPr>
    <w:rPr/>
  </w:style>
  <w:style w:type="paragraph" w:styleId="TOC2">
    <w:name w:val="toc 2"/>
    <w:basedOn w:val="Normal"/>
    <w:next w:val="Normal"/>
    <w:pPr>
      <w:spacing w:before="140" w:after="140"/>
      <w:ind w:hanging="680" w:start="680" w:end="425"/>
    </w:pPr>
    <w:rPr/>
  </w:style>
  <w:style w:type="paragraph" w:styleId="TOC3">
    <w:name w:val="toc 3"/>
    <w:basedOn w:val="Normal"/>
    <w:next w:val="Normal"/>
    <w:pPr>
      <w:spacing w:before="140" w:after="140"/>
      <w:ind w:hanging="680" w:start="1360" w:end="425"/>
    </w:pPr>
    <w:rPr/>
  </w:style>
  <w:style w:type="paragraph" w:styleId="TOC4">
    <w:name w:val="toc 4"/>
    <w:basedOn w:val="Normal"/>
    <w:next w:val="Normal"/>
    <w:pPr>
      <w:spacing w:before="140" w:after="140"/>
      <w:ind w:hanging="0" w:start="0" w:end="425"/>
    </w:pPr>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CLevel1">
    <w:name w:val="T+C Level 1"/>
    <w:basedOn w:val="Body"/>
    <w:next w:val="TCLevel2"/>
    <w:qFormat/>
    <w:pPr>
      <w:keepNext w:val="true"/>
      <w:numPr>
        <w:ilvl w:val="0"/>
        <w:numId w:val="23"/>
      </w:numPr>
      <w:spacing w:before="140" w:after="0"/>
    </w:pPr>
    <w:rPr>
      <w:b/>
    </w:rPr>
  </w:style>
  <w:style w:type="paragraph" w:styleId="TCLevel2">
    <w:name w:val="T+C Level 2"/>
    <w:basedOn w:val="Body"/>
    <w:qFormat/>
    <w:pPr>
      <w:numPr>
        <w:ilvl w:val="0"/>
        <w:numId w:val="23"/>
      </w:numPr>
      <w:ind w:hanging="680" w:start="1360" w:end="0"/>
    </w:pPr>
    <w:rPr/>
  </w:style>
  <w:style w:type="paragraph" w:styleId="TCLevel3">
    <w:name w:val="T+C Level 3"/>
    <w:basedOn w:val="Body"/>
    <w:qFormat/>
    <w:pPr>
      <w:numPr>
        <w:ilvl w:val="0"/>
        <w:numId w:val="23"/>
      </w:numPr>
    </w:pPr>
    <w:rPr/>
  </w:style>
  <w:style w:type="paragraph" w:styleId="TCLevel4">
    <w:name w:val="T+C Level 4"/>
    <w:basedOn w:val="Body"/>
    <w:qFormat/>
    <w:pPr>
      <w:numPr>
        <w:ilvl w:val="0"/>
        <w:numId w:val="23"/>
      </w:numPr>
    </w:pPr>
    <w:rPr/>
  </w:style>
  <w:style w:type="paragraph" w:styleId="zFSdate">
    <w:name w:val="zFSdate"/>
    <w:basedOn w:val="Normal"/>
    <w:next w:val="zFSco-names"/>
    <w:qFormat/>
    <w:pPr>
      <w:spacing w:lineRule="auto" w:line="317" w:before="0" w:after="120"/>
      <w:ind w:hanging="0" w:start="567" w:end="567"/>
      <w:jc w:val="center"/>
    </w:pPr>
    <w:rPr>
      <w:w w:val="125"/>
    </w:rPr>
  </w:style>
  <w:style w:type="paragraph" w:styleId="SubHead">
    <w:name w:val="SubHead"/>
    <w:basedOn w:val="Normal"/>
    <w:next w:val="Body"/>
    <w:qFormat/>
    <w:pPr>
      <w:keepNext w:val="true"/>
      <w:keepLines/>
      <w:spacing w:before="60" w:after="60"/>
      <w:jc w:val="both"/>
    </w:pPr>
    <w:rPr>
      <w:b/>
      <w:sz w:val="21"/>
    </w:rPr>
  </w:style>
  <w:style w:type="paragraph" w:styleId="alpha4">
    <w:name w:val="alpha 4"/>
    <w:basedOn w:val="Normal"/>
    <w:qFormat/>
    <w:pPr>
      <w:numPr>
        <w:ilvl w:val="0"/>
        <w:numId w:val="22"/>
      </w:numPr>
      <w:spacing w:before="0" w:after="140"/>
      <w:jc w:val="both"/>
    </w:pPr>
    <w:rPr/>
  </w:style>
  <w:style w:type="paragraph" w:styleId="alpha5">
    <w:name w:val="alpha 5"/>
    <w:basedOn w:val="Normal"/>
    <w:qFormat/>
    <w:pPr>
      <w:numPr>
        <w:ilvl w:val="0"/>
        <w:numId w:val="13"/>
      </w:numPr>
      <w:spacing w:before="0" w:after="140"/>
      <w:jc w:val="both"/>
    </w:pPr>
    <w:rPr/>
  </w:style>
  <w:style w:type="paragraph" w:styleId="alpha6">
    <w:name w:val="alpha 6"/>
    <w:basedOn w:val="Normal"/>
    <w:qFormat/>
    <w:pPr>
      <w:numPr>
        <w:ilvl w:val="0"/>
        <w:numId w:val="21"/>
      </w:numPr>
      <w:spacing w:before="0" w:after="140"/>
      <w:jc w:val="both"/>
    </w:pPr>
    <w:rPr/>
  </w:style>
  <w:style w:type="paragraph" w:styleId="roman4">
    <w:name w:val="roman 4"/>
    <w:basedOn w:val="Normal"/>
    <w:qFormat/>
    <w:pPr>
      <w:numPr>
        <w:ilvl w:val="0"/>
        <w:numId w:val="5"/>
      </w:numPr>
      <w:spacing w:before="0" w:after="140"/>
      <w:jc w:val="both"/>
    </w:pPr>
    <w:rPr/>
  </w:style>
  <w:style w:type="paragraph" w:styleId="roman5">
    <w:name w:val="roman 5"/>
    <w:basedOn w:val="Normal"/>
    <w:qFormat/>
    <w:pPr>
      <w:numPr>
        <w:ilvl w:val="0"/>
        <w:numId w:val="10"/>
      </w:numPr>
      <w:tabs>
        <w:tab w:val="clear" w:pos="567"/>
        <w:tab w:val="left" w:pos="3289" w:leader="none"/>
      </w:tabs>
      <w:spacing w:before="0" w:after="140"/>
      <w:jc w:val="both"/>
    </w:pPr>
    <w:rPr/>
  </w:style>
  <w:style w:type="paragraph" w:styleId="roman6">
    <w:name w:val="roman 6"/>
    <w:basedOn w:val="Normal"/>
    <w:qFormat/>
    <w:pPr>
      <w:numPr>
        <w:ilvl w:val="0"/>
        <w:numId w:val="3"/>
      </w:numPr>
      <w:spacing w:before="0" w:after="140"/>
      <w:jc w:val="both"/>
    </w:pPr>
    <w:rPr/>
  </w:style>
  <w:style w:type="paragraph" w:styleId="Bullet4">
    <w:name w:val="Bullet 4"/>
    <w:basedOn w:val="Normal"/>
    <w:qFormat/>
    <w:pPr>
      <w:numPr>
        <w:ilvl w:val="0"/>
        <w:numId w:val="7"/>
      </w:numPr>
      <w:spacing w:before="0" w:after="140"/>
      <w:jc w:val="both"/>
    </w:pPr>
    <w:rPr/>
  </w:style>
  <w:style w:type="paragraph" w:styleId="Bullet5">
    <w:name w:val="Bullet 5"/>
    <w:basedOn w:val="Normal"/>
    <w:qFormat/>
    <w:pPr>
      <w:numPr>
        <w:ilvl w:val="0"/>
        <w:numId w:val="11"/>
      </w:numPr>
      <w:spacing w:before="0" w:after="140"/>
      <w:jc w:val="both"/>
    </w:pPr>
    <w:rPr/>
  </w:style>
  <w:style w:type="paragraph" w:styleId="Bullet6">
    <w:name w:val="Bullet 6"/>
    <w:basedOn w:val="Normal"/>
    <w:qFormat/>
    <w:pPr>
      <w:numPr>
        <w:ilvl w:val="0"/>
        <w:numId w:val="26"/>
      </w:numPr>
      <w:spacing w:before="0" w:after="140"/>
      <w:jc w:val="both"/>
    </w:pPr>
    <w:rPr/>
  </w:style>
  <w:style w:type="paragraph" w:styleId="ALevel2F">
    <w:name w:val="ALevel 2F"/>
    <w:basedOn w:val="Normal"/>
    <w:qFormat/>
    <w:pPr>
      <w:numPr>
        <w:ilvl w:val="0"/>
        <w:numId w:val="8"/>
      </w:numPr>
      <w:spacing w:before="0" w:after="140"/>
      <w:jc w:val="both"/>
      <w:outlineLvl w:val="1"/>
    </w:pPr>
    <w:rPr>
      <w:lang w:val="fr-FR"/>
    </w:rPr>
  </w:style>
  <w:style w:type="paragraph" w:styleId="1erLevel2F">
    <w:name w:val="1erLevel2F"/>
    <w:basedOn w:val="ALevel2F"/>
    <w:qFormat/>
    <w:pPr>
      <w:numPr>
        <w:ilvl w:val="0"/>
        <w:numId w:val="20"/>
      </w:numPr>
    </w:pPr>
    <w:rPr/>
  </w:style>
  <w:style w:type="paragraph" w:styleId="1erLevel3F">
    <w:name w:val="1erLevel3F"/>
    <w:basedOn w:val="1erLevel2F"/>
    <w:qFormat/>
    <w:pPr>
      <w:numPr>
        <w:ilvl w:val="0"/>
        <w:numId w:val="20"/>
      </w:numPr>
      <w:outlineLvl w:val="2"/>
    </w:pPr>
    <w:rPr/>
  </w:style>
  <w:style w:type="paragraph" w:styleId="ALevel3F">
    <w:name w:val="ALevel 3F"/>
    <w:basedOn w:val="Normal"/>
    <w:qFormat/>
    <w:pPr>
      <w:numPr>
        <w:ilvl w:val="0"/>
        <w:numId w:val="8"/>
      </w:numPr>
      <w:spacing w:before="0" w:after="140"/>
      <w:jc w:val="both"/>
      <w:outlineLvl w:val="2"/>
    </w:pPr>
    <w:rPr>
      <w:lang w:val="fr-FR"/>
    </w:rPr>
  </w:style>
  <w:style w:type="paragraph" w:styleId="ARTICLE">
    <w:name w:val="ARTICLE"/>
    <w:basedOn w:val="Normal"/>
    <w:next w:val="Normal"/>
    <w:qFormat/>
    <w:pPr>
      <w:numPr>
        <w:ilvl w:val="0"/>
        <w:numId w:val="8"/>
      </w:numPr>
      <w:spacing w:before="0" w:after="140"/>
      <w:jc w:val="both"/>
      <w:outlineLvl w:val="0"/>
    </w:pPr>
    <w:rPr>
      <w:b/>
      <w:kern w:val="0"/>
      <w:lang w:val="fr-FR"/>
    </w:rPr>
  </w:style>
  <w:style w:type="paragraph" w:styleId="ARTICLE1er">
    <w:name w:val="ARTICLE 1er"/>
    <w:basedOn w:val="ARTICLE"/>
    <w:next w:val="Normal"/>
    <w:qFormat/>
    <w:pPr>
      <w:numPr>
        <w:ilvl w:val="0"/>
        <w:numId w:val="20"/>
      </w:numPr>
    </w:pPr>
    <w:rPr/>
  </w:style>
  <w:style w:type="paragraph" w:styleId="zFSDate1">
    <w:name w:val="zFSDate1"/>
    <w:basedOn w:val="Normal"/>
    <w:qFormat/>
    <w:pPr>
      <w:jc w:val="center"/>
    </w:pPr>
    <w:rPr/>
  </w:style>
  <w:style w:type="paragraph" w:styleId="zFSFooter">
    <w:name w:val="zFSFooter"/>
    <w:basedOn w:val="Normal"/>
    <w:qFormat/>
    <w:pPr>
      <w:tabs>
        <w:tab w:val="clear" w:pos="567"/>
        <w:tab w:val="left" w:pos="6521" w:leader="none"/>
      </w:tabs>
      <w:spacing w:before="0" w:after="40"/>
      <w:ind w:hanging="0" w:start="-108" w:end="0"/>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HouseStyle2</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2000-06-20T05:33:00Z</dcterms:created>
  <dc:creator>Any Authorised User</dc:creator>
  <dc:description/>
  <cp:keywords>Draft: Draft Linklaters/JYD/27/05/99  Ref:</cp:keywords>
  <dc:language>en-CA</dc:language>
  <cp:lastModifiedBy>Any Authorised User</cp:lastModifiedBy>
  <cp:lastPrinted>1999-06-08T17:05:00Z</cp:lastPrinted>
  <dcterms:modified xsi:type="dcterms:W3CDTF">2000-06-20T05:33:00Z</dcterms:modified>
  <cp:revision>3</cp:revision>
  <dc:subject>Narrative: </dc:subject>
  <dc:title>Dated [                      ] May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property>
  <property fmtid="{D5CDD505-2E9C-101B-9397-08002B2CF9AE}" pid="3" name="Document Number">
    <vt:lpwstr>A00752163</vt:lpwstr>
  </property>
  <property fmtid="{D5CDD505-2E9C-101B-9397-08002B2CF9AE}" pid="4" name="Last Modified">
    <vt:lpwstr>20 Jun 2000</vt:lpwstr>
  </property>
  <property fmtid="{D5CDD505-2E9C-101B-9397-08002B2CF9AE}" pid="5" name="Matter Number">
    <vt:lpwstr/>
  </property>
  <property fmtid="{D5CDD505-2E9C-101B-9397-08002B2CF9AE}" pid="6" name="Recipient Company">
    <vt:lpwstr/>
  </property>
  <property fmtid="{D5CDD505-2E9C-101B-9397-08002B2CF9AE}" pid="7" name="Recipient Name">
    <vt:lpwstr/>
  </property>
  <property fmtid="{D5CDD505-2E9C-101B-9397-08002B2CF9AE}" pid="8" name="TemplateNumber">
    <vt:lpwstr>000002</vt:lpwstr>
  </property>
  <property fmtid="{D5CDD505-2E9C-101B-9397-08002B2CF9AE}" pid="9" name="TemplateVersion">
    <vt:lpwstr>2.0.5</vt:lpwstr>
  </property>
  <property fmtid="{D5CDD505-2E9C-101B-9397-08002B2CF9AE}" pid="10" name="Version">
    <vt:lpwstr>0.7</vt:lpwstr>
  </property>
</Properties>
</file>