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header1.xml.rels" ContentType="application/vnd.openxmlformats-package.relationships+xml"/>
  <Override PartName="/word/_rels/document.xml.rels" ContentType="application/vnd.openxmlformats-package.relationships+xml"/>
  <Override PartName="/word/embeddings/oleObject1.pptx" ContentType="application/vnd.openxmlformats-officedocument.presentationml.presentation"/>
  <Override PartName="/word/media/image1.wmf" ContentType="image/x-wmf"/>
  <Override PartName="/word/media/image2.png" ContentType="image/pn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0"/>
        <w:rPr/>
      </w:pPr>
      <w:r>
        <w:rPr/>
        <w:t>NETA ModS: P9, P12, P14, P15, P16, P17, P18</w:t>
      </w:r>
    </w:p>
    <w:p>
      <w:pPr>
        <w:pStyle w:val="Subtitle"/>
        <w:rPr/>
      </w:pPr>
      <w:r>
        <w:rPr/>
        <w:t>Friday 25 May 2001</w:t>
      </w:r>
    </w:p>
    <w:p>
      <w:pPr>
        <w:pStyle w:val="Heading1"/>
        <w:ind w:hanging="0" w:start="0"/>
        <w:rPr/>
      </w:pPr>
      <w:r>
        <w:rPr/>
        <w:t>Mod P9: ECVNS Corrections</w:t>
      </w:r>
    </w:p>
    <w:p>
      <w:pPr>
        <w:pStyle w:val="Normal"/>
        <w:rPr/>
      </w:pPr>
      <w:r>
        <w:rPr/>
        <w:t>Mod P9 proposed to allow correction of ECVNs that are incorrect due to no fault technical error.  The Panel’s Urgent Modification Report of 23 May recommended that the Authority reject P9.</w:t>
      </w:r>
    </w:p>
    <w:p>
      <w:pPr>
        <w:pStyle w:val="Heading1"/>
        <w:ind w:hanging="0" w:start="0"/>
        <w:rPr/>
      </w:pPr>
      <w:r>
        <w:rPr/>
        <w:t>Mod P12: Gate Closure Reduction</w:t>
      </w:r>
    </w:p>
    <w:p>
      <w:pPr>
        <w:pStyle w:val="Normal"/>
        <w:rPr/>
      </w:pPr>
      <w:r>
        <w:rPr/>
        <w:t>Mod P12 proposes to reduce the time between Gate Closure and the start of the corresponding settlement period from 3.5 hours to 1 hour.  This would impact imbalance volumes and prices.</w:t>
      </w:r>
    </w:p>
    <w:p>
      <w:pPr>
        <w:pStyle w:val="Heading2"/>
        <w:ind w:hanging="0" w:start="0"/>
        <w:rPr/>
      </w:pPr>
      <w:r>
        <w:rPr/>
        <w:t>Why Reduce the Gate Closure Period?</w:t>
      </w:r>
    </w:p>
    <w:p>
      <w:pPr>
        <w:pStyle w:val="Normal"/>
        <w:spacing w:before="0" w:after="120"/>
        <w:rPr/>
      </w:pPr>
      <w:r>
        <w:rPr/>
        <w:t>The European Power Source Company’s (EPSC) justifications for proposing P12 are:</w:t>
      </w:r>
    </w:p>
    <w:p>
      <w:pPr>
        <w:pStyle w:val="Normal"/>
        <w:numPr>
          <w:ilvl w:val="0"/>
          <w:numId w:val="2"/>
        </w:numPr>
        <w:spacing w:before="0" w:after="120"/>
        <w:rPr/>
      </w:pPr>
      <w:r>
        <w:rPr/>
        <w:t xml:space="preserve">The long BM period is increasing industry costs because it prevents Parties taking balancing actions to match physical changes.  These increased costs will feed through to end consumer prices. </w:t>
      </w:r>
    </w:p>
    <w:p>
      <w:pPr>
        <w:pStyle w:val="Normal"/>
        <w:numPr>
          <w:ilvl w:val="0"/>
          <w:numId w:val="2"/>
        </w:numPr>
        <w:spacing w:before="0" w:after="120"/>
        <w:rPr/>
      </w:pPr>
      <w:r>
        <w:rPr/>
        <w:t>Adjusting contract positions closer to real time would reduce participants’ imbalance risk and therefore reduce the need to mitigate this risk by over/under contracting.</w:t>
      </w:r>
    </w:p>
    <w:p>
      <w:pPr>
        <w:pStyle w:val="Normal"/>
        <w:numPr>
          <w:ilvl w:val="0"/>
          <w:numId w:val="2"/>
        </w:numPr>
        <w:spacing w:before="0" w:after="120"/>
        <w:rPr/>
      </w:pPr>
      <w:r>
        <w:rPr/>
        <w:t>Reducing the BM period will increase liquidity in the prompt market because it will reduce imbalance risk.</w:t>
      </w:r>
    </w:p>
    <w:p>
      <w:pPr>
        <w:pStyle w:val="Normal"/>
        <w:numPr>
          <w:ilvl w:val="0"/>
          <w:numId w:val="2"/>
        </w:numPr>
        <w:rPr/>
      </w:pPr>
      <w:r>
        <w:rPr/>
        <w:t>NGC is using just-in-time balancing actions [implying P12 is technically feasible].</w:t>
      </w:r>
    </w:p>
    <w:p>
      <w:pPr>
        <w:pStyle w:val="Heading2"/>
        <w:ind w:hanging="0" w:start="0"/>
        <w:rPr/>
      </w:pPr>
      <w:r>
        <w:rPr/>
        <w:t>Energy Imbalance Volumes</w:t>
      </w:r>
    </w:p>
    <w:p>
      <w:pPr>
        <w:pStyle w:val="Normal"/>
        <w:spacing w:before="0" w:after="120"/>
        <w:rPr/>
      </w:pPr>
      <w:r>
        <w:rPr/>
        <w:t>Prior to Gate Closure, Parties have two mechanisms for taking balancing actions:</w:t>
      </w:r>
    </w:p>
    <w:p>
      <w:pPr>
        <w:pStyle w:val="Normal"/>
        <w:numPr>
          <w:ilvl w:val="0"/>
          <w:numId w:val="8"/>
        </w:numPr>
        <w:spacing w:before="0" w:after="120"/>
        <w:rPr/>
      </w:pPr>
      <w:r>
        <w:rPr/>
        <w:t>Contract trading</w:t>
      </w:r>
    </w:p>
    <w:p>
      <w:pPr>
        <w:pStyle w:val="Normal"/>
        <w:numPr>
          <w:ilvl w:val="0"/>
          <w:numId w:val="8"/>
        </w:numPr>
        <w:rPr/>
      </w:pPr>
      <w:r>
        <w:rPr/>
        <w:t>Adjusting planned output (or consumption)</w:t>
      </w:r>
    </w:p>
    <w:p>
      <w:pPr>
        <w:pStyle w:val="Header"/>
        <w:tabs>
          <w:tab w:val="clear" w:pos="4153"/>
          <w:tab w:val="clear" w:pos="8306"/>
        </w:tabs>
        <w:spacing w:lineRule="auto" w:line="264"/>
        <w:rPr/>
      </w:pPr>
      <w:r>
        <w:rPr/>
      </w:r>
    </w:p>
    <w:p>
      <w:pPr>
        <w:pStyle w:val="Normal"/>
        <w:spacing w:before="0" w:after="120"/>
        <w:rPr/>
      </w:pPr>
      <w:r>
        <w:rPr/>
        <w:t>Parties have other mechanisms for managing imbalance risks post Gate Closure:</w:t>
      </w:r>
    </w:p>
    <w:p>
      <w:pPr>
        <w:pStyle w:val="Normal"/>
        <w:numPr>
          <w:ilvl w:val="0"/>
          <w:numId w:val="3"/>
        </w:numPr>
        <w:spacing w:before="0" w:after="120"/>
        <w:rPr/>
      </w:pPr>
      <w:r>
        <w:rPr/>
        <w:t>Take self-balancing actions by moving away from FPNs – this contravenes the Grid Code</w:t>
      </w:r>
    </w:p>
    <w:p>
      <w:pPr>
        <w:pStyle w:val="Normal"/>
        <w:numPr>
          <w:ilvl w:val="0"/>
          <w:numId w:val="3"/>
        </w:numPr>
        <w:spacing w:before="0" w:after="120"/>
        <w:rPr/>
      </w:pPr>
      <w:r>
        <w:rPr/>
        <w:t>Use embedded generation to offset demand fluctuations</w:t>
      </w:r>
    </w:p>
    <w:p>
      <w:pPr>
        <w:pStyle w:val="Normal"/>
        <w:numPr>
          <w:ilvl w:val="0"/>
          <w:numId w:val="3"/>
        </w:numPr>
        <w:spacing w:before="0" w:after="120"/>
        <w:rPr/>
      </w:pPr>
      <w:r>
        <w:rPr/>
        <w:t>Demand control</w:t>
      </w:r>
    </w:p>
    <w:p>
      <w:pPr>
        <w:pStyle w:val="Normal"/>
        <w:numPr>
          <w:ilvl w:val="0"/>
          <w:numId w:val="3"/>
        </w:numPr>
        <w:spacing w:before="0" w:after="120"/>
        <w:rPr/>
      </w:pPr>
      <w:r>
        <w:rPr/>
        <w:t>Trip insurance</w:t>
      </w:r>
    </w:p>
    <w:p>
      <w:pPr>
        <w:pStyle w:val="Normal"/>
        <w:numPr>
          <w:ilvl w:val="0"/>
          <w:numId w:val="3"/>
        </w:numPr>
        <w:rPr/>
      </w:pPr>
      <w:r>
        <w:rPr/>
        <w:t>Improved generator control</w:t>
      </w:r>
    </w:p>
    <w:p>
      <w:pPr>
        <w:pStyle w:val="Header"/>
        <w:tabs>
          <w:tab w:val="clear" w:pos="4153"/>
          <w:tab w:val="clear" w:pos="8306"/>
        </w:tabs>
        <w:spacing w:lineRule="auto" w:line="264"/>
        <w:rPr/>
      </w:pPr>
      <w:r>
        <w:rPr/>
      </w:r>
    </w:p>
    <w:p>
      <w:pPr>
        <w:pStyle w:val="Normal"/>
        <w:rPr/>
      </w:pPr>
      <w:r>
        <w:rPr/>
        <w:t>A reduction in the time between Gate Closure and the end of the corresponding settlement period gives Parties greater scope for balancing, thereby decreasing their energy imbalance volumes.  This would be most beneficial to Parties with relatively large imbalances.  I expect TPL and Enron Direct would fall into this category.</w:t>
      </w:r>
    </w:p>
    <w:p>
      <w:pPr>
        <w:pStyle w:val="Normal"/>
        <w:rPr/>
      </w:pPr>
      <w:r>
        <w:rPr/>
      </w:r>
    </w:p>
    <w:p>
      <w:pPr>
        <w:pStyle w:val="Normal"/>
        <w:rPr/>
      </w:pPr>
      <w:r>
        <w:rPr/>
        <w:t>Gate closure and contract notification need not be simultaneous.  Submission of FPNs and bids/offers could remain at 3.5 hours and contract notification be reduced to 1 hour.  This would allow Parties greater scope for balancing, without altering NGC’s control over the system.   Taken to the extreme, contract notification could be ex-post - allowing Parties to maximise their balancing actions.  This would reduce imbalance risks thereby helping short term traded liquidity.</w:t>
      </w:r>
    </w:p>
    <w:p>
      <w:pPr>
        <w:pStyle w:val="Normal"/>
        <w:rPr/>
      </w:pPr>
      <w:r>
        <w:rPr/>
      </w:r>
    </w:p>
    <w:p>
      <w:pPr>
        <w:pStyle w:val="Header"/>
        <w:tabs>
          <w:tab w:val="clear" w:pos="4153"/>
          <w:tab w:val="clear" w:pos="8306"/>
        </w:tabs>
        <w:spacing w:lineRule="auto" w:line="264"/>
        <w:rPr/>
      </w:pPr>
      <w:r>
        <w:rPr/>
        <w:t xml:space="preserve">Reducing imbalance risk decreases the value of alternative imbalance risk management tools (e.g., trip insurance). </w:t>
      </w:r>
    </w:p>
    <w:p>
      <w:pPr>
        <w:pStyle w:val="Heading2"/>
        <w:ind w:hanging="0" w:start="0"/>
        <w:rPr/>
      </w:pPr>
      <w:r>
        <w:rPr/>
        <w:t>Imbalance Prices</w:t>
      </w:r>
    </w:p>
    <w:p>
      <w:pPr>
        <w:pStyle w:val="Normal"/>
        <w:rPr/>
      </w:pPr>
      <w:r>
        <w:rPr/>
        <w:t>Shortening Gate Closure reduces the time the SO has to balance the system using BM trades.  NGC would probably mitigate any reduced ability to use the BM for system control by contracting outside the BM.</w:t>
      </w:r>
    </w:p>
    <w:p>
      <w:pPr>
        <w:pStyle w:val="Normal"/>
        <w:rPr/>
      </w:pPr>
      <w:r>
        <w:rPr/>
      </w:r>
    </w:p>
    <w:p>
      <w:pPr>
        <w:pStyle w:val="Normal"/>
        <w:jc w:val="center"/>
        <w:rPr/>
      </w:pPr>
      <w:r>
        <w:rPr/>
        <w:object w:dxaOrig="14400" w:dyaOrig="1080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0pt;height:169.55pt" filled="f" o:ole="">
            <v:imagedata r:id="rId3" o:title=""/>
          </v:shape>
          <o:OLEObject Type="Embed" ProgID="PowerPoint.Show.12" ShapeID="ole_rId2" DrawAspect="Content" ObjectID="_1259536883" r:id="rId2"/>
        </w:object>
      </w:r>
    </w:p>
    <w:p>
      <w:pPr>
        <w:pStyle w:val="Normal"/>
        <w:rPr/>
      </w:pPr>
      <w:r>
        <w:rPr/>
      </w:r>
    </w:p>
    <w:p>
      <w:pPr>
        <w:pStyle w:val="Normal"/>
        <w:spacing w:before="0" w:after="120"/>
        <w:rPr/>
      </w:pPr>
      <w:r>
        <w:rPr/>
        <w:t xml:space="preserve">Imbalance prices are derived from BOAs and NGC’s non-BM contracts.  A reduction in Gate Closure would tend to compress and truncate the BOA volume and price profile shown above –widening the imbalance price spread.  If a reduction in Gate Closure increases the market power in the BM of fast response generators, imbalance prices would widen further.  </w:t>
      </w:r>
      <w:r>
        <w:rPr>
          <w:b/>
          <w:bCs/>
          <w:i/>
          <w:iCs/>
        </w:rPr>
        <w:t>The impact on prices may be very large.</w:t>
      </w:r>
      <w:r>
        <w:rPr/>
        <w:t xml:space="preserve">  Widening imbalance prices would:</w:t>
      </w:r>
    </w:p>
    <w:p>
      <w:pPr>
        <w:pStyle w:val="Normal"/>
        <w:numPr>
          <w:ilvl w:val="0"/>
          <w:numId w:val="5"/>
        </w:numPr>
        <w:spacing w:before="0" w:after="120"/>
        <w:rPr/>
      </w:pPr>
      <w:r>
        <w:rPr/>
        <w:t>encourage generators to flout the Grid Code and take self-balancing actions post Gate Closure;</w:t>
      </w:r>
    </w:p>
    <w:p>
      <w:pPr>
        <w:pStyle w:val="Normal"/>
        <w:numPr>
          <w:ilvl w:val="0"/>
          <w:numId w:val="5"/>
        </w:numPr>
        <w:spacing w:before="0" w:after="120"/>
        <w:rPr/>
      </w:pPr>
      <w:r>
        <w:rPr/>
        <w:t xml:space="preserve">increase the value of the post Gate Closure mechanisms for managing balancing risks described in 2.2; and </w:t>
      </w:r>
    </w:p>
    <w:p>
      <w:pPr>
        <w:pStyle w:val="Normal"/>
        <w:numPr>
          <w:ilvl w:val="0"/>
          <w:numId w:val="5"/>
        </w:numPr>
        <w:rPr/>
      </w:pPr>
      <w:r>
        <w:rPr/>
        <w:t>reduce liquidity in the prompt market.</w:t>
      </w:r>
    </w:p>
    <w:p>
      <w:pPr>
        <w:pStyle w:val="Normal"/>
        <w:rPr/>
      </w:pPr>
      <w:r>
        <w:rPr/>
      </w:r>
    </w:p>
    <w:p>
      <w:pPr>
        <w:pStyle w:val="Normal"/>
        <w:rPr/>
      </w:pPr>
      <w:r>
        <w:rPr/>
        <w:t>In addition, an increase to the imbalance price asymmetry would result in the system going longer.</w:t>
      </w:r>
    </w:p>
    <w:p>
      <w:pPr>
        <w:pStyle w:val="Normal"/>
        <w:rPr/>
      </w:pPr>
      <w:r>
        <w:rPr/>
      </w:r>
    </w:p>
    <w:p>
      <w:pPr>
        <w:pStyle w:val="Normal"/>
        <w:rPr/>
      </w:pPr>
      <w:r>
        <w:rPr/>
        <w:t xml:space="preserve">Non-BM contracting would tend to have the opposite effect on imbalance prices because some of the response previously accepted by NGC in the BM would now be available to NGC under non-BM contracts, i.e., BOAs towards the left of the above diagram.  </w:t>
      </w:r>
    </w:p>
    <w:p>
      <w:pPr>
        <w:pStyle w:val="Heading2"/>
        <w:ind w:hanging="0" w:start="0"/>
        <w:rPr/>
      </w:pPr>
      <w:r>
        <w:rPr/>
        <w:t>NGC’s Stance</w:t>
      </w:r>
    </w:p>
    <w:p>
      <w:pPr>
        <w:pStyle w:val="Normal"/>
        <w:rPr/>
      </w:pPr>
      <w:r>
        <w:rPr/>
        <w:t>According to NGC, 60% of BOAs have a duration of greater than 30 minutes and 30% have a horizon of greater than one hour</w:t>
      </w:r>
      <w:r>
        <w:rPr>
          <w:rStyle w:val="FootnoteCharacters"/>
          <w:rStyle w:val="FootnoteReference"/>
        </w:rPr>
        <w:footnoteReference w:id="2"/>
      </w:r>
      <w:r>
        <w:rPr/>
        <w:t>.  Contrary to ESPCs claim, NGC doesn’t appear to only be taking last minute balancing actions.</w:t>
      </w:r>
    </w:p>
    <w:p>
      <w:pPr>
        <w:pStyle w:val="Normal"/>
        <w:rPr/>
      </w:pPr>
      <w:r>
        <w:rPr/>
      </w:r>
    </w:p>
    <w:p>
      <w:pPr>
        <w:pStyle w:val="Normal"/>
        <w:rPr/>
      </w:pPr>
      <w:r>
        <w:rPr/>
        <w:t xml:space="preserve">NGC is likely to be concerned about increasing uncertainty immediately prior to real time without significantly more experience in operating under NETA, including winter conditions and periods when the system is short. </w:t>
      </w:r>
    </w:p>
    <w:p>
      <w:pPr>
        <w:pStyle w:val="Heading2"/>
        <w:ind w:hanging="0" w:start="0"/>
        <w:rPr/>
      </w:pPr>
      <w:r>
        <w:rPr/>
        <w:t>Conclusion</w:t>
      </w:r>
    </w:p>
    <w:p>
      <w:pPr>
        <w:pStyle w:val="Normal"/>
        <w:spacing w:before="0" w:after="180"/>
        <w:rPr/>
      </w:pPr>
      <w:r>
        <w:rPr/>
        <w:t>We will probably disagree with P12 on the basis that:</w:t>
      </w:r>
    </w:p>
    <w:p>
      <w:pPr>
        <w:pStyle w:val="Normal"/>
        <w:numPr>
          <w:ilvl w:val="0"/>
          <w:numId w:val="4"/>
        </w:numPr>
        <w:spacing w:before="0" w:after="180"/>
        <w:rPr/>
      </w:pPr>
      <w:r>
        <w:rPr/>
        <w:t>The increased imbalance risk to TPL from a greater imbalance price spread may more than offset any reduction in risk from a reduced imbalance volume.</w:t>
      </w:r>
    </w:p>
    <w:p>
      <w:pPr>
        <w:pStyle w:val="Normal"/>
        <w:numPr>
          <w:ilvl w:val="0"/>
          <w:numId w:val="4"/>
        </w:numPr>
        <w:spacing w:before="0" w:after="180"/>
        <w:rPr/>
      </w:pPr>
      <w:r>
        <w:rPr/>
        <w:t xml:space="preserve">A wider imbalance price spread will reduce day-ahead and within day traded volumes. </w:t>
      </w:r>
    </w:p>
    <w:p>
      <w:pPr>
        <w:pStyle w:val="Normal"/>
        <w:numPr>
          <w:ilvl w:val="0"/>
          <w:numId w:val="4"/>
        </w:numPr>
        <w:spacing w:before="0" w:after="180"/>
        <w:rPr/>
      </w:pPr>
      <w:r>
        <w:rPr/>
        <w:t>Moving Gate Closure is not best the way to address imbalance price risk.</w:t>
      </w:r>
    </w:p>
    <w:p>
      <w:pPr>
        <w:pStyle w:val="Normal"/>
        <w:numPr>
          <w:ilvl w:val="0"/>
          <w:numId w:val="4"/>
        </w:numPr>
        <w:rPr/>
      </w:pPr>
      <w:r>
        <w:rPr/>
        <w:t>Until NGC has experience in operating the system under all conditions and until it can provide evidence that reduced Gate Closure will not adversely affect system security, a reduction in Gate Closure would be too risky to implement.</w:t>
      </w:r>
    </w:p>
    <w:p>
      <w:pPr>
        <w:pStyle w:val="Normal"/>
        <w:rPr/>
      </w:pPr>
      <w:r>
        <w:rPr/>
      </w:r>
    </w:p>
    <w:p>
      <w:pPr>
        <w:pStyle w:val="Normal"/>
        <w:rPr/>
      </w:pPr>
      <w:r>
        <w:rPr/>
        <w:t>A proper analysis of P12 requires NGC to assess the likely impact on BOAs, non-BM contracting and imbalance prices.</w:t>
      </w:r>
    </w:p>
    <w:p>
      <w:pPr>
        <w:pStyle w:val="Normal"/>
        <w:rPr/>
      </w:pPr>
      <w:r>
        <w:rPr/>
      </w:r>
    </w:p>
    <w:p>
      <w:pPr>
        <w:pStyle w:val="Normal"/>
        <w:rPr/>
      </w:pPr>
      <w:r>
        <w:rPr/>
        <w:t>One question remains: should Enron propose contract notification be moved closer to real time?</w:t>
      </w:r>
    </w:p>
    <w:p>
      <w:pPr>
        <w:pStyle w:val="Heading1"/>
        <w:ind w:hanging="0" w:start="0"/>
        <w:rPr/>
      </w:pPr>
      <w:r>
        <w:rPr/>
        <w:t>Mod P14: Rescinding BOAs that are Manifest Errors</w:t>
      </w:r>
    </w:p>
    <w:p>
      <w:pPr>
        <w:pStyle w:val="Normal"/>
        <w:rPr/>
      </w:pPr>
      <w:r>
        <w:rPr/>
        <w:t>NGC proposes that it be able to rescind BOAs, which are manifest errors and that have not been delivered.  NGC claims this is more effective and efficient than unwinding the acceptance through a counter BOA.</w:t>
      </w:r>
    </w:p>
    <w:p>
      <w:pPr>
        <w:pStyle w:val="Heading1"/>
        <w:ind w:hanging="0" w:start="0"/>
        <w:rPr/>
      </w:pPr>
      <w:r>
        <w:rPr/>
        <w:t>Mod P15: Exclude Short Notice Acceptances from SBP &amp; SSP</w:t>
      </w:r>
    </w:p>
    <w:p>
      <w:pPr>
        <w:pStyle w:val="Normal"/>
        <w:rPr/>
      </w:pPr>
      <w:r>
        <w:rPr/>
        <w:t>Mod P15 proposes to tag and exclude from imbalance price calculations all BOAs made less than 30 minutes before the start of the corresponding settlement period.  This would impact imbalance prices.</w:t>
      </w:r>
    </w:p>
    <w:p>
      <w:pPr>
        <w:pStyle w:val="Heading2"/>
        <w:ind w:hanging="0" w:start="0"/>
        <w:rPr/>
      </w:pPr>
      <w:r>
        <w:rPr/>
        <w:t>Why Exclude Short Notice Acceptances?</w:t>
      </w:r>
    </w:p>
    <w:p>
      <w:pPr>
        <w:pStyle w:val="Normal"/>
        <w:spacing w:before="0" w:after="180"/>
        <w:rPr/>
      </w:pPr>
      <w:r>
        <w:rPr/>
        <w:t>Vattenfall’s justifications for proposing P15 are:</w:t>
      </w:r>
    </w:p>
    <w:p>
      <w:pPr>
        <w:pStyle w:val="Normal"/>
        <w:numPr>
          <w:ilvl w:val="0"/>
          <w:numId w:val="6"/>
        </w:numPr>
        <w:spacing w:before="0" w:after="180"/>
        <w:rPr/>
      </w:pPr>
      <w:r>
        <w:rPr/>
        <w:t>System balancing actions should not impact upon imbalance prices but a significant number of imbalance prices do not reflect the cost of energy imbalance because the actions that set the price are primarily taken for system balancing purposes.</w:t>
      </w:r>
    </w:p>
    <w:p>
      <w:pPr>
        <w:pStyle w:val="Normal"/>
        <w:numPr>
          <w:ilvl w:val="0"/>
          <w:numId w:val="6"/>
        </w:numPr>
        <w:spacing w:before="0" w:after="180"/>
        <w:rPr/>
      </w:pPr>
      <w:r>
        <w:rPr/>
        <w:t>Certain system balancing actions have set SBP to thousands of pounds even when the system is long, distorting economic signals to participants.</w:t>
      </w:r>
    </w:p>
    <w:p>
      <w:pPr>
        <w:pStyle w:val="Normal"/>
        <w:numPr>
          <w:ilvl w:val="0"/>
          <w:numId w:val="6"/>
        </w:numPr>
        <w:rPr/>
      </w:pPr>
      <w:r>
        <w:rPr/>
        <w:t>System balancing actions tend to be short-term in nature.</w:t>
      </w:r>
    </w:p>
    <w:p>
      <w:pPr>
        <w:pStyle w:val="Heading2"/>
        <w:ind w:hanging="0" w:start="0"/>
        <w:rPr/>
      </w:pPr>
      <w:r>
        <w:rPr/>
        <w:t>Issues</w:t>
      </w:r>
    </w:p>
    <w:p>
      <w:pPr>
        <w:pStyle w:val="Normal"/>
        <w:rPr/>
      </w:pPr>
      <w:r>
        <w:rPr/>
        <w:t>In response to unexpected changes in demand (e.g. miss-timed TV pickup) NGC must take almost instantaneous balancing actions.  Only some BMUs are able to provide short term response, giving them instantaneous market power.  To date these actions have affected SBP more than SSP and this price asymmetry has driven participants to go long in the market in an attempt to avoid SBP.</w:t>
      </w:r>
    </w:p>
    <w:p>
      <w:pPr>
        <w:pStyle w:val="Normal"/>
        <w:rPr/>
      </w:pPr>
      <w:r>
        <w:rPr/>
      </w:r>
    </w:p>
    <w:p>
      <w:pPr>
        <w:pStyle w:val="Normal"/>
        <w:rPr/>
      </w:pPr>
      <w:r>
        <w:rPr/>
        <w:t xml:space="preserve">The costs of short term balancing actions have little to do with the value of energy over a half-hour – particularly when one considers that these actions drive the SBP very high for half-hours when the system is long.  To the extent that a short term BOA reflects the value of energy, it should only impact imbalance prices in the very short term.  At present, the cost of short term BOAs effect the value of energy for a full half-hour creating large imbalance risks.  </w:t>
      </w:r>
    </w:p>
    <w:p>
      <w:pPr>
        <w:pStyle w:val="Normal"/>
        <w:rPr/>
      </w:pPr>
      <w:r>
        <w:rPr/>
      </w:r>
    </w:p>
    <w:p>
      <w:pPr>
        <w:pStyle w:val="Normal"/>
        <w:rPr/>
      </w:pPr>
      <w:r>
        <w:rPr/>
        <w:t>Imbalance charges are a transfer of wealth within the industry.  However, the size of the risks and rewards are and will distort Parties’ behaviour.  Net losers will choose to incur costs in managing their imbalance risks - some of which will eventually be passed onto consumers.  The BSC forces each Party to independently manage their imbalance risks when it would be more cost effective for Parties to club together in managing their risks, i.e., pooling of imbalances and central provision of frequency response.</w:t>
      </w:r>
    </w:p>
    <w:p>
      <w:pPr>
        <w:pStyle w:val="Normal"/>
        <w:rPr/>
      </w:pPr>
      <w:r>
        <w:rPr/>
      </w:r>
    </w:p>
    <w:p>
      <w:pPr>
        <w:pStyle w:val="Normal"/>
        <w:rPr/>
      </w:pPr>
      <w:r>
        <w:rPr/>
        <w:t>Which BOAs should be excluded form imbalance prices?  If all BOAs after 30 minutes prior to the settlement period were excluded, many legitimate energy balancing actions would be excluded from imbalance prices.   Possible alternatives are: (1) exclude all BOAs within the settlement period, and (2) exclude all BOAs of less than 15 minutes notice.</w:t>
      </w:r>
    </w:p>
    <w:p>
      <w:pPr>
        <w:pStyle w:val="Heading2"/>
        <w:ind w:hanging="0" w:start="0"/>
        <w:rPr/>
      </w:pPr>
      <w:r>
        <w:rPr/>
        <w:t>NGC’s Stance</w:t>
      </w:r>
    </w:p>
    <w:p>
      <w:pPr>
        <w:pStyle w:val="Normal"/>
        <w:rPr/>
      </w:pPr>
      <w:r>
        <w:rPr/>
        <w:t>In the April 2000 consultation paper Ofgem states NGC’s viewpoint as “frequency response was an automatic service provided for the benefit of all system users and it did not seem appropriate to target these costs solely on those out of energy balance.”  Mod P18 shows NGC’s support for excluding the cost of system balancing actions from imbalance prices.</w:t>
      </w:r>
    </w:p>
    <w:p>
      <w:pPr>
        <w:pStyle w:val="Heading2"/>
        <w:ind w:hanging="0" w:start="0"/>
        <w:rPr/>
      </w:pPr>
      <w:r>
        <w:rPr/>
        <w:t>Conclusion</w:t>
      </w:r>
    </w:p>
    <w:p>
      <w:pPr>
        <w:pStyle w:val="Normal"/>
        <w:rPr/>
      </w:pPr>
      <w:r>
        <w:rPr/>
        <w:t>P15 would reduce the volatility and spread of imbalance prices thereby reducing imbalance risk and increasing liquidity in day-ahead and within day markets.  Therefore we would support this proposal with a modified criterion for BOA exclusion.</w:t>
      </w:r>
    </w:p>
    <w:p>
      <w:pPr>
        <w:pStyle w:val="Heading1"/>
        <w:ind w:hanging="0" w:start="0"/>
        <w:rPr/>
      </w:pPr>
      <w:r>
        <w:rPr/>
        <w:t>Mod P16: Allow Parties to Revise GC and DC Prior to Summer</w:t>
      </w:r>
    </w:p>
    <w:p>
      <w:pPr>
        <w:pStyle w:val="Normal"/>
        <w:rPr/>
      </w:pPr>
      <w:r>
        <w:rPr/>
        <w:t>Mod P16 proposes to change the BSC to allow Parties to alter generation capacity and demand capacity prior to the start of the summer season.  This would effect a Party’s credit cover calculation.</w:t>
      </w:r>
    </w:p>
    <w:p>
      <w:pPr>
        <w:pStyle w:val="Heading1"/>
        <w:ind w:hanging="0" w:start="0"/>
        <w:rPr/>
      </w:pPr>
      <w:r>
        <w:rPr/>
        <w:t>Mod P17: Send ECVNAs Seven Day Report</w:t>
      </w:r>
    </w:p>
    <w:p>
      <w:pPr>
        <w:pStyle w:val="Normal"/>
        <w:rPr/>
      </w:pPr>
      <w:r>
        <w:rPr/>
        <w:t>Mod P17 proposes that a version of the seven-day report be sent to ECVNAs notifying them of contract notifications prior to Gate Closure.  At present Parties receive this notification.</w:t>
      </w:r>
    </w:p>
    <w:p>
      <w:pPr>
        <w:pStyle w:val="Normal"/>
        <w:rPr/>
      </w:pPr>
      <w:r>
        <w:rPr/>
      </w:r>
    </w:p>
    <w:p>
      <w:pPr>
        <w:pStyle w:val="Normal"/>
        <w:rPr/>
      </w:pPr>
      <w:r>
        <w:rPr/>
        <w:t>PowerEx proposed P17 in order to reduce notification risk, which they believe is adversely affecting short-term trading and liquidity.</w:t>
      </w:r>
    </w:p>
    <w:p>
      <w:pPr>
        <w:pStyle w:val="Heading1"/>
        <w:ind w:hanging="0" w:start="0"/>
        <w:rPr/>
      </w:pPr>
      <w:r>
        <w:rPr/>
        <w:t>Mod P18: Mitigating the Effect on Prices of System Balancing</w:t>
      </w:r>
    </w:p>
    <w:p>
      <w:pPr>
        <w:pStyle w:val="Normal"/>
        <w:rPr/>
      </w:pPr>
      <w:r>
        <w:rPr/>
        <w:t>NGC proposes that the methodology for calculating imbalance prices be modified to mitigate the impact of short term system balancing actions on half-hourly imbalance prices.</w:t>
      </w:r>
    </w:p>
    <w:p>
      <w:pPr>
        <w:pStyle w:val="Normal"/>
        <w:rPr/>
      </w:pPr>
      <w:r>
        <w:rPr/>
      </w:r>
    </w:p>
    <w:p>
      <w:pPr>
        <w:pStyle w:val="Normal"/>
        <w:rPr/>
      </w:pPr>
      <w:r>
        <w:rPr/>
        <w:t>This proposal would have a similar effect to P15 – it would reduce imbalance price risks thereby improving short term liquidity.</w:t>
      </w:r>
    </w:p>
    <w:p>
      <w:pPr>
        <w:pStyle w:val="Normal"/>
        <w:rPr/>
      </w:pPr>
      <w:r>
        <w:rPr/>
      </w:r>
    </w:p>
    <w:p>
      <w:pPr>
        <w:pStyle w:val="Normal"/>
        <w:rPr/>
      </w:pPr>
      <w:r>
        <w:rPr/>
        <w:t>NGC proposes two options for implementing their proposal:</w:t>
      </w:r>
    </w:p>
    <w:p>
      <w:pPr>
        <w:pStyle w:val="Normal"/>
        <w:numPr>
          <w:ilvl w:val="1"/>
          <w:numId w:val="8"/>
        </w:numPr>
        <w:rPr/>
      </w:pPr>
      <w:r>
        <w:rPr/>
        <w:t>tag and exclude all BOAs of continuous instruction duration of 15 minutes or less; or</w:t>
      </w:r>
    </w:p>
    <w:p>
      <w:pPr>
        <w:pStyle w:val="Normal"/>
        <w:numPr>
          <w:ilvl w:val="1"/>
          <w:numId w:val="8"/>
        </w:numPr>
        <w:rPr/>
      </w:pPr>
      <w:r>
        <w:rPr/>
        <w:t>when an imbalance price would otherwise be set from BOAs with combined volume less than BRL, set the imbalance price as the weighted average of the default price and the imbalance price as it is presently calculated.  Where the weightings are (BRL – untagged BOA volume) and (untagged BOA volume) respectively.</w:t>
      </w:r>
    </w:p>
    <w:p>
      <w:pPr>
        <w:pStyle w:val="Normal"/>
        <w:rPr/>
      </w:pPr>
      <w:r>
        <w:rPr/>
      </w:r>
    </w:p>
    <w:p>
      <w:pPr>
        <w:pStyle w:val="Normal"/>
        <w:rPr/>
      </w:pPr>
      <w:r>
        <w:rPr/>
        <w:t xml:space="preserve">Both options reduce the impact of short term balancing actions on imbalance prices and increase the impact of default prices.  </w:t>
      </w:r>
    </w:p>
    <w:p>
      <w:pPr>
        <w:pStyle w:val="Normal"/>
        <w:rPr/>
      </w:pPr>
      <w:r>
        <w:rPr/>
      </w:r>
    </w:p>
    <w:p>
      <w:pPr>
        <w:pStyle w:val="Normal"/>
        <w:rPr/>
      </w:pPr>
      <w:r>
        <w:rPr/>
        <w:t>In general we would support this modification on the basis that system balancing actions should not set half-hour prices.  However, it is difficult to argue between the two options on economic grounds.  We should analyse their impact on imbalance prices before deciding if we have a preference for one of the options.</w:t>
      </w:r>
    </w:p>
    <w:p>
      <w:pPr>
        <w:pStyle w:val="Normal"/>
        <w:rPr/>
      </w:pPr>
      <w:r>
        <w:rPr/>
      </w:r>
    </w:p>
    <w:sectPr>
      <w:headerReference w:type="default" r:id="rId4"/>
      <w:footerReference w:type="default" r:id="rId5"/>
      <w:footnotePr>
        <w:numFmt w:val="decimal"/>
      </w:footnotePr>
      <w:type w:val="nextPage"/>
      <w:pgSz w:w="11906" w:h="16838"/>
      <w:pgMar w:left="1134" w:right="1134" w:gutter="0" w:header="624" w:top="907" w:footer="624"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bottom w:val="single" w:sz="6" w:space="1" w:color="000000"/>
      </w:pBdr>
      <w:jc w:val="center"/>
      <w:rPr>
        <w:rStyle w:val="PageNumber"/>
        <w:b w:val="false"/>
        <w:sz w:val="10"/>
      </w:rPr>
    </w:pPr>
    <w:r>
      <w:rPr/>
    </w:r>
  </w:p>
  <w:p>
    <w:pPr>
      <w:pStyle w:val="Footer"/>
      <w:jc w:val="center"/>
      <w:rPr>
        <w:rStyle w:val="PageNumber"/>
        <w:b w:val="false"/>
        <w:sz w:val="16"/>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NGC NETA Forum, 11 May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drawing>
        <wp:inline distT="0" distB="0" distL="0" distR="0">
          <wp:extent cx="560705" cy="55753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560705" cy="557530"/>
                  </a:xfrm>
                  <a:prstGeom prst="rect">
                    <a:avLst/>
                  </a:prstGeom>
                  <a:noFill/>
                </pic:spPr>
              </pic:pic>
            </a:graphicData>
          </a:graphic>
        </wp:inline>
      </w:drawing>
    </w:r>
  </w:p>
  <w:p>
    <w:pPr>
      <w:pStyle w:val="Header"/>
      <w:rPr>
        <w:sz w:val="12"/>
      </w:rPr>
    </w:pPr>
    <w:r>
      <w:rPr>
        <w:sz w:val="12"/>
      </w:rPr>
    </w:r>
  </w:p>
  <w:p>
    <w:pPr>
      <w:pStyle w:val="Header"/>
      <w:pBdr>
        <w:top w:val="single" w:sz="4" w:space="1" w:color="000000"/>
      </w:pBdr>
      <w:rPr>
        <w:sz w:val="16"/>
      </w:rPr>
    </w:pPr>
    <w:r>
      <w:rPr>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isLgl/>
      <w:numFmt w:val="decimal"/>
      <w:lvlText w:val="%1"/>
      <w:lvlJc w:val="start"/>
      <w:pPr>
        <w:tabs>
          <w:tab w:val="num" w:pos="432"/>
        </w:tabs>
        <w:ind w:start="432" w:hanging="432"/>
      </w:pPr>
    </w:lvl>
    <w:lvl w:ilvl="1">
      <w:start w:val="1"/>
      <w:pStyle w:val="Heading2"/>
      <w:isLgl/>
      <w:numFmt w:val="decimal"/>
      <w:lvlText w:val="%1.%2"/>
      <w:lvlJc w:val="start"/>
      <w:pPr>
        <w:tabs>
          <w:tab w:val="num" w:pos="576"/>
        </w:tabs>
        <w:ind w:start="576" w:hanging="576"/>
      </w:pPr>
      <w:rPr>
        <w:sz w:val="26"/>
        <w:i w:val="false"/>
        <w:b/>
        <w:rFonts w:ascii="Book Antiqua" w:hAnsi="Book Antiqua" w:cs="Book Antiqua"/>
      </w:rPr>
    </w:lvl>
    <w:lvl w:ilvl="2">
      <w:start w:val="1"/>
      <w:pStyle w:val="Heading3"/>
      <w:isLgl/>
      <w:numFmt w:val="decimal"/>
      <w:lvlText w:val="%1.%2.%3"/>
      <w:lvlJc w:val="start"/>
      <w:pPr>
        <w:tabs>
          <w:tab w:val="num" w:pos="720"/>
        </w:tabs>
        <w:ind w:start="720" w:hanging="720"/>
      </w:pPr>
      <w:rPr>
        <w:sz w:val="24"/>
      </w:rPr>
    </w:lvl>
    <w:lvl w:ilvl="3">
      <w:start w:val="1"/>
      <w:pStyle w:val="Heading4"/>
      <w:isLgl/>
      <w:numFmt w:val="decimal"/>
      <w:lvlText w:val="%1.%2.%3.%4"/>
      <w:lvlJc w:val="start"/>
      <w:pPr>
        <w:tabs>
          <w:tab w:val="num" w:pos="1080"/>
        </w:tabs>
        <w:ind w:start="864" w:hanging="864"/>
      </w:pPr>
    </w:lvl>
    <w:lvl w:ilvl="4">
      <w:start w:val="1"/>
      <w:pStyle w:val="Heading5"/>
      <w:isLgl/>
      <w:numFmt w:val="decimal"/>
      <w:lvlText w:val="%1.%2.%3.%4.%5"/>
      <w:lvlJc w:val="start"/>
      <w:pPr>
        <w:tabs>
          <w:tab w:val="num" w:pos="1440"/>
        </w:tabs>
        <w:ind w:start="1008" w:hanging="1008"/>
      </w:pPr>
    </w:lvl>
    <w:lvl w:ilvl="5">
      <w:start w:val="1"/>
      <w:pStyle w:val="Heading6"/>
      <w:numFmt w:val="decimal"/>
      <w:lvlText w:val="%1.%2.%3.%4.%5.%6"/>
      <w:lvlJc w:val="start"/>
      <w:pPr>
        <w:tabs>
          <w:tab w:val="num" w:pos="1800"/>
        </w:tabs>
        <w:ind w:start="1152" w:hanging="1152"/>
      </w:pPr>
    </w:lvl>
    <w:lvl w:ilvl="6">
      <w:start w:val="1"/>
      <w:pStyle w:val="Heading7"/>
      <w:numFmt w:val="decimal"/>
      <w:lvlText w:val="%1.%2.%3.%4.%5.%6.%7"/>
      <w:lvlJc w:val="start"/>
      <w:pPr>
        <w:tabs>
          <w:tab w:val="num" w:pos="1296"/>
        </w:tabs>
        <w:ind w:start="1296" w:hanging="1296"/>
      </w:pPr>
    </w:lvl>
    <w:lvl w:ilvl="7">
      <w:start w:val="1"/>
      <w:pStyle w:val="Heading8"/>
      <w:numFmt w:val="decimal"/>
      <w:lvlText w:val="%1.%2.%3.%4.%5.%6.%7.%8"/>
      <w:lvlJc w:val="start"/>
      <w:pPr>
        <w:tabs>
          <w:tab w:val="num" w:pos="1440"/>
        </w:tabs>
        <w:ind w:start="1440" w:hanging="1440"/>
      </w:pPr>
    </w:lvl>
    <w:lvl w:ilvl="8">
      <w:start w:val="1"/>
      <w:pStyle w:val="Heading9"/>
      <w:numFmt w:val="decimal"/>
      <w:lvlText w:val="%1.%2.%3.%4.%5.%6.%7.%8.%9"/>
      <w:lvlJc w:val="start"/>
      <w:pPr>
        <w:tabs>
          <w:tab w:val="num" w:pos="1584"/>
        </w:tabs>
        <w:ind w:start="1584" w:hanging="1584"/>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2"/>
      <w:numFmt w:val="decimal"/>
      <w:lvlText w:val="%1"/>
      <w:lvlJc w:val="start"/>
      <w:pPr>
        <w:tabs>
          <w:tab w:val="num" w:pos="450"/>
        </w:tabs>
        <w:ind w:start="450" w:hanging="450"/>
      </w:pPr>
      <w:rPr>
        <w:i/>
      </w:rPr>
    </w:lvl>
    <w:lvl w:ilvl="1">
      <w:start w:val="1"/>
      <w:numFmt w:val="decimal"/>
      <w:lvlText w:val="%1.%2"/>
      <w:lvlJc w:val="start"/>
      <w:pPr>
        <w:tabs>
          <w:tab w:val="num" w:pos="450"/>
        </w:tabs>
        <w:ind w:start="450" w:hanging="450"/>
      </w:pPr>
      <w:rPr>
        <w:i/>
      </w:rPr>
    </w:lvl>
    <w:lvl w:ilvl="2">
      <w:start w:val="3"/>
      <w:numFmt w:val="decimal"/>
      <w:lvlText w:val="%1.%2.%3"/>
      <w:lvlJc w:val="start"/>
      <w:pPr>
        <w:tabs>
          <w:tab w:val="num" w:pos="720"/>
        </w:tabs>
        <w:ind w:start="720" w:hanging="720"/>
      </w:pPr>
      <w:rPr>
        <w:i/>
      </w:rPr>
    </w:lvl>
    <w:lvl w:ilvl="3">
      <w:start w:val="1"/>
      <w:numFmt w:val="decimal"/>
      <w:lvlText w:val="%1.%2.%3.%4"/>
      <w:lvlJc w:val="start"/>
      <w:pPr>
        <w:tabs>
          <w:tab w:val="num" w:pos="720"/>
        </w:tabs>
        <w:ind w:start="720" w:hanging="720"/>
      </w:pPr>
      <w:rPr>
        <w:i/>
      </w:rPr>
    </w:lvl>
    <w:lvl w:ilvl="4">
      <w:start w:val="1"/>
      <w:numFmt w:val="decimal"/>
      <w:lvlText w:val="%1.%2.%3.%4.%5"/>
      <w:lvlJc w:val="start"/>
      <w:pPr>
        <w:tabs>
          <w:tab w:val="num" w:pos="1080"/>
        </w:tabs>
        <w:ind w:start="1080" w:hanging="1080"/>
      </w:pPr>
      <w:rPr>
        <w:i/>
      </w:rPr>
    </w:lvl>
    <w:lvl w:ilvl="5">
      <w:start w:val="1"/>
      <w:numFmt w:val="decimal"/>
      <w:lvlText w:val="%1.%2.%3.%4.%5.%6"/>
      <w:lvlJc w:val="start"/>
      <w:pPr>
        <w:tabs>
          <w:tab w:val="num" w:pos="1440"/>
        </w:tabs>
        <w:ind w:start="1440" w:hanging="1440"/>
      </w:pPr>
      <w:rPr>
        <w:i/>
      </w:rPr>
    </w:lvl>
    <w:lvl w:ilvl="6">
      <w:start w:val="1"/>
      <w:numFmt w:val="decimal"/>
      <w:lvlText w:val="%1.%2.%3.%4.%5.%6.%7"/>
      <w:lvlJc w:val="start"/>
      <w:pPr>
        <w:tabs>
          <w:tab w:val="num" w:pos="1440"/>
        </w:tabs>
        <w:ind w:start="1440" w:hanging="1440"/>
      </w:pPr>
      <w:rPr>
        <w:i/>
      </w:rPr>
    </w:lvl>
    <w:lvl w:ilvl="7">
      <w:start w:val="1"/>
      <w:numFmt w:val="decimal"/>
      <w:lvlText w:val="%1.%2.%3.%4.%5.%6.%7.%8"/>
      <w:lvlJc w:val="start"/>
      <w:pPr>
        <w:tabs>
          <w:tab w:val="num" w:pos="1800"/>
        </w:tabs>
        <w:ind w:start="1800" w:hanging="1800"/>
      </w:pPr>
      <w:rPr>
        <w:i/>
      </w:rPr>
    </w:lvl>
    <w:lvl w:ilvl="8">
      <w:start w:val="1"/>
      <w:numFmt w:val="decimal"/>
      <w:lvlText w:val="%1.%2.%3.%4.%5.%6.%7.%8.%9"/>
      <w:lvlJc w:val="start"/>
      <w:pPr>
        <w:tabs>
          <w:tab w:val="num" w:pos="1800"/>
        </w:tabs>
        <w:ind w:start="1800" w:hanging="1800"/>
      </w:pPr>
      <w:rPr>
        <w:i/>
      </w:rPr>
    </w:lvl>
  </w:abstractNum>
  <w:abstractNum w:abstractNumId="8">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val="bestFit" w:percent="20"/>
  <w:mirrorMargins/>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264"/>
      <w:jc w:val="both"/>
    </w:pPr>
    <w:rPr>
      <w:rFonts w:ascii="Book Antiqua" w:hAnsi="Book Antiqua" w:eastAsia="Times New Roman" w:cs="Book Antiqua"/>
      <w:color w:val="auto"/>
      <w:sz w:val="22"/>
      <w:szCs w:val="20"/>
      <w:lang w:val="en-GB" w:bidi="ar-SA" w:eastAsia="zh-CN"/>
    </w:rPr>
  </w:style>
  <w:style w:type="paragraph" w:styleId="Heading1">
    <w:name w:val="heading 1"/>
    <w:basedOn w:val="Normal"/>
    <w:next w:val="Normal"/>
    <w:qFormat/>
    <w:pPr>
      <w:keepNext w:val="true"/>
      <w:numPr>
        <w:ilvl w:val="0"/>
        <w:numId w:val="1"/>
      </w:numPr>
      <w:spacing w:lineRule="atLeast" w:line="271" w:before="240" w:after="60"/>
      <w:outlineLvl w:val="0"/>
    </w:pPr>
    <w:rPr>
      <w:b/>
      <w:smallCaps/>
      <w:sz w:val="28"/>
    </w:rPr>
  </w:style>
  <w:style w:type="paragraph" w:styleId="Heading2">
    <w:name w:val="heading 2"/>
    <w:basedOn w:val="Normal"/>
    <w:next w:val="Normal"/>
    <w:qFormat/>
    <w:pPr>
      <w:keepNext w:val="true"/>
      <w:numPr>
        <w:ilvl w:val="1"/>
        <w:numId w:val="1"/>
      </w:numPr>
      <w:tabs>
        <w:tab w:val="left" w:pos="720" w:leader="none"/>
      </w:tabs>
      <w:spacing w:lineRule="atLeast" w:line="271" w:before="240" w:after="60"/>
      <w:outlineLvl w:val="1"/>
    </w:pPr>
    <w:rPr>
      <w:b/>
      <w:sz w:val="26"/>
    </w:rPr>
  </w:style>
  <w:style w:type="paragraph" w:styleId="Heading3">
    <w:name w:val="heading 3"/>
    <w:basedOn w:val="Heading2"/>
    <w:next w:val="Normal"/>
    <w:qFormat/>
    <w:pPr>
      <w:numPr>
        <w:ilvl w:val="2"/>
        <w:numId w:val="1"/>
      </w:numPr>
      <w:outlineLvl w:val="2"/>
    </w:pPr>
    <w:rPr>
      <w:sz w:val="24"/>
    </w:rPr>
  </w:style>
  <w:style w:type="paragraph" w:styleId="Heading4">
    <w:name w:val="heading 4"/>
    <w:basedOn w:val="Normal"/>
    <w:next w:val="Normal"/>
    <w:qFormat/>
    <w:pPr>
      <w:keepNext w:val="true"/>
      <w:numPr>
        <w:ilvl w:val="3"/>
        <w:numId w:val="1"/>
      </w:numPr>
      <w:spacing w:lineRule="atLeast" w:line="271" w:before="240" w:after="60"/>
      <w:outlineLvl w:val="3"/>
    </w:pPr>
    <w:rPr>
      <w:rFonts w:ascii="Book Antiqua" w:hAnsi="Book Antiqua" w:cs="Book Antiqua"/>
      <w:b/>
      <w:sz w:val="24"/>
    </w:rPr>
  </w:style>
  <w:style w:type="paragraph" w:styleId="Heading5">
    <w:name w:val="heading 5"/>
    <w:basedOn w:val="Normal"/>
    <w:next w:val="Normal"/>
    <w:qFormat/>
    <w:pPr>
      <w:numPr>
        <w:ilvl w:val="4"/>
        <w:numId w:val="1"/>
      </w:numPr>
      <w:spacing w:lineRule="atLeast" w:line="271" w:before="240" w:after="60"/>
      <w:outlineLvl w:val="4"/>
    </w:pPr>
    <w:rPr>
      <w:rFonts w:ascii="Book Antiqua" w:hAnsi="Book Antiqua" w:cs="Book Antiqua"/>
      <w:b/>
      <w:sz w:val="22"/>
    </w:rPr>
  </w:style>
  <w:style w:type="paragraph" w:styleId="Heading6">
    <w:name w:val="heading 6"/>
    <w:basedOn w:val="Normal"/>
    <w:next w:val="Normal"/>
    <w:qFormat/>
    <w:pPr>
      <w:numPr>
        <w:ilvl w:val="5"/>
        <w:numId w:val="1"/>
      </w:numPr>
      <w:tabs>
        <w:tab w:val="clear" w:pos="720"/>
        <w:tab w:val="left" w:pos="0" w:leader="none"/>
      </w:tabs>
      <w:spacing w:lineRule="atLeast" w:line="271" w:before="240" w:after="60"/>
      <w:outlineLvl w:val="5"/>
    </w:pPr>
    <w:rPr>
      <w:rFonts w:ascii="Book Antiqua" w:hAnsi="Book Antiqua" w:cs="Book Antiqua"/>
      <w:i/>
      <w:sz w:val="22"/>
    </w:rPr>
  </w:style>
  <w:style w:type="paragraph" w:styleId="Heading7">
    <w:name w:val="heading 7"/>
    <w:basedOn w:val="Normal"/>
    <w:next w:val="Normal"/>
    <w:qFormat/>
    <w:pPr>
      <w:numPr>
        <w:ilvl w:val="6"/>
        <w:numId w:val="1"/>
      </w:numPr>
      <w:tabs>
        <w:tab w:val="clear" w:pos="720"/>
        <w:tab w:val="left" w:pos="1800" w:leader="none"/>
      </w:tabs>
      <w:spacing w:lineRule="atLeast" w:line="271" w:before="240" w:after="60"/>
      <w:outlineLvl w:val="6"/>
    </w:pPr>
    <w:rPr>
      <w:rFonts w:ascii="Arial" w:hAnsi="Arial" w:cs="Arial"/>
      <w:sz w:val="22"/>
    </w:rPr>
  </w:style>
  <w:style w:type="paragraph" w:styleId="Heading8">
    <w:name w:val="heading 8"/>
    <w:basedOn w:val="Normal"/>
    <w:next w:val="Normal"/>
    <w:qFormat/>
    <w:pPr>
      <w:numPr>
        <w:ilvl w:val="7"/>
        <w:numId w:val="1"/>
      </w:numPr>
      <w:tabs>
        <w:tab w:val="clear" w:pos="720"/>
        <w:tab w:val="left" w:pos="0" w:leader="none"/>
      </w:tabs>
      <w:spacing w:lineRule="atLeast" w:line="271" w:before="240" w:after="60"/>
      <w:outlineLvl w:val="7"/>
    </w:pPr>
    <w:rPr>
      <w:rFonts w:ascii="Arial" w:hAnsi="Arial" w:cs="Arial"/>
      <w:i/>
      <w:sz w:val="22"/>
    </w:rPr>
  </w:style>
  <w:style w:type="paragraph" w:styleId="Heading9">
    <w:name w:val="heading 9"/>
    <w:basedOn w:val="Normal"/>
    <w:next w:val="Normal"/>
    <w:qFormat/>
    <w:pPr>
      <w:numPr>
        <w:ilvl w:val="8"/>
        <w:numId w:val="1"/>
      </w:numPr>
      <w:tabs>
        <w:tab w:val="clear" w:pos="720"/>
        <w:tab w:val="left" w:pos="0" w:leader="none"/>
      </w:tabs>
      <w:spacing w:lineRule="atLeast" w:line="271" w:before="240" w:after="60"/>
      <w:outlineLvl w:val="8"/>
    </w:pPr>
    <w:rPr>
      <w:rFonts w:ascii="Arial" w:hAnsi="Arial" w:cs="Arial"/>
      <w:b/>
      <w:i/>
      <w:sz w:val="18"/>
    </w:rPr>
  </w:style>
  <w:style w:type="character" w:styleId="WW8Num2z0">
    <w:name w:val="WW8Num2z0"/>
    <w:qFormat/>
    <w:rPr>
      <w:rFonts w:ascii="Symbol" w:hAnsi="Symbol" w:cs="Symbol"/>
    </w:rPr>
  </w:style>
  <w:style w:type="character" w:styleId="WW8Num3z0">
    <w:name w:val="WW8Num3z0"/>
    <w:qFormat/>
    <w:rPr>
      <w:rFonts w:ascii="Book Antiqua" w:hAnsi="Book Antiqua" w:cs="Book Antiqua"/>
      <w:b/>
      <w:i w:val="false"/>
      <w:outline w:val="false"/>
      <w:shadow w:val="false"/>
      <w:color w:val="auto"/>
      <w:sz w:val="28"/>
    </w:rPr>
  </w:style>
  <w:style w:type="character" w:styleId="WW8Num3z1">
    <w:name w:val="WW8Num3z1"/>
    <w:qFormat/>
    <w:rPr>
      <w:rFonts w:ascii="Book Antiqua" w:hAnsi="Book Antiqua" w:cs="Book Antiqua"/>
      <w:b/>
      <w:i w:val="false"/>
      <w:shadow w:val="false"/>
      <w:color w:val="auto"/>
      <w:sz w:val="24"/>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Book Antiqua" w:hAnsi="Book Antiqua" w:cs="Book Antiqua"/>
      <w:b/>
      <w:i w:val="false"/>
      <w:sz w:val="28"/>
    </w:rPr>
  </w:style>
  <w:style w:type="character" w:styleId="WW8Num7z0">
    <w:name w:val="WW8Num7z0"/>
    <w:qFormat/>
    <w:rPr>
      <w:rFonts w:ascii="Symbol" w:hAnsi="Symbol" w:cs="Symbol"/>
    </w:rPr>
  </w:style>
  <w:style w:type="character" w:styleId="WW8Num8z0">
    <w:name w:val="WW8Num8z0"/>
    <w:qFormat/>
    <w:rPr>
      <w:rFonts w:ascii="Wingdings" w:hAnsi="Wingdings" w:cs="Wingdings"/>
    </w:rPr>
  </w:style>
  <w:style w:type="character" w:styleId="WW8Num9z0">
    <w:name w:val="WW8Num9z0"/>
    <w:qFormat/>
    <w:rPr>
      <w:rFonts w:ascii="Wingdings" w:hAnsi="Wingdings" w:cs="Wingdings"/>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4z0">
    <w:name w:val="WW8Num14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u w:val="none"/>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rFonts w:ascii="Symbol" w:hAnsi="Symbol" w:cs="Symbol"/>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5z3">
    <w:name w:val="WW8Num35z3"/>
    <w:qFormat/>
    <w:rPr>
      <w:rFonts w:ascii="Symbol" w:hAnsi="Symbol" w:cs="Symbol"/>
    </w:rPr>
  </w:style>
  <w:style w:type="character" w:styleId="WW8Num36z0">
    <w:name w:val="WW8Num36z0"/>
    <w:qFormat/>
    <w:rPr>
      <w:rFonts w:ascii="Wingdings" w:hAnsi="Wingdings" w:cs="Wingdings"/>
    </w:rPr>
  </w:style>
  <w:style w:type="character" w:styleId="WW8Num36z3">
    <w:name w:val="WW8Num36z3"/>
    <w:qFormat/>
    <w:rPr>
      <w:rFonts w:ascii="Symbol" w:hAnsi="Symbol" w:cs="Symbol"/>
    </w:rPr>
  </w:style>
  <w:style w:type="character" w:styleId="WW8Num36z4">
    <w:name w:val="WW8Num36z4"/>
    <w:qFormat/>
    <w:rPr>
      <w:rFonts w:ascii="Courier New" w:hAnsi="Courier New" w:cs="Courier New"/>
    </w:rPr>
  </w:style>
  <w:style w:type="character" w:styleId="WW8Num37z0">
    <w:name w:val="WW8Num37z0"/>
    <w:qFormat/>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Wingdings" w:hAnsi="Wingdings" w:cs="Wingdings"/>
    </w:rPr>
  </w:style>
  <w:style w:type="character" w:styleId="WW8Num41z0">
    <w:name w:val="WW8Num41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50z0">
    <w:name w:val="WW8Num50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3z1">
    <w:name w:val="WW8Num53z1"/>
    <w:qFormat/>
    <w:rPr>
      <w:rFonts w:ascii="Courier New" w:hAnsi="Courier New" w:cs="Courier New"/>
    </w:rPr>
  </w:style>
  <w:style w:type="character" w:styleId="WW8Num53z2">
    <w:name w:val="WW8Num53z2"/>
    <w:qFormat/>
    <w:rPr>
      <w:rFonts w:ascii="Wingdings" w:hAnsi="Wingdings" w:cs="Wingdings"/>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Book Antiqua" w:hAnsi="Book Antiqua" w:cs="Book Antiqua"/>
      <w:b/>
      <w:i w:val="false"/>
      <w:outline w:val="false"/>
      <w:shadow w:val="false"/>
      <w:color w:val="auto"/>
      <w:sz w:val="28"/>
    </w:rPr>
  </w:style>
  <w:style w:type="character" w:styleId="WW8Num56z1">
    <w:name w:val="WW8Num56z1"/>
    <w:qFormat/>
    <w:rPr>
      <w:rFonts w:ascii="Book Antiqua" w:hAnsi="Book Antiqua" w:cs="Book Antiqua"/>
      <w:b/>
      <w:i w:val="false"/>
      <w:shadow w:val="false"/>
      <w:color w:val="auto"/>
      <w:sz w:val="24"/>
    </w:rPr>
  </w:style>
  <w:style w:type="character" w:styleId="WW8Num57z0">
    <w:name w:val="WW8Num57z0"/>
    <w:qFormat/>
    <w:rPr>
      <w:rFonts w:ascii="Symbol" w:hAnsi="Symbol" w:cs="Symbol"/>
    </w:rPr>
  </w:style>
  <w:style w:type="character" w:styleId="WW8Num58z1">
    <w:name w:val="WW8Num58z1"/>
    <w:qFormat/>
    <w:rPr>
      <w:rFonts w:ascii="Book Antiqua" w:hAnsi="Book Antiqua" w:cs="Book Antiqua"/>
      <w:b/>
      <w:i w:val="false"/>
      <w:sz w:val="26"/>
    </w:rPr>
  </w:style>
  <w:style w:type="character" w:styleId="WW8Num58z2">
    <w:name w:val="WW8Num58z2"/>
    <w:qFormat/>
    <w:rPr>
      <w:sz w:val="24"/>
    </w:rPr>
  </w:style>
  <w:style w:type="character" w:styleId="WW8Num59z0">
    <w:name w:val="WW8Num59z0"/>
    <w:qFormat/>
    <w:rPr>
      <w:rFonts w:ascii="Symbol" w:hAnsi="Symbol" w:cs="Symbol"/>
    </w:rPr>
  </w:style>
  <w:style w:type="character" w:styleId="WW8Num59z1">
    <w:name w:val="WW8Num59z1"/>
    <w:qFormat/>
    <w:rPr>
      <w:rFonts w:ascii="Courier New" w:hAnsi="Courier New" w:cs="Courier New"/>
    </w:rPr>
  </w:style>
  <w:style w:type="character" w:styleId="WW8Num59z2">
    <w:name w:val="WW8Num59z2"/>
    <w:qFormat/>
    <w:rPr>
      <w:rFonts w:ascii="Wingdings" w:hAnsi="Wingdings" w:cs="Wingdings"/>
    </w:rPr>
  </w:style>
  <w:style w:type="character" w:styleId="WW8Num60z1">
    <w:name w:val="WW8Num60z1"/>
    <w:qFormat/>
    <w:rPr>
      <w:rFonts w:ascii="Book Antiqua" w:hAnsi="Book Antiqua" w:cs="Book Antiqua"/>
      <w:b/>
      <w:i w:val="false"/>
      <w:sz w:val="26"/>
    </w:rPr>
  </w:style>
  <w:style w:type="character" w:styleId="WW8Num60z2">
    <w:name w:val="WW8Num60z2"/>
    <w:qFormat/>
    <w:rPr>
      <w:sz w:val="24"/>
    </w:rPr>
  </w:style>
  <w:style w:type="character" w:styleId="WW8Num61z0">
    <w:name w:val="WW8Num61z0"/>
    <w:qFormat/>
    <w:rPr>
      <w:rFonts w:ascii="Symbol" w:hAnsi="Symbol" w:cs="Symbol"/>
    </w:rPr>
  </w:style>
  <w:style w:type="character" w:styleId="WW8Num62z0">
    <w:name w:val="WW8Num62z0"/>
    <w:qFormat/>
    <w:rPr>
      <w:i/>
    </w:rPr>
  </w:style>
  <w:style w:type="character" w:styleId="WW8Num63z0">
    <w:name w:val="WW8Num63z0"/>
    <w:qFormat/>
    <w:rPr/>
  </w:style>
  <w:style w:type="character" w:styleId="WW8Num65z1">
    <w:name w:val="WW8Num65z1"/>
    <w:qFormat/>
    <w:rPr>
      <w:rFonts w:ascii="Book Antiqua" w:hAnsi="Book Antiqua" w:cs="Book Antiqua"/>
      <w:b/>
      <w:i w:val="false"/>
      <w:sz w:val="26"/>
    </w:rPr>
  </w:style>
  <w:style w:type="character" w:styleId="WW8Num65z2">
    <w:name w:val="WW8Num65z2"/>
    <w:qFormat/>
    <w:rPr>
      <w:sz w:val="24"/>
    </w:rPr>
  </w:style>
  <w:style w:type="character" w:styleId="WW8Num66z0">
    <w:name w:val="WW8Num66z0"/>
    <w:qFormat/>
    <w:rPr>
      <w:rFonts w:ascii="Symbol" w:hAnsi="Symbol" w:cs="Symbol"/>
    </w:rPr>
  </w:style>
  <w:style w:type="character" w:styleId="WW8Num66z1">
    <w:name w:val="WW8Num66z1"/>
    <w:qFormat/>
    <w:rPr>
      <w:rFonts w:ascii="Courier New" w:hAnsi="Courier New" w:cs="Courier New"/>
    </w:rPr>
  </w:style>
  <w:style w:type="character" w:styleId="WW8Num66z2">
    <w:name w:val="WW8Num66z2"/>
    <w:qFormat/>
    <w:rPr>
      <w:rFonts w:ascii="Wingdings" w:hAnsi="Wingdings" w:cs="Wingdings"/>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70z0">
    <w:name w:val="WW8Num70z0"/>
    <w:qFormat/>
    <w:rPr>
      <w:rFonts w:ascii="Symbol" w:hAnsi="Symbol" w:cs="Symbol"/>
    </w:rPr>
  </w:style>
  <w:style w:type="character" w:styleId="WW8Num71z0">
    <w:name w:val="WW8Num71z0"/>
    <w:qFormat/>
    <w:rPr>
      <w:rFonts w:ascii="Book Antiqua" w:hAnsi="Book Antiqua" w:cs="Book Antiqua"/>
      <w:b/>
      <w:i w:val="false"/>
      <w:caps/>
      <w:sz w:val="28"/>
    </w:rPr>
  </w:style>
  <w:style w:type="character" w:styleId="WW8Num71z1">
    <w:name w:val="WW8Num71z1"/>
    <w:qFormat/>
    <w:rPr>
      <w:rFonts w:ascii="Book Antiqua" w:hAnsi="Book Antiqua" w:cs="Book Antiqua"/>
      <w:b/>
      <w:i w:val="false"/>
      <w:shadow w:val="false"/>
      <w:color w:val="auto"/>
      <w:sz w:val="28"/>
    </w:rPr>
  </w:style>
  <w:style w:type="character" w:styleId="WW8Num71z2">
    <w:name w:val="WW8Num71z2"/>
    <w:qFormat/>
    <w:rPr>
      <w:rFonts w:ascii="Book Antiqua" w:hAnsi="Book Antiqua" w:cs="Book Antiqua"/>
      <w:b/>
      <w:i w:val="false"/>
      <w:sz w:val="24"/>
    </w:rPr>
  </w:style>
  <w:style w:type="character" w:styleId="WW8Num72z0">
    <w:name w:val="WW8Num72z0"/>
    <w:qFormat/>
    <w:rPr>
      <w:rFonts w:ascii="Symbol" w:hAnsi="Symbol" w:cs="Symbol"/>
    </w:rPr>
  </w:style>
  <w:style w:type="character" w:styleId="WW8Num72z1">
    <w:name w:val="WW8Num72z1"/>
    <w:qFormat/>
    <w:rPr>
      <w:rFonts w:ascii="Courier New" w:hAnsi="Courier New" w:cs="Courier New"/>
    </w:rPr>
  </w:style>
  <w:style w:type="character" w:styleId="WW8Num72z2">
    <w:name w:val="WW8Num72z2"/>
    <w:qFormat/>
    <w:rPr>
      <w:rFonts w:ascii="Wingdings" w:hAnsi="Wingdings" w:cs="Wingdings"/>
    </w:rPr>
  </w:style>
  <w:style w:type="character" w:styleId="WW8Num73z0">
    <w:name w:val="WW8Num73z0"/>
    <w:qFormat/>
    <w:rPr>
      <w:rFonts w:ascii="Symbol" w:hAnsi="Symbol" w:cs="Symbol"/>
    </w:rPr>
  </w:style>
  <w:style w:type="character" w:styleId="WW8Num74z0">
    <w:name w:val="WW8Num74z0"/>
    <w:qFormat/>
    <w:rPr>
      <w:rFonts w:ascii="Wingdings" w:hAnsi="Wingdings" w:cs="Wingdings"/>
    </w:rPr>
  </w:style>
  <w:style w:type="character" w:styleId="WW8Num75z0">
    <w:name w:val="WW8Num75z0"/>
    <w:qFormat/>
    <w:rPr>
      <w:rFonts w:ascii="Wingdings" w:hAnsi="Wingdings" w:cs="Wingdings"/>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8z1">
    <w:name w:val="WW8Num78z1"/>
    <w:qFormat/>
    <w:rPr>
      <w:rFonts w:ascii="Courier New" w:hAnsi="Courier New" w:cs="Courier New"/>
    </w:rPr>
  </w:style>
  <w:style w:type="character" w:styleId="WW8Num78z2">
    <w:name w:val="WW8Num78z2"/>
    <w:qFormat/>
    <w:rPr>
      <w:rFonts w:ascii="Wingdings" w:hAnsi="Wingdings" w:cs="Wingdings"/>
    </w:rPr>
  </w:style>
  <w:style w:type="character" w:styleId="WW8Num79z0">
    <w:name w:val="WW8Num79z0"/>
    <w:qFormat/>
    <w:rPr>
      <w:rFonts w:ascii="Symbol" w:hAnsi="Symbol" w:cs="Symbol"/>
    </w:rPr>
  </w:style>
  <w:style w:type="character" w:styleId="WW8Num80z0">
    <w:name w:val="WW8Num80z0"/>
    <w:qFormat/>
    <w:rPr>
      <w:rFonts w:ascii="Book Antiqua" w:hAnsi="Book Antiqua" w:cs="Book Antiqua"/>
      <w:b/>
      <w:i w:val="false"/>
      <w:sz w:val="28"/>
    </w:rPr>
  </w:style>
  <w:style w:type="character" w:styleId="WW8Num80z1">
    <w:name w:val="WW8Num80z1"/>
    <w:qFormat/>
    <w:rPr>
      <w:rFonts w:ascii="Book Antiqua" w:hAnsi="Book Antiqua" w:cs="Book Antiqua"/>
      <w:b/>
      <w:i w:val="false"/>
      <w:sz w:val="24"/>
    </w:rPr>
  </w:style>
  <w:style w:type="character" w:styleId="WW8Num80z2">
    <w:name w:val="WW8Num80z2"/>
    <w:qFormat/>
    <w:rPr>
      <w:rFonts w:ascii="Book Antiqua" w:hAnsi="Book Antiqua" w:cs="Book Antiqua"/>
      <w:b w:val="false"/>
      <w:i/>
      <w:sz w:val="24"/>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Wingdings" w:hAnsi="Wingdings" w:cs="Wingdings"/>
    </w:rPr>
  </w:style>
  <w:style w:type="character" w:styleId="WW8Num89z0">
    <w:name w:val="WW8Num89z0"/>
    <w:qFormat/>
    <w:rPr>
      <w:rFonts w:ascii="Book Antiqua" w:hAnsi="Book Antiqua" w:cs="Book Antiqua"/>
      <w:b/>
      <w:i w:val="false"/>
      <w:outline w:val="false"/>
      <w:shadow w:val="false"/>
      <w:color w:val="auto"/>
      <w:sz w:val="28"/>
    </w:rPr>
  </w:style>
  <w:style w:type="character" w:styleId="WW8Num89z1">
    <w:name w:val="WW8Num89z1"/>
    <w:qFormat/>
    <w:rPr>
      <w:rFonts w:ascii="Book Antiqua" w:hAnsi="Book Antiqua" w:cs="Book Antiqua"/>
      <w:b/>
      <w:i w:val="false"/>
      <w:shadow w:val="false"/>
      <w:color w:val="auto"/>
      <w:sz w:val="24"/>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99z1">
    <w:name w:val="WW8Num99z1"/>
    <w:qFormat/>
    <w:rPr>
      <w:rFonts w:ascii="Courier New" w:hAnsi="Courier New" w:cs="Courier New"/>
    </w:rPr>
  </w:style>
  <w:style w:type="character" w:styleId="WW8Num99z2">
    <w:name w:val="WW8Num99z2"/>
    <w:qFormat/>
    <w:rPr>
      <w:rFonts w:ascii="Wingdings" w:hAnsi="Wingdings" w:cs="Wingdings"/>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2z1">
    <w:name w:val="WW8Num102z1"/>
    <w:qFormat/>
    <w:rPr>
      <w:rFonts w:ascii="Courier New" w:hAnsi="Courier New" w:cs="Courier New"/>
    </w:rPr>
  </w:style>
  <w:style w:type="character" w:styleId="WW8Num102z2">
    <w:name w:val="WW8Num102z2"/>
    <w:qFormat/>
    <w:rPr>
      <w:rFonts w:ascii="Wingdings" w:hAnsi="Wingdings" w:cs="Wingdings"/>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rFonts w:ascii="Book Antiqua" w:hAnsi="Book Antiqua" w:cs="Book Antiqua"/>
      <w:b/>
      <w:i w:val="false"/>
      <w:caps/>
      <w:sz w:val="28"/>
    </w:rPr>
  </w:style>
  <w:style w:type="character" w:styleId="WW8Num105z1">
    <w:name w:val="WW8Num105z1"/>
    <w:qFormat/>
    <w:rPr>
      <w:rFonts w:ascii="Book Antiqua" w:hAnsi="Book Antiqua" w:cs="Book Antiqua"/>
      <w:b/>
      <w:i w:val="false"/>
      <w:shadow w:val="false"/>
      <w:color w:val="auto"/>
      <w:sz w:val="28"/>
    </w:rPr>
  </w:style>
  <w:style w:type="character" w:styleId="WW8Num105z2">
    <w:name w:val="WW8Num105z2"/>
    <w:qFormat/>
    <w:rPr>
      <w:rFonts w:ascii="Book Antiqua" w:hAnsi="Book Antiqua" w:cs="Book Antiqua"/>
      <w:b/>
      <w:i w:val="false"/>
      <w:sz w:val="24"/>
    </w:rPr>
  </w:style>
  <w:style w:type="character" w:styleId="WW8Num106z2">
    <w:name w:val="WW8Num106z2"/>
    <w:qFormat/>
    <w:rPr>
      <w:rFonts w:ascii="Wingdings" w:hAnsi="Wingdings" w:cs="Wingdings"/>
    </w:rPr>
  </w:style>
  <w:style w:type="character" w:styleId="WW8Num106z3">
    <w:name w:val="WW8Num106z3"/>
    <w:qFormat/>
    <w:rPr>
      <w:rFonts w:ascii="Symbol" w:hAnsi="Symbol" w:cs="Symbol"/>
    </w:rPr>
  </w:style>
  <w:style w:type="character" w:styleId="WW8Num106z4">
    <w:name w:val="WW8Num106z4"/>
    <w:qFormat/>
    <w:rPr>
      <w:rFonts w:ascii="Courier New" w:hAnsi="Courier New" w:cs="Courier New"/>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8z1">
    <w:name w:val="WW8Num108z1"/>
    <w:qFormat/>
    <w:rPr>
      <w:rFonts w:ascii="Courier New" w:hAnsi="Courier New" w:cs="Courier New"/>
    </w:rPr>
  </w:style>
  <w:style w:type="character" w:styleId="WW8Num108z2">
    <w:name w:val="WW8Num108z2"/>
    <w:qFormat/>
    <w:rPr>
      <w:rFonts w:ascii="Wingdings" w:hAnsi="Wingdings" w:cs="Wingdings"/>
    </w:rPr>
  </w:style>
  <w:style w:type="character" w:styleId="WW8Num109z0">
    <w:name w:val="WW8Num109z0"/>
    <w:qFormat/>
    <w:rPr>
      <w:rFonts w:ascii="Symbol" w:hAnsi="Symbol" w:cs="Symbol"/>
    </w:rPr>
  </w:style>
  <w:style w:type="character" w:styleId="WW8Num109z1">
    <w:name w:val="WW8Num109z1"/>
    <w:qFormat/>
    <w:rPr>
      <w:rFonts w:ascii="Courier New" w:hAnsi="Courier New" w:cs="Courier New"/>
    </w:rPr>
  </w:style>
  <w:style w:type="character" w:styleId="WW8Num109z2">
    <w:name w:val="WW8Num109z2"/>
    <w:qFormat/>
    <w:rPr>
      <w:rFonts w:ascii="Wingdings" w:hAnsi="Wingdings" w:cs="Wingdings"/>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1">
    <w:name w:val="WW8Num116z1"/>
    <w:qFormat/>
    <w:rPr/>
  </w:style>
  <w:style w:type="character" w:styleId="WW8Num116z2">
    <w:name w:val="WW8Num116z2"/>
    <w:qFormat/>
    <w:rPr>
      <w:rFonts w:ascii="Wingdings" w:hAnsi="Wingdings" w:cs="Wingdings"/>
    </w:rPr>
  </w:style>
  <w:style w:type="character" w:styleId="WW8Num116z3">
    <w:name w:val="WW8Num116z3"/>
    <w:qFormat/>
    <w:rPr>
      <w:rFonts w:ascii="Symbol" w:hAnsi="Symbol" w:cs="Symbol"/>
    </w:rPr>
  </w:style>
  <w:style w:type="character" w:styleId="WW8Num116z4">
    <w:name w:val="WW8Num116z4"/>
    <w:qFormat/>
    <w:rPr>
      <w:rFonts w:ascii="Courier New" w:hAnsi="Courier New" w:cs="Courier New"/>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Book Antiqua" w:hAnsi="Book Antiqua" w:cs="Book Antiqua"/>
      <w:b/>
      <w:i w:val="false"/>
      <w:caps/>
      <w:sz w:val="28"/>
    </w:rPr>
  </w:style>
  <w:style w:type="character" w:styleId="WW8Num119z1">
    <w:name w:val="WW8Num119z1"/>
    <w:qFormat/>
    <w:rPr>
      <w:rFonts w:ascii="Book Antiqua" w:hAnsi="Book Antiqua" w:cs="Book Antiqua"/>
      <w:b/>
      <w:i w:val="false"/>
      <w:shadow w:val="false"/>
      <w:color w:val="auto"/>
      <w:sz w:val="28"/>
    </w:rPr>
  </w:style>
  <w:style w:type="character" w:styleId="WW8Num119z2">
    <w:name w:val="WW8Num119z2"/>
    <w:qFormat/>
    <w:rPr>
      <w:rFonts w:ascii="Book Antiqua" w:hAnsi="Book Antiqua" w:cs="Book Antiqua"/>
      <w:b/>
      <w:i w:val="false"/>
      <w:sz w:val="24"/>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Wingdings" w:hAnsi="Wingdings" w:cs="Wingdings"/>
    </w:rPr>
  </w:style>
  <w:style w:type="character" w:styleId="WW8Num126z1">
    <w:name w:val="WW8Num126z1"/>
    <w:qFormat/>
    <w:rPr>
      <w:rFonts w:ascii="Courier New" w:hAnsi="Courier New" w:cs="Courier New"/>
    </w:rPr>
  </w:style>
  <w:style w:type="character" w:styleId="WW8Num126z3">
    <w:name w:val="WW8Num126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rFonts w:ascii="Book Antiqua" w:hAnsi="Book Antiqua" w:cs="Book Antiqua"/>
      <w:b/>
      <w:sz w:val="22"/>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pPr>
    <w:rPr>
      <w:rFonts w:ascii="Book Antiqua" w:hAnsi="Book Antiqua" w:cs="Book Antiqua"/>
      <w:b/>
      <w:caps/>
      <w:sz w:val="28"/>
    </w:rPr>
  </w:style>
  <w:style w:type="paragraph" w:styleId="BodyText">
    <w:name w:val="Body Text"/>
    <w:basedOn w:val="Normal"/>
    <w:pPr/>
    <w:rPr>
      <w:rFonts w:ascii="Book Antiqua" w:hAnsi="Book Antiqua" w:cs="Book Antiqua"/>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tLeast" w:line="271"/>
      <w:jc w:val="both"/>
    </w:pPr>
    <w:rPr>
      <w:rFonts w:ascii="Book Antiqua" w:hAnsi="Book Antiqua" w:cs="Book Antiqua"/>
      <w:sz w:val="1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Footer">
    <w:name w:val="footer"/>
    <w:basedOn w:val="Normal"/>
    <w:pPr>
      <w:tabs>
        <w:tab w:val="clear" w:pos="720"/>
        <w:tab w:val="center" w:pos="4153" w:leader="none"/>
        <w:tab w:val="right" w:pos="8306" w:leader="none"/>
      </w:tabs>
      <w:spacing w:lineRule="atLeast" w:line="271"/>
      <w:jc w:val="both"/>
    </w:pPr>
    <w:rPr>
      <w:rFonts w:ascii="Book Antiqua" w:hAnsi="Book Antiqua" w:cs="Book Antiqua"/>
      <w:sz w:val="22"/>
    </w:rPr>
  </w:style>
  <w:style w:type="paragraph" w:styleId="BodyTextIndent">
    <w:name w:val="Body Text Indent"/>
    <w:basedOn w:val="Normal"/>
    <w:pPr>
      <w:ind w:hanging="432" w:start="432" w:end="0"/>
    </w:pPr>
    <w:rPr>
      <w:rFonts w:ascii="Book Antiqua" w:hAnsi="Book Antiqua" w:cs="Book Antiqua"/>
      <w:b/>
      <w:sz w:val="28"/>
    </w:rPr>
  </w:style>
  <w:style w:type="paragraph" w:styleId="BodyTextIndent2">
    <w:name w:val="Body Text Indent 2"/>
    <w:basedOn w:val="Normal"/>
    <w:qFormat/>
    <w:pPr>
      <w:ind w:hanging="6" w:start="0" w:end="0"/>
    </w:pPr>
    <w:rPr>
      <w:rFonts w:ascii="Book Antiqua" w:hAnsi="Book Antiqua" w:cs="Book Antiqua"/>
      <w:sz w:val="22"/>
    </w:rPr>
  </w:style>
  <w:style w:type="paragraph" w:styleId="CommentText">
    <w:name w:val="Comment Text"/>
    <w:basedOn w:val="Normal"/>
    <w:qFormat/>
    <w:pPr>
      <w:spacing w:lineRule="atLeast" w:line="271"/>
      <w:jc w:val="both"/>
    </w:pPr>
    <w:rPr>
      <w:rFonts w:ascii="Book Antiqua" w:hAnsi="Book Antiqua" w:cs="Book Antiqua"/>
      <w:sz w:val="22"/>
    </w:rPr>
  </w:style>
  <w:style w:type="paragraph" w:styleId="endnotetext1">
    <w:name w:val="endnote text1"/>
    <w:basedOn w:val="Normal"/>
    <w:qFormat/>
    <w:pPr>
      <w:spacing w:lineRule="atLeast" w:line="271"/>
      <w:jc w:val="both"/>
    </w:pPr>
    <w:rPr>
      <w:rFonts w:ascii="Book Antiqua" w:hAnsi="Book Antiqua" w:cs="Book Antiqua"/>
      <w:sz w:val="22"/>
    </w:rPr>
  </w:style>
  <w:style w:type="paragraph" w:styleId="toaheading">
    <w:name w:val="toa heading"/>
    <w:basedOn w:val="Heading"/>
    <w:next w:val="Normal"/>
    <w:qFormat/>
    <w:pPr>
      <w:spacing w:before="120" w:after="60"/>
    </w:pPr>
    <w:rPr/>
  </w:style>
  <w:style w:type="paragraph" w:styleId="Subtitle-paul">
    <w:name w:val="Subtitle-paul"/>
    <w:basedOn w:val="Heading"/>
    <w:qFormat/>
    <w:pPr/>
    <w:rPr>
      <w:i/>
      <w:caps w:val="false"/>
      <w:smallCaps w:val="false"/>
    </w:rPr>
  </w:style>
  <w:style w:type="paragraph" w:styleId="Annex1">
    <w:name w:val="Annex 1"/>
    <w:basedOn w:val="Heading1"/>
    <w:qFormat/>
    <w:pPr>
      <w:numPr>
        <w:ilvl w:val="0"/>
        <w:numId w:val="7"/>
      </w:numPr>
      <w:tabs>
        <w:tab w:val="clear" w:pos="720"/>
        <w:tab w:val="left" w:pos="1440" w:leader="none"/>
      </w:tabs>
      <w:outlineLvl w:val="9"/>
    </w:pPr>
    <w:rPr>
      <w:caps/>
    </w:rPr>
  </w:style>
  <w:style w:type="paragraph" w:styleId="PlainText">
    <w:name w:val="Plain Text"/>
    <w:basedOn w:val="Normal"/>
    <w:qFormat/>
    <w:pPr>
      <w:spacing w:lineRule="atLeast" w:line="271"/>
      <w:jc w:val="both"/>
    </w:pPr>
    <w:rPr>
      <w:rFonts w:ascii="Courier New" w:hAnsi="Courier New" w:cs="Courier New"/>
    </w:rPr>
  </w:style>
  <w:style w:type="paragraph" w:styleId="Subtitle">
    <w:name w:val="Subtitle"/>
    <w:basedOn w:val="Normal"/>
    <w:next w:val="BodyText"/>
    <w:qFormat/>
    <w:pPr>
      <w:spacing w:lineRule="atLeast" w:line="271"/>
      <w:jc w:val="center"/>
    </w:pPr>
    <w:rPr>
      <w:rFonts w:ascii="Book Antiqua" w:hAnsi="Book Antiqua" w:cs="Book Antiqua"/>
      <w:b/>
      <w:sz w:val="22"/>
    </w:rPr>
  </w:style>
  <w:style w:type="paragraph" w:styleId="BodyText2">
    <w:name w:val="Body Text 2"/>
    <w:basedOn w:val="Normal"/>
    <w:qFormat/>
    <w:pPr>
      <w:spacing w:lineRule="atLeast" w:line="271"/>
    </w:pPr>
    <w:rPr>
      <w:rFonts w:ascii="Book Antiqua" w:hAnsi="Book Antiqua" w:cs="Book Antiqua"/>
      <w:i/>
      <w:sz w:val="22"/>
    </w:rPr>
  </w:style>
  <w:style w:type="paragraph" w:styleId="BodyText3">
    <w:name w:val="Body Text 3"/>
    <w:basedOn w:val="Normal"/>
    <w:qFormat/>
    <w:pPr>
      <w:spacing w:lineRule="atLeast" w:line="271"/>
      <w:jc w:val="both"/>
    </w:pPr>
    <w:rPr>
      <w:rFonts w:ascii="Book Antiqua" w:hAnsi="Book Antiqua" w:cs="Book Antiqua"/>
      <w:b/>
      <w:i/>
      <w:sz w:val="22"/>
    </w:rPr>
  </w:style>
  <w:style w:type="paragraph" w:styleId="BodyTextIndent3">
    <w:name w:val="Body Text Indent 3"/>
    <w:basedOn w:val="Normal"/>
    <w:qFormat/>
    <w:pPr>
      <w:ind w:hanging="0" w:start="66" w:end="0"/>
    </w:pPr>
    <w:rPr/>
  </w:style>
  <w:style w:type="paragraph" w:styleId="EndnoteText">
    <w:name w:val="endnote text"/>
    <w:basedOn w:val="Normal"/>
    <w:pPr/>
    <w:rPr>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pptx"/><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2001-05-17T10:18:00Z</dcterms:created>
  <dc:creator>Nick Elms</dc:creator>
  <dc:description/>
  <dc:language>en-CA</dc:language>
  <cp:lastModifiedBy>Elms</cp:lastModifiedBy>
  <cp:lastPrinted>2001-05-24T16:33:00Z</cp:lastPrinted>
  <dcterms:modified xsi:type="dcterms:W3CDTF">2001-05-24T13:27:00Z</dcterms:modified>
  <cp:revision>107</cp:revision>
  <dc:subject/>
  <dc:title>Price control response</dc:title>
</cp:coreProperties>
</file>