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r>
    </w:p>
    <w:p>
      <w:pPr>
        <w:pStyle w:val="Normal"/>
        <w:rPr>
          <w:sz w:val="2"/>
        </w:rPr>
      </w:pPr>
      <w:r>
        <w:rPr>
          <w:sz w:val="2"/>
        </w:rPr>
      </w:r>
    </w:p>
    <w:tbl>
      <w:tblPr>
        <w:tblW w:w="9148" w:type="dxa"/>
        <w:jc w:val="start"/>
        <w:tblInd w:w="0" w:type="dxa"/>
        <w:tblLayout w:type="fixed"/>
        <w:tblCellMar>
          <w:top w:w="0" w:type="dxa"/>
          <w:start w:w="0" w:type="dxa"/>
          <w:bottom w:w="0" w:type="dxa"/>
          <w:end w:w="0" w:type="dxa"/>
        </w:tblCellMar>
      </w:tblPr>
      <w:tblGrid>
        <w:gridCol w:w="1101"/>
        <w:gridCol w:w="4749"/>
        <w:gridCol w:w="3298"/>
      </w:tblGrid>
      <w:tr>
        <w:trPr>
          <w:trHeight w:val="2802" w:hRule="exact"/>
        </w:trPr>
        <w:tc>
          <w:tcPr>
            <w:tcW w:w="1101" w:type="dxa"/>
            <w:tcBorders/>
          </w:tcPr>
          <w:p>
            <w:pPr>
              <w:pStyle w:val="Normal"/>
              <w:snapToGrid w:val="false"/>
              <w:rPr>
                <w:sz w:val="18"/>
              </w:rPr>
            </w:pPr>
            <w:r>
              <w:rPr>
                <w:sz w:val="18"/>
              </w:rPr>
            </w:r>
            <w:bookmarkStart w:id="0" w:name="FirstCell"/>
            <w:bookmarkStart w:id="1" w:name="FirstCell"/>
            <w:bookmarkEnd w:id="1"/>
          </w:p>
        </w:tc>
        <w:tc>
          <w:tcPr>
            <w:tcW w:w="4749" w:type="dxa"/>
            <w:tcBorders/>
          </w:tcPr>
          <w:p>
            <w:pPr>
              <w:pStyle w:val="Normal"/>
              <w:snapToGrid w:val="false"/>
              <w:rPr>
                <w:sz w:val="18"/>
              </w:rPr>
            </w:pPr>
            <w:r>
              <w:rPr>
                <w:sz w:val="18"/>
              </w:rPr>
            </w:r>
          </w:p>
          <w:p>
            <w:pPr>
              <w:pStyle w:val="Normal"/>
              <w:rPr>
                <w:sz w:val="18"/>
              </w:rPr>
            </w:pPr>
            <w:r>
              <w:rPr>
                <w:sz w:val="18"/>
              </w:rPr>
            </w:r>
          </w:p>
        </w:tc>
        <w:tc>
          <w:tcPr>
            <w:tcW w:w="3298" w:type="dxa"/>
            <w:tcBorders/>
          </w:tcPr>
          <w:p>
            <w:pPr>
              <w:pStyle w:val="Normal"/>
              <w:snapToGrid w:val="false"/>
              <w:rPr>
                <w:sz w:val="18"/>
              </w:rPr>
            </w:pPr>
            <w:r>
              <w:rPr>
                <w:sz w:val="18"/>
              </w:rPr>
            </w:r>
          </w:p>
        </w:tc>
      </w:tr>
      <w:tr>
        <w:trPr>
          <w:trHeight w:val="280" w:hRule="exact"/>
        </w:trPr>
        <w:tc>
          <w:tcPr>
            <w:tcW w:w="1101" w:type="dxa"/>
            <w:tcBorders/>
            <w:vAlign w:val="center"/>
          </w:tcPr>
          <w:p>
            <w:pPr>
              <w:pStyle w:val="Normal"/>
              <w:spacing w:before="30" w:after="0"/>
              <w:rPr>
                <w:sz w:val="14"/>
              </w:rPr>
            </w:pPr>
            <w:r>
              <w:rPr>
                <w:sz w:val="14"/>
              </w:rPr>
              <w:t>Direct line</w:t>
            </w:r>
          </w:p>
        </w:tc>
        <w:tc>
          <w:tcPr>
            <w:tcW w:w="4749" w:type="dxa"/>
            <w:tcBorders/>
            <w:vAlign w:val="bottom"/>
          </w:tcPr>
          <w:p>
            <w:pPr>
              <w:pStyle w:val="Normal"/>
              <w:rPr>
                <w:sz w:val="18"/>
              </w:rPr>
            </w:pPr>
            <w:bookmarkStart w:id="2" w:name="directline"/>
            <w:r>
              <w:rPr>
                <w:sz w:val="18"/>
              </w:rPr>
              <w:t>020 7456 5800</w:t>
            </w:r>
            <w:bookmarkEnd w:id="2"/>
          </w:p>
        </w:tc>
        <w:tc>
          <w:tcPr>
            <w:tcW w:w="3298"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r>
              <w:rPr>
                <w:sz w:val="14"/>
              </w:rPr>
              <w:t>Direct fax</w:t>
            </w:r>
          </w:p>
        </w:tc>
        <w:tc>
          <w:tcPr>
            <w:tcW w:w="4749" w:type="dxa"/>
            <w:tcBorders/>
            <w:vAlign w:val="bottom"/>
          </w:tcPr>
          <w:p>
            <w:pPr>
              <w:pStyle w:val="Normal"/>
              <w:spacing w:before="40" w:after="0"/>
              <w:rPr>
                <w:sz w:val="18"/>
              </w:rPr>
            </w:pPr>
            <w:bookmarkStart w:id="3" w:name="directfax"/>
            <w:r>
              <w:rPr>
                <w:sz w:val="18"/>
              </w:rPr>
              <w:t>020 7456 2222</w:t>
            </w:r>
            <w:bookmarkEnd w:id="3"/>
          </w:p>
        </w:tc>
        <w:tc>
          <w:tcPr>
            <w:tcW w:w="3298"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bookmarkStart w:id="4" w:name="EmailPrompt"/>
            <w:r>
              <w:rPr>
                <w:sz w:val="14"/>
              </w:rPr>
              <w:t>e-mail</w:t>
            </w:r>
            <w:bookmarkEnd w:id="4"/>
          </w:p>
        </w:tc>
        <w:tc>
          <w:tcPr>
            <w:tcW w:w="4749" w:type="dxa"/>
            <w:tcBorders/>
            <w:vAlign w:val="bottom"/>
          </w:tcPr>
          <w:p>
            <w:pPr>
              <w:pStyle w:val="Normal"/>
              <w:spacing w:before="40" w:after="0"/>
              <w:rPr>
                <w:sz w:val="18"/>
              </w:rPr>
            </w:pPr>
            <w:bookmarkStart w:id="5" w:name="email"/>
            <w:r>
              <w:rPr>
                <w:sz w:val="18"/>
              </w:rPr>
              <w:t>ian.karet@linklaters.com</w:t>
            </w:r>
            <w:bookmarkEnd w:id="5"/>
          </w:p>
        </w:tc>
        <w:tc>
          <w:tcPr>
            <w:tcW w:w="3298" w:type="dxa"/>
            <w:tcBorders/>
          </w:tcPr>
          <w:p>
            <w:pPr>
              <w:pStyle w:val="Normal"/>
              <w:snapToGrid w:val="false"/>
              <w:rPr>
                <w:sz w:val="18"/>
              </w:rPr>
            </w:pPr>
            <w:r>
              <w:rPr>
                <w:sz w:val="18"/>
              </w:rPr>
            </w:r>
          </w:p>
        </w:tc>
      </w:tr>
      <w:tr>
        <w:trPr/>
        <w:tc>
          <w:tcPr>
            <w:tcW w:w="1101" w:type="dxa"/>
            <w:tcBorders/>
          </w:tcPr>
          <w:p>
            <w:pPr>
              <w:pStyle w:val="Normal"/>
              <w:snapToGrid w:val="false"/>
              <w:rPr>
                <w:sz w:val="18"/>
              </w:rPr>
            </w:pPr>
            <w:r>
              <w:rPr>
                <w:sz w:val="18"/>
              </w:rPr>
            </w:r>
          </w:p>
        </w:tc>
        <w:tc>
          <w:tcPr>
            <w:tcW w:w="4749" w:type="dxa"/>
            <w:tcBorders/>
          </w:tcPr>
          <w:p>
            <w:pPr>
              <w:pStyle w:val="Normal"/>
              <w:snapToGrid w:val="false"/>
              <w:rPr>
                <w:sz w:val="18"/>
              </w:rPr>
            </w:pPr>
            <w:r>
              <w:rPr>
                <w:sz w:val="18"/>
              </w:rPr>
            </w:r>
          </w:p>
        </w:tc>
        <w:tc>
          <w:tcPr>
            <w:tcW w:w="3298" w:type="dxa"/>
            <w:vMerge w:val="restart"/>
            <w:tcBorders/>
          </w:tcPr>
          <w:p>
            <w:pPr>
              <w:pStyle w:val="Normal"/>
              <w:ind w:start="28" w:end="0"/>
              <w:jc w:val="end"/>
              <w:rPr/>
            </w:pPr>
            <w:bookmarkStart w:id="6" w:name="Date"/>
            <w:r>
              <w:rPr/>
              <w:t>30 May 2000</w:t>
            </w:r>
            <w:bookmarkEnd w:id="6"/>
          </w:p>
          <w:p>
            <w:pPr>
              <w:pStyle w:val="Normal"/>
              <w:ind w:start="28" w:end="0"/>
              <w:rPr/>
            </w:pPr>
            <w:r>
              <w:rPr/>
            </w:r>
          </w:p>
        </w:tc>
      </w:tr>
      <w:tr>
        <w:trPr/>
        <w:tc>
          <w:tcPr>
            <w:tcW w:w="1101" w:type="dxa"/>
            <w:tcBorders/>
            <w:vAlign w:val="center"/>
          </w:tcPr>
          <w:p>
            <w:pPr>
              <w:pStyle w:val="Normal"/>
              <w:rPr>
                <w:sz w:val="14"/>
              </w:rPr>
            </w:pPr>
            <w:r>
              <w:rPr>
                <w:sz w:val="14"/>
              </w:rPr>
              <w:t>Our ref</w:t>
            </w:r>
          </w:p>
        </w:tc>
        <w:tc>
          <w:tcPr>
            <w:tcW w:w="4749" w:type="dxa"/>
            <w:tcBorders/>
          </w:tcPr>
          <w:p>
            <w:pPr>
              <w:pStyle w:val="Normal"/>
              <w:rPr>
                <w:sz w:val="18"/>
              </w:rPr>
            </w:pPr>
            <w:bookmarkStart w:id="7" w:name="OurRef"/>
            <w:r>
              <w:rPr>
                <w:sz w:val="18"/>
              </w:rPr>
              <w:t>IANK</w:t>
            </w:r>
            <w:bookmarkEnd w:id="7"/>
            <w:r>
              <w:rPr>
                <w:sz w:val="18"/>
              </w:rPr>
              <w:t>/JCG</w:t>
            </w:r>
          </w:p>
        </w:tc>
        <w:tc>
          <w:tcPr>
            <w:tcW w:w="3298" w:type="dxa"/>
            <w:vMerge w:val="continue"/>
            <w:tcBorders/>
          </w:tcPr>
          <w:p>
            <w:pPr>
              <w:pStyle w:val="Normal"/>
              <w:snapToGrid w:val="false"/>
              <w:rPr>
                <w:sz w:val="18"/>
              </w:rPr>
            </w:pPr>
            <w:r>
              <w:rPr>
                <w:sz w:val="18"/>
              </w:rPr>
            </w:r>
          </w:p>
        </w:tc>
      </w:tr>
      <w:tr>
        <w:trPr/>
        <w:tc>
          <w:tcPr>
            <w:tcW w:w="1101" w:type="dxa"/>
            <w:tcBorders/>
          </w:tcPr>
          <w:p>
            <w:pPr>
              <w:pStyle w:val="Normal"/>
              <w:spacing w:before="30" w:after="0"/>
              <w:rPr>
                <w:sz w:val="14"/>
              </w:rPr>
            </w:pPr>
            <w:r>
              <w:rPr>
                <w:sz w:val="14"/>
              </w:rPr>
              <w:t>Your ref</w:t>
            </w:r>
          </w:p>
        </w:tc>
        <w:tc>
          <w:tcPr>
            <w:tcW w:w="4749" w:type="dxa"/>
            <w:tcBorders/>
          </w:tcPr>
          <w:p>
            <w:pPr>
              <w:pStyle w:val="Normal"/>
              <w:snapToGrid w:val="false"/>
              <w:rPr>
                <w:sz w:val="18"/>
              </w:rPr>
            </w:pPr>
            <w:r>
              <w:rPr>
                <w:sz w:val="18"/>
              </w:rPr>
            </w:r>
            <w:bookmarkStart w:id="8" w:name="YourRef"/>
            <w:bookmarkStart w:id="9" w:name="YourRef"/>
            <w:bookmarkEnd w:id="9"/>
          </w:p>
        </w:tc>
        <w:tc>
          <w:tcPr>
            <w:tcW w:w="3298" w:type="dxa"/>
            <w:tcBorders/>
          </w:tcPr>
          <w:p>
            <w:pPr>
              <w:pStyle w:val="Normal"/>
              <w:ind w:start="28" w:end="0"/>
              <w:jc w:val="end"/>
              <w:rPr>
                <w:b/>
              </w:rPr>
            </w:pPr>
            <w:bookmarkStart w:id="10" w:name="Delivery"/>
            <w:bookmarkEnd w:id="10"/>
            <w:r>
              <w:rPr>
                <w:b/>
              </w:rPr>
              <w:t>PRIVILEGED &amp; CONFIDENTIAL</w:t>
              <w:br/>
              <w:t>ATTORNEY WORK PRODUCT</w:t>
            </w:r>
          </w:p>
        </w:tc>
      </w:tr>
      <w:tr>
        <w:trPr/>
        <w:tc>
          <w:tcPr>
            <w:tcW w:w="9148" w:type="dxa"/>
            <w:gridSpan w:val="3"/>
            <w:tcBorders/>
          </w:tcPr>
          <w:p>
            <w:pPr>
              <w:pStyle w:val="Normal"/>
              <w:snapToGrid w:val="false"/>
              <w:rPr>
                <w:b/>
                <w:sz w:val="18"/>
              </w:rPr>
            </w:pPr>
            <w:r>
              <w:rPr>
                <w:b/>
                <w:sz w:val="18"/>
              </w:rPr>
            </w:r>
          </w:p>
        </w:tc>
      </w:tr>
    </w:tbl>
    <w:p>
      <w:pPr>
        <w:pStyle w:val="Normal"/>
        <w:rPr>
          <w:sz w:val="4"/>
        </w:rPr>
      </w:pPr>
      <w:r>
        <w:rPr>
          <w:sz w:val="4"/>
        </w:rPr>
      </w:r>
    </w:p>
    <w:tbl>
      <w:tblPr>
        <w:tblW w:w="9606" w:type="dxa"/>
        <w:jc w:val="start"/>
        <w:tblInd w:w="-426" w:type="dxa"/>
        <w:tblLayout w:type="fixed"/>
        <w:tblCellMar>
          <w:top w:w="0" w:type="dxa"/>
          <w:start w:w="0" w:type="dxa"/>
          <w:bottom w:w="0" w:type="dxa"/>
          <w:end w:w="0" w:type="dxa"/>
        </w:tblCellMar>
      </w:tblPr>
      <w:tblGrid>
        <w:gridCol w:w="426"/>
        <w:gridCol w:w="4421"/>
        <w:gridCol w:w="425"/>
        <w:gridCol w:w="4334"/>
      </w:tblGrid>
      <w:tr>
        <w:trPr/>
        <w:tc>
          <w:tcPr>
            <w:tcW w:w="426" w:type="dxa"/>
            <w:tcBorders/>
          </w:tcPr>
          <w:p>
            <w:pPr>
              <w:pStyle w:val="Address"/>
              <w:snapToGrid w:val="false"/>
              <w:spacing w:before="0" w:after="240"/>
              <w:rPr/>
            </w:pPr>
            <w:r>
              <w:rPr/>
            </w:r>
          </w:p>
        </w:tc>
        <w:tc>
          <w:tcPr>
            <w:tcW w:w="4421" w:type="dxa"/>
            <w:tcBorders/>
          </w:tcPr>
          <w:p>
            <w:pPr>
              <w:pStyle w:val="Normal"/>
              <w:rPr/>
            </w:pPr>
            <w:r>
              <w:rPr/>
              <w:t>Mark Haedicke Esq</w:t>
            </w:r>
          </w:p>
          <w:p>
            <w:pPr>
              <w:pStyle w:val="Normal"/>
              <w:rPr/>
            </w:pPr>
            <w:r>
              <w:rPr/>
              <w:t>Enron North America Corp.</w:t>
            </w:r>
          </w:p>
          <w:p>
            <w:pPr>
              <w:pStyle w:val="Normal"/>
              <w:rPr/>
            </w:pPr>
            <w:r>
              <w:rPr/>
              <w:t>1400 Smith Street</w:t>
            </w:r>
          </w:p>
          <w:p>
            <w:pPr>
              <w:pStyle w:val="Normal"/>
              <w:rPr/>
            </w:pPr>
            <w:r>
              <w:rPr/>
              <w:t>Houston</w:t>
            </w:r>
          </w:p>
          <w:p>
            <w:pPr>
              <w:pStyle w:val="Normal"/>
              <w:rPr/>
            </w:pPr>
            <w:r>
              <w:rPr/>
              <w:t>Texas</w:t>
            </w:r>
          </w:p>
          <w:p>
            <w:pPr>
              <w:pStyle w:val="Normal"/>
              <w:rPr/>
            </w:pPr>
            <w:r>
              <w:rPr/>
              <w:t>7702-7361</w:t>
            </w:r>
          </w:p>
        </w:tc>
        <w:tc>
          <w:tcPr>
            <w:tcW w:w="425" w:type="dxa"/>
            <w:tcBorders/>
          </w:tcPr>
          <w:p>
            <w:pPr>
              <w:pStyle w:val="Address"/>
              <w:snapToGrid w:val="false"/>
              <w:spacing w:before="0" w:after="240"/>
              <w:rPr/>
            </w:pPr>
            <w:r>
              <w:rPr/>
            </w:r>
            <w:bookmarkStart w:id="11" w:name="TopAddress"/>
            <w:bookmarkStart w:id="12" w:name="TopAddress"/>
            <w:bookmarkEnd w:id="12"/>
          </w:p>
        </w:tc>
        <w:tc>
          <w:tcPr>
            <w:tcW w:w="4334" w:type="dxa"/>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jc w:val="end"/>
              <w:rPr>
                <w:b/>
              </w:rPr>
            </w:pPr>
            <w:r>
              <w:rPr>
                <w:b/>
              </w:rPr>
              <w:t>By e-mail: mark.e.haedicke@enron.com</w:t>
            </w:r>
          </w:p>
        </w:tc>
      </w:tr>
    </w:tbl>
    <w:p>
      <w:pPr>
        <w:sectPr>
          <w:headerReference w:type="default" r:id="rId2"/>
          <w:headerReference w:type="first" r:id="rId3"/>
          <w:footerReference w:type="default" r:id="rId4"/>
          <w:footerReference w:type="first" r:id="rId5"/>
          <w:type w:val="nextPage"/>
          <w:pgSz w:w="11906" w:h="16838"/>
          <w:pgMar w:left="1440" w:right="1412" w:gutter="0" w:header="720" w:top="1701" w:footer="1871" w:bottom="1927"/>
          <w:pgNumType w:fmt="decimal"/>
          <w:formProt w:val="false"/>
          <w:titlePg/>
          <w:textDirection w:val="lrTb"/>
          <w:docGrid w:type="default" w:linePitch="360" w:charSpace="0"/>
        </w:sectPr>
      </w:pPr>
    </w:p>
    <w:p>
      <w:pPr>
        <w:pStyle w:val="Normal"/>
        <w:rPr/>
      </w:pPr>
      <w:r>
        <w:rPr/>
      </w:r>
    </w:p>
    <w:p>
      <w:pPr>
        <w:pStyle w:val="Body"/>
        <w:rPr/>
      </w:pPr>
      <w:bookmarkStart w:id="13" w:name="Dear"/>
      <w:r>
        <w:rPr/>
        <w:t xml:space="preserve">Dear </w:t>
      </w:r>
      <w:bookmarkEnd w:id="13"/>
      <w:r>
        <w:rPr/>
        <w:t>Mark</w:t>
      </w:r>
    </w:p>
    <w:p>
      <w:pPr>
        <w:pStyle w:val="Subject"/>
        <w:rPr/>
      </w:pPr>
      <w:bookmarkStart w:id="14" w:name="Heading"/>
      <w:r>
        <w:rPr/>
        <w:t>MG plc - Agreement with Internet Capital Group, Inc</w:t>
      </w:r>
      <w:bookmarkEnd w:id="14"/>
      <w:r>
        <w:rPr/>
        <w:t>.</w:t>
      </w:r>
    </w:p>
    <w:p>
      <w:pPr>
        <w:pStyle w:val="Body"/>
        <w:rPr/>
      </w:pPr>
      <w:bookmarkStart w:id="15" w:name="Start"/>
      <w:bookmarkEnd w:id="15"/>
      <w:r>
        <w:rPr/>
        <w:t>Following our discussions with you and Lance, you have asked for our written advice on whether MG can dispose of its shareholding in a joint venture (eMetra Limited) with Internet Capital Group, Inc. (ICG) to a third party and later compete with eMetra in the development of an internet-based trading system. We have reviewed copies of: (i) the Joint Venture Agreement dated 10 February 2000; (ii) the Assignment and Licence of Intellectual Property between MG and eMetra Limited dated 17 March 2000; (iii) the Supplemental Agreement dated 17 March 2000. The Joint Venture Agreement and Supplemental Agreement are between Safeguard International Fund, L.P., ICG, MG and a new company to be registered in England (later named eMetra Limited); and (iv) eMetra’s Articles of Association.</w:t>
      </w:r>
    </w:p>
    <w:p>
      <w:pPr>
        <w:pStyle w:val="SubHead"/>
        <w:rPr/>
      </w:pPr>
      <w:r>
        <w:rPr/>
        <w:t>Summary</w:t>
      </w:r>
    </w:p>
    <w:p>
      <w:pPr>
        <w:pStyle w:val="Body"/>
        <w:numPr>
          <w:ilvl w:val="0"/>
          <w:numId w:val="5"/>
        </w:numPr>
        <w:rPr/>
      </w:pPr>
      <w:r>
        <w:rPr/>
        <w:t>MG can transfer its shareholding in eMetra to a third party by following the procedures in the Agreement and eMetra’s Articles of Association.</w:t>
      </w:r>
    </w:p>
    <w:p>
      <w:pPr>
        <w:pStyle w:val="Body"/>
        <w:numPr>
          <w:ilvl w:val="0"/>
          <w:numId w:val="5"/>
        </w:numPr>
        <w:rPr/>
      </w:pPr>
      <w:r>
        <w:rPr/>
        <w:t>The transfer of MG’s shares must not be to a member of the Enron Group (Enron Corp. and its subsidiaries) and, to reduce risk, should be to a company entirely independent of Enron and of MG, which is both free to do what it likes with the shareholding and free to pursue its interests in the joint venture.</w:t>
      </w:r>
    </w:p>
    <w:p>
      <w:pPr>
        <w:pStyle w:val="Body"/>
        <w:numPr>
          <w:ilvl w:val="0"/>
          <w:numId w:val="8"/>
        </w:numPr>
        <w:rPr/>
      </w:pPr>
      <w:r>
        <w:rPr/>
        <w:t>If MG were to transfer its shareholding  other than to a subsidiary of Enron Corp, then the transfer will, on the face of the Agreement, operate to remove the non-competition restriction from MG such that MG and Enron can compete with eMetra.</w:t>
      </w:r>
    </w:p>
    <w:p>
      <w:pPr>
        <w:pStyle w:val="Body"/>
        <w:numPr>
          <w:ilvl w:val="0"/>
          <w:numId w:val="8"/>
        </w:numPr>
        <w:rPr/>
      </w:pPr>
      <w:r>
        <w:rPr/>
        <w:t>The transferee will be bound by the non-competition restriction and other obligations on MG in the Agreement.</w:t>
      </w:r>
    </w:p>
    <w:p>
      <w:pPr>
        <w:pStyle w:val="Body"/>
        <w:numPr>
          <w:ilvl w:val="0"/>
          <w:numId w:val="8"/>
        </w:numPr>
        <w:rPr/>
      </w:pPr>
      <w:r>
        <w:rPr/>
        <w:t xml:space="preserve">MG will in any event (notwithstanding the transfer) remain restricted from using confidential information disclosed under the Agreement to compete with eMetra. </w:t>
      </w:r>
    </w:p>
    <w:p>
      <w:pPr>
        <w:pStyle w:val="SubHead"/>
        <w:rPr/>
      </w:pPr>
      <w:r>
        <w:rPr/>
        <w:t>Definitions</w:t>
      </w:r>
    </w:p>
    <w:p>
      <w:pPr>
        <w:pStyle w:val="Body"/>
        <w:rPr/>
      </w:pPr>
      <w:r>
        <w:rPr/>
        <w:t>The following definitions in Clause 1 of the Agreement are relevant:</w:t>
      </w:r>
    </w:p>
    <w:p>
      <w:pPr>
        <w:pStyle w:val="Bullet1"/>
        <w:numPr>
          <w:ilvl w:val="0"/>
          <w:numId w:val="13"/>
        </w:numPr>
        <w:ind w:hanging="0" w:start="0"/>
        <w:rPr/>
      </w:pPr>
      <w:r>
        <w:rPr/>
        <w:t>“</w:t>
      </w:r>
      <w:r>
        <w:rPr/>
        <w:t>Articles” means the Articles of Association of the joint venture company to be adopted on Completion and set out in Schedule 2 as amended from time to time.</w:t>
      </w:r>
    </w:p>
    <w:p>
      <w:pPr>
        <w:pStyle w:val="Bullet1"/>
        <w:numPr>
          <w:ilvl w:val="0"/>
          <w:numId w:val="13"/>
        </w:numPr>
        <w:ind w:hanging="0" w:start="0"/>
        <w:rPr/>
      </w:pPr>
      <w:r>
        <w:rPr/>
        <w:t>“</w:t>
      </w:r>
      <w:r>
        <w:rPr/>
        <w:t>Group Company” means, in relation to any company, any Holding Company of that company and any Subsidiary of that company or any of its Holding Companies.</w:t>
      </w:r>
    </w:p>
    <w:p>
      <w:pPr>
        <w:pStyle w:val="Bullet1"/>
        <w:numPr>
          <w:ilvl w:val="0"/>
          <w:numId w:val="13"/>
        </w:numPr>
        <w:ind w:hanging="0" w:start="0"/>
        <w:rPr/>
      </w:pPr>
      <w:r>
        <w:rPr/>
        <w:t>“</w:t>
      </w:r>
      <w:r>
        <w:rPr/>
        <w:t>Holding Company” has the meaning set out in section 736 of the UK Companies Act 1985.</w:t>
      </w:r>
    </w:p>
    <w:p>
      <w:pPr>
        <w:pStyle w:val="Bullet1"/>
        <w:numPr>
          <w:ilvl w:val="0"/>
          <w:numId w:val="13"/>
        </w:numPr>
        <w:ind w:hanging="0" w:start="0"/>
        <w:rPr/>
      </w:pPr>
      <w:r>
        <w:rPr/>
        <w:t>“</w:t>
      </w:r>
      <w:r>
        <w:rPr/>
        <w:t>Related Company” means in relation to any partnership any company in which such partnership owns in excess of 50 per cent of its equity share capital.</w:t>
      </w:r>
    </w:p>
    <w:p>
      <w:pPr>
        <w:pStyle w:val="Bullet1"/>
        <w:numPr>
          <w:ilvl w:val="0"/>
          <w:numId w:val="13"/>
        </w:numPr>
        <w:ind w:hanging="0" w:start="0"/>
        <w:rPr/>
      </w:pPr>
      <w:r>
        <w:rPr/>
        <w:t>“</w:t>
      </w:r>
      <w:r>
        <w:rPr/>
        <w:t>Related Partner” means in relation to any partnership any partner or limited partner of that partnership.</w:t>
      </w:r>
    </w:p>
    <w:p>
      <w:pPr>
        <w:pStyle w:val="Bullet1"/>
        <w:numPr>
          <w:ilvl w:val="0"/>
          <w:numId w:val="13"/>
        </w:numPr>
        <w:ind w:hanging="0" w:start="0"/>
        <w:rPr/>
      </w:pPr>
      <w:r>
        <w:rPr/>
        <w:t>“</w:t>
      </w:r>
      <w:r>
        <w:rPr/>
        <w:t>Subsidiary” has the meaning set out in Section 736 of the UK Companies Act 1985.</w:t>
      </w:r>
    </w:p>
    <w:p>
      <w:pPr>
        <w:pStyle w:val="Bullet1"/>
        <w:numPr>
          <w:ilvl w:val="0"/>
          <w:numId w:val="13"/>
        </w:numPr>
        <w:ind w:hanging="0" w:start="0"/>
        <w:rPr/>
      </w:pPr>
      <w:r>
        <w:rPr/>
        <w:t>“</w:t>
      </w:r>
      <w:r>
        <w:rPr/>
        <w:t>Supplemental Agreement” means an agreement entered into pursuant to clause 7.3 of the Agreement.</w:t>
      </w:r>
    </w:p>
    <w:p>
      <w:pPr>
        <w:pStyle w:val="Body"/>
        <w:rPr/>
      </w:pPr>
      <w:r>
        <w:rPr/>
        <w:t>The definitions of Holding Company and Subsidiary Company in the UK Companies Act 1985 are as follows:</w:t>
      </w:r>
    </w:p>
    <w:p>
      <w:pPr>
        <w:pStyle w:val="Body1"/>
        <w:rPr/>
      </w:pPr>
      <w:r>
        <w:rPr/>
        <w:t>“</w:t>
      </w:r>
      <w:r>
        <w:rPr/>
        <w:t>A company is a “subsidiary” of another company, its “holding company”, if that other company:</w:t>
      </w:r>
    </w:p>
    <w:p>
      <w:pPr>
        <w:pStyle w:val="alpha3"/>
        <w:numPr>
          <w:ilvl w:val="0"/>
          <w:numId w:val="10"/>
        </w:numPr>
        <w:ind w:hanging="0" w:start="0"/>
        <w:rPr/>
      </w:pPr>
      <w:r>
        <w:rPr/>
        <w:t>holds a majority of the voting rights in it, or</w:t>
      </w:r>
    </w:p>
    <w:p>
      <w:pPr>
        <w:pStyle w:val="alpha3"/>
        <w:numPr>
          <w:ilvl w:val="0"/>
          <w:numId w:val="10"/>
        </w:numPr>
        <w:ind w:hanging="0" w:start="0"/>
        <w:rPr/>
      </w:pPr>
      <w:r>
        <w:rPr/>
        <w:t>is a member of it and has the right to appoint or remove a majority of its board of directors, or</w:t>
      </w:r>
    </w:p>
    <w:p>
      <w:pPr>
        <w:pStyle w:val="alpha3"/>
        <w:numPr>
          <w:ilvl w:val="0"/>
          <w:numId w:val="10"/>
        </w:numPr>
        <w:ind w:hanging="0" w:start="0"/>
        <w:rPr/>
      </w:pPr>
      <w:r>
        <w:rPr/>
        <w:t>is a member of it and controls alone, pursuant to an agreement with other shareholders or members, a majority of the voting rights in it,</w:t>
      </w:r>
    </w:p>
    <w:p>
      <w:pPr>
        <w:pStyle w:val="Body1"/>
        <w:rPr/>
      </w:pPr>
      <w:r>
        <w:rPr/>
        <w:t>or if it is a subsidiary of a company which is itself a subsidiary of that other company.”</w:t>
      </w:r>
    </w:p>
    <w:p>
      <w:pPr>
        <w:pStyle w:val="SubHead"/>
        <w:rPr/>
      </w:pPr>
      <w:r>
        <w:rPr/>
        <w:t>Significant terms</w:t>
      </w:r>
    </w:p>
    <w:p>
      <w:pPr>
        <w:pStyle w:val="Body"/>
        <w:rPr/>
      </w:pPr>
      <w:r>
        <w:rPr/>
        <w:t>The following terms of the Agreement are significant.</w:t>
      </w:r>
    </w:p>
    <w:p>
      <w:pPr>
        <w:pStyle w:val="Body"/>
        <w:rPr/>
      </w:pPr>
      <w:r>
        <w:rPr>
          <w:b/>
        </w:rPr>
        <w:t>Clause 5.1</w:t>
      </w:r>
      <w:r>
        <w:rPr/>
        <w:t>: the parties agree to work in good faith with the joint venture company towards achieving the objectives of the company in setting up the business-to-business e-commerce trading platform for the non-ferrous metals markets.</w:t>
      </w:r>
    </w:p>
    <w:p>
      <w:pPr>
        <w:pStyle w:val="Body"/>
        <w:rPr/>
      </w:pPr>
      <w:r>
        <w:rPr>
          <w:b/>
        </w:rPr>
        <w:t>Clause 5.3</w:t>
      </w:r>
      <w:r>
        <w:rPr/>
        <w:t>: there is to be a licence back from the joint venture company to MG of the “Existing Technology” (i.e. that used in the MITS system). The licence itself was executed on completion of the transaction on 17 March 2000 and is perpetual and royalty-free.</w:t>
      </w:r>
    </w:p>
    <w:p>
      <w:pPr>
        <w:pStyle w:val="Body"/>
        <w:rPr/>
      </w:pPr>
      <w:r>
        <w:rPr>
          <w:b/>
        </w:rPr>
        <w:t>Clauses 5.4 and 5.5</w:t>
      </w:r>
      <w:r>
        <w:rPr/>
        <w:t>: MG agrees, from the date of the launch of the e-commerce platform, to use its reasonable endeavours to promote the business of the joint venture company and to encourage customers of the MG Group to place their trading transactions with the joint venture company. MG continues to be able to use its existing online futures trading system to meet its reasonable requirements.</w:t>
      </w:r>
    </w:p>
    <w:p>
      <w:pPr>
        <w:pStyle w:val="Body"/>
        <w:rPr/>
      </w:pPr>
      <w:r>
        <w:rPr>
          <w:b/>
        </w:rPr>
        <w:t>Clause 12.2</w:t>
      </w:r>
      <w:r>
        <w:rPr/>
        <w:t xml:space="preserve">: if any party and its Group Companies cease to hold shares in the company, that party is no longer bound by the terms of the Agreement, but remains liable in respect of any breach before that date. However, under </w:t>
      </w:r>
      <w:r>
        <w:rPr>
          <w:b/>
        </w:rPr>
        <w:t>Clause 7.5</w:t>
      </w:r>
      <w:r>
        <w:rPr/>
        <w:t xml:space="preserve"> if a Shareholder ceases to hold shares and to be the beneficial owner of them then it is no longer a party to the Agreement and the Agreement no longer applies to it save for Clauses 14 (Confidentiality), 17 (Costs) and 22 (Governing Law and Jurisdiction). This mismatch probably means Clauses 14, 17 and 22 continue to apply even after a party and its Group Companies cease to hold shares in the company.</w:t>
      </w:r>
    </w:p>
    <w:p>
      <w:pPr>
        <w:pStyle w:val="Body"/>
        <w:rPr/>
      </w:pPr>
      <w:r>
        <w:rPr>
          <w:b/>
        </w:rPr>
        <w:t>Clause 14</w:t>
      </w:r>
      <w:r>
        <w:rPr/>
        <w:t>: each party will treat as confidential any information provided to it by any of the others. The parties also agree to maintain “the utmost confidentiality regarding this agreement”. MG will have breached this last obligation by showing the agreement to Enron.</w:t>
      </w:r>
    </w:p>
    <w:p>
      <w:pPr>
        <w:pStyle w:val="Body"/>
        <w:rPr/>
      </w:pPr>
      <w:r>
        <w:rPr>
          <w:b/>
        </w:rPr>
        <w:t>Clause 15</w:t>
      </w:r>
      <w:r>
        <w:rPr/>
        <w:t xml:space="preserve">: there is a non-competition provision which lasts for the period ending on the earliest of (i) the date a party (and its Group Companies and Related Partners or Related Companies) ceases to be a member of the joint venture company; (ii) ten years after the date of the agreement; and (iii) the date the Agreement terminates. During this period MG is restrained from competing, directly or indirectly, with the business of the joint venture company. </w:t>
      </w:r>
    </w:p>
    <w:p>
      <w:pPr>
        <w:pStyle w:val="Body"/>
        <w:rPr/>
      </w:pPr>
      <w:r>
        <w:rPr/>
        <w:t>The drafting of the non-compete is such that, as stated above, it applies to a party for so long as it or any of its Group Companies, Related Partners or Related Companies is a member (i.e. a registered shareholder) of the Company. The scope of the obligation is, however, limited to the party itself and (in the case of a corporate member such as MG) its Subsidiaries - the non-compete obligation does not go up the corporate chain for a corporate member. On the face of it, therefore, following Project Merlin, the non-compete would not extend at all to Enron companies outside the MG group. That said, the obligation on MG is not to compete directly or indirectly. For that reason, as we discussed, there could well be an argument in relation to MG indirectly competing with the joint venture, in circumstances where the competing activity actually took place in another Enron subsidiary. We did not, therefore, think it safe to place too much weight on this facet of the drafting.</w:t>
      </w:r>
    </w:p>
    <w:p>
      <w:pPr>
        <w:pStyle w:val="Body"/>
        <w:rPr/>
      </w:pPr>
      <w:r>
        <w:rPr/>
        <w:t>It is not entirely clear that the non-compete is enforceable, as its 10 year duration may be too long. The point is not, however, clear and you should not rely on it in deciding upon your course of action.</w:t>
      </w:r>
    </w:p>
    <w:p>
      <w:pPr>
        <w:pStyle w:val="Body"/>
        <w:rPr/>
      </w:pPr>
      <w:r>
        <w:rPr/>
        <w:t>It is also worth recording the fact that we have all struggled to be clear as to whether Enron’s proposals for on-line metals trading would in any event breach the non-compete. The understanding we have gained is that the joint venture is intended to promote an exchange (“many to many”). By contrast, Enron is looking to a “many to one” model. Whatever about the intention, the language of the Agreement is not sufficiently clear on this point to conclude that Enron would be safe from attack.</w:t>
      </w:r>
    </w:p>
    <w:p>
      <w:pPr>
        <w:pStyle w:val="Body"/>
        <w:rPr/>
      </w:pPr>
      <w:r>
        <w:rPr/>
        <w:t>You asked for our view on whether it was usual in the UK for partners in joint venture companies to be restrained from competing with the joint venture company only during their active participation in theventure. It is certainly not unusual to find non-competes stated to last for the duration of the relevant party’s investment in the joint venture. There is no real practice, however (at least not in the UK) of limiting the non-compete to the period of any active participation by that party. In any event it seems that European practice provides for more limited restrictions than those found in US-style agreements.</w:t>
      </w:r>
    </w:p>
    <w:p>
      <w:pPr>
        <w:pStyle w:val="Body"/>
        <w:rPr/>
      </w:pPr>
      <w:r>
        <w:rPr>
          <w:b/>
        </w:rPr>
        <w:t>Clause 22</w:t>
      </w:r>
      <w:r>
        <w:rPr/>
        <w:t>: the Agreement is governed by English law with a non-exclusive submission to the High Court.</w:t>
      </w:r>
    </w:p>
    <w:p>
      <w:pPr>
        <w:pStyle w:val="SubHead"/>
        <w:rPr/>
      </w:pPr>
      <w:r>
        <w:rPr/>
        <w:t>Transfer mechanism</w:t>
      </w:r>
    </w:p>
    <w:p>
      <w:pPr>
        <w:pStyle w:val="Body"/>
        <w:rPr/>
      </w:pPr>
      <w:r>
        <w:rPr/>
        <w:t>The mechanism for share transfer is set out in Article 7 (as amended). The aim of the proposed transfer by MG is for MG to avoid the operation of the restrictive covenant in clause 15 of the Agreement so as to allow MG and Enron to compete with eMetra.</w:t>
      </w:r>
    </w:p>
    <w:p>
      <w:pPr>
        <w:pStyle w:val="Body"/>
        <w:rPr/>
      </w:pPr>
      <w:r>
        <w:rPr/>
        <w:t>Under Clause 7 of the Agreement each of the Shareholders may transfer all (but not only some) of its Ordinary Shares and/or Preference Shares pursuant to Article 7 of the Articles. Under Clause 4.2(c) MG is owner of “C” Ordinary Shares. Under Clause 7.2 where the transfer is to a Group Company or Related Partner or Related Company of that shareholder further obligations arise. We assume MG will transfer its shares to a company not related to Enron or MG - i.e. to a company in relation to which no member of the Enron or MG groups would be a “Group Company” (as defined above).</w:t>
      </w:r>
    </w:p>
    <w:p>
      <w:pPr>
        <w:pStyle w:val="Body"/>
        <w:rPr/>
      </w:pPr>
      <w:r>
        <w:rPr/>
        <w:t>By Article 7(d) MG may transfer its shares in the joint venture company to a third party by following the mechanism of using a Transfer Notice and offering the Prescribed Price.</w:t>
      </w:r>
    </w:p>
    <w:p>
      <w:pPr>
        <w:pStyle w:val="Body"/>
        <w:rPr/>
      </w:pPr>
      <w:r>
        <w:rPr/>
        <w:t>By Clause 7.2 of the Agreement the parties to the Agreement have to procure that any transferee of shares in the joint venture company must enter into an agreement with the other parties in the form substantially set out in Schedule 1. This provides, by Clause 2 in that Schedule, that the New Party undertakes with the existing parties to comply with the provisions of the Agreement as if it had been a party to the Agreement in place of the transferor. This will include certain obligations discussed below.</w:t>
      </w:r>
    </w:p>
    <w:p>
      <w:pPr>
        <w:pStyle w:val="Body"/>
        <w:rPr/>
      </w:pPr>
      <w:r>
        <w:rPr/>
        <w:t>Clause 7 and Article 7 allow a transfer to a third party, including to Enron group companies and affiliates as well as to unaffiliated third parties.</w:t>
      </w:r>
    </w:p>
    <w:p>
      <w:pPr>
        <w:pStyle w:val="SubHead"/>
        <w:rPr/>
      </w:pPr>
      <w:r>
        <w:rPr/>
        <w:t>Consequences of a transfer of MG’s shares</w:t>
      </w:r>
    </w:p>
    <w:p>
      <w:pPr>
        <w:pStyle w:val="Body"/>
        <w:rPr/>
      </w:pPr>
      <w:r>
        <w:rPr>
          <w:b/>
        </w:rPr>
        <w:t>Confidentiality</w:t>
      </w:r>
      <w:r>
        <w:rPr/>
        <w:t>: if MG transfers its shares to an unaffiliated third party, it will still be bound by the confidentiality obligations of Clause 14. Any breach would be actionable by ICG. Also actionable is the breach by disclosure to Enron as part of due diligence. It is difficult to assess liability for that breach, but we do not think it should be significant.</w:t>
      </w:r>
    </w:p>
    <w:p>
      <w:pPr>
        <w:pStyle w:val="Body"/>
        <w:rPr/>
      </w:pPr>
      <w:r>
        <w:rPr>
          <w:b/>
        </w:rPr>
        <w:t>Restrictive covenant</w:t>
      </w:r>
      <w:r>
        <w:rPr/>
        <w:t>: Once MG has disposed of its shareholding other than to a Group Company the restrictive covenant under Clause 15 will, on its face, no longer apply (by Clauses 15.1(i) and 12(2)). The covenant will, however, apply to the transferee and its subsidiaries once it assumes the obligations of the Agreement. The transferee should be as far removed from both Enron and MG as possible. There have been cases in the UK where the courts have looked through a series of inter-corporate arrangements to prevent companies escaping restrictions in distributorship agreements. This should not help ICG in this case where the transferee will be independent of MG and Enron and is not in a partnership or other arrangement with it relating to the Agreement. That will be made clear if the transferee is free to pursue whatever strategy it wishes with the shareholding. ICG could in any event claim that there has been a breach if MG or Enron competes with eMetra, but we believe that the point should, on balance, be resolved in MG’s and Enron’s favour.</w:t>
      </w:r>
    </w:p>
    <w:p>
      <w:pPr>
        <w:pStyle w:val="Body"/>
        <w:rPr/>
      </w:pPr>
      <w:r>
        <w:rPr/>
        <w:t>You suggested that ICG might well take some form of action against MG or Enron, either in the UK or the US. Certainly, the likelihood of that increases where the stakes become higher; the proposed introduction of further partners into the joint venture does not help in that respect.</w:t>
      </w:r>
    </w:p>
    <w:p>
      <w:pPr>
        <w:pStyle w:val="Body"/>
        <w:rPr/>
      </w:pPr>
      <w:r>
        <w:rPr/>
        <w:t>You asked us whether there is a difference between the transfer of MG’s shares (i) to a company which is affiliated to Enron Corp., but not its subsidiary and (ii) to a company wholly unaffiliated to Enron Corp. On the face of the Agreement, a transfer to either will terminate MG’s obligations under the Agreement (other than under Clauses 14, 17 and 22, as described above). Nevertheless, for the reason stated above (i.e. the risk of the “look through” argument), the transfer to a wholly unaffiliated entity is much safer. Remember, too, that the transferee must not compete “directly or indirectly” with the joint venture company. It would be easier to argue indirect competition by virtue of Enron’s activities if there were some connection between Enron and the transferee. In any event, choosing an independent entity may also reduce the risk of litigation if the transferee were perceived by the potential claimants as genuinely independent of Enron.</w:t>
      </w:r>
    </w:p>
    <w:p>
      <w:pPr>
        <w:pStyle w:val="Body"/>
        <w:rPr/>
      </w:pPr>
      <w:r>
        <w:rPr>
          <w:b/>
        </w:rPr>
        <w:t>Clause 5.5</w:t>
      </w:r>
      <w:r>
        <w:rPr/>
        <w:t>: under Clause 5.5, the transferee will have to “use its reasonable endeavours to promote the business of the company”. The clause in its original form (i.e. before amendment by the Supplemental Agreement) required MG to “encourage the customers of the MG Group to place through the joint venture company all trading transactions, consistent with its obligations to customers and its legal and regulatory obligations”. We believe that the intent of Clause 2 of the Agreement is that the term “MG Group” in this obligation is replaced by that of the transferee. It would be odd if the transferee were obliged to encourage customers of the MG Group to place their business through the joint venture company.</w:t>
      </w:r>
    </w:p>
    <w:p>
      <w:pPr>
        <w:pStyle w:val="Body"/>
        <w:rPr/>
      </w:pPr>
      <w:r>
        <w:rPr/>
        <w:t>The good faith obligation in Clause 5.1 will no longer bind MG, but will bind the transferee.</w:t>
      </w:r>
    </w:p>
    <w:p>
      <w:pPr>
        <w:pStyle w:val="Body"/>
        <w:rPr/>
      </w:pPr>
      <w:r>
        <w:rPr/>
        <w:t>The licence back to MG should survive the transfer of MG’s shares.</w:t>
      </w:r>
    </w:p>
    <w:p>
      <w:pPr>
        <w:pStyle w:val="SubHead"/>
        <w:rPr/>
      </w:pPr>
      <w:r>
        <w:rPr/>
        <w:t>Continuing under the Agreement without transfer</w:t>
      </w:r>
    </w:p>
    <w:p>
      <w:pPr>
        <w:pStyle w:val="Body"/>
        <w:rPr/>
      </w:pPr>
      <w:r>
        <w:rPr>
          <w:rFonts w:eastAsia="Arial"/>
        </w:rPr>
        <w:t xml:space="preserve"> </w:t>
      </w:r>
      <w:r>
        <w:rPr/>
        <w:t>You also asked us whether it would be possible to leave things as they are while Enron continues to develop it is own metals trading platform. The thought would be that, if ever ICG or any other relevant party took the view that MG were breaching the non-compete by virtue of Enron’s activities, then the transfer of MG’s interest outside the Enron Group could take place at that time. The difficulty with this suggestion is that it does not deal fully with the possibility of breach by MG prior to its transfer, particularly of Clauses 5.5, 14 and 15 of the Agreement. Enron could be liable for inducing breach of contract by MG and MG could itself be liable for damages. We do not, therefore, recommend this course of action.</w:t>
      </w:r>
    </w:p>
    <w:p>
      <w:pPr>
        <w:pStyle w:val="Sincerely"/>
        <w:rPr/>
      </w:pPr>
      <w:bookmarkStart w:id="16" w:name="sincerely"/>
      <w:r>
        <w:rPr/>
        <w:t>Yours sincerely</w:t>
      </w:r>
      <w:bookmarkEnd w:id="16"/>
    </w:p>
    <w:p>
      <w:pPr>
        <w:pStyle w:val="Normal"/>
        <w:rPr/>
      </w:pPr>
      <w:r>
        <w:rPr/>
      </w:r>
    </w:p>
    <w:p>
      <w:pPr>
        <w:pStyle w:val="Normal"/>
        <w:keepNext w:val="true"/>
        <w:rPr/>
      </w:pPr>
      <w:bookmarkStart w:id="17" w:name="From"/>
      <w:r>
        <w:rPr/>
        <w:t>Ian Karet</w:t>
      </w:r>
      <w:bookmarkEnd w:id="17"/>
      <w:r>
        <w:rPr/>
        <w:t xml:space="preserve"> and John Goodwin</w:t>
      </w:r>
    </w:p>
    <w:p>
      <w:pPr>
        <w:pStyle w:val="Normal"/>
        <w:rPr/>
      </w:pPr>
      <w:r>
        <w:rPr/>
      </w:r>
    </w:p>
    <w:p>
      <w:pPr>
        <w:pStyle w:val="Normal"/>
        <w:tabs>
          <w:tab w:val="clear" w:pos="2041"/>
          <w:tab w:val="left" w:pos="720" w:leader="none"/>
        </w:tabs>
        <w:rPr/>
      </w:pPr>
      <w:r>
        <w:rPr/>
        <w:t>cc:</w:t>
        <w:tab/>
        <w:t>lance.schuler-legal@enron.com</w:t>
      </w:r>
    </w:p>
    <w:sectPr>
      <w:type w:val="continuous"/>
      <w:pgSz w:w="11906" w:h="16838"/>
      <w:pgMar w:left="1440" w:right="1412" w:gutter="0" w:header="720" w:top="1701" w:footer="1871" w:bottom="1927"/>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"Document Number"</w:instrText>
    </w:r>
    <w:r>
      <w:rPr>
        <w:sz w:val="16"/>
      </w:rPr>
      <w:fldChar w:fldCharType="separate"/>
    </w:r>
    <w:r>
      <w:rPr>
        <w:sz w:val="16"/>
      </w:rPr>
      <w:t>A00696104</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0.3</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30 May 2000</w:t>
    </w:r>
    <w:r>
      <w:rPr>
        <w:sz w:val="16"/>
      </w:rPr>
      <w:fldChar w:fldCharType="end"/>
    </w:r>
  </w:p>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91135" cy="124460"/>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244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5.05pt;height:9.8pt;mso-wrap-distance-left:0pt;mso-wrap-distance-right:0pt;mso-wrap-distance-top:0pt;mso-wrap-distance-bottom:0pt;margin-top:0.05pt;mso-position-vertical-relative:text;margin-left:218.8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596"/>
      <w:rPr>
        <w:sz w:val="16"/>
      </w:rPr>
    </w:pPr>
    <w:r>
      <w:rPr>
        <w:sz w:val="16"/>
      </w:rPr>
      <w:fldChar w:fldCharType="begin"/>
    </w:r>
    <w:r>
      <w:rPr>
        <w:sz w:val="16"/>
      </w:rPr>
      <w:instrText xml:space="preserve"> DOCPROPERTY "Document Number"</w:instrText>
    </w:r>
    <w:r>
      <w:rPr>
        <w:sz w:val="16"/>
      </w:rPr>
      <w:fldChar w:fldCharType="separate"/>
    </w:r>
    <w:r>
      <w:rPr>
        <w:sz w:val="16"/>
      </w:rPr>
      <w:t>A00696104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041"/>
        </w:tabs>
        <w:ind w:start="2041" w:hanging="794"/>
      </w:pPr>
    </w:lvl>
  </w:abstractNum>
  <w:abstractNum w:abstractNumId="3">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20"/>
        <w:i w:val="false"/>
        <w:b/>
        <w:rFonts w:ascii="Arial" w:hAnsi="Arial" w:cs="Arial"/>
      </w:rPr>
    </w:lvl>
    <w:lvl w:ilvl="2">
      <w:start w:val="1"/>
      <w:numFmt w:val="decimal"/>
      <w:lvlText w:val="%1.%2.%3"/>
      <w:lvlJc w:val="start"/>
      <w:pPr>
        <w:tabs>
          <w:tab w:val="num" w:pos="2041"/>
        </w:tabs>
        <w:ind w:start="2041" w:hanging="794"/>
      </w:pPr>
      <w:rPr>
        <w:sz w:val="17"/>
        <w:i w:val="false"/>
        <w:b/>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4">
    <w:lvl w:ilvl="0">
      <w:start w:val="1"/>
      <w:numFmt w:val="lowerRoman"/>
      <w:lvlText w:val="(%1)"/>
      <w:lvlJc w:val="start"/>
      <w:pPr>
        <w:tabs>
          <w:tab w:val="num" w:pos="1247"/>
        </w:tabs>
        <w:ind w:start="1247" w:hanging="68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247"/>
        </w:tabs>
        <w:ind w:start="1247" w:hanging="680"/>
      </w:pPr>
      <w:rPr>
        <w:rFonts w:ascii="Symbol" w:hAnsi="Symbol" w:cs="Symbol" w:hint="default"/>
      </w:rPr>
    </w:lvl>
  </w:abstractNum>
  <w:abstractNum w:abstractNumId="7">
    <w:lvl w:ilvl="0">
      <w:start w:val="1"/>
      <w:numFmt w:val="decimal"/>
      <w:lvlText w:val="(%1)"/>
      <w:lvlJc w:val="start"/>
      <w:pPr>
        <w:tabs>
          <w:tab w:val="num" w:pos="567"/>
        </w:tabs>
        <w:ind w:start="567" w:hanging="567"/>
      </w:pPr>
      <w:rPr>
        <w:sz w:val="20"/>
        <w:i w:val="false"/>
        <w:b/>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Letter"/>
      <w:lvlText w:val="(%1)"/>
      <w:lvlJc w:val="start"/>
      <w:pPr>
        <w:tabs>
          <w:tab w:val="num" w:pos="1247"/>
        </w:tabs>
        <w:ind w:start="1247" w:hanging="680"/>
      </w:pPr>
    </w:lvl>
  </w:abstractNum>
  <w:abstractNum w:abstractNumId="10">
    <w:lvl w:ilvl="0">
      <w:start w:val="1"/>
      <w:numFmt w:val="lowerLetter"/>
      <w:lvlText w:val="(%1)"/>
      <w:lvlJc w:val="start"/>
      <w:pPr>
        <w:tabs>
          <w:tab w:val="num" w:pos="2041"/>
        </w:tabs>
        <w:ind w:start="2041" w:hanging="794"/>
      </w:pPr>
    </w:lvl>
  </w:abstractNum>
  <w:abstractNum w:abstractNumId="11">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12">
    <w:lvl w:ilvl="0">
      <w:start w:val="1"/>
      <w:numFmt w:val="lowerLetter"/>
      <w:lvlText w:val="(%1)"/>
      <w:lvlJc w:val="start"/>
      <w:pPr>
        <w:tabs>
          <w:tab w:val="num" w:pos="567"/>
        </w:tabs>
        <w:ind w:start="567" w:hanging="567"/>
      </w:pPr>
    </w:lvl>
  </w:abstractNum>
  <w:abstractNum w:abstractNumId="13">
    <w:lvl w:ilvl="0">
      <w:start w:val="1"/>
      <w:numFmt w:val="bullet"/>
      <w:lvlText w:val=""/>
      <w:lvlJc w:val="start"/>
      <w:pPr>
        <w:tabs>
          <w:tab w:val="num" w:pos="567"/>
        </w:tabs>
        <w:ind w:start="567" w:hanging="567"/>
      </w:pPr>
      <w:rPr>
        <w:rFonts w:ascii="Symbol" w:hAnsi="Symbol" w:cs="Symbol" w:hint="default"/>
      </w:rPr>
    </w:lvl>
  </w:abstractNum>
  <w:abstractNum w:abstractNumId="14">
    <w:lvl w:ilvl="0">
      <w:start w:val="1"/>
      <w:numFmt w:val="lowerRoman"/>
      <w:lvlText w:val="(%1)"/>
      <w:lvlJc w:val="start"/>
      <w:pPr>
        <w:tabs>
          <w:tab w:val="num" w:pos="720"/>
        </w:tabs>
        <w:ind w:start="567" w:hanging="567"/>
      </w:pPr>
    </w:lvl>
  </w:abstractNum>
  <w:abstractNum w:abstractNumId="15">
    <w:lvl w:ilvl="0">
      <w:start w:val="1"/>
      <w:numFmt w:val="bullet"/>
      <w:lvlText w:val=""/>
      <w:lvlJc w:val="start"/>
      <w:pPr>
        <w:tabs>
          <w:tab w:val="num" w:pos="2041"/>
        </w:tabs>
        <w:ind w:start="2041" w:hanging="79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204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eastAsia="zh-CN" w:bidi="hi-I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Symbol" w:hAnsi="Symbol" w:cs="Symbol"/>
    </w:rPr>
  </w:style>
  <w:style w:type="character" w:styleId="WW8Num2z0">
    <w:name w:val="WW8Num2z0"/>
    <w:qFormat/>
    <w:rPr>
      <w:b/>
      <w:i w:val="false"/>
    </w:rPr>
  </w:style>
  <w:style w:type="character" w:styleId="WW8Num2z1">
    <w:name w:val="WW8Num2z1"/>
    <w:qFormat/>
    <w:rPr/>
  </w:style>
  <w:style w:type="character" w:styleId="WW8Num2z4">
    <w:name w:val="WW8Num2z4"/>
    <w:qFormat/>
    <w:rPr>
      <w:rFonts w:ascii="Symbol" w:hAnsi="Symbol" w:cs="Symbol"/>
    </w:rPr>
  </w:style>
  <w:style w:type="character" w:styleId="WW8Num2z5">
    <w:name w:val="WW8Num2z5"/>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Arial" w:hAnsi="Arial" w:cs="Arial"/>
      <w:b/>
      <w:i w:val="false"/>
      <w:sz w:val="20"/>
    </w:rPr>
  </w:style>
  <w:style w:type="character" w:styleId="WW8Num5z2">
    <w:name w:val="WW8Num5z2"/>
    <w:qFormat/>
    <w:rPr>
      <w:b/>
      <w:i w:val="false"/>
      <w:sz w:val="17"/>
    </w:rPr>
  </w:style>
  <w:style w:type="character" w:styleId="WW8Num6z0">
    <w:name w:val="WW8Num6z0"/>
    <w:qFormat/>
    <w:rPr>
      <w:rFonts w:ascii="Arial" w:hAnsi="Arial" w:cs="Arial"/>
      <w:b/>
      <w:i w:val="false"/>
      <w:sz w:val="22"/>
    </w:rPr>
  </w:style>
  <w:style w:type="character" w:styleId="WW8Num6z1">
    <w:name w:val="WW8Num6z1"/>
    <w:qFormat/>
    <w:rPr>
      <w:rFonts w:ascii="Arial" w:hAnsi="Arial" w:cs="Arial"/>
      <w:b/>
      <w:i w:val="false"/>
      <w:sz w:val="19"/>
    </w:rPr>
  </w:style>
  <w:style w:type="character" w:styleId="WW8Num6z2">
    <w:name w:val="WW8Num6z2"/>
    <w:qFormat/>
    <w:rPr>
      <w:rFonts w:ascii="Arial" w:hAnsi="Arial" w:cs="Arial"/>
      <w:b/>
      <w:i w:val="false"/>
      <w:sz w:val="18"/>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b/>
      <w:i w:val="false"/>
    </w:rPr>
  </w:style>
  <w:style w:type="character" w:styleId="WW8Num12z1">
    <w:name w:val="WW8Num12z1"/>
    <w:qFormat/>
    <w:rPr/>
  </w:style>
  <w:style w:type="character" w:styleId="WW8Num12z3">
    <w:name w:val="WW8Num12z3"/>
    <w:qFormat/>
    <w:rPr>
      <w:rFonts w:ascii="Symbol" w:hAnsi="Symbol" w:cs="Symbol"/>
    </w:rPr>
  </w:style>
  <w:style w:type="character" w:styleId="WW8Num12z5">
    <w:name w:val="WW8Num12z5"/>
    <w:qFormat/>
    <w:rPr>
      <w:rFonts w:ascii="Wingdings" w:hAnsi="Wingdings" w:cs="Wingdings"/>
    </w:rPr>
  </w:style>
  <w:style w:type="character" w:styleId="WW8Num13z0">
    <w:name w:val="WW8Num13z0"/>
    <w:qFormat/>
    <w:rPr>
      <w:b/>
      <w:i w:val="false"/>
      <w:sz w:val="20"/>
    </w:rPr>
  </w:style>
  <w:style w:type="character" w:styleId="WW8Num17z0">
    <w:name w:val="WW8Num17z0"/>
    <w:qFormat/>
    <w:rPr>
      <w:rFonts w:ascii="Arial" w:hAnsi="Arial" w:cs="Arial"/>
      <w:b/>
      <w:i w:val="false"/>
      <w:sz w:val="20"/>
    </w:rPr>
  </w:style>
  <w:style w:type="character" w:styleId="WW8Num17z2">
    <w:name w:val="WW8Num17z2"/>
    <w:qFormat/>
    <w:rPr>
      <w:b/>
      <w:i w:val="false"/>
      <w:sz w:val="17"/>
    </w:rPr>
  </w:style>
  <w:style w:type="character" w:styleId="WW8Num20z0">
    <w:name w:val="WW8Num20z0"/>
    <w:qFormat/>
    <w:rPr>
      <w:rFonts w:ascii="Symbol" w:hAnsi="Symbol" w:cs="Symbol"/>
    </w:rPr>
  </w:style>
  <w:style w:type="character" w:styleId="WW8Num22z0">
    <w:name w:val="WW8Num22z0"/>
    <w:qFormat/>
    <w:rPr>
      <w:b/>
      <w:i w:val="false"/>
    </w:rPr>
  </w:style>
  <w:style w:type="character" w:styleId="WW8Num22z1">
    <w:name w:val="WW8Num22z1"/>
    <w:qFormat/>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Arial" w:hAnsi="Arial" w:cs="Arial"/>
      <w:b/>
      <w:i w:val="false"/>
      <w:sz w:val="20"/>
    </w:rPr>
  </w:style>
  <w:style w:type="character" w:styleId="WW8Num23z1">
    <w:name w:val="WW8Num23z1"/>
    <w:qFormat/>
    <w:rPr>
      <w:rFonts w:ascii="Arial" w:hAnsi="Arial" w:cs="Arial"/>
      <w:b/>
      <w:i w:val="false"/>
      <w:sz w:val="18"/>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b w:val="false"/>
      <w:i w:val="false"/>
    </w:rPr>
  </w:style>
  <w:style w:type="character" w:styleId="WW8Num31z0">
    <w:name w:val="WW8Num31z0"/>
    <w:qFormat/>
    <w:rPr>
      <w:rFonts w:ascii="Symbol" w:hAnsi="Symbol" w:cs="Symbol"/>
    </w:rPr>
  </w:style>
  <w:style w:type="character" w:styleId="WW8Num32z0">
    <w:name w:val="WW8Num32z0"/>
    <w:qFormat/>
    <w:rPr>
      <w:rFonts w:ascii="Arial" w:hAnsi="Arial" w:cs="Arial"/>
      <w:b/>
      <w:i w:val="false"/>
      <w:sz w:val="20"/>
    </w:rPr>
  </w:style>
  <w:style w:type="character" w:styleId="WW8Num32z1">
    <w:name w:val="WW8Num32z1"/>
    <w:qFormat/>
    <w:rPr>
      <w:rFonts w:ascii="Arial" w:hAnsi="Arial" w:cs="Arial"/>
      <w:b/>
      <w:i w:val="false"/>
      <w:sz w:val="18"/>
    </w:rPr>
  </w:style>
  <w:style w:type="character" w:styleId="WW8Num32z2">
    <w:name w:val="WW8Num32z2"/>
    <w:qFormat/>
    <w:rPr>
      <w:rFonts w:ascii="Arial" w:hAnsi="Arial" w:cs="Arial"/>
      <w:sz w:val="18"/>
    </w:rPr>
  </w:style>
  <w:style w:type="character" w:styleId="WW8Num32z3">
    <w:name w:val="WW8Num32z3"/>
    <w:qFormat/>
    <w:rPr>
      <w:rFonts w:ascii="Arial" w:hAnsi="Arial" w:cs="Arial"/>
      <w:b w:val="false"/>
      <w:i w:val="false"/>
      <w:sz w:val="18"/>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b/>
      <w:i w:val="false"/>
    </w:rPr>
  </w:style>
  <w:style w:type="character" w:styleId="WW8Num46z1">
    <w:name w:val="WW8Num46z1"/>
    <w:qFormat/>
    <w:rPr/>
  </w:style>
  <w:style w:type="character" w:styleId="WW8Num46z4">
    <w:name w:val="WW8Num46z4"/>
    <w:qFormat/>
    <w:rPr>
      <w:rFonts w:ascii="Symbol" w:hAnsi="Symbol" w:cs="Symbol"/>
    </w:rPr>
  </w:style>
  <w:style w:type="character" w:styleId="WW8Num46z5">
    <w:name w:val="WW8Num46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2"/>
      </w:numPr>
      <w:spacing w:before="0" w:after="140"/>
      <w:jc w:val="both"/>
    </w:pPr>
    <w:rPr/>
  </w:style>
  <w:style w:type="paragraph" w:styleId="alpha2">
    <w:name w:val="alpha 2"/>
    <w:basedOn w:val="Normal"/>
    <w:qFormat/>
    <w:pPr>
      <w:numPr>
        <w:ilvl w:val="0"/>
        <w:numId w:val="9"/>
      </w:numPr>
      <w:spacing w:before="0" w:after="140"/>
      <w:jc w:val="both"/>
    </w:pPr>
    <w:rPr/>
  </w:style>
  <w:style w:type="paragraph" w:styleId="alpha3">
    <w:name w:val="alpha 3"/>
    <w:basedOn w:val="Normal"/>
    <w:qFormat/>
    <w:pPr>
      <w:numPr>
        <w:ilvl w:val="0"/>
        <w:numId w:val="10"/>
      </w:numPr>
      <w:spacing w:before="0" w:after="14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eastAsia="zh-CN" w:bidi="hi-IN"/>
    </w:rPr>
  </w:style>
  <w:style w:type="paragraph" w:styleId="Body1">
    <w:name w:val="Body 1"/>
    <w:basedOn w:val="Body"/>
    <w:qFormat/>
    <w:pPr>
      <w:ind w:hanging="0" w:start="567" w:end="0"/>
    </w:pPr>
    <w:rPr/>
  </w:style>
  <w:style w:type="paragraph" w:styleId="Body2">
    <w:name w:val="Body 2"/>
    <w:basedOn w:val="Body"/>
    <w:qFormat/>
    <w:pPr>
      <w:ind w:hanging="0" w:start="1247" w:end="0"/>
    </w:pPr>
    <w:rPr/>
  </w:style>
  <w:style w:type="paragraph" w:styleId="Body3">
    <w:name w:val="Body 3"/>
    <w:basedOn w:val="Body"/>
    <w:qFormat/>
    <w:pPr>
      <w:ind w:hanging="0" w:start="2041" w:end="0"/>
    </w:pPr>
    <w:rPr/>
  </w:style>
  <w:style w:type="paragraph" w:styleId="Body4">
    <w:name w:val="Body 4"/>
    <w:basedOn w:val="Body"/>
    <w:qFormat/>
    <w:pPr>
      <w:ind w:hanging="0" w:start="2722" w:end="0"/>
    </w:pPr>
    <w:rPr/>
  </w:style>
  <w:style w:type="paragraph" w:styleId="Body5">
    <w:name w:val="Body 5"/>
    <w:basedOn w:val="Body"/>
    <w:qFormat/>
    <w:pPr>
      <w:ind w:hanging="0" w:start="3289" w:end="0"/>
    </w:pPr>
    <w:rPr/>
  </w:style>
  <w:style w:type="paragraph" w:styleId="Body6">
    <w:name w:val="Body 6"/>
    <w:basedOn w:val="Body"/>
    <w:qFormat/>
    <w:pPr>
      <w:ind w:hanging="0" w:start="3969" w:end="0"/>
    </w:pPr>
    <w:rPr/>
  </w:style>
  <w:style w:type="paragraph" w:styleId="Bullet1">
    <w:name w:val="Bullet 1"/>
    <w:basedOn w:val="Normal"/>
    <w:qFormat/>
    <w:pPr>
      <w:numPr>
        <w:ilvl w:val="0"/>
        <w:numId w:val="13"/>
      </w:numPr>
      <w:tabs>
        <w:tab w:val="clear" w:pos="2041"/>
        <w:tab w:val="left" w:pos="567" w:leader="none"/>
      </w:tabs>
      <w:spacing w:before="0" w:after="140"/>
      <w:jc w:val="both"/>
    </w:pPr>
    <w:rPr/>
  </w:style>
  <w:style w:type="paragraph" w:styleId="Bullet2">
    <w:name w:val="Bullet 2"/>
    <w:basedOn w:val="Normal"/>
    <w:qFormat/>
    <w:pPr>
      <w:numPr>
        <w:ilvl w:val="0"/>
        <w:numId w:val="6"/>
      </w:numPr>
      <w:spacing w:before="0" w:after="140"/>
      <w:jc w:val="both"/>
    </w:pPr>
    <w:rPr/>
  </w:style>
  <w:style w:type="paragraph" w:styleId="Bullet3">
    <w:name w:val="Bullet 3"/>
    <w:basedOn w:val="Normal"/>
    <w:qFormat/>
    <w:pPr>
      <w:numPr>
        <w:ilvl w:val="0"/>
        <w:numId w:val="15"/>
      </w:numPr>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spacing w:lineRule="auto" w:line="257" w:before="60" w:after="60"/>
    </w:pPr>
    <w:rPr>
      <w:b/>
    </w:rPr>
  </w:style>
  <w:style w:type="paragraph" w:styleId="HeaderandFooter">
    <w:name w:val="Header and Footer"/>
    <w:basedOn w:val="Normal"/>
    <w:qFormat/>
    <w:pPr>
      <w:suppressLineNumbers/>
      <w:tabs>
        <w:tab w:val="clear" w:pos="2041"/>
        <w:tab w:val="center" w:pos="4986" w:leader="none"/>
        <w:tab w:val="right" w:pos="9972" w:leader="none"/>
      </w:tabs>
    </w:pPr>
    <w:rPr/>
  </w:style>
  <w:style w:type="paragraph" w:styleId="Footer">
    <w:name w:val="footer"/>
    <w:basedOn w:val="Normal"/>
    <w:pPr>
      <w:tabs>
        <w:tab w:val="clear" w:pos="2041"/>
        <w:tab w:val="center" w:pos="4536" w:leader="none"/>
        <w:tab w:val="right" w:pos="9072" w:leader="none"/>
      </w:tabs>
      <w:spacing w:lineRule="auto" w:line="240"/>
    </w:pPr>
    <w:rPr>
      <w:sz w:val="17"/>
    </w:rPr>
  </w:style>
  <w:style w:type="paragraph" w:styleId="FootnoteText">
    <w:name w:val="footnote text"/>
    <w:basedOn w:val="Normal"/>
    <w:pPr>
      <w:keepLines/>
      <w:tabs>
        <w:tab w:val="clear" w:pos="2041"/>
        <w:tab w:val="left" w:pos="737" w:leader="none"/>
      </w:tabs>
      <w:spacing w:before="0" w:after="60"/>
      <w:ind w:hanging="170" w:start="737" w:end="851"/>
      <w:jc w:val="both"/>
    </w:pPr>
    <w:rPr>
      <w:sz w:val="16"/>
    </w:rPr>
  </w:style>
  <w:style w:type="paragraph" w:styleId="Head">
    <w:name w:val="Head"/>
    <w:basedOn w:val="Normal"/>
    <w:next w:val="Body"/>
    <w:qFormat/>
    <w:pPr>
      <w:keepNext w:val="true"/>
      <w:keepLines/>
      <w:spacing w:before="140" w:after="0"/>
      <w:jc w:val="both"/>
    </w:pPr>
    <w:rPr>
      <w:b/>
      <w:sz w:val="23"/>
    </w:rPr>
  </w:style>
  <w:style w:type="paragraph" w:styleId="Head1">
    <w:name w:val="Head 1"/>
    <w:basedOn w:val="Normal"/>
    <w:next w:val="Body1"/>
    <w:qFormat/>
    <w:pPr>
      <w:keepNext w:val="true"/>
      <w:keepLines/>
      <w:spacing w:before="140" w:after="0"/>
      <w:ind w:hanging="0" w:start="567" w:end="0"/>
      <w:jc w:val="both"/>
    </w:pPr>
    <w:rPr>
      <w:b/>
      <w:sz w:val="22"/>
    </w:rPr>
  </w:style>
  <w:style w:type="paragraph" w:styleId="Head2">
    <w:name w:val="Head 2"/>
    <w:basedOn w:val="Normal"/>
    <w:next w:val="Body2"/>
    <w:qFormat/>
    <w:pPr>
      <w:keepNext w:val="true"/>
      <w:keepLines/>
      <w:spacing w:before="140" w:after="0"/>
      <w:ind w:hanging="0" w:start="1247" w:end="0"/>
      <w:jc w:val="both"/>
    </w:pPr>
    <w:rPr>
      <w:b/>
      <w:sz w:val="21"/>
    </w:rPr>
  </w:style>
  <w:style w:type="paragraph" w:styleId="Head3">
    <w:name w:val="Head 3"/>
    <w:basedOn w:val="Normal"/>
    <w:next w:val="Body3"/>
    <w:qFormat/>
    <w:pPr>
      <w:keepNext w:val="true"/>
      <w:keepLines/>
      <w:spacing w:before="140" w:after="0"/>
      <w:ind w:hanging="0" w:start="2041" w:end="0"/>
      <w:jc w:val="both"/>
    </w:pPr>
    <w:rPr>
      <w:b/>
    </w:rPr>
  </w:style>
  <w:style w:type="paragraph" w:styleId="Header">
    <w:name w:val="header"/>
    <w:basedOn w:val="Normal"/>
    <w:pPr>
      <w:tabs>
        <w:tab w:val="clear" w:pos="2041"/>
        <w:tab w:val="center" w:pos="4536" w:leader="none"/>
        <w:tab w:val="right" w:pos="9072" w:leader="none"/>
      </w:tabs>
      <w:spacing w:lineRule="auto" w:line="240"/>
    </w:pPr>
    <w:rPr>
      <w:sz w:val="19"/>
    </w:rPr>
  </w:style>
  <w:style w:type="paragraph" w:styleId="Level1">
    <w:name w:val="Level 1"/>
    <w:basedOn w:val="Normal"/>
    <w:qFormat/>
    <w:pPr>
      <w:numPr>
        <w:ilvl w:val="0"/>
        <w:numId w:val="3"/>
      </w:numPr>
      <w:spacing w:before="0" w:after="140"/>
      <w:jc w:val="both"/>
    </w:pPr>
    <w:rPr/>
  </w:style>
  <w:style w:type="paragraph" w:styleId="Level2">
    <w:name w:val="Level 2"/>
    <w:basedOn w:val="Normal"/>
    <w:qFormat/>
    <w:pPr>
      <w:numPr>
        <w:ilvl w:val="0"/>
        <w:numId w:val="3"/>
      </w:numPr>
      <w:spacing w:before="0" w:after="140"/>
      <w:jc w:val="both"/>
    </w:pPr>
    <w:rPr/>
  </w:style>
  <w:style w:type="paragraph" w:styleId="Level3">
    <w:name w:val="Level 3"/>
    <w:basedOn w:val="Normal"/>
    <w:qFormat/>
    <w:pPr>
      <w:numPr>
        <w:ilvl w:val="0"/>
        <w:numId w:val="3"/>
      </w:numPr>
      <w:spacing w:before="0" w:after="140"/>
      <w:jc w:val="both"/>
    </w:pPr>
    <w:rPr/>
  </w:style>
  <w:style w:type="paragraph" w:styleId="Level4">
    <w:name w:val="Level 4"/>
    <w:basedOn w:val="Normal"/>
    <w:qFormat/>
    <w:pPr>
      <w:numPr>
        <w:ilvl w:val="0"/>
        <w:numId w:val="3"/>
      </w:numPr>
      <w:spacing w:before="0" w:after="140"/>
      <w:jc w:val="both"/>
    </w:pPr>
    <w:rPr/>
  </w:style>
  <w:style w:type="paragraph" w:styleId="Level5">
    <w:name w:val="Level 5"/>
    <w:basedOn w:val="Normal"/>
    <w:qFormat/>
    <w:pPr>
      <w:numPr>
        <w:ilvl w:val="0"/>
        <w:numId w:val="3"/>
      </w:numPr>
      <w:spacing w:before="0" w:after="140"/>
      <w:jc w:val="both"/>
    </w:pPr>
    <w:rPr/>
  </w:style>
  <w:style w:type="paragraph" w:styleId="Level6">
    <w:name w:val="Level 6"/>
    <w:basedOn w:val="Normal"/>
    <w:qFormat/>
    <w:pPr>
      <w:numPr>
        <w:ilvl w:val="0"/>
        <w:numId w:val="3"/>
      </w:numPr>
      <w:spacing w:before="0" w:after="140"/>
      <w:jc w:val="both"/>
    </w:pPr>
    <w:rPr/>
  </w:style>
  <w:style w:type="paragraph" w:styleId="Parties">
    <w:name w:val="Parties"/>
    <w:basedOn w:val="Normal"/>
    <w:qFormat/>
    <w:pPr>
      <w:numPr>
        <w:ilvl w:val="0"/>
        <w:numId w:val="7"/>
      </w:numPr>
      <w:spacing w:before="0" w:after="140"/>
      <w:jc w:val="both"/>
    </w:pPr>
    <w:rPr/>
  </w:style>
  <w:style w:type="paragraph" w:styleId="Recitals">
    <w:name w:val="Recitals"/>
    <w:basedOn w:val="Normal"/>
    <w:qFormat/>
    <w:pPr>
      <w:numPr>
        <w:ilvl w:val="0"/>
        <w:numId w:val="11"/>
      </w:numPr>
      <w:tabs>
        <w:tab w:val="clear" w:pos="2041"/>
        <w:tab w:val="left" w:pos="567" w:leader="none"/>
      </w:tabs>
      <w:spacing w:before="0" w:after="140"/>
      <w:jc w:val="both"/>
    </w:pPr>
    <w:rPr/>
  </w:style>
  <w:style w:type="paragraph" w:styleId="roman1">
    <w:name w:val="roman 1"/>
    <w:basedOn w:val="Normal"/>
    <w:qFormat/>
    <w:pPr>
      <w:numPr>
        <w:ilvl w:val="0"/>
        <w:numId w:val="14"/>
      </w:numPr>
      <w:tabs>
        <w:tab w:val="clear" w:pos="2041"/>
        <w:tab w:val="left" w:pos="567" w:leader="none"/>
      </w:tabs>
      <w:spacing w:before="0" w:after="140"/>
      <w:jc w:val="both"/>
    </w:pPr>
    <w:rPr/>
  </w:style>
  <w:style w:type="paragraph" w:styleId="roman2">
    <w:name w:val="roman 2"/>
    <w:basedOn w:val="Normal"/>
    <w:qFormat/>
    <w:pPr>
      <w:numPr>
        <w:ilvl w:val="0"/>
        <w:numId w:val="4"/>
      </w:numPr>
      <w:spacing w:before="0" w:after="140"/>
      <w:jc w:val="both"/>
    </w:pPr>
    <w:rPr/>
  </w:style>
  <w:style w:type="paragraph" w:styleId="roman3">
    <w:name w:val="roman 3"/>
    <w:basedOn w:val="Normal"/>
    <w:qFormat/>
    <w:pPr>
      <w:numPr>
        <w:ilvl w:val="0"/>
        <w:numId w:val="2"/>
      </w:numPr>
      <w:spacing w:before="0" w:after="140"/>
      <w:jc w:val="both"/>
    </w:pPr>
    <w:rPr/>
  </w:style>
  <w:style w:type="paragraph" w:styleId="TableofAuthorities">
    <w:name w:val="Table of Authorities"/>
    <w:basedOn w:val="Normal"/>
    <w:next w:val="Normal"/>
    <w:qFormat/>
    <w:pPr>
      <w:ind w:hanging="200" w:start="200" w:end="0"/>
    </w:pPr>
    <w:rPr/>
  </w:style>
  <w:style w:type="paragraph" w:styleId="Subject">
    <w:name w:val="Subject"/>
    <w:basedOn w:val="Head"/>
    <w:next w:val="Body"/>
    <w:qFormat/>
    <w:pPr>
      <w:spacing w:before="0" w:after="140"/>
    </w:pPr>
    <w:rPr/>
  </w:style>
  <w:style w:type="paragraph" w:styleId="Sincerely">
    <w:name w:val="Sincerely"/>
    <w:basedOn w:val="Normal"/>
    <w:next w:val="Normal"/>
    <w:qFormat/>
    <w:pPr>
      <w:spacing w:before="0" w:after="840"/>
    </w:pPr>
    <w:rPr/>
  </w:style>
  <w:style w:type="paragraph" w:styleId="DocumentMap">
    <w:name w:val="Document Map"/>
    <w:basedOn w:val="Normal"/>
    <w:qFormat/>
    <w:pPr>
      <w:shd w:fill="000080" w:val="clear"/>
    </w:pPr>
    <w:rPr>
      <w:rFonts w:ascii="Tahoma" w:hAnsi="Tahoma" w:cs="Tahoma"/>
    </w:rPr>
  </w:style>
  <w:style w:type="paragraph" w:styleId="SubHead">
    <w:name w:val="SubHead"/>
    <w:basedOn w:val="Normal"/>
    <w:next w:val="Body"/>
    <w:qFormat/>
    <w:pPr>
      <w:keepNext w:val="true"/>
      <w:keepLines/>
      <w:spacing w:before="60" w:after="60"/>
      <w:jc w:val="both"/>
    </w:pPr>
    <w:rPr>
      <w:b/>
      <w:sz w:val="21"/>
    </w:rPr>
  </w:style>
  <w:style w:type="paragraph" w:styleId="Address">
    <w:name w:val="Address"/>
    <w:basedOn w:val="Normal"/>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LONDONLETTER.DOT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2000-05-30T14:25:00Z</dcterms:created>
  <dc:creator>Any Authorised User</dc:creator>
  <dc:description/>
  <dc:language>en-CA</dc:language>
  <cp:lastModifiedBy>Any Authorised User</cp:lastModifiedBy>
  <cp:lastPrinted>2000-05-30T17:15:00Z</cp:lastPrinted>
  <dcterms:modified xsi:type="dcterms:W3CDTF">2000-05-30T14:25:00Z</dcterms:modified>
  <cp:revision>3</cp:revision>
  <dc:subject/>
  <dc:title>Direct line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A00696104</vt:lpwstr>
  </property>
  <property fmtid="{D5CDD505-2E9C-101B-9397-08002B2CF9AE}" pid="3" name="Last Modified">
    <vt:lpwstr>30 May 2000</vt:lpwstr>
  </property>
  <property fmtid="{D5CDD505-2E9C-101B-9397-08002B2CF9AE}" pid="4" name="Template Version">
    <vt:lpwstr>6.2</vt:lpwstr>
  </property>
  <property fmtid="{D5CDD505-2E9C-101B-9397-08002B2CF9AE}" pid="5" name="Version">
    <vt:lpwstr>0.3</vt:lpwstr>
  </property>
</Properties>
</file>