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numPr>
          <w:ilvl w:val="0"/>
          <w:numId w:val="0"/>
        </w:numPr>
        <w:jc w:val="center"/>
        <w:outlineLvl w:val="0"/>
        <w:rPr/>
      </w:pPr>
      <w:r>
        <w:rPr/>
        <w:t xml:space="preserve">INDICATIVE BID FOR PURCHASE OF CAPACITY AND ASSOCIATED ENERGY </w:t>
      </w:r>
    </w:p>
    <w:tbl>
      <w:tblPr>
        <w:tblW w:w="9558" w:type="dxa"/>
        <w:jc w:val="start"/>
        <w:tblInd w:w="0" w:type="dxa"/>
        <w:tblLayout w:type="fixed"/>
        <w:tblCellMar>
          <w:top w:w="0" w:type="dxa"/>
          <w:start w:w="108" w:type="dxa"/>
          <w:bottom w:w="0" w:type="dxa"/>
          <w:end w:w="108" w:type="dxa"/>
        </w:tblCellMar>
      </w:tblPr>
      <w:tblGrid>
        <w:gridCol w:w="2538"/>
        <w:gridCol w:w="7020"/>
      </w:tblGrid>
      <w:tr>
        <w:trPr/>
        <w:tc>
          <w:tcPr>
            <w:tcW w:w="2538" w:type="dxa"/>
            <w:tcBorders/>
          </w:tcPr>
          <w:p>
            <w:pPr>
              <w:pStyle w:val="Normal"/>
              <w:spacing w:before="0" w:after="60"/>
              <w:rPr>
                <w:b/>
                <w:sz w:val="18"/>
              </w:rPr>
            </w:pPr>
            <w:r>
              <w:rPr>
                <w:b/>
                <w:sz w:val="18"/>
              </w:rPr>
              <w:t>Buyer:</w:t>
            </w:r>
          </w:p>
        </w:tc>
        <w:tc>
          <w:tcPr>
            <w:tcW w:w="7020" w:type="dxa"/>
            <w:tcBorders/>
          </w:tcPr>
          <w:p>
            <w:pPr>
              <w:pStyle w:val="Normal"/>
              <w:spacing w:before="0" w:after="60"/>
              <w:rPr>
                <w:sz w:val="18"/>
              </w:rPr>
            </w:pPr>
            <w:r>
              <w:rPr>
                <w:sz w:val="18"/>
              </w:rPr>
              <w:t>Florida Power &amp; Light Company</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Seller:</w:t>
            </w:r>
          </w:p>
        </w:tc>
        <w:tc>
          <w:tcPr>
            <w:tcW w:w="7020" w:type="dxa"/>
            <w:tcBorders/>
          </w:tcPr>
          <w:p>
            <w:pPr>
              <w:pStyle w:val="Normal"/>
              <w:spacing w:before="0" w:after="60"/>
              <w:rPr>
                <w:sz w:val="18"/>
              </w:rPr>
            </w:pPr>
            <w:r>
              <w:rPr>
                <w:sz w:val="18"/>
              </w:rPr>
              <w:t xml:space="preserve">Enron Corporation – Homestead Plant </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Product:</w:t>
            </w:r>
          </w:p>
        </w:tc>
        <w:tc>
          <w:tcPr>
            <w:tcW w:w="7020" w:type="dxa"/>
            <w:tcBorders/>
          </w:tcPr>
          <w:p>
            <w:pPr>
              <w:pStyle w:val="Normal"/>
              <w:spacing w:before="0" w:after="60"/>
              <w:rPr>
                <w:sz w:val="18"/>
              </w:rPr>
            </w:pPr>
            <w:r>
              <w:rPr>
                <w:sz w:val="18"/>
              </w:rPr>
              <w:t>Dual fired (natural gas/oil) unit contingent electric capacity and energy with performance adjustments.</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Term:</w:t>
            </w:r>
          </w:p>
        </w:tc>
        <w:tc>
          <w:tcPr>
            <w:tcW w:w="7020" w:type="dxa"/>
            <w:tcBorders/>
          </w:tcPr>
          <w:p>
            <w:pPr>
              <w:pStyle w:val="Normal"/>
              <w:spacing w:before="0" w:after="60"/>
              <w:rPr>
                <w:sz w:val="18"/>
              </w:rPr>
            </w:pPr>
            <w:r>
              <w:rPr>
                <w:sz w:val="18"/>
              </w:rPr>
              <w:t>37 months starting May 1, 2002.  Delay penalties if COD not acheived by July 1, 2002.</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Quantity/Guaranteed Capacity:</w:t>
            </w:r>
          </w:p>
        </w:tc>
        <w:tc>
          <w:tcPr>
            <w:tcW w:w="7020" w:type="dxa"/>
            <w:tcBorders/>
          </w:tcPr>
          <w:p>
            <w:pPr>
              <w:pStyle w:val="Normal"/>
              <w:spacing w:before="0" w:after="60"/>
              <w:rPr>
                <w:sz w:val="18"/>
              </w:rPr>
            </w:pPr>
            <w:r>
              <w:rPr>
                <w:sz w:val="18"/>
              </w:rPr>
              <w:t>Output from one dual fueled combustion turbine units.</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rHeight w:val="378" w:hRule="atLeast"/>
        </w:trPr>
        <w:tc>
          <w:tcPr>
            <w:tcW w:w="2538" w:type="dxa"/>
            <w:tcBorders/>
          </w:tcPr>
          <w:p>
            <w:pPr>
              <w:pStyle w:val="Normal"/>
              <w:spacing w:before="0" w:after="60"/>
              <w:rPr>
                <w:b/>
                <w:sz w:val="18"/>
              </w:rPr>
            </w:pPr>
            <w:r>
              <w:rPr>
                <w:b/>
                <w:sz w:val="18"/>
              </w:rPr>
              <w:t>Scheduling/Dispatch:</w:t>
            </w:r>
          </w:p>
        </w:tc>
        <w:tc>
          <w:tcPr>
            <w:tcW w:w="7020" w:type="dxa"/>
            <w:tcBorders/>
          </w:tcPr>
          <w:p>
            <w:pPr>
              <w:pStyle w:val="Normal"/>
              <w:spacing w:before="0" w:after="60"/>
              <w:rPr>
                <w:sz w:val="18"/>
              </w:rPr>
            </w:pPr>
            <w:r>
              <w:rPr>
                <w:sz w:val="18"/>
              </w:rPr>
              <w:t>Day ahead prescheduled energy with intra-day flexibility.</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Fixed Payment:</w:t>
            </w:r>
          </w:p>
        </w:tc>
        <w:tc>
          <w:tcPr>
            <w:tcW w:w="7020" w:type="dxa"/>
            <w:tcBorders/>
          </w:tcPr>
          <w:p>
            <w:pPr>
              <w:pStyle w:val="Normal"/>
              <w:spacing w:before="0" w:after="60"/>
              <w:rPr>
                <w:sz w:val="18"/>
              </w:rPr>
            </w:pPr>
            <w:r>
              <w:rPr>
                <w:sz w:val="18"/>
              </w:rPr>
              <w:t>$108 per kw-year for year one, $84 per kw-year for year two and $60 per kw-year for year three and seasonally shaped (i.e., 65% of capacity payment allocated to summer season) with seasonal availability/performance adjustment. Suspended during Force Majeure.</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Energy Charge:</w:t>
            </w:r>
          </w:p>
        </w:tc>
        <w:tc>
          <w:tcPr>
            <w:tcW w:w="7020" w:type="dxa"/>
            <w:tcBorders/>
          </w:tcPr>
          <w:p>
            <w:pPr>
              <w:pStyle w:val="Normal"/>
              <w:spacing w:before="0" w:after="60"/>
              <w:rPr>
                <w:sz w:val="18"/>
              </w:rPr>
            </w:pPr>
            <w:r>
              <w:rPr>
                <w:sz w:val="18"/>
              </w:rPr>
              <w:t>Since Buyer supplies fuel, the Energy Charge will be zero.</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Heat Rate:</w:t>
            </w:r>
          </w:p>
        </w:tc>
        <w:tc>
          <w:tcPr>
            <w:tcW w:w="7020" w:type="dxa"/>
            <w:tcBorders/>
          </w:tcPr>
          <w:p>
            <w:pPr>
              <w:pStyle w:val="Normal"/>
              <w:spacing w:before="0" w:after="60"/>
              <w:rPr>
                <w:sz w:val="18"/>
              </w:rPr>
            </w:pPr>
            <w:r>
              <w:rPr>
                <w:sz w:val="18"/>
              </w:rPr>
              <w:t>Determined by annual test conducted as mutually agreed, with performance adjustment.</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Start up Costs:</w:t>
            </w:r>
          </w:p>
        </w:tc>
        <w:tc>
          <w:tcPr>
            <w:tcW w:w="7020" w:type="dxa"/>
            <w:tcBorders/>
          </w:tcPr>
          <w:p>
            <w:pPr>
              <w:pStyle w:val="Normal"/>
              <w:spacing w:before="0" w:after="60"/>
              <w:rPr>
                <w:sz w:val="18"/>
              </w:rPr>
            </w:pPr>
            <w:r>
              <w:rPr>
                <w:sz w:val="18"/>
              </w:rPr>
              <w:t>$1,500 per start for the first 100 starts and $2,500 per each start above 100 starts on a contract year basis.</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VOM Charge:</w:t>
            </w:r>
          </w:p>
        </w:tc>
        <w:tc>
          <w:tcPr>
            <w:tcW w:w="7020" w:type="dxa"/>
            <w:tcBorders/>
          </w:tcPr>
          <w:p>
            <w:pPr>
              <w:pStyle w:val="Normal"/>
              <w:spacing w:before="0" w:after="60"/>
              <w:rPr>
                <w:sz w:val="18"/>
              </w:rPr>
            </w:pPr>
            <w:r>
              <w:rPr>
                <w:sz w:val="18"/>
              </w:rPr>
              <w:t xml:space="preserve">$1.50 per mwh when using oil and no VOM when burning natural gas. </w:t>
            </w:r>
          </w:p>
        </w:tc>
      </w:tr>
      <w:tr>
        <w:trPr>
          <w:trHeight w:val="80" w:hRule="atLeast"/>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Fuel Supply:</w:t>
            </w:r>
          </w:p>
        </w:tc>
        <w:tc>
          <w:tcPr>
            <w:tcW w:w="7020" w:type="dxa"/>
            <w:tcBorders/>
          </w:tcPr>
          <w:p>
            <w:pPr>
              <w:pStyle w:val="Normal"/>
              <w:spacing w:before="0" w:after="60"/>
              <w:rPr>
                <w:sz w:val="18"/>
              </w:rPr>
            </w:pPr>
            <w:r>
              <w:rPr>
                <w:sz w:val="18"/>
              </w:rPr>
              <w:t>Buyer  to supply fuel via a tolling arrangement.  Seller to arrange for initial oil inventory.  Minimum of 48 hours of oil inventory.</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Delivery Point:</w:t>
            </w:r>
          </w:p>
        </w:tc>
        <w:tc>
          <w:tcPr>
            <w:tcW w:w="7020" w:type="dxa"/>
            <w:tcBorders/>
          </w:tcPr>
          <w:p>
            <w:pPr>
              <w:pStyle w:val="Normal"/>
              <w:spacing w:before="0" w:after="60"/>
              <w:rPr>
                <w:sz w:val="18"/>
              </w:rPr>
            </w:pPr>
            <w:r>
              <w:rPr>
                <w:sz w:val="18"/>
              </w:rPr>
              <w:t>Buyer will accept power at interconnected with FPL.</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Availability Guarantee:</w:t>
            </w:r>
          </w:p>
        </w:tc>
        <w:tc>
          <w:tcPr>
            <w:tcW w:w="7020" w:type="dxa"/>
            <w:tcBorders/>
          </w:tcPr>
          <w:p>
            <w:pPr>
              <w:pStyle w:val="Normal"/>
              <w:spacing w:before="0" w:after="60"/>
              <w:rPr>
                <w:sz w:val="18"/>
              </w:rPr>
            </w:pPr>
            <w:r>
              <w:rPr>
                <w:sz w:val="18"/>
              </w:rPr>
              <w:t>Seasonal on-peak at 97%.</w:t>
            </w:r>
          </w:p>
        </w:tc>
      </w:tr>
      <w:tr>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c>
          <w:tcPr>
            <w:tcW w:w="2538" w:type="dxa"/>
            <w:tcBorders/>
          </w:tcPr>
          <w:p>
            <w:pPr>
              <w:pStyle w:val="Normal"/>
              <w:spacing w:before="0" w:after="60"/>
              <w:rPr>
                <w:b/>
                <w:sz w:val="18"/>
              </w:rPr>
            </w:pPr>
            <w:r>
              <w:rPr>
                <w:b/>
                <w:sz w:val="18"/>
              </w:rPr>
              <w:t>Performance Adjustments:</w:t>
            </w:r>
          </w:p>
        </w:tc>
        <w:tc>
          <w:tcPr>
            <w:tcW w:w="7020" w:type="dxa"/>
            <w:tcBorders/>
          </w:tcPr>
          <w:p>
            <w:pPr>
              <w:pStyle w:val="Header"/>
              <w:tabs>
                <w:tab w:val="clear" w:pos="4320"/>
                <w:tab w:val="clear" w:pos="8640"/>
              </w:tabs>
              <w:spacing w:before="0" w:after="60"/>
              <w:rPr>
                <w:sz w:val="18"/>
              </w:rPr>
            </w:pPr>
            <w:r>
              <w:rPr>
                <w:sz w:val="18"/>
              </w:rPr>
              <w:t>Damages, as mutually agreed, for delay in commercial operations. Fixed Payment adjustment will be 1.5% refund of Fixed Payment per 1% decrease in Availability Guarantee, if below 60% refund is100%. No bonus feature. Downward adjustment should apply during instances when unit is not made available during peak hours and adjustment based upon seasonal performance. No adjustments during periods of Scheduled Maintenance and Force Majeure.</w:t>
            </w:r>
          </w:p>
        </w:tc>
      </w:tr>
      <w:tr>
        <w:trPr>
          <w:trHeight w:val="333" w:hRule="atLeast"/>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rHeight w:val="360" w:hRule="atLeast"/>
        </w:trPr>
        <w:tc>
          <w:tcPr>
            <w:tcW w:w="2538" w:type="dxa"/>
            <w:tcBorders/>
          </w:tcPr>
          <w:p>
            <w:pPr>
              <w:pStyle w:val="Normal"/>
              <w:spacing w:before="0" w:after="60"/>
              <w:rPr>
                <w:b/>
                <w:sz w:val="18"/>
              </w:rPr>
            </w:pPr>
            <w:r>
              <w:rPr>
                <w:b/>
                <w:sz w:val="18"/>
              </w:rPr>
              <w:t>Replacement Energy:</w:t>
            </w:r>
          </w:p>
        </w:tc>
        <w:tc>
          <w:tcPr>
            <w:tcW w:w="7020" w:type="dxa"/>
            <w:tcBorders/>
          </w:tcPr>
          <w:p>
            <w:pPr>
              <w:pStyle w:val="Normal"/>
              <w:spacing w:before="0" w:after="60"/>
              <w:rPr>
                <w:sz w:val="18"/>
              </w:rPr>
            </w:pPr>
            <w:r>
              <w:rPr>
                <w:sz w:val="18"/>
              </w:rPr>
              <w:t>Seller has right to supply during instances when unit is not available and it causes no adverse impact to Buyer.</w:t>
            </w:r>
          </w:p>
        </w:tc>
      </w:tr>
      <w:tr>
        <w:trPr>
          <w:trHeight w:val="333" w:hRule="atLeast"/>
        </w:trPr>
        <w:tc>
          <w:tcPr>
            <w:tcW w:w="2538" w:type="dxa"/>
            <w:tcBorders/>
          </w:tcPr>
          <w:p>
            <w:pPr>
              <w:pStyle w:val="Normal"/>
              <w:snapToGrid w:val="false"/>
              <w:spacing w:before="0" w:after="60"/>
              <w:rPr>
                <w:b/>
                <w:sz w:val="18"/>
              </w:rPr>
            </w:pPr>
            <w:r>
              <w:rPr>
                <w:b/>
                <w:sz w:val="18"/>
              </w:rPr>
            </w:r>
          </w:p>
        </w:tc>
        <w:tc>
          <w:tcPr>
            <w:tcW w:w="7020" w:type="dxa"/>
            <w:tcBorders/>
          </w:tcPr>
          <w:p>
            <w:pPr>
              <w:pStyle w:val="Normal"/>
              <w:snapToGrid w:val="false"/>
              <w:spacing w:before="0" w:after="60"/>
              <w:rPr>
                <w:b/>
                <w:sz w:val="18"/>
              </w:rPr>
            </w:pPr>
            <w:r>
              <w:rPr>
                <w:b/>
                <w:sz w:val="18"/>
              </w:rPr>
            </w:r>
          </w:p>
        </w:tc>
      </w:tr>
      <w:tr>
        <w:trPr>
          <w:trHeight w:val="333" w:hRule="atLeast"/>
        </w:trPr>
        <w:tc>
          <w:tcPr>
            <w:tcW w:w="2538" w:type="dxa"/>
            <w:tcBorders/>
          </w:tcPr>
          <w:p>
            <w:pPr>
              <w:pStyle w:val="Normal"/>
              <w:spacing w:before="0" w:after="60"/>
              <w:rPr>
                <w:b/>
                <w:sz w:val="18"/>
              </w:rPr>
            </w:pPr>
            <w:r>
              <w:rPr>
                <w:b/>
                <w:sz w:val="18"/>
              </w:rPr>
              <w:t>Security:</w:t>
            </w:r>
          </w:p>
        </w:tc>
        <w:tc>
          <w:tcPr>
            <w:tcW w:w="7020" w:type="dxa"/>
            <w:tcBorders/>
          </w:tcPr>
          <w:p>
            <w:pPr>
              <w:pStyle w:val="Normal"/>
              <w:spacing w:before="0" w:after="60"/>
              <w:rPr>
                <w:sz w:val="18"/>
              </w:rPr>
            </w:pPr>
            <w:r>
              <w:rPr>
                <w:sz w:val="18"/>
              </w:rPr>
              <w:t>Seller to provide performance security acceptable to Buyer.</w:t>
            </w:r>
          </w:p>
        </w:tc>
      </w:tr>
    </w:tbl>
    <w:p>
      <w:pPr>
        <w:pStyle w:val="Normal"/>
        <w:rPr>
          <w:sz w:val="18"/>
        </w:rPr>
      </w:pPr>
      <w:r>
        <w:rPr>
          <w:sz w:val="18"/>
        </w:rPr>
      </w:r>
    </w:p>
    <w:sectPr>
      <w:headerReference w:type="default" r:id="rId2"/>
      <w:footerReference w:type="default" r:id="rId3"/>
      <w:type w:val="nextPage"/>
      <w:pgSz w:w="12240" w:h="15840"/>
      <w:pgMar w:left="1440"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This proposal is not intended to be a binding bid or contract for the purchase and/or sale of electric energy or capacity.  Neither party is obligated to enter into any agreement or to proceed with any possible relationship or transaction.  Either party may terminate discussions and/or negotiations regarding this document at any time.  </w:t>
    </w:r>
    <w:r>
      <w:rPr>
        <w:lang w:eastAsia="en-US"/>
      </w:rPr>
      <w:t xml:space="preserve">The terms and conditions set forth above are subject to negotiation, completion, and incorporation into a definitive agreement which is executed by the parties respective managements.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3420" w:leader="none"/>
        <w:tab w:val="right" w:pos="8640" w:leader="none"/>
      </w:tabs>
      <w:rPr/>
    </w:pPr>
    <w:r>
      <w:rPr>
        <w:b/>
      </w:rPr>
      <w:t>For Discussion Purposes Only</w:t>
      <w:tab/>
      <w:t xml:space="preserve">   </w:t>
      <w:tab/>
      <w:t xml:space="preserve"> </w:t>
    </w:r>
    <w:r>
      <w:rPr>
        <w:i/>
      </w:rPr>
      <w:drawing>
        <wp:inline distT="0" distB="0" distL="0" distR="0">
          <wp:extent cx="965200" cy="379730"/>
          <wp:effectExtent l="0" t="0" r="0" b="0"/>
          <wp:docPr id="1" name="emt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tlogo" descr="" title=""/>
                  <pic:cNvPicPr>
                    <a:picLocks noChangeAspect="1" noChangeArrowheads="1"/>
                  </pic:cNvPicPr>
                </pic:nvPicPr>
                <pic:blipFill>
                  <a:blip r:embed="rId1"/>
                  <a:srcRect l="-11" t="-29" r="-11" b="-29"/>
                  <a:stretch>
                    <a:fillRect/>
                  </a:stretch>
                </pic:blipFill>
                <pic:spPr bwMode="auto">
                  <a:xfrm>
                    <a:off x="0" y="0"/>
                    <a:ext cx="965200" cy="379730"/>
                  </a:xfrm>
                  <a:prstGeom prst="rect">
                    <a:avLst/>
                  </a:prstGeom>
                  <a:noFill/>
                </pic:spPr>
              </pic:pic>
            </a:graphicData>
          </a:graphic>
        </wp:inline>
      </w:drawing>
    </w:r>
    <w:r>
      <w:rPr>
        <w:b/>
      </w:rPr>
      <w:br/>
    </w:r>
    <w:r>
      <w:rPr>
        <w:i/>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paragraph" w:styleId="Heading2">
    <w:name w:val="heading 2"/>
    <w:basedOn w:val="Normal"/>
    <w:next w:val="Normal"/>
    <w:qFormat/>
    <w:pPr>
      <w:keepNext w:val="true"/>
      <w:numPr>
        <w:ilvl w:val="1"/>
        <w:numId w:val="1"/>
      </w:numPr>
      <w:spacing w:before="0" w:after="120"/>
      <w:outlineLvl w:val="1"/>
    </w:pPr>
    <w:rPr>
      <w:rFonts w:ascii="Arial" w:hAnsi="Arial" w:cs="Arial"/>
      <w:sz w:val="24"/>
    </w:rPr>
  </w:style>
  <w:style w:type="paragraph" w:styleId="Heading3">
    <w:name w:val="heading 3"/>
    <w:basedOn w:val="Normal"/>
    <w:next w:val="Normal"/>
    <w:qFormat/>
    <w:pPr>
      <w:keepNext w:val="true"/>
      <w:numPr>
        <w:ilvl w:val="2"/>
        <w:numId w:val="1"/>
      </w:numPr>
      <w:spacing w:before="0" w:after="240"/>
      <w:ind w:hanging="2160" w:start="2160" w:end="0"/>
      <w:outlineLvl w:val="2"/>
    </w:pPr>
    <w:rPr>
      <w:rFonts w:ascii="Arial" w:hAnsi="Arial" w:cs="Arial"/>
      <w:b/>
      <w:sz w:val="24"/>
    </w:rPr>
  </w:style>
  <w:style w:type="paragraph" w:styleId="Heading4">
    <w:name w:val="heading 4"/>
    <w:basedOn w:val="Normal"/>
    <w:next w:val="Normal"/>
    <w:qFormat/>
    <w:pPr>
      <w:keepNext w:val="true"/>
      <w:numPr>
        <w:ilvl w:val="3"/>
        <w:numId w:val="1"/>
      </w:numPr>
      <w:spacing w:before="0" w:after="240"/>
      <w:ind w:hanging="2160" w:start="2160" w:end="0"/>
      <w:outlineLvl w:val="3"/>
    </w:pPr>
    <w:rPr>
      <w:sz w:val="24"/>
    </w:rPr>
  </w:style>
  <w:style w:type="paragraph" w:styleId="Heading5">
    <w:name w:val="heading 5"/>
    <w:basedOn w:val="Normal"/>
    <w:next w:val="Normal"/>
    <w:qFormat/>
    <w:pPr>
      <w:keepNext w:val="true"/>
      <w:numPr>
        <w:ilvl w:val="4"/>
        <w:numId w:val="1"/>
      </w:numPr>
      <w:jc w:val="center"/>
      <w:outlineLvl w:val="4"/>
    </w:pPr>
    <w:rPr>
      <w:b/>
      <w:sz w:val="24"/>
      <w:u w:val="single"/>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8z0">
    <w:name w:val="WW8Num8z0"/>
    <w:qFormat/>
    <w:rPr>
      <w:rFonts w:ascii="Times New Roman" w:hAnsi="Times New Roman" w:cs="Times New Roman"/>
    </w:rPr>
  </w:style>
  <w:style w:type="character" w:styleId="WW8Num9z0">
    <w:name w:val="WW8Num9z0"/>
    <w:qFormat/>
    <w:rPr>
      <w:rFonts w:ascii="Times New Roman" w:hAnsi="Times New Roman" w:cs="Times New Roman"/>
    </w:rPr>
  </w:style>
  <w:style w:type="character" w:styleId="WW8Num10z0">
    <w:name w:val="WW8Num10z0"/>
    <w:qFormat/>
    <w:rPr>
      <w:rFonts w:ascii="Times New Roman" w:hAnsi="Times New Roman" w:cs="Times New Roman"/>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6z0">
    <w:name w:val="WW8Num16z0"/>
    <w:qFormat/>
    <w:rPr>
      <w:rFonts w:ascii="Times New Roman" w:hAnsi="Times New Roman" w:cs="Times New Roman"/>
    </w:rPr>
  </w:style>
  <w:style w:type="character" w:styleId="WW8Num17z0">
    <w:name w:val="WW8Num17z0"/>
    <w:qFormat/>
    <w:rPr>
      <w:rFonts w:ascii="Times New Roman" w:hAnsi="Times New Roman" w:cs="Times New Roman"/>
    </w:rPr>
  </w:style>
  <w:style w:type="character" w:styleId="WW8Num18z0">
    <w:name w:val="WW8Num18z0"/>
    <w:qFormat/>
    <w:rPr>
      <w:rFonts w:ascii="Times New Roman" w:hAnsi="Times New Roman" w:cs="Times New Roman"/>
    </w:rPr>
  </w:style>
  <w:style w:type="character" w:styleId="WW8Num19z0">
    <w:name w:val="WW8Num19z0"/>
    <w:qFormat/>
    <w:rPr>
      <w:rFonts w:ascii="Times New Roman" w:hAnsi="Times New Roman" w:cs="Times New Roman"/>
    </w:rPr>
  </w:style>
  <w:style w:type="character" w:styleId="WW8Num20z0">
    <w:name w:val="WW8Num20z0"/>
    <w:qFormat/>
    <w:rPr>
      <w:rFonts w:ascii="Times New Roman" w:hAnsi="Times New Roman" w:cs="Times New Roman"/>
    </w:rPr>
  </w:style>
  <w:style w:type="character" w:styleId="WW8Num21z0">
    <w:name w:val="WW8Num21z0"/>
    <w:qFormat/>
    <w:rPr>
      <w:rFonts w:ascii="Times New Roman" w:hAnsi="Times New Roman" w:cs="Times New Roman"/>
    </w:rPr>
  </w:style>
  <w:style w:type="character" w:styleId="WW8Num22z0">
    <w:name w:val="WW8Num22z0"/>
    <w:qFormat/>
    <w:rPr>
      <w:rFonts w:ascii="Times New Roman" w:hAnsi="Times New Roman" w:cs="Times New Roman"/>
    </w:rPr>
  </w:style>
  <w:style w:type="character" w:styleId="WW8Num23z0">
    <w:name w:val="WW8Num23z0"/>
    <w:qFormat/>
    <w:rPr>
      <w:rFonts w:ascii="Times New Roman" w:hAnsi="Times New Roman" w:cs="Times New Roman"/>
    </w:rPr>
  </w:style>
  <w:style w:type="character" w:styleId="WW8Num24z0">
    <w:name w:val="WW8Num24z0"/>
    <w:qFormat/>
    <w:rPr>
      <w:rFonts w:ascii="Times New Roman" w:hAnsi="Times New Roman" w:cs="Times New Roman"/>
    </w:rPr>
  </w:style>
  <w:style w:type="character" w:styleId="WW8Num25z0">
    <w:name w:val="WW8Num25z0"/>
    <w:qFormat/>
    <w:rPr>
      <w:rFonts w:ascii="Times New Roman" w:hAnsi="Times New Roman" w:cs="Times New Roman"/>
    </w:rPr>
  </w:style>
  <w:style w:type="character" w:styleId="WW8Num26z0">
    <w:name w:val="WW8Num26z0"/>
    <w:qFormat/>
    <w:rPr>
      <w:rFonts w:ascii="Times New Roman" w:hAnsi="Times New Roman" w:cs="Times New Roman"/>
    </w:rPr>
  </w:style>
  <w:style w:type="character" w:styleId="WW8Num27z0">
    <w:name w:val="WW8Num27z0"/>
    <w:qFormat/>
    <w:rPr>
      <w:rFonts w:ascii="Times New Roman" w:hAnsi="Times New Roman" w:cs="Times New Roman"/>
    </w:rPr>
  </w:style>
  <w:style w:type="character" w:styleId="WW8Num28z0">
    <w:name w:val="WW8Num28z0"/>
    <w:qFormat/>
    <w:rPr>
      <w:rFonts w:ascii="Times New Roman" w:hAnsi="Times New Roman" w:cs="Times New Roman"/>
    </w:rPr>
  </w:style>
  <w:style w:type="character" w:styleId="WW8Num29z0">
    <w:name w:val="WW8Num29z0"/>
    <w:qFormat/>
    <w:rPr>
      <w:rFonts w:ascii="Times New Roman" w:hAnsi="Times New Roman" w:cs="Times New Roman"/>
    </w:rPr>
  </w:style>
  <w:style w:type="character" w:styleId="WW8Num30z0">
    <w:name w:val="WW8Num30z0"/>
    <w:qFormat/>
    <w:rPr>
      <w:rFonts w:ascii="Times New Roman" w:hAnsi="Times New Roman" w:cs="Times New Roman"/>
    </w:rPr>
  </w:style>
  <w:style w:type="character" w:styleId="WW8Num31z0">
    <w:name w:val="WW8Num31z0"/>
    <w:qFormat/>
    <w:rPr>
      <w:rFonts w:ascii="Times New Roman" w:hAnsi="Times New Roman" w:cs="Times New Roman"/>
    </w:rPr>
  </w:style>
  <w:style w:type="character" w:styleId="WW8Num32z0">
    <w:name w:val="WW8Num32z0"/>
    <w:qFormat/>
    <w:rPr>
      <w:rFonts w:ascii="Times New Roman" w:hAnsi="Times New Roman" w:cs="Times New Roman"/>
    </w:rPr>
  </w:style>
  <w:style w:type="character" w:styleId="WW8Num33z0">
    <w:name w:val="WW8Num33z0"/>
    <w:qFormat/>
    <w:rPr>
      <w:rFonts w:ascii="Times New Roman" w:hAnsi="Times New Roman" w:cs="Times New Roman"/>
    </w:rPr>
  </w:style>
  <w:style w:type="character" w:styleId="WW8Num34z0">
    <w:name w:val="WW8Num34z0"/>
    <w:qFormat/>
    <w:rPr>
      <w:rFonts w:ascii="Times New Roman" w:hAnsi="Times New Roman" w:cs="Times New Roman"/>
    </w:rPr>
  </w:style>
  <w:style w:type="character" w:styleId="WW8Num35z0">
    <w:name w:val="WW8Num35z0"/>
    <w:qFormat/>
    <w:rPr>
      <w:rFonts w:ascii="Times New Roman" w:hAnsi="Times New Roman" w:cs="Times New Roman"/>
    </w:rPr>
  </w:style>
  <w:style w:type="character" w:styleId="WW8Num36z0">
    <w:name w:val="WW8Num36z0"/>
    <w:qFormat/>
    <w:rPr>
      <w:rFonts w:ascii="Times New Roman" w:hAnsi="Times New Roman" w:cs="Times New Roman"/>
    </w:rPr>
  </w:style>
  <w:style w:type="character" w:styleId="WW8Num37z0">
    <w:name w:val="WW8Num37z0"/>
    <w:qFormat/>
    <w:rPr>
      <w:rFonts w:ascii="Times New Roman" w:hAnsi="Times New Roman" w:cs="Times New Roman"/>
    </w:rPr>
  </w:style>
  <w:style w:type="character" w:styleId="WW8Num38z0">
    <w:name w:val="WW8Num38z0"/>
    <w:qFormat/>
    <w:rPr>
      <w:rFonts w:ascii="Times New Roman" w:hAnsi="Times New Roman" w:cs="Times New Roman"/>
    </w:rPr>
  </w:style>
  <w:style w:type="character" w:styleId="WW8Num39z0">
    <w:name w:val="WW8Num39z0"/>
    <w:qFormat/>
    <w:rPr>
      <w:rFonts w:ascii="Times New Roman" w:hAnsi="Times New Roman" w:cs="Times New Roman"/>
    </w:rPr>
  </w:style>
  <w:style w:type="character" w:styleId="WW8Num40z0">
    <w:name w:val="WW8Num40z0"/>
    <w:qFormat/>
    <w:rPr>
      <w:rFonts w:ascii="Times New Roman" w:hAnsi="Times New Roman" w:cs="Times New Roman"/>
    </w:rPr>
  </w:style>
  <w:style w:type="character" w:styleId="WW8Num41z0">
    <w:name w:val="WW8Num41z0"/>
    <w:qFormat/>
    <w:rPr>
      <w:rFonts w:ascii="Times New Roman" w:hAnsi="Times New Roman" w:cs="Times New Roman"/>
    </w:rPr>
  </w:style>
  <w:style w:type="character" w:styleId="WW8Num42z0">
    <w:name w:val="WW8Num42z0"/>
    <w:qFormat/>
    <w:rPr>
      <w:rFonts w:ascii="Symbol" w:hAnsi="Symbol" w:cs="Symbol"/>
    </w:rPr>
  </w:style>
  <w:style w:type="character" w:styleId="WW8Num43z0">
    <w:name w:val="WW8Num43z0"/>
    <w:qFormat/>
    <w:rPr>
      <w:rFonts w:ascii="Times New Roman" w:hAnsi="Times New Roman" w:cs="Times New Roman"/>
    </w:rPr>
  </w:style>
  <w:style w:type="character" w:styleId="WW8Num44z0">
    <w:name w:val="WW8Num44z0"/>
    <w:qFormat/>
    <w:rPr>
      <w:rFonts w:ascii="Times New Roman" w:hAnsi="Times New Roman" w:cs="Times New Roman"/>
    </w:rPr>
  </w:style>
  <w:style w:type="character" w:styleId="WW8Num45z0">
    <w:name w:val="WW8Num45z0"/>
    <w:qFormat/>
    <w:rPr>
      <w:rFonts w:ascii="Times New Roman" w:hAnsi="Times New Roman" w:cs="Times New Roman"/>
    </w:rPr>
  </w:style>
  <w:style w:type="character" w:styleId="WW8Num46z0">
    <w:name w:val="WW8Num46z0"/>
    <w:qFormat/>
    <w:rPr>
      <w:rFonts w:ascii="Times New Roman" w:hAnsi="Times New Roman" w:cs="Times New Roman"/>
    </w:rPr>
  </w:style>
  <w:style w:type="character" w:styleId="WW8Num47z0">
    <w:name w:val="WW8Num47z0"/>
    <w:qFormat/>
    <w:rPr>
      <w:rFonts w:ascii="Times New Roman" w:hAnsi="Times New Roman" w:cs="Times New Roman"/>
    </w:rPr>
  </w:style>
  <w:style w:type="character" w:styleId="WW8Num48z0">
    <w:name w:val="WW8Num48z0"/>
    <w:qFormat/>
    <w:rPr>
      <w:rFonts w:ascii="Times New Roman" w:hAnsi="Times New Roman" w:cs="Times New Roman"/>
    </w:rPr>
  </w:style>
  <w:style w:type="character" w:styleId="WW8Num49z0">
    <w:name w:val="WW8Num49z0"/>
    <w:qFormat/>
    <w:rPr>
      <w:rFonts w:ascii="Times New Roman" w:hAnsi="Times New Roman" w:cs="Times New Roman"/>
    </w:rPr>
  </w:style>
  <w:style w:type="character" w:styleId="WW8Num50z0">
    <w:name w:val="WW8Num50z0"/>
    <w:qFormat/>
    <w:rPr>
      <w:rFonts w:ascii="Times New Roman" w:hAnsi="Times New Roman" w:cs="Times New Roman"/>
    </w:rPr>
  </w:style>
  <w:style w:type="character" w:styleId="WW8Num51z0">
    <w:name w:val="WW8Num51z0"/>
    <w:qFormat/>
    <w:rPr>
      <w:rFonts w:ascii="Times New Roman" w:hAnsi="Times New Roman" w:cs="Times New Roman"/>
    </w:rPr>
  </w:style>
  <w:style w:type="character" w:styleId="WW8Num52z0">
    <w:name w:val="WW8Num52z0"/>
    <w:qFormat/>
    <w:rPr>
      <w:rFonts w:ascii="Times New Roman" w:hAnsi="Times New Roman" w:cs="Times New Roman"/>
    </w:rPr>
  </w:style>
  <w:style w:type="character" w:styleId="WW8Num53z0">
    <w:name w:val="WW8Num53z0"/>
    <w:qFormat/>
    <w:rPr>
      <w:rFonts w:ascii="Times New Roman" w:hAnsi="Times New Roman" w:cs="Times New Roman"/>
    </w:rPr>
  </w:style>
  <w:style w:type="character" w:styleId="WW8Num54z0">
    <w:name w:val="WW8Num54z0"/>
    <w:qFormat/>
    <w:rPr>
      <w:rFonts w:ascii="Times New Roman" w:hAnsi="Times New Roman" w:cs="Times New Roman"/>
    </w:rPr>
  </w:style>
  <w:style w:type="character" w:styleId="WW8Num55z0">
    <w:name w:val="WW8Num55z0"/>
    <w:qFormat/>
    <w:rPr>
      <w:rFonts w:ascii="Times New Roman" w:hAnsi="Times New Roman" w:cs="Times New Roman"/>
    </w:rPr>
  </w:style>
  <w:style w:type="character" w:styleId="WW8Num56z0">
    <w:name w:val="WW8Num56z0"/>
    <w:qFormat/>
    <w:rPr>
      <w:rFonts w:ascii="Times New Roman" w:hAnsi="Times New Roman" w:cs="Times New Roman"/>
    </w:rPr>
  </w:style>
  <w:style w:type="character" w:styleId="WW8Num57z0">
    <w:name w:val="WW8Num57z0"/>
    <w:qFormat/>
    <w:rPr>
      <w:rFonts w:ascii="Times New Roman" w:hAnsi="Times New Roman" w:cs="Times New Roman"/>
    </w:rPr>
  </w:style>
  <w:style w:type="character" w:styleId="WW8Num58z0">
    <w:name w:val="WW8Num58z0"/>
    <w:qFormat/>
    <w:rPr>
      <w:rFonts w:ascii="Times New Roman" w:hAnsi="Times New Roman" w:cs="Times New Roman"/>
    </w:rPr>
  </w:style>
  <w:style w:type="character" w:styleId="WW8Num59z0">
    <w:name w:val="WW8Num59z0"/>
    <w:qFormat/>
    <w:rPr>
      <w:rFonts w:ascii="Times New Roman" w:hAnsi="Times New Roman" w:cs="Times New Roman"/>
    </w:rPr>
  </w:style>
  <w:style w:type="character" w:styleId="WW8Num60z0">
    <w:name w:val="WW8Num60z0"/>
    <w:qFormat/>
    <w:rPr>
      <w:rFonts w:ascii="Times New Roman" w:hAnsi="Times New Roman" w:cs="Times New Roman"/>
    </w:rPr>
  </w:style>
  <w:style w:type="character" w:styleId="WW8Num61z0">
    <w:name w:val="WW8Num61z0"/>
    <w:qFormat/>
    <w:rPr>
      <w:rFonts w:ascii="Times New Roman" w:hAnsi="Times New Roman" w:cs="Times New Roman"/>
    </w:rPr>
  </w:style>
  <w:style w:type="character" w:styleId="WW8Num62z0">
    <w:name w:val="WW8Num62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2160" w:start="216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16"/>
    </w:rPr>
  </w:style>
  <w:style w:type="paragraph" w:styleId="BodyTextIndent2">
    <w:name w:val="Body Text Indent 2"/>
    <w:basedOn w:val="Normal"/>
    <w:qFormat/>
    <w:pPr>
      <w:spacing w:before="0" w:after="120"/>
      <w:ind w:hanging="0" w:start="2160" w:end="0"/>
    </w:pPr>
    <w:rPr>
      <w:sz w:val="24"/>
    </w:rPr>
  </w:style>
  <w:style w:type="paragraph" w:styleId="BodyText2">
    <w:name w:val="Body Text 2"/>
    <w:basedOn w:val="Normal"/>
    <w:qFormat/>
    <w:pPr/>
    <w:rPr>
      <w:b/>
      <w:sz w:val="24"/>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keepNext w:val="true"/>
      <w:ind w:hanging="0" w:start="720" w:end="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2001-03-21T21:18:00Z</dcterms:created>
  <dc:creator>Carolina Power &amp; Light</dc:creator>
  <dc:description/>
  <dc:language>en-CA</dc:language>
  <cp:lastModifiedBy>DVC0DCP</cp:lastModifiedBy>
  <cp:lastPrinted>2000-11-15T10:02:00Z</cp:lastPrinted>
  <dcterms:modified xsi:type="dcterms:W3CDTF">2001-03-21T21:18:00Z</dcterms:modified>
  <cp:revision>2</cp:revision>
  <dc:subject/>
  <dc:title>Indicative Proposal - Peaking</dc:title>
</cp:coreProperties>
</file>