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0"/>
        <w:ind w:hanging="0" w:start="0"/>
        <w:rPr/>
      </w:pPr>
      <w:r>
        <w:rPr>
          <w:b/>
          <w:bCs/>
          <w:i/>
          <w:iCs/>
        </w:rPr>
        <w:t>UPDATED</w:t>
      </w:r>
      <w:r>
        <w:rPr/>
        <w:t xml:space="preserve"> STANDBY STATEMENT</w:t>
        <w:tab/>
        <w:t>February 7, 2000</w:t>
      </w:r>
    </w:p>
    <w:p>
      <w:pPr>
        <w:pStyle w:val="contact"/>
        <w:rPr/>
      </w:pPr>
      <w:r>
        <w:rPr/>
        <w:t>Contact:  Jon Tremayne 223-8709</w:t>
        <w:br/>
        <w:t>Diana Gapuz 223-8710</w:t>
      </w:r>
    </w:p>
    <w:p>
      <w:pPr>
        <w:pStyle w:val="Normal"/>
        <w:rPr/>
      </w:pPr>
      <w:r>
        <w:rPr/>
      </w:r>
    </w:p>
    <w:p>
      <w:pPr>
        <w:pStyle w:val="Normal"/>
        <w:rPr/>
      </w:pPr>
      <w:r>
        <w:rPr/>
        <w:t>ATTORNEY-CLIENT WORK PRODUCT – PRIVILEGED AND CONFIDENTIAL</w:t>
      </w:r>
    </w:p>
    <w:p>
      <w:pPr>
        <w:pStyle w:val="Subject"/>
        <w:rPr/>
      </w:pPr>
      <w:r>
        <w:rPr/>
        <w:t>PCBS FROM TRANSWESTERN GAS PIPELINE</w:t>
      </w:r>
    </w:p>
    <w:p>
      <w:pPr>
        <w:pStyle w:val="Heading2"/>
        <w:ind w:hanging="0" w:start="0"/>
        <w:rPr/>
      </w:pPr>
      <w:r>
        <w:rPr/>
        <w:t>Situation:</w:t>
      </w:r>
    </w:p>
    <w:p>
      <w:pPr>
        <w:pStyle w:val="Situation"/>
        <w:rPr/>
      </w:pPr>
      <w:r>
        <w:rPr/>
        <w:t xml:space="preserve">In the latter part of 1998, PCBs, or polychlorinated biphenyls, were found in Pacific Gas and Electric Company’s gas transmission system at the Topock Compressor Station, about 10 miles south of Needles, California, downstream from its interconnection with a natural gas pipeline owned by Transwestern Pipeline Company.   Tests found that the PCBs are traceable to gas deliveries from the Transwestern pipeline.  Transwestern moves a maximum of 250 million cubic feet of natural gas daily from Texas and northern New Mexico for use in northern and central California. </w:t>
      </w:r>
    </w:p>
    <w:p>
      <w:pPr>
        <w:pStyle w:val="Normal"/>
        <w:rPr/>
      </w:pPr>
      <w:r>
        <w:rPr/>
      </w:r>
    </w:p>
    <w:p>
      <w:pPr>
        <w:pStyle w:val="Normal"/>
        <w:rPr>
          <w:i/>
          <w:i/>
          <w:iCs/>
        </w:rPr>
      </w:pPr>
      <w:r>
        <w:rPr>
          <w:i/>
          <w:iCs/>
        </w:rPr>
        <w:t>The company has been conducting tests of the pipelines downstream from the Topock Station, including a pipeline owned by Southwest Gas Corporation that supplies gas to the city of Needles on the Colorado River, as well as the company’s own transmission pipelines that run from Topock to Hinkley.</w:t>
      </w:r>
    </w:p>
    <w:p>
      <w:pPr>
        <w:pStyle w:val="Normal"/>
        <w:rPr>
          <w:i/>
          <w:i/>
          <w:iCs/>
        </w:rPr>
      </w:pPr>
      <w:r>
        <w:rPr>
          <w:i/>
          <w:iCs/>
        </w:rPr>
      </w:r>
    </w:p>
    <w:p>
      <w:pPr>
        <w:pStyle w:val="Normal"/>
        <w:rPr>
          <w:i/>
          <w:i/>
          <w:iCs/>
        </w:rPr>
      </w:pPr>
      <w:r>
        <w:rPr>
          <w:i/>
          <w:iCs/>
        </w:rPr>
        <w:t xml:space="preserve">In early February, test results indicated low levels of PCBs are present inside gas piping at the Hinkley Station, approximately 160 miles west of Topock.  The tests within the last year have shown results of either non-detect or low levels of PCBs. </w:t>
      </w:r>
    </w:p>
    <w:p>
      <w:pPr>
        <w:pStyle w:val="Normal"/>
        <w:rPr>
          <w:i/>
          <w:i/>
          <w:iCs/>
        </w:rPr>
      </w:pPr>
      <w:r>
        <w:rPr>
          <w:i/>
          <w:iCs/>
        </w:rPr>
      </w:r>
    </w:p>
    <w:p>
      <w:pPr>
        <w:pStyle w:val="Normal"/>
        <w:rPr>
          <w:i/>
          <w:i/>
          <w:iCs/>
        </w:rPr>
      </w:pPr>
      <w:r>
        <w:rPr>
          <w:i/>
          <w:iCs/>
        </w:rPr>
        <w:t>PCB-containing lubricating oils were once used by a number of U.S. pipeline companies in their gas pipeline compressors, which push gas through the pipeline.  While oils with PCBs are no longer in use, the PCBs have remained inside some pipelines.  If present, they are carried in liquid droplets in the gas stream.  Minute amounts of PCBs can be contained in liquids or solids in the low areas inside of the pipe.  If the gas is completely dry, they cannot be transported.  PCBs are compounds that, under laboratory test conditions, are suspected of causing cancer.</w:t>
      </w:r>
    </w:p>
    <w:p>
      <w:pPr>
        <w:pStyle w:val="Normal"/>
        <w:rPr>
          <w:i/>
          <w:i/>
          <w:iCs/>
        </w:rPr>
      </w:pPr>
      <w:r>
        <w:rPr>
          <w:i/>
          <w:iCs/>
        </w:rPr>
      </w:r>
    </w:p>
    <w:p>
      <w:pPr>
        <w:pStyle w:val="Heading3"/>
        <w:ind w:hanging="0" w:start="0"/>
        <w:rPr/>
      </w:pPr>
      <w:r>
        <w:rPr/>
        <w:t>PG&amp;E'S POSITION FOR USE WITH MEDIA:</w:t>
      </w:r>
    </w:p>
    <w:p>
      <w:pPr>
        <w:pStyle w:val="Positions"/>
        <w:numPr>
          <w:ilvl w:val="0"/>
          <w:numId w:val="2"/>
        </w:numPr>
        <w:tabs>
          <w:tab w:val="clear" w:pos="720"/>
          <w:tab w:val="left" w:pos="0" w:leader="none"/>
        </w:tabs>
        <w:ind w:hanging="720" w:start="720"/>
        <w:rPr/>
      </w:pPr>
      <w:r>
        <w:rPr/>
        <w:t>Test results to date in Pacific Gas and Electric Company’s southern pipeline show either non-detectable or low PCB levels.  The detectable PCBs have remained within the pipeline, and pose no health hazard to the public.</w:t>
      </w:r>
    </w:p>
    <w:p>
      <w:pPr>
        <w:pStyle w:val="Positions"/>
        <w:numPr>
          <w:ilvl w:val="0"/>
          <w:numId w:val="2"/>
        </w:numPr>
        <w:tabs>
          <w:tab w:val="clear" w:pos="720"/>
          <w:tab w:val="left" w:pos="0" w:leader="none"/>
        </w:tabs>
        <w:ind w:hanging="720" w:start="720"/>
        <w:rPr/>
      </w:pPr>
      <w:r>
        <w:rPr/>
      </w:r>
    </w:p>
    <w:p>
      <w:pPr>
        <w:pStyle w:val="Positions"/>
        <w:numPr>
          <w:ilvl w:val="0"/>
          <w:numId w:val="2"/>
        </w:numPr>
        <w:tabs>
          <w:tab w:val="clear" w:pos="720"/>
          <w:tab w:val="left" w:pos="0" w:leader="none"/>
        </w:tabs>
        <w:ind w:hanging="720" w:start="720"/>
        <w:rPr/>
      </w:pPr>
      <w:r>
        <w:rPr/>
        <w:t>The latest test results indicate that PCBs are in the stretch of pipeline between the Topock Gas Compressor Station and the Hinkley Gas Compressor Station.  The test results show a low PCB level at Hinkley.</w:t>
      </w:r>
    </w:p>
    <w:p>
      <w:pPr>
        <w:pStyle w:val="Positions"/>
        <w:numPr>
          <w:ilvl w:val="0"/>
          <w:numId w:val="2"/>
        </w:numPr>
        <w:tabs>
          <w:tab w:val="clear" w:pos="720"/>
          <w:tab w:val="left" w:pos="0" w:leader="none"/>
        </w:tabs>
        <w:ind w:hanging="720" w:start="720"/>
        <w:rPr/>
      </w:pPr>
      <w:r>
        <w:rPr/>
        <w:t>In order to determine the extent of PCBs, the company is conducting additional sampling of the interior of its gas transmission pipelines and facilities from the Topock station to the Kettleman Gas Compressor Station, over approximately 350 miles.</w:t>
      </w:r>
    </w:p>
    <w:p>
      <w:pPr>
        <w:pStyle w:val="Positions"/>
        <w:numPr>
          <w:ilvl w:val="0"/>
          <w:numId w:val="2"/>
        </w:numPr>
        <w:tabs>
          <w:tab w:val="clear" w:pos="720"/>
          <w:tab w:val="left" w:pos="0" w:leader="none"/>
        </w:tabs>
        <w:ind w:hanging="720" w:start="720"/>
        <w:rPr/>
      </w:pPr>
      <w:r>
        <w:rPr/>
        <w:t>Test results on the Southwest Gas pipeline supplying natural gas to Needles have been non-detect.</w:t>
      </w:r>
    </w:p>
    <w:p>
      <w:pPr>
        <w:pStyle w:val="cc"/>
        <w:numPr>
          <w:ilvl w:val="0"/>
          <w:numId w:val="2"/>
        </w:numPr>
        <w:tabs>
          <w:tab w:val="clear" w:pos="720"/>
          <w:tab w:val="left" w:pos="0" w:leader="none"/>
        </w:tabs>
        <w:spacing w:before="0" w:after="0"/>
        <w:ind w:hanging="720" w:start="720"/>
        <w:rPr/>
      </w:pPr>
      <w:r>
        <w:rPr/>
        <w:t>Pacific Gas and Electric Company has taken the following precautionary actions .</w:t>
      </w:r>
    </w:p>
    <w:p>
      <w:pPr>
        <w:pStyle w:val="cc"/>
        <w:numPr>
          <w:ilvl w:val="0"/>
          <w:numId w:val="2"/>
        </w:numPr>
        <w:tabs>
          <w:tab w:val="clear" w:pos="720"/>
          <w:tab w:val="left" w:pos="0" w:leader="none"/>
        </w:tabs>
        <w:spacing w:before="0" w:after="0"/>
        <w:ind w:hanging="360" w:start="1440" w:end="0"/>
        <w:rPr/>
      </w:pPr>
      <w:r>
        <w:rPr/>
        <w:t>In order to reduce liquids in the gas delivered by Transwestern, Pacific Gas and Electric Company has a large filter separator at Topock, which removes liquid from flowing gas.  Transwestern also has several filter separators installed on its side of the interconnect between the two gas pipeline systems.</w:t>
      </w:r>
    </w:p>
    <w:p>
      <w:pPr>
        <w:pStyle w:val="cc"/>
        <w:numPr>
          <w:ilvl w:val="0"/>
          <w:numId w:val="2"/>
        </w:numPr>
        <w:tabs>
          <w:tab w:val="clear" w:pos="720"/>
          <w:tab w:val="left" w:pos="0" w:leader="none"/>
        </w:tabs>
        <w:spacing w:before="0" w:after="0"/>
        <w:ind w:hanging="360" w:start="1440" w:end="0"/>
        <w:rPr/>
      </w:pPr>
      <w:r>
        <w:rPr/>
        <w:t>A smaller filter separator has been installed on the tap that delivers gas to Needles.</w:t>
      </w:r>
    </w:p>
    <w:p>
      <w:pPr>
        <w:pStyle w:val="cc"/>
        <w:numPr>
          <w:ilvl w:val="0"/>
          <w:numId w:val="2"/>
        </w:numPr>
        <w:tabs>
          <w:tab w:val="clear" w:pos="720"/>
          <w:tab w:val="left" w:pos="0" w:leader="none"/>
        </w:tabs>
        <w:spacing w:before="0" w:after="0"/>
        <w:ind w:hanging="360" w:start="1440" w:end="0"/>
        <w:rPr/>
      </w:pPr>
      <w:r>
        <w:rPr/>
        <w:t xml:space="preserve">Equipment to capture liquids for continued testing has been installed at five locations downstream of the Topock Compressor Station.  </w:t>
      </w:r>
    </w:p>
    <w:p>
      <w:pPr>
        <w:pStyle w:val="cc"/>
        <w:numPr>
          <w:ilvl w:val="0"/>
          <w:numId w:val="2"/>
        </w:numPr>
        <w:tabs>
          <w:tab w:val="clear" w:pos="720"/>
          <w:tab w:val="left" w:pos="0" w:leader="none"/>
        </w:tabs>
        <w:spacing w:before="0" w:after="0"/>
        <w:ind w:hanging="720" w:start="720"/>
        <w:rPr/>
      </w:pPr>
      <w:r>
        <w:rPr/>
      </w:r>
    </w:p>
    <w:p>
      <w:pPr>
        <w:pStyle w:val="cc"/>
        <w:numPr>
          <w:ilvl w:val="0"/>
          <w:numId w:val="2"/>
        </w:numPr>
        <w:tabs>
          <w:tab w:val="clear" w:pos="720"/>
          <w:tab w:val="left" w:pos="0" w:leader="none"/>
        </w:tabs>
        <w:spacing w:before="0" w:after="0"/>
        <w:ind w:hanging="720" w:start="720"/>
        <w:rPr/>
      </w:pPr>
      <w:r>
        <w:rPr/>
        <w:t>The company also is in the process of taking additional preventive measures on the pipeline from Topock to Hinkley over the next few months.</w:t>
      </w:r>
    </w:p>
    <w:p>
      <w:pPr>
        <w:pStyle w:val="cc"/>
        <w:numPr>
          <w:ilvl w:val="0"/>
          <w:numId w:val="2"/>
        </w:numPr>
        <w:tabs>
          <w:tab w:val="clear" w:pos="720"/>
          <w:tab w:val="left" w:pos="0" w:leader="none"/>
        </w:tabs>
        <w:spacing w:before="0" w:after="0"/>
        <w:ind w:hanging="360" w:start="1440" w:end="0"/>
        <w:rPr/>
      </w:pPr>
      <w:r>
        <w:rPr/>
        <w:t>Four additional large filter separators will be installed on the pipeline to further dry the gas.</w:t>
      </w:r>
    </w:p>
    <w:p>
      <w:pPr>
        <w:pStyle w:val="cc"/>
        <w:numPr>
          <w:ilvl w:val="0"/>
          <w:numId w:val="2"/>
        </w:numPr>
        <w:tabs>
          <w:tab w:val="clear" w:pos="720"/>
          <w:tab w:val="left" w:pos="0" w:leader="none"/>
        </w:tabs>
        <w:spacing w:before="0" w:after="0"/>
        <w:ind w:hanging="360" w:start="1440" w:end="0"/>
        <w:rPr/>
      </w:pPr>
      <w:r>
        <w:rPr/>
        <w:t>Several smaller filter separators will be installed at a number of pipeline tap locations late in February.</w:t>
      </w:r>
    </w:p>
    <w:p>
      <w:pPr>
        <w:pStyle w:val="cc"/>
        <w:numPr>
          <w:ilvl w:val="0"/>
          <w:numId w:val="2"/>
        </w:numPr>
        <w:tabs>
          <w:tab w:val="clear" w:pos="720"/>
          <w:tab w:val="left" w:pos="0" w:leader="none"/>
        </w:tabs>
        <w:spacing w:before="0" w:after="0"/>
        <w:ind w:hanging="360" w:start="1440" w:end="0"/>
        <w:rPr/>
      </w:pPr>
      <w:r>
        <w:rPr/>
        <w:t>Additional sample locations and small filter separator locations are being identified.</w:t>
      </w:r>
    </w:p>
    <w:p>
      <w:pPr>
        <w:pStyle w:val="cc"/>
        <w:numPr>
          <w:ilvl w:val="0"/>
          <w:numId w:val="2"/>
        </w:numPr>
        <w:tabs>
          <w:tab w:val="clear" w:pos="720"/>
          <w:tab w:val="left" w:pos="0" w:leader="none"/>
        </w:tabs>
        <w:spacing w:before="0" w:after="0"/>
        <w:ind w:hanging="360" w:start="1080" w:end="0"/>
        <w:rPr/>
      </w:pPr>
      <w:r>
        <w:rPr/>
      </w:r>
    </w:p>
    <w:p>
      <w:pPr>
        <w:pStyle w:val="Positions"/>
        <w:numPr>
          <w:ilvl w:val="0"/>
          <w:numId w:val="2"/>
        </w:numPr>
        <w:tabs>
          <w:tab w:val="clear" w:pos="720"/>
          <w:tab w:val="left" w:pos="0" w:leader="none"/>
        </w:tabs>
        <w:ind w:hanging="720" w:start="720"/>
        <w:rPr/>
      </w:pPr>
      <w:r>
        <w:rPr/>
        <w:t>Pacific Gas and Electric Company is committed to the safe and environmentally responsible operation of the company’s pipeline facilities, in compliance with all applicable federal and state standards, including PCB standards.</w:t>
      </w:r>
    </w:p>
    <w:p>
      <w:pPr>
        <w:pStyle w:val="cc"/>
        <w:numPr>
          <w:ilvl w:val="0"/>
          <w:numId w:val="2"/>
        </w:numPr>
        <w:tabs>
          <w:tab w:val="clear" w:pos="720"/>
          <w:tab w:val="left" w:pos="0" w:leader="none"/>
        </w:tabs>
        <w:spacing w:before="0" w:after="0"/>
        <w:ind w:hanging="360" w:start="810" w:end="0"/>
        <w:rPr/>
      </w:pPr>
      <w:r>
        <w:rPr/>
        <w:t>cc:</w:t>
        <w:tab/>
        <w:t>Robert D. Glynn, Jr.</w:t>
        <w:br/>
        <w:t>Gordon R. Smith</w:t>
        <w:br/>
        <w:t>Thomas W. High</w:t>
        <w:br/>
        <w:t>Greg S. Pruett</w:t>
        <w:br/>
        <w:t>E. James Macias</w:t>
        <w:br/>
        <w:t>Daniel D. Richard</w:t>
        <w:br/>
        <w:t>Jeffrey D. Butler</w:t>
      </w:r>
    </w:p>
    <w:p>
      <w:pPr>
        <w:pStyle w:val="cc"/>
        <w:numPr>
          <w:ilvl w:val="0"/>
          <w:numId w:val="2"/>
        </w:numPr>
        <w:tabs>
          <w:tab w:val="clear" w:pos="720"/>
          <w:tab w:val="left" w:pos="0" w:leader="none"/>
        </w:tabs>
        <w:spacing w:before="0" w:after="0"/>
        <w:ind w:hanging="360" w:start="810" w:end="0"/>
        <w:rPr/>
      </w:pPr>
      <w:r>
        <w:rPr/>
        <w:t>Robert L. Harris</w:t>
        <w:br/>
        <w:t>Frank J. Regan</w:t>
        <w:br/>
        <w:t>Kirk Johnson</w:t>
        <w:br/>
        <w:t>Don Anderson</w:t>
        <w:br/>
        <w:t>Robert Suehiro</w:t>
        <w:br/>
        <w:t>Kim Walsh</w:t>
        <w:br/>
        <w:t>Marilyn Davin</w:t>
        <w:br/>
        <w:t>John Busterud</w:t>
        <w:br/>
        <w:t>Dave Anderson</w:t>
        <w:br/>
        <w:t>Rod Boschee</w:t>
        <w:br/>
        <w:t>Curt Russell</w:t>
        <w:br/>
        <w:t>Mel Wong</w:t>
        <w:br/>
        <w:t>Glen Riddle</w:t>
        <w:br/>
        <w:t>Jon Tremayne</w:t>
        <w:br/>
        <w:t>Linda Quinones-Vaughan</w:t>
      </w:r>
    </w:p>
    <w:p>
      <w:pPr>
        <w:pStyle w:val="Footer"/>
        <w:rPr/>
      </w:pPr>
      <w:r>
        <w:rPr/>
      </w:r>
    </w:p>
    <w:p>
      <w:pPr>
        <w:pStyle w:val="Footer"/>
        <w:rPr/>
      </w:pPr>
      <w:r>
        <w:rPr/>
      </w:r>
    </w:p>
    <w:p>
      <w:pPr>
        <w:pStyle w:val="Footer"/>
        <w:rPr/>
      </w:pPr>
      <w:r>
        <w:rPr/>
      </w:r>
    </w:p>
    <w:p>
      <w:pPr>
        <w:pStyle w:val="Disclaimer"/>
        <w:spacing w:lineRule="atLeast" w:line="0" w:before="240" w:after="0"/>
        <w:jc w:val="start"/>
        <w:rPr>
          <w:rFonts w:ascii="Comic Sans MS" w:hAnsi="Comic Sans MS" w:eastAsia="Comic Sans MS" w:cs="Comic Sans MS"/>
          <w:sz w:val="20"/>
          <w:szCs w:val="20"/>
        </w:rPr>
      </w:pPr>
      <w:r>
        <w:rPr>
          <w:rFonts w:eastAsia="Comic Sans MS" w:cs="Comic Sans MS" w:ascii="Comic Sans MS" w:hAnsi="Comic Sans MS"/>
          <w:sz w:val="20"/>
          <w:szCs w:val="20"/>
        </w:rPr>
        <w:t>This Standby Statement is for internal staff use only and is not intended for distribution outside of the company.</w:t>
      </w:r>
    </w:p>
    <w:sectPr>
      <w:headerReference w:type="default" r:id="rId2"/>
      <w:headerReference w:type="first" r:id="rId3"/>
      <w:type w:val="nextPage"/>
      <w:pgSz w:w="12240" w:h="15840"/>
      <w:pgMar w:left="1987" w:right="1800" w:gutter="0" w:header="432" w:top="488"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mic Sans MS">
    <w:charset w:val="01"/>
    <w:family w:val="script"/>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8550" w:type="dxa"/>
      <w:jc w:val="start"/>
      <w:tblInd w:w="108" w:type="dxa"/>
      <w:tblLayout w:type="fixed"/>
      <w:tblCellMar>
        <w:top w:w="0" w:type="dxa"/>
        <w:start w:w="108" w:type="dxa"/>
        <w:bottom w:w="0" w:type="dxa"/>
        <w:end w:w="108" w:type="dxa"/>
      </w:tblCellMar>
    </w:tblPr>
    <w:tblGrid>
      <w:gridCol w:w="4050"/>
      <w:gridCol w:w="3330"/>
      <w:gridCol w:w="1170"/>
    </w:tblGrid>
    <w:tr>
      <w:trPr/>
      <w:tc>
        <w:tcPr>
          <w:tcW w:w="4050" w:type="dxa"/>
          <w:tcBorders/>
        </w:tcPr>
        <w:p>
          <w:pPr>
            <w:pStyle w:val="Header"/>
            <w:rPr>
              <w:b/>
              <w:bCs/>
            </w:rPr>
          </w:pPr>
          <w:r>
            <w:rPr>
              <w:b/>
              <w:bCs/>
            </w:rPr>
            <w:drawing>
              <wp:inline distT="0" distB="0" distL="0" distR="0">
                <wp:extent cx="2432685" cy="6407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2432685" cy="640715"/>
                        </a:xfrm>
                        <a:prstGeom prst="rect">
                          <a:avLst/>
                        </a:prstGeom>
                        <a:noFill/>
                      </pic:spPr>
                    </pic:pic>
                  </a:graphicData>
                </a:graphic>
              </wp:inline>
            </w:drawing>
          </w:r>
        </w:p>
      </w:tc>
      <w:tc>
        <w:tcPr>
          <w:tcW w:w="3330" w:type="dxa"/>
          <w:tcBorders/>
        </w:tcPr>
        <w:p>
          <w:pPr>
            <w:pStyle w:val="Header"/>
            <w:rPr>
              <w:sz w:val="22"/>
              <w:szCs w:val="22"/>
            </w:rPr>
          </w:pPr>
          <w:r>
            <w:rPr>
              <w:sz w:val="22"/>
              <w:szCs w:val="22"/>
            </w:rPr>
            <w:t>News Department</w:t>
          </w:r>
        </w:p>
        <w:p>
          <w:pPr>
            <w:pStyle w:val="Header"/>
            <w:rPr>
              <w:sz w:val="22"/>
              <w:szCs w:val="22"/>
            </w:rPr>
          </w:pPr>
          <w:r>
            <w:rPr>
              <w:sz w:val="22"/>
              <w:szCs w:val="22"/>
            </w:rPr>
            <w:t>77 Beale Street</w:t>
          </w:r>
        </w:p>
        <w:p>
          <w:pPr>
            <w:pStyle w:val="Header"/>
            <w:rPr>
              <w:sz w:val="22"/>
              <w:szCs w:val="22"/>
            </w:rPr>
          </w:pPr>
          <w:r>
            <w:rPr>
              <w:sz w:val="22"/>
              <w:szCs w:val="22"/>
            </w:rPr>
            <w:t>San Francisco, CA  94105</w:t>
          </w:r>
        </w:p>
        <w:p>
          <w:pPr>
            <w:pStyle w:val="Header"/>
            <w:rPr>
              <w:sz w:val="22"/>
              <w:szCs w:val="22"/>
            </w:rPr>
          </w:pPr>
          <w:r>
            <w:rPr>
              <w:sz w:val="22"/>
              <w:szCs w:val="22"/>
            </w:rPr>
            <w:t>415/973-5930</w:t>
          </w:r>
        </w:p>
      </w:tc>
      <w:tc>
        <w:tcPr>
          <w:tcW w:w="1170" w:type="dxa"/>
          <w:tcBorders/>
        </w:tcPr>
        <w:p>
          <w:pPr>
            <w:pStyle w:val="Header"/>
            <w:rPr>
              <w:i/>
              <w:i/>
              <w:iCs/>
              <w:sz w:val="36"/>
              <w:szCs w:val="36"/>
            </w:rPr>
          </w:pPr>
          <w:r>
            <w:rPr>
              <w:i/>
              <w:iCs/>
              <w:sz w:val="36"/>
              <w:szCs w:val="36"/>
            </w:rPr>
            <w:t>NEWS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tabs>
        <w:tab w:val="clear" w:pos="720"/>
        <w:tab w:val="right" w:pos="8460" w:leader="none"/>
      </w:tabs>
      <w:spacing w:before="360" w:after="0"/>
      <w:outlineLvl w:val="0"/>
    </w:pPr>
    <w:rPr/>
  </w:style>
  <w:style w:type="paragraph" w:styleId="Heading2">
    <w:name w:val="heading 2"/>
    <w:basedOn w:val="Normal"/>
    <w:next w:val="Normal"/>
    <w:qFormat/>
    <w:pPr>
      <w:keepNext w:val="true"/>
      <w:numPr>
        <w:ilvl w:val="1"/>
        <w:numId w:val="1"/>
      </w:numPr>
      <w:spacing w:lineRule="auto" w:line="240" w:before="240" w:after="60"/>
      <w:outlineLvl w:val="1"/>
    </w:pPr>
    <w:rPr>
      <w:b/>
      <w:bCs/>
      <w:caps/>
      <w:sz w:val="28"/>
      <w:szCs w:val="28"/>
    </w:rPr>
  </w:style>
  <w:style w:type="paragraph" w:styleId="Heading3">
    <w:name w:val="heading 3"/>
    <w:basedOn w:val="Normal"/>
    <w:next w:val="Normal"/>
    <w:qFormat/>
    <w:pPr>
      <w:keepNext w:val="true"/>
      <w:numPr>
        <w:ilvl w:val="2"/>
        <w:numId w:val="1"/>
      </w:numPr>
      <w:spacing w:lineRule="auto" w:line="240" w:before="240" w:after="60"/>
      <w:outlineLvl w:val="2"/>
    </w:pPr>
    <w:rPr>
      <w:b/>
      <w:bCs/>
      <w:caps/>
      <w:sz w:val="28"/>
      <w:szCs w:val="28"/>
    </w:rPr>
  </w:style>
  <w:style w:type="character" w:styleId="DefaultParagraphFont">
    <w:name w:val="Default Paragraph Font"/>
    <w:qFormat/>
    <w:rPr/>
  </w:style>
  <w:style w:type="character" w:styleId="DRAFT">
    <w:name w:val="DRAFT"/>
    <w:basedOn w:val="DefaultParagraphFont"/>
    <w:qFormat/>
    <w:rPr>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8280" w:leader="none"/>
      </w:tabs>
      <w:spacing w:lineRule="auto" w:line="240"/>
      <w:ind w:hanging="0" w:start="0" w:end="0"/>
    </w:pPr>
    <w:rPr/>
  </w:style>
  <w:style w:type="paragraph" w:styleId="Footer">
    <w:name w:val="footer"/>
    <w:basedOn w:val="Normal"/>
    <w:pPr>
      <w:spacing w:lineRule="auto" w:line="240"/>
      <w:ind w:hanging="0" w:start="0" w:end="0"/>
      <w:jc w:val="center"/>
    </w:pPr>
    <w:rPr/>
  </w:style>
  <w:style w:type="paragraph" w:styleId="contact">
    <w:name w:val="contact"/>
    <w:basedOn w:val="Normal"/>
    <w:next w:val="Normal"/>
    <w:qFormat/>
    <w:pPr>
      <w:jc w:val="end"/>
    </w:pPr>
    <w:rPr>
      <w:color w:val="000000"/>
    </w:rPr>
  </w:style>
  <w:style w:type="paragraph" w:styleId="Subject">
    <w:name w:val="Subject"/>
    <w:basedOn w:val="Normal"/>
    <w:next w:val="Normal"/>
    <w:qFormat/>
    <w:pPr>
      <w:shd w:fill="CCCCCC" w:val="clear"/>
      <w:jc w:val="center"/>
    </w:pPr>
    <w:rPr>
      <w:b/>
      <w:bCs/>
      <w:sz w:val="32"/>
      <w:szCs w:val="32"/>
    </w:rPr>
  </w:style>
  <w:style w:type="paragraph" w:styleId="WebTag">
    <w:name w:val="Web Tag"/>
    <w:basedOn w:val="Footer"/>
    <w:qFormat/>
    <w:pPr>
      <w:spacing w:lineRule="atLeast" w:line="0" w:before="240" w:after="0"/>
      <w:jc w:val="start"/>
    </w:pPr>
    <w:rPr>
      <w:b/>
      <w:bCs/>
      <w:sz w:val="28"/>
      <w:szCs w:val="28"/>
    </w:rPr>
  </w:style>
  <w:style w:type="paragraph" w:styleId="Positions">
    <w:name w:val="Positions"/>
    <w:basedOn w:val="Normal"/>
    <w:qFormat/>
    <w:pPr>
      <w:numPr>
        <w:ilvl w:val="0"/>
        <w:numId w:val="2"/>
      </w:numPr>
      <w:spacing w:before="0" w:after="240"/>
      <w:ind w:hanging="360" w:start="360" w:end="0"/>
    </w:pPr>
    <w:rPr/>
  </w:style>
  <w:style w:type="paragraph" w:styleId="Approval">
    <w:name w:val="Approval"/>
    <w:basedOn w:val="Normal"/>
    <w:next w:val="Normal"/>
    <w:qFormat/>
    <w:pPr/>
    <w:rPr>
      <w:b/>
      <w:bCs/>
    </w:rPr>
  </w:style>
  <w:style w:type="paragraph" w:styleId="Disclaimer">
    <w:name w:val="Disclaimer"/>
    <w:basedOn w:val="Footer"/>
    <w:qFormat/>
    <w:pPr>
      <w:shd w:fill="000000" w:val="clear"/>
    </w:pPr>
    <w:rPr>
      <w:color w:val="FFFFFF"/>
      <w:sz w:val="16"/>
      <w:szCs w:val="16"/>
    </w:rPr>
  </w:style>
  <w:style w:type="paragraph" w:styleId="Situation">
    <w:name w:val="Situation"/>
    <w:basedOn w:val="Normal"/>
    <w:next w:val="Normal"/>
    <w:qFormat/>
    <w:pPr>
      <w:spacing w:lineRule="auto" w:line="240"/>
    </w:pPr>
    <w:rPr>
      <w:i/>
      <w:iCs/>
    </w:rPr>
  </w:style>
  <w:style w:type="paragraph" w:styleId="cc">
    <w:name w:val="cc"/>
    <w:basedOn w:val="Positions"/>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standbyh.dot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2000-02-07T21:52:00Z</dcterms:created>
  <dc:creator>A Valued Microsoft Customer</dc:creator>
  <dc:description/>
  <dc:language>en-CA</dc:language>
  <cp:lastModifiedBy>A Valued Microsoft Customer</cp:lastModifiedBy>
  <cp:lastPrinted>2000-02-07T16:29:00Z</cp:lastPrinted>
  <dcterms:modified xsi:type="dcterms:W3CDTF">2000-02-07T22:01:00Z</dcterms:modified>
  <cp:revision>6</cp:revision>
  <dc:subject/>
  <dc:title>PCBS FROM TRANSWESTERN GAS PIPELINE</dc:title>
</cp:coreProperties>
</file>