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jc w:val="center"/>
        <w:rPr>
          <w:b/>
          <w:bCs/>
        </w:rPr>
      </w:pPr>
      <w:r>
        <w:rPr>
          <w:b/>
          <w:bCs/>
        </w:rPr>
        <w:t>BEFORE THE PUBLIC UTILITIES COMMISSION OF THE</w:t>
        <w:br/>
        <w:t>STATE OF CALIFORNIA</w:t>
      </w:r>
    </w:p>
    <w:p>
      <w:pPr>
        <w:pStyle w:val="Normal"/>
        <w:widowControl/>
        <w:suppressAutoHyphens w:val="true"/>
        <w:rPr>
          <w:b/>
          <w:bCs/>
        </w:rPr>
      </w:pPr>
      <w:r>
        <w:rPr>
          <w:b/>
          <w:bCs/>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00-11-038</w:t>
            </w:r>
          </w:p>
          <w:p>
            <w:pPr>
              <w:pStyle w:val="Normal"/>
              <w:widowControl/>
              <w:jc w:val="center"/>
              <w:rPr/>
            </w:pPr>
            <w:r>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Emergency Application of Pacific Gas and Electric Company to Adopt a Rate Stabilization Plan.</w:t>
              <w:tab/>
              <w:tab/>
              <w:t>(U 39 E)</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00-11-056</w:t>
            </w:r>
          </w:p>
          <w:p>
            <w:pPr>
              <w:pStyle w:val="Normal"/>
              <w:widowControl/>
              <w:jc w:val="center"/>
              <w:rPr/>
            </w:pPr>
            <w:r>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Petition of THE UTILITY REFORM NETWORK for Modification of Resolution E-3527.</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Application 00-10-028</w:t>
            </w:r>
          </w:p>
          <w:p>
            <w:pPr>
              <w:pStyle w:val="Normal"/>
              <w:widowControl/>
              <w:jc w:val="center"/>
              <w:rPr/>
            </w:pPr>
            <w:r>
              <w:rPr/>
              <w:t>(Filed October 17, 2000)</w:t>
            </w:r>
          </w:p>
        </w:tc>
      </w:tr>
    </w:tbl>
    <w:p>
      <w:pPr>
        <w:pStyle w:val="Normal"/>
        <w:widowControl/>
        <w:suppressAutoHyphens w:val="true"/>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Heading"/>
        <w:widowControl/>
        <w:rPr/>
      </w:pPr>
      <w:r>
        <w:rPr/>
        <w:t xml:space="preserve">COMMENTS OF CALPINE CORPORATION </w:t>
        <w:br/>
        <w:t xml:space="preserve">ON INTERIM OPINION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bl>
      <w:tblPr>
        <w:tblW w:w="4608" w:type="dxa"/>
        <w:jc w:val="start"/>
        <w:tblInd w:w="4968" w:type="dxa"/>
        <w:tblLayout w:type="fixed"/>
        <w:tblCellMar>
          <w:top w:w="0" w:type="dxa"/>
          <w:start w:w="108" w:type="dxa"/>
          <w:bottom w:w="0" w:type="dxa"/>
          <w:end w:w="108" w:type="dxa"/>
        </w:tblCellMar>
      </w:tblPr>
      <w:tblGrid>
        <w:gridCol w:w="4608"/>
      </w:tblGrid>
      <w:tr>
        <w:trPr/>
        <w:tc>
          <w:tcPr>
            <w:tcW w:w="4608" w:type="dxa"/>
            <w:tcBorders/>
          </w:tcPr>
          <w:p>
            <w:pPr>
              <w:pStyle w:val="Normal"/>
              <w:widowControl/>
              <w:rPr/>
            </w:pPr>
            <w:r>
              <w:rPr/>
              <w:t>Steven F. Greenwald</w:t>
            </w:r>
          </w:p>
          <w:p>
            <w:pPr>
              <w:pStyle w:val="Normal"/>
              <w:widowControl/>
              <w:rPr/>
            </w:pPr>
            <w:r>
              <w:rPr/>
              <w:t>Lindsey How-Downing</w:t>
            </w:r>
          </w:p>
          <w:p>
            <w:pPr>
              <w:pStyle w:val="Normal"/>
              <w:widowControl/>
              <w:rPr/>
            </w:pPr>
            <w:r>
              <w:rPr/>
              <w:t>Salle E. Yoo</w:t>
            </w:r>
          </w:p>
          <w:p>
            <w:pPr>
              <w:pStyle w:val="Normal"/>
              <w:widowControl/>
              <w:rPr/>
            </w:pPr>
            <w:r>
              <w:rPr/>
              <w:t>DAVIS WRIGHT TREMAINE LLP</w:t>
            </w:r>
          </w:p>
          <w:p>
            <w:pPr>
              <w:pStyle w:val="Normal"/>
              <w:widowControl/>
              <w:rPr/>
            </w:pPr>
            <w:r>
              <w:rPr/>
              <w:t>One Embarcadero Center, Suite 600</w:t>
            </w:r>
          </w:p>
          <w:p>
            <w:pPr>
              <w:pStyle w:val="Normal"/>
              <w:widowControl/>
              <w:rPr/>
            </w:pPr>
            <w:r>
              <w:rPr/>
              <w:t>San Francisco, California  94111</w:t>
            </w:r>
          </w:p>
          <w:p>
            <w:pPr>
              <w:pStyle w:val="Normal"/>
              <w:widowControl/>
              <w:rPr/>
            </w:pPr>
            <w:r>
              <w:rPr/>
              <w:t>Tel.</w:t>
              <w:tab/>
              <w:t>(415) 276-6500</w:t>
            </w:r>
          </w:p>
          <w:p>
            <w:pPr>
              <w:pStyle w:val="Normal"/>
              <w:widowControl/>
              <w:spacing w:before="0" w:after="240"/>
              <w:rPr/>
            </w:pPr>
            <w:r>
              <w:rPr/>
              <w:t>Fax.</w:t>
              <w:tab/>
              <w:t>(415) 276-6599</w:t>
            </w:r>
          </w:p>
          <w:p>
            <w:pPr>
              <w:pStyle w:val="Normal"/>
              <w:widowControl/>
              <w:rPr/>
            </w:pPr>
            <w:r>
              <w:rPr/>
              <w:t>Attorneys for Calpine Corporation</w:t>
            </w:r>
          </w:p>
          <w:p>
            <w:pPr>
              <w:pStyle w:val="Normal"/>
              <w:widowControl/>
              <w:rPr/>
            </w:pPr>
            <w:r>
              <w:rPr/>
            </w:r>
          </w:p>
        </w:tc>
      </w:tr>
    </w:tbl>
    <w:p>
      <w:pPr>
        <w:pStyle w:val="Normal"/>
        <w:widowControl/>
        <w:rPr/>
      </w:pPr>
      <w:r>
        <w:rPr/>
        <w:t>February 21, 2001</w:t>
      </w:r>
    </w:p>
    <w:p>
      <w:pPr>
        <w:sectPr>
          <w:footerReference w:type="default" r:id="rId2"/>
          <w:type w:val="nextPage"/>
          <w:pgSz w:w="12240" w:h="15840"/>
          <w:pgMar w:left="1440" w:right="1440" w:gutter="0" w:header="0" w:top="1440" w:footer="720" w:bottom="1440"/>
          <w:pgNumType w:fmt="decimal"/>
          <w:formProt w:val="false"/>
          <w:textDirection w:val="lrTb"/>
        </w:sectPr>
        <w:pStyle w:val="Normal"/>
        <w:widowControl/>
        <w:rPr/>
      </w:pPr>
      <w:r>
        <w:rPr/>
      </w:r>
    </w:p>
    <w:p>
      <w:pPr>
        <w:pStyle w:val="Normal"/>
        <w:widowControl/>
        <w:jc w:val="center"/>
        <w:rPr>
          <w:b/>
          <w:bCs/>
        </w:rPr>
      </w:pPr>
      <w:r>
        <w:rPr>
          <w:b/>
          <w:bCs/>
        </w:rPr>
        <w:t>BEFORE THE PUBLIC UTILITIES COMMISSION OF THE</w:t>
        <w:br/>
        <w:t>STATE OF CALIFORNIA</w:t>
      </w:r>
    </w:p>
    <w:p>
      <w:pPr>
        <w:pStyle w:val="Normal"/>
        <w:widowControl/>
        <w:rPr>
          <w:b/>
          <w:bCs/>
        </w:rPr>
      </w:pPr>
      <w:r>
        <w:rPr>
          <w:b/>
          <w:bCs/>
        </w:rPr>
      </w:r>
    </w:p>
    <w:p>
      <w:pPr>
        <w:pStyle w:val="Normal"/>
        <w:widowControl/>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00-11-038</w:t>
            </w:r>
          </w:p>
          <w:p>
            <w:pPr>
              <w:pStyle w:val="Normal"/>
              <w:widowControl/>
              <w:jc w:val="center"/>
              <w:rPr/>
            </w:pPr>
            <w:r>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Emergency Application of Pacific Gas and Electric Company to Adopt a Rate Stabilization Plan.</w:t>
              <w:tab/>
              <w:tab/>
              <w:t>(U 39 E)</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00-11-056</w:t>
            </w:r>
          </w:p>
          <w:p>
            <w:pPr>
              <w:pStyle w:val="Normal"/>
              <w:widowControl/>
              <w:jc w:val="center"/>
              <w:rPr/>
            </w:pPr>
            <w:r>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Petition of THE UTILITY REFORM NETWORK for Modification of Resolution E-3527.</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Application 00-10-028</w:t>
            </w:r>
          </w:p>
          <w:p>
            <w:pPr>
              <w:pStyle w:val="Normal"/>
              <w:widowControl/>
              <w:jc w:val="center"/>
              <w:rPr/>
            </w:pPr>
            <w:r>
              <w:rPr/>
              <w:t>(Filed October 17, 2000)</w:t>
            </w:r>
          </w:p>
        </w:tc>
      </w:tr>
    </w:tbl>
    <w:p>
      <w:pPr>
        <w:pStyle w:val="Normal"/>
        <w:widowControl/>
        <w:rPr/>
      </w:pPr>
      <w:r>
        <w:rPr/>
      </w:r>
    </w:p>
    <w:p>
      <w:pPr>
        <w:pStyle w:val="Heading"/>
        <w:widowControl/>
        <w:rPr/>
      </w:pPr>
      <w:r>
        <w:rPr/>
        <w:t xml:space="preserve">COMMENTS OF CALPINE CORPORATION </w:t>
        <w:br/>
        <w:t xml:space="preserve">ON INTERIM OPINION </w:t>
      </w:r>
    </w:p>
    <w:p>
      <w:pPr>
        <w:pStyle w:val="Normal"/>
        <w:widowControl/>
        <w:rPr/>
      </w:pPr>
      <w:r>
        <w:rPr/>
      </w:r>
    </w:p>
    <w:p>
      <w:pPr>
        <w:pStyle w:val="Normal"/>
        <w:widowControl/>
        <w:spacing w:lineRule="auto" w:line="480"/>
        <w:ind w:firstLine="720" w:end="0"/>
        <w:rPr/>
      </w:pPr>
      <w:r>
        <w:rPr/>
        <w:t xml:space="preserve">Pursuant to Rules 77.2, 77.3, 77.4 of the California Public Utilities Commission’s (“Commission”) Rules of Practice and Procedure, Calpine Corporation (“Calpine”) submits its comments (“Comments”) on the proposed interim opinion of Administrative Law Judge DeUlloa issued on February 20, 2001, addressing the Commission’s obligations under California Water Code section 80110 (“Draft Interim Opinion”).  </w:t>
      </w:r>
    </w:p>
    <w:p>
      <w:pPr>
        <w:pStyle w:val="Normal"/>
        <w:widowControl/>
        <w:spacing w:lineRule="auto" w:line="480"/>
        <w:ind w:firstLine="720" w:end="0"/>
        <w:rPr/>
      </w:pPr>
      <w:r>
        <w:rPr/>
        <w:t>Calpine understand the urgent need for the Commission to issue the Draft Interim Opinion and ensure that the California Department of Water Resources (“DWR”) receives payment for energy purchased and sold.  However, equally as important as ensuring that DWR has an adequate revenue stream is the need for the Commission to provide for payment of both overdue past amounts owed to QFs, and payments for future power sold by QFs.  The utilities’ current inability to timely and fully pay QFs is having current, and is likely to have long term, detrimental consequences to the continuing availability of much needed QF energy.  Simply put, absent payment and absent any assurance of future payments, many QFs are unable to obtain fuel to generate power and thus California is already being deprived of their generation during this critical period.  This situation will only worsen unless the utilities resume meeting their contractual commitments.  Calpine requests that the Commission amend the Draft Interim Opinion to clarify that the utilities apply any energy revenues they receive that are not allocated to DWR to payments to QFs and other energy suppliers.</w:t>
      </w:r>
    </w:p>
    <w:p>
      <w:pPr>
        <w:pStyle w:val="OutHead1"/>
        <w:widowControl/>
        <w:rPr/>
      </w:pPr>
      <w:r>
        <w:rPr/>
        <w:t>I.</w:t>
        <w:tab/>
        <w:t>PROCEDURAL HISTORY</w:t>
      </w:r>
    </w:p>
    <w:p>
      <w:pPr>
        <w:pStyle w:val="Normal"/>
        <w:widowControl/>
        <w:spacing w:lineRule="auto" w:line="480"/>
        <w:ind w:firstLine="720" w:end="0"/>
        <w:rPr/>
      </w:pPr>
      <w:r>
        <w:rPr/>
        <w:t xml:space="preserve">On February 1, 2001, the Commission issued an Interim Order, D. 01-01-061 (Feb. 1 Order”) in response to recently enacted California Water Code section 200(i).  S.B. X1 7, 2001 Cal. Stat. Ch. 3.  Section 200(i) establishes on a temporary basis DWR’s authority to purchase power and resell it to end use customers.  The Feb.1 Order adopts delivery and payment mechanisms for such emergency electric power purchased and sold.  It finds that DWR should sell electric power it purchases directly to end use customers and directs the utilities to deliver such power to end users, and to act as billing agents for DWR.  </w:t>
      </w:r>
    </w:p>
    <w:p>
      <w:pPr>
        <w:pStyle w:val="Normal"/>
        <w:widowControl/>
        <w:spacing w:lineRule="auto" w:line="480"/>
        <w:ind w:firstLine="720" w:end="0"/>
        <w:rPr/>
      </w:pPr>
      <w:r>
        <w:rPr/>
        <w:t>The Feb. 1 Order also finds that the utilities should pay DWR an amount  based on “a percentage of the amount each retail end-use customer currently is charged for electric energy.” Mimeo at 4.  That amount is to be calculated on a daily basis as a percentage of DWR sales to total utility sales (</w:t>
      </w:r>
      <w:r>
        <w:rPr>
          <w:i/>
          <w:iCs/>
        </w:rPr>
        <w:t>i.e.</w:t>
      </w:r>
      <w:r>
        <w:rPr/>
        <w:t xml:space="preserve">, if DWR power constitutes 25 % of a utility’s total sales delivered to customers, DWR is entitled to 25% of the residual energy component of the utility’s rates.)  </w:t>
      </w:r>
      <w:r>
        <w:rPr>
          <w:i/>
          <w:iCs/>
        </w:rPr>
        <w:t>Id</w:t>
      </w:r>
      <w:r>
        <w:rPr/>
        <w:t>.  The Feb. 1 Order finds that the utilities are to collect such amounts, hold them in trust, and make monthly payments to DWR.</w:t>
      </w:r>
    </w:p>
    <w:p>
      <w:pPr>
        <w:pStyle w:val="Normal"/>
        <w:widowControl/>
        <w:spacing w:lineRule="auto" w:line="480"/>
        <w:ind w:firstLine="720" w:end="0"/>
        <w:rPr/>
      </w:pPr>
      <w:r>
        <w:rPr/>
        <w:t xml:space="preserve">In addition, the Feb. 1 Order finds that the utilities should price utility retained generation (“URG”) on a “cost basis”, as of the day they stopped selling into the California Power Exchange.  The utilities must calculate such cost based rates on ongoing expenditures, with capital related revenue based on the amounts in their respective Transition Cost Recovery Balancing Accounts (“TCBA”), subject to future adjustment.  </w:t>
      </w:r>
    </w:p>
    <w:p>
      <w:pPr>
        <w:pStyle w:val="Normal"/>
        <w:widowControl/>
        <w:spacing w:lineRule="auto" w:line="480"/>
        <w:ind w:firstLine="720" w:end="0"/>
        <w:rPr/>
      </w:pPr>
      <w:r>
        <w:rPr/>
        <w:t xml:space="preserve"> </w:t>
      </w:r>
      <w:r>
        <w:rPr/>
        <w:t xml:space="preserve">On February 8, Southern California Edison Company (“SCE”) and Pacific Gas and Electric Company (“PG&amp;E”) filed a joint petition to modify the Feb. 1 Order (“Petition”) arguing, </w:t>
      </w:r>
      <w:r>
        <w:rPr>
          <w:i/>
          <w:iCs/>
        </w:rPr>
        <w:t>inter alia</w:t>
      </w:r>
      <w:r>
        <w:rPr/>
        <w:t>, that the Commission should delete those provisions which allocate a percentage of energy revenues to DWR as compensation for energy sales made by DWR to customers.  The Petition asserts that allocating revenues to DWR “may prevent utilities from making timely payments under QF and bilateral contracts….”  Petition at 11.  Replies to the Petition are due March 12; meanwhile ALJ DeUlloa has issued a draft interim opinion (“Petition Interim Opinion”) which, if adopted, would stay the requirement that the utilities make advice letter filings to implement the Feb. 1 Order pending consideration of the Petition.  Petition Interim Opinion, Ordering Paragraph 8.</w:t>
      </w:r>
    </w:p>
    <w:p>
      <w:pPr>
        <w:pStyle w:val="Normal"/>
        <w:widowControl/>
        <w:spacing w:lineRule="auto" w:line="480"/>
        <w:ind w:firstLine="720" w:end="0"/>
        <w:rPr/>
      </w:pPr>
      <w:r>
        <w:rPr/>
        <w:t xml:space="preserve">Subsequent to the Feb. 1 Order, AB X1 was enacted extending the DWR’s authority to purchase and sell electric power to California end-users.  </w:t>
      </w:r>
      <w:r>
        <w:rPr>
          <w:color w:val="000000"/>
        </w:rPr>
        <w:t>A.B. X1 5, 2001 Cal. Stat. Ch. 4.</w:t>
      </w:r>
      <w:r>
        <w:rPr>
          <w:color w:val="0000FF"/>
        </w:rPr>
        <w:t xml:space="preserve"> </w:t>
      </w:r>
      <w:r>
        <w:rPr/>
        <w:t xml:space="preserve"> On February 16,  DWR requested that the Commission issue an emergency order implementing AB X1 to enable DWR to realize a portion of its revenue requirements from the sale of power.  </w:t>
      </w:r>
    </w:p>
    <w:p>
      <w:pPr>
        <w:pStyle w:val="Normal"/>
        <w:widowControl/>
        <w:spacing w:lineRule="auto" w:line="480"/>
        <w:ind w:firstLine="720" w:end="0"/>
        <w:rPr/>
      </w:pPr>
      <w:r>
        <w:rPr/>
        <w:t>The Draft Interim Opinion would extend, on an interim basis, the methodology adopted in the Feb. 1 Order for the utilities to allocate revenues for power purchased by DWR and sold to retail end use customers.  It also would direct the utilities to develop a service agreement with DWR for the provision of billing and collection services.  It expressly does not “end the rate freeze, set an interim valuation for utility assets, [or] increase rates….” Draft Interim Opinion, Conclusions of Law 9.  Parties may comment on the interim methodology within 30 days after the Draft Interim Opinion is mailed.</w:t>
      </w:r>
    </w:p>
    <w:p>
      <w:pPr>
        <w:pStyle w:val="Normal"/>
        <w:widowControl/>
        <w:ind w:firstLine="720" w:end="0"/>
        <w:rPr/>
      </w:pPr>
      <w:r>
        <w:rPr/>
      </w:r>
    </w:p>
    <w:p>
      <w:pPr>
        <w:pStyle w:val="OutHead1"/>
        <w:widowControl/>
        <w:rPr/>
      </w:pPr>
      <w:r>
        <w:rPr/>
        <w:t>II.</w:t>
        <w:tab/>
        <w:t>The COMMISSION should ensure that qfs remain operational By Directing that Utilities pay qfs out of current rates</w:t>
      </w:r>
    </w:p>
    <w:p>
      <w:pPr>
        <w:pStyle w:val="DWTNorm"/>
        <w:widowControl/>
        <w:rPr/>
      </w:pPr>
      <w:r>
        <w:rPr/>
        <w:t>QFs provide a valuable resource to California and play an important role in ensuring that California’s need for electric generation is met.  Low cost, efficient and renewable QF power can provide a major contribution to the severe supply shortage confronting California.  Additionally, to the extent that QFs are supplying lower cost power under contract to the utilities, DWR need not acquire power from possibly higher priced supply.  However, currently SCE and PG&amp;E are each declining to pay QFs for their power deliveries.  The utilities’ failure to pay QFs is already rendering many QFs unable to purchase fuel and make payments to lenders, depriving these QFs the opportunity to produce power and depriving California of this desirable power.  This unnecessary loss of QF generation serves to increase the utilities’ net short position and will require DWR to purchase higher cost power elsewhere.  Therefore, it is in DWR’s interest, and in the interest of California ratepayers to ensure that QFs receive timely payment and remain operational.</w:t>
      </w:r>
    </w:p>
    <w:p>
      <w:pPr>
        <w:pStyle w:val="DWTNorm"/>
        <w:widowControl/>
        <w:rPr/>
      </w:pPr>
      <w:r>
        <w:rPr/>
        <w:t>Accordingly, in this proceeding the Commission should also expeditiously address how the utilities’ payments obligations to QFs ( both past and ongoing) can be met.  Calpine requests that as a first step the Commission amend the Draft Interim Opinion to direct that any energy revenues received by the utilities which are not allocated to DWR be first used to make payments to QF’s and other bilateral energy suppliers.</w:t>
      </w:r>
    </w:p>
    <w:p>
      <w:pPr>
        <w:pStyle w:val="DWTNorm"/>
        <w:widowControl/>
        <w:rPr/>
      </w:pPr>
      <w:r>
        <w:rPr/>
      </w:r>
    </w:p>
    <w:p>
      <w:pPr>
        <w:pStyle w:val="OutHead1"/>
        <w:widowControl/>
        <w:rPr/>
      </w:pPr>
      <w:r>
        <w:rPr/>
        <w:t>III.</w:t>
        <w:tab/>
        <w:t>conclusion</w:t>
      </w:r>
    </w:p>
    <w:p>
      <w:pPr>
        <w:pStyle w:val="DWTNorm"/>
        <w:keepNext w:val="true"/>
        <w:widowControl/>
        <w:rPr/>
      </w:pPr>
      <w:r>
        <w:rPr/>
        <w:t>WHEREFOR, for the reasons stated above, Calpine respectfully requests that the Commission modify the Draft Proposed Decision to provide that utilities pay QFs and other bilateral obligations out of current rates.</w:t>
      </w:r>
    </w:p>
    <w:p>
      <w:pPr>
        <w:pStyle w:val="DWTNorm"/>
        <w:keepNext w:val="true"/>
        <w:widowControl/>
        <w:ind w:hanging="0" w:end="0"/>
        <w:rPr/>
      </w:pPr>
      <w:r>
        <w:rPr/>
      </w:r>
    </w:p>
    <w:p>
      <w:pPr>
        <w:pStyle w:val="DWTNorm"/>
        <w:keepNext w:val="true"/>
        <w:widowControl/>
        <w:ind w:hanging="0" w:end="0"/>
        <w:rPr/>
      </w:pPr>
      <w:r>
        <w:rPr/>
        <w:t>DATED:  February 21, 2001</w:t>
        <w:tab/>
        <w:tab/>
        <w:tab/>
        <w:t>Respectfully submitted,</w:t>
      </w:r>
    </w:p>
    <w:tbl>
      <w:tblPr>
        <w:tblW w:w="9468" w:type="dxa"/>
        <w:jc w:val="start"/>
        <w:tblInd w:w="0" w:type="dxa"/>
        <w:tblLayout w:type="fixed"/>
        <w:tblCellMar>
          <w:top w:w="0" w:type="dxa"/>
          <w:start w:w="108" w:type="dxa"/>
          <w:bottom w:w="0" w:type="dxa"/>
          <w:end w:w="108" w:type="dxa"/>
        </w:tblCellMar>
      </w:tblPr>
      <w:tblGrid>
        <w:gridCol w:w="4338"/>
        <w:gridCol w:w="5130"/>
      </w:tblGrid>
      <w:tr>
        <w:trPr/>
        <w:tc>
          <w:tcPr>
            <w:tcW w:w="4338" w:type="dxa"/>
            <w:tcBorders>
              <w:top w:val="dashed" w:sz="6" w:space="0" w:color="auto"/>
              <w:start w:val="dashed" w:sz="6" w:space="0" w:color="auto"/>
              <w:bottom w:val="dashed" w:sz="6" w:space="0" w:color="auto"/>
              <w:end w:val="dashed" w:sz="6" w:space="0" w:color="auto"/>
            </w:tcBorders>
          </w:tcPr>
          <w:p>
            <w:pPr>
              <w:pStyle w:val="Normal"/>
              <w:widowControl/>
              <w:snapToGrid w:val="false"/>
              <w:rPr/>
            </w:pPr>
            <w:r>
              <w:rPr/>
            </w:r>
          </w:p>
        </w:tc>
        <w:tc>
          <w:tcPr>
            <w:tcW w:w="5130" w:type="dxa"/>
            <w:tcBorders>
              <w:top w:val="dashed" w:sz="6" w:space="0" w:color="auto"/>
              <w:start w:val="dashed" w:sz="6" w:space="0" w:color="auto"/>
              <w:bottom w:val="dashed" w:sz="6" w:space="0" w:color="auto"/>
              <w:end w:val="dashed" w:sz="6" w:space="0" w:color="auto"/>
            </w:tcBorders>
          </w:tcPr>
          <w:p>
            <w:pPr>
              <w:pStyle w:val="Normal"/>
              <w:widowControl/>
              <w:snapToGrid w:val="false"/>
              <w:rPr/>
            </w:pPr>
            <w:r>
              <w:rPr/>
            </w:r>
          </w:p>
          <w:p>
            <w:pPr>
              <w:pStyle w:val="Normal"/>
              <w:widowControl/>
              <w:tabs>
                <w:tab w:val="clear" w:pos="720"/>
                <w:tab w:val="left" w:pos="4482" w:leader="none"/>
              </w:tabs>
              <w:rPr>
                <w:u w:val="single"/>
              </w:rPr>
            </w:pPr>
            <w:r>
              <w:rPr>
                <w:u w:val="single"/>
              </w:rPr>
              <w:tab/>
            </w:r>
          </w:p>
          <w:p>
            <w:pPr>
              <w:pStyle w:val="Normal"/>
              <w:widowControl/>
              <w:rPr/>
            </w:pPr>
            <w:r>
              <w:rPr/>
              <w:t>Lindsey How-Downing</w:t>
            </w:r>
          </w:p>
          <w:p>
            <w:pPr>
              <w:pStyle w:val="Normal"/>
              <w:widowControl/>
              <w:rPr/>
            </w:pPr>
            <w:r>
              <w:rPr/>
              <w:t>Steven F. Greenwald</w:t>
            </w:r>
          </w:p>
          <w:p>
            <w:pPr>
              <w:pStyle w:val="Normal"/>
              <w:widowControl/>
              <w:rPr/>
            </w:pPr>
            <w:r>
              <w:rPr/>
              <w:t>Salle E. Yoo</w:t>
            </w:r>
          </w:p>
          <w:p>
            <w:pPr>
              <w:pStyle w:val="Normal"/>
              <w:widowControl/>
              <w:rPr/>
            </w:pPr>
            <w:r>
              <w:rPr/>
            </w:r>
          </w:p>
          <w:p>
            <w:pPr>
              <w:pStyle w:val="Normal"/>
              <w:widowControl/>
              <w:rPr/>
            </w:pPr>
            <w:r>
              <w:rPr/>
              <w:t>DAVIS WRIGHT TREMAINE LLP</w:t>
            </w:r>
          </w:p>
          <w:p>
            <w:pPr>
              <w:pStyle w:val="Normal"/>
              <w:widowControl/>
              <w:rPr/>
            </w:pPr>
            <w:r>
              <w:rPr/>
              <w:t>One Embarcadero Center, Suite 600</w:t>
            </w:r>
          </w:p>
          <w:p>
            <w:pPr>
              <w:pStyle w:val="Normal"/>
              <w:widowControl/>
              <w:rPr/>
            </w:pPr>
            <w:r>
              <w:rPr/>
              <w:t>San Francisco, CA  94111-3834</w:t>
            </w:r>
          </w:p>
          <w:p>
            <w:pPr>
              <w:pStyle w:val="Normal"/>
              <w:widowControl/>
              <w:rPr/>
            </w:pPr>
            <w:r>
              <w:rPr/>
              <w:t>Telephone:  (415) 276-6500</w:t>
            </w:r>
          </w:p>
          <w:p>
            <w:pPr>
              <w:pStyle w:val="Normal"/>
              <w:widowControl/>
              <w:rPr/>
            </w:pPr>
            <w:r>
              <w:rPr/>
              <w:t>Facsimile:    (415) 276-6599</w:t>
            </w:r>
          </w:p>
          <w:p>
            <w:pPr>
              <w:pStyle w:val="Normal"/>
              <w:widowControl/>
              <w:rPr/>
            </w:pPr>
            <w:r>
              <w:rPr/>
              <w:t>E-mail:  lindseyhowdowning@dwt.com</w:t>
            </w:r>
          </w:p>
          <w:p>
            <w:pPr>
              <w:pStyle w:val="Normal"/>
              <w:widowControl/>
              <w:rPr/>
            </w:pPr>
            <w:r>
              <w:rPr/>
            </w:r>
          </w:p>
          <w:p>
            <w:pPr>
              <w:pStyle w:val="Normal"/>
              <w:widowControl/>
              <w:rPr/>
            </w:pPr>
            <w:r>
              <w:rPr/>
              <w:t>Attorneys for CALPINE CORPORATION</w:t>
            </w:r>
          </w:p>
        </w:tc>
      </w:tr>
    </w:tbl>
    <w:p>
      <w:pPr>
        <w:pStyle w:val="Normal"/>
        <w:widowControl/>
        <w:rPr/>
      </w:pPr>
      <w:r>
        <w:rPr/>
      </w:r>
    </w:p>
    <w:p>
      <w:pPr>
        <w:pStyle w:val="Normal"/>
        <w:widowControl/>
        <w:rPr/>
      </w:pPr>
      <w:r>
        <w:rPr/>
      </w:r>
    </w:p>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Arial">
    <w:charset w:val="01"/>
    <w:family w:val="swiss"/>
    <w:pitch w:val="variable"/>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00018pld1_.doc</w:t>
    </w:r>
    <w:r>
      <w:rPr>
        <w:sz w:val="16"/>
        <w:szCs w:val="16"/>
      </w:rPr>
      <w:fldChar w:fldCharType="end"/>
    </w:r>
  </w:p>
  <w:p>
    <w:pPr>
      <w:pStyle w:val="Footer"/>
      <w:rPr>
        <w:sz w:val="16"/>
        <w:szCs w:val="16"/>
      </w:rPr>
    </w:pPr>
    <w:r>
      <w:rPr>
        <w:sz w:val="16"/>
        <w:szCs w:val="16"/>
      </w:rPr>
      <w:t>San Francisco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00018pld1_.doc</w:t>
    </w:r>
    <w:r>
      <w:rPr>
        <w:sz w:val="16"/>
        <w:szCs w:val="16"/>
      </w:rPr>
      <w:fldChar w:fldCharType="end"/>
    </w:r>
  </w:p>
  <w:p>
    <w:pPr>
      <w:pStyle w:val="Footer"/>
      <w:rPr>
        <w:sz w:val="16"/>
        <w:szCs w:val="16"/>
      </w:rPr>
    </w:pPr>
    <w:r>
      <w:rPr>
        <w:sz w:val="16"/>
        <w:szCs w:val="16"/>
      </w:rPr>
      <w:t>San Francisco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Body"/>
    <w:qFormat/>
    <w:pPr>
      <w:keepNext w:val="true"/>
      <w:numPr>
        <w:ilvl w:val="0"/>
        <w:numId w:val="1"/>
      </w:numPr>
      <w:jc w:val="center"/>
      <w:outlineLvl w:val="0"/>
    </w:pPr>
    <w:rPr>
      <w:caps/>
    </w:rPr>
  </w:style>
  <w:style w:type="paragraph" w:styleId="Heading2">
    <w:name w:val="heading 2"/>
    <w:basedOn w:val="Normal"/>
    <w:next w:val="Body"/>
    <w:qFormat/>
    <w:pPr>
      <w:keepNext w:val="true"/>
      <w:numPr>
        <w:ilvl w:val="1"/>
        <w:numId w:val="1"/>
      </w:numPr>
      <w:outlineLvl w:val="1"/>
    </w:pPr>
    <w:rPr>
      <w:caps/>
    </w:rPr>
  </w:style>
  <w:style w:type="paragraph" w:styleId="Heading3">
    <w:name w:val="heading 3"/>
    <w:basedOn w:val="Normal"/>
    <w:next w:val="Body"/>
    <w:qFormat/>
    <w:pPr>
      <w:keepNext w:val="true"/>
      <w:numPr>
        <w:ilvl w:val="2"/>
        <w:numId w:val="1"/>
      </w:numPr>
      <w:ind w:hanging="0" w:start="720" w:end="0"/>
      <w:outlineLvl w:val="2"/>
    </w:pPr>
    <w:rPr/>
  </w:style>
  <w:style w:type="paragraph" w:styleId="Heading4">
    <w:name w:val="heading 4"/>
    <w:basedOn w:val="Normal"/>
    <w:next w:val="Body"/>
    <w:qFormat/>
    <w:pPr>
      <w:keepNext w:val="true"/>
      <w:numPr>
        <w:ilvl w:val="3"/>
        <w:numId w:val="1"/>
      </w:numPr>
      <w:ind w:hanging="0" w:start="1440" w:end="0"/>
      <w:outlineLvl w:val="3"/>
    </w:pPr>
    <w:rPr/>
  </w:style>
  <w:style w:type="paragraph" w:styleId="Heading5">
    <w:name w:val="heading 5"/>
    <w:basedOn w:val="Normal"/>
    <w:next w:val="Body"/>
    <w:qFormat/>
    <w:pPr>
      <w:keepNext w:val="true"/>
      <w:numPr>
        <w:ilvl w:val="4"/>
        <w:numId w:val="1"/>
      </w:numPr>
      <w:ind w:hanging="0" w:start="2160" w:end="0"/>
      <w:outlineLvl w:val="4"/>
    </w:pPr>
    <w:rPr/>
  </w:style>
  <w:style w:type="paragraph" w:styleId="Heading6">
    <w:name w:val="heading 6"/>
    <w:basedOn w:val="Normal"/>
    <w:next w:val="Normal"/>
    <w:qFormat/>
    <w:pPr>
      <w:keepNext w:val="true"/>
      <w:numPr>
        <w:ilvl w:val="5"/>
        <w:numId w:val="1"/>
      </w:numPr>
      <w:ind w:hanging="0" w:start="2880" w:end="0"/>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Times New Roman Bold" w:hAnsi="Times New Roman Bold" w:eastAsia="Times New Roman Bold" w:cs="Times New Roman Bold"/>
      <w:b/>
      <w:bCs/>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spacing w:lineRule="auto" w:line="48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spacing w:lineRule="exact" w:line="480"/>
      <w:ind w:firstLine="720" w:start="0" w:end="0"/>
    </w:pPr>
    <w:rPr/>
  </w:style>
  <w:style w:type="paragraph" w:styleId="BodyTextIndent">
    <w:name w:val="Body Text Indent"/>
    <w:basedOn w:val="Normal"/>
    <w:pPr>
      <w:spacing w:before="0" w:after="120"/>
      <w:ind w:hanging="0" w:start="360" w:end="0"/>
    </w:pPr>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rPr/>
  </w:style>
  <w:style w:type="paragraph" w:styleId="CommentText">
    <w:name w:val="Comment Text"/>
    <w:basedOn w:val="Normal"/>
    <w:qFormat/>
    <w:pPr/>
    <w:rPr/>
  </w:style>
  <w:style w:type="paragraph" w:styleId="CopyList">
    <w:name w:val="CopyList"/>
    <w:basedOn w:val="Normal"/>
    <w:qFormat/>
    <w:pPr>
      <w:tabs>
        <w:tab w:val="clear" w:pos="720"/>
        <w:tab w:val="left" w:pos="504" w:leader="none"/>
        <w:tab w:val="left" w:pos="2160" w:leader="none"/>
      </w:tabs>
    </w:pPr>
    <w:rPr/>
  </w:style>
  <w:style w:type="paragraph" w:styleId="Date">
    <w:name w:val="Date"/>
    <w:basedOn w:val="Normal"/>
    <w:next w:val="Normal"/>
    <w:qFormat/>
    <w:pPr/>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spacing w:before="0" w:after="240"/>
      <w:jc w:val="center"/>
    </w:pPr>
    <w:rPr>
      <w:b/>
      <w:bCs/>
      <w:caps/>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From">
    <w:name w:val="From"/>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Indented">
    <w:name w:val="Indented"/>
    <w:basedOn w:val="Normal"/>
    <w:next w:val="Body"/>
    <w:qFormat/>
    <w:pPr>
      <w:ind w:hanging="0" w:start="720" w:end="0"/>
    </w:pPr>
    <w:rPr/>
  </w:style>
  <w:style w:type="paragraph" w:styleId="Index1">
    <w:name w:val="index 1"/>
    <w:basedOn w:val="Normal"/>
    <w:next w:val="Normal"/>
    <w:pPr>
      <w:spacing w:before="240" w:after="0"/>
    </w:pPr>
    <w:rPr/>
  </w:style>
  <w:style w:type="paragraph" w:styleId="Index2">
    <w:name w:val="index 2"/>
    <w:basedOn w:val="Normal"/>
    <w:next w:val="Normal"/>
    <w:pPr>
      <w:tabs>
        <w:tab w:val="clear" w:pos="720"/>
        <w:tab w:val="right" w:pos="8640" w:leader="dot"/>
      </w:tabs>
    </w:pPr>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tabs>
        <w:tab w:val="left" w:pos="720" w:leader="none"/>
      </w:tabs>
      <w:spacing w:before="0" w:after="240"/>
      <w:ind w:hanging="720" w:start="720" w:end="0"/>
    </w:pPr>
    <w:rPr>
      <w:b/>
      <w:bCs/>
      <w:caps/>
      <w:color w:val="000000"/>
    </w:rPr>
  </w:style>
  <w:style w:type="paragraph" w:styleId="OutHead2">
    <w:name w:val="OutHead2"/>
    <w:basedOn w:val="Normal"/>
    <w:next w:val="DWTNorm"/>
    <w:qFormat/>
    <w:pPr>
      <w:keepNext w:val="true"/>
      <w:tabs>
        <w:tab w:val="clear" w:pos="720"/>
        <w:tab w:val="left" w:pos="1440" w:leader="none"/>
      </w:tabs>
      <w:spacing w:before="0" w:after="240"/>
      <w:ind w:hanging="720" w:start="1440" w:end="0"/>
    </w:pPr>
    <w:rPr>
      <w:b/>
      <w:bCs/>
      <w:color w:val="000000"/>
    </w:rPr>
  </w:style>
  <w:style w:type="paragraph" w:styleId="OutHead3">
    <w:name w:val="OutHead3"/>
    <w:basedOn w:val="Normal"/>
    <w:next w:val="DWTNorm"/>
    <w:qFormat/>
    <w:pPr>
      <w:keepNext w:val="true"/>
      <w:tabs>
        <w:tab w:val="clear" w:pos="720"/>
        <w:tab w:val="left" w:pos="2160" w:leader="none"/>
      </w:tabs>
      <w:spacing w:before="0" w:after="240"/>
      <w:ind w:hanging="720" w:start="2160" w:end="0"/>
    </w:pPr>
    <w:rPr>
      <w:b/>
      <w:bCs/>
      <w:color w:val="000000"/>
    </w:rPr>
  </w:style>
  <w:style w:type="paragraph" w:styleId="OutHead4">
    <w:name w:val="OutHead4"/>
    <w:basedOn w:val="Normal"/>
    <w:next w:val="DWTNorm"/>
    <w:qFormat/>
    <w:pPr>
      <w:keepNext w:val="true"/>
      <w:tabs>
        <w:tab w:val="clear" w:pos="720"/>
        <w:tab w:val="left" w:pos="2880" w:leader="none"/>
      </w:tabs>
      <w:spacing w:before="0" w:after="240"/>
      <w:ind w:hanging="720" w:start="2880" w:end="0"/>
    </w:pPr>
    <w:rPr>
      <w:b/>
      <w:bCs/>
      <w:color w:val="000000"/>
    </w:rPr>
  </w:style>
  <w:style w:type="paragraph" w:styleId="OutHead5">
    <w:name w:val="OutHead5"/>
    <w:basedOn w:val="Normal"/>
    <w:next w:val="DWTNorm"/>
    <w:qFormat/>
    <w:pPr>
      <w:keepNext w:val="true"/>
      <w:tabs>
        <w:tab w:val="clear" w:pos="720"/>
        <w:tab w:val="left" w:pos="3600" w:leader="none"/>
      </w:tabs>
      <w:spacing w:before="0" w:after="240"/>
      <w:ind w:hanging="720" w:start="3600" w:end="0"/>
    </w:pPr>
    <w:rPr>
      <w:b/>
      <w:bCs/>
      <w:color w:val="000000"/>
    </w:rPr>
  </w:style>
  <w:style w:type="paragraph" w:styleId="OutHead6">
    <w:name w:val="OutHead6"/>
    <w:basedOn w:val="Normal"/>
    <w:next w:val="DWTNorm"/>
    <w:qFormat/>
    <w:pPr>
      <w:keepNext w:val="true"/>
      <w:tabs>
        <w:tab w:val="clear" w:pos="720"/>
        <w:tab w:val="left" w:pos="4320" w:leader="none"/>
      </w:tabs>
      <w:spacing w:before="0" w:after="240"/>
      <w:ind w:hanging="720" w:start="4320" w:end="0"/>
    </w:pPr>
    <w:rPr>
      <w:b/>
      <w:bCs/>
      <w:color w:val="000000"/>
    </w:rPr>
  </w:style>
  <w:style w:type="paragraph" w:styleId="OutHead7">
    <w:name w:val="OutHead7"/>
    <w:basedOn w:val="Normal"/>
    <w:next w:val="DWTNorm"/>
    <w:qFormat/>
    <w:pPr>
      <w:keepNext w:val="true"/>
      <w:tabs>
        <w:tab w:val="clear" w:pos="720"/>
        <w:tab w:val="left" w:pos="5040" w:leader="none"/>
      </w:tabs>
      <w:spacing w:before="0" w:after="240"/>
      <w:ind w:hanging="720" w:start="5040" w:end="0"/>
    </w:pPr>
    <w:rPr>
      <w:b/>
      <w:bCs/>
      <w:color w:val="000000"/>
    </w:rPr>
  </w:style>
  <w:style w:type="paragraph" w:styleId="OutHead8">
    <w:name w:val="OutHead8"/>
    <w:basedOn w:val="Normal"/>
    <w:next w:val="DWTNorm"/>
    <w:qFormat/>
    <w:pPr>
      <w:keepNext w:val="true"/>
      <w:tabs>
        <w:tab w:val="clear" w:pos="720"/>
        <w:tab w:val="left" w:pos="5760" w:leader="none"/>
      </w:tabs>
      <w:spacing w:before="0" w:after="240"/>
      <w:ind w:hanging="720" w:start="5760" w:end="0"/>
    </w:pPr>
    <w:rPr>
      <w:b/>
      <w:bCs/>
      <w:color w:val="000000"/>
    </w:rPr>
  </w:style>
  <w:style w:type="paragraph" w:styleId="PlainText">
    <w:name w:val="Plain Text"/>
    <w:basedOn w:val="Normal"/>
    <w:qFormat/>
    <w:pPr/>
    <w:rPr>
      <w:sz w:val="20"/>
      <w:szCs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itlebar">
    <w:name w:val="title bar"/>
    <w:basedOn w:val="Normal"/>
    <w:qFormat/>
    <w:pPr>
      <w:keepNext w:val="true"/>
      <w:suppressAutoHyphens w:val="true"/>
      <w:jc w:val="center"/>
    </w:pPr>
    <w:rPr>
      <w:rFonts w:ascii="Helvetica;Arial" w:hAnsi="Helvetica;Arial" w:eastAsia="Helvetica;Arial" w:cs="Helvetica;Arial"/>
      <w:b/>
      <w:bCs/>
      <w:sz w:val="26"/>
      <w:szCs w:val="26"/>
    </w:rPr>
  </w:style>
  <w:style w:type="paragraph" w:styleId="TOC1">
    <w:name w:val="toc 1"/>
    <w:basedOn w:val="Normal"/>
    <w:next w:val="Normal"/>
    <w:pPr>
      <w:keepNext w:val="true"/>
      <w:tabs>
        <w:tab w:val="clear" w:pos="720"/>
        <w:tab w:val="right" w:pos="9350" w:leader="dot"/>
      </w:tabs>
      <w:spacing w:before="240" w:after="0"/>
      <w:ind w:hanging="720" w:start="720" w:end="72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right" w:pos="9360" w:leader="dot"/>
      </w:tabs>
      <w:ind w:hanging="720" w:start="2160" w:end="0"/>
    </w:pPr>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spacing w:lineRule="exact" w:line="240" w:before="0" w:after="240"/>
      <w:ind w:hanging="720" w:start="720" w:end="720"/>
    </w:pPr>
    <w:rPr/>
  </w:style>
  <w:style w:type="paragraph" w:styleId="TOAHeading">
    <w:name w:val="TOA Heading"/>
    <w:basedOn w:val="Normal"/>
    <w:next w:val="Normal"/>
    <w:qFormat/>
    <w:pPr>
      <w:keepNext w:val="true"/>
      <w:spacing w:lineRule="exact" w:line="240" w:before="0" w:after="240"/>
      <w:jc w:val="center"/>
    </w:pPr>
    <w:rPr>
      <w:rFonts w:ascii="Times New Roman Bold" w:hAnsi="Times New Roman Bold" w:eastAsia="Times New Roman Bold" w:cs="Times New Roman Bold"/>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2001-02-21T22:49:00Z</dcterms:created>
  <dc:creator>Salle Yoo</dc:creator>
  <dc:description/>
  <dc:language>en-CA</dc:language>
  <cp:lastModifiedBy>Joyce "Pepper" Rauch</cp:lastModifiedBy>
  <cp:lastPrinted>2001-02-21T16:36:00Z</cp:lastPrinted>
  <dcterms:modified xsi:type="dcterms:W3CDTF">2001-02-21T22:49:00Z</dcterms:modified>
  <cp:revision>1</cp:revision>
  <dc:subject/>
  <dc:title>BEFORE THE PUBLIC UTILITIES COMMISSION OF THE</dc:title>
</cp:coreProperties>
</file>