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t>BEFORE THE PUBLIC UTILITIES COMMISSION OF THE</w:t>
        <w:br/>
        <w:t>STATE OF CALIFORNIA</w:t>
      </w:r>
    </w:p>
    <w:p>
      <w:pPr>
        <w:pStyle w:val="Normal"/>
        <w:rPr>
          <w:b/>
        </w:rPr>
      </w:pPr>
      <w:r>
        <w:rPr>
          <w:b/>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360"/>
        <w:gridCol w:w="4428"/>
      </w:tblGrid>
      <w:tr>
        <w:trPr/>
        <w:tc>
          <w:tcPr>
            <w:tcW w:w="4788" w:type="dxa"/>
            <w:tcBorders>
              <w:bottom w:val="single" w:sz="4" w:space="0" w:color="000000"/>
            </w:tcBorders>
          </w:tcPr>
          <w:p>
            <w:pPr>
              <w:pStyle w:val="Normal"/>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360" w:type="dxa"/>
            <w:tcBorders/>
          </w:tcPr>
          <w:p>
            <w:pPr>
              <w:pStyle w:val="Normal"/>
              <w:rPr/>
            </w:pPr>
            <w:r>
              <w:rPr/>
              <w:t>) ) ) )))))</w:t>
            </w:r>
          </w:p>
        </w:tc>
        <w:tc>
          <w:tcPr>
            <w:tcW w:w="4428" w:type="dxa"/>
            <w:tcBorders/>
            <w:vAlign w:val="center"/>
          </w:tcPr>
          <w:p>
            <w:pPr>
              <w:pStyle w:val="Normal"/>
              <w:jc w:val="center"/>
              <w:rPr/>
            </w:pPr>
            <w:r>
              <w:rPr/>
              <w:t>I. 99-07-003</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pPr>
      <w:r>
        <w:rPr/>
        <w:t>OPENING COMMENTS OF CALPINE CORPORATION</w:t>
        <w:br/>
        <w:t>ON PROPOSED DECISION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4608" w:type="dxa"/>
        <w:jc w:val="start"/>
        <w:tblInd w:w="4968" w:type="dxa"/>
        <w:tblLayout w:type="fixed"/>
        <w:tblCellMar>
          <w:top w:w="0" w:type="dxa"/>
          <w:start w:w="108" w:type="dxa"/>
          <w:bottom w:w="0" w:type="dxa"/>
          <w:end w:w="108" w:type="dxa"/>
        </w:tblCellMar>
      </w:tblPr>
      <w:tblGrid>
        <w:gridCol w:w="4608"/>
      </w:tblGrid>
      <w:tr>
        <w:trPr/>
        <w:tc>
          <w:tcPr>
            <w:tcW w:w="4608" w:type="dxa"/>
            <w:tcBorders/>
          </w:tcPr>
          <w:p>
            <w:pPr>
              <w:pStyle w:val="Normal"/>
              <w:rPr/>
            </w:pPr>
            <w:r>
              <w:rPr/>
              <w:t>Lindsey How-Downing</w:t>
            </w:r>
          </w:p>
          <w:p>
            <w:pPr>
              <w:pStyle w:val="Normal"/>
              <w:rPr/>
            </w:pPr>
            <w:r>
              <w:rPr/>
              <w:t>Steven F. Greenwald</w:t>
            </w:r>
          </w:p>
          <w:p>
            <w:pPr>
              <w:pStyle w:val="Normal"/>
              <w:rPr/>
            </w:pPr>
            <w:r>
              <w:rPr/>
              <w:t>Salle E. Yoo</w:t>
            </w:r>
          </w:p>
          <w:p>
            <w:pPr>
              <w:pStyle w:val="Normal"/>
              <w:rPr/>
            </w:pPr>
            <w:r>
              <w:rPr/>
              <w:t>DAVIS WRIGHT TREMAINE LLP</w:t>
            </w:r>
          </w:p>
          <w:p>
            <w:pPr>
              <w:pStyle w:val="Normal"/>
              <w:rPr/>
            </w:pPr>
            <w:r>
              <w:rPr/>
              <w:t>One Embarcadero Center, Suite 600</w:t>
            </w:r>
          </w:p>
          <w:p>
            <w:pPr>
              <w:pStyle w:val="Normal"/>
              <w:rPr/>
            </w:pPr>
            <w:r>
              <w:rPr/>
              <w:t>San Francisco, California  94111</w:t>
            </w:r>
          </w:p>
          <w:p>
            <w:pPr>
              <w:pStyle w:val="Normal"/>
              <w:rPr/>
            </w:pPr>
            <w:r>
              <w:rPr/>
              <w:t>Tel.</w:t>
              <w:tab/>
              <w:t>(415) 276-6500</w:t>
            </w:r>
          </w:p>
          <w:p>
            <w:pPr>
              <w:pStyle w:val="Normal"/>
              <w:spacing w:before="0" w:after="240"/>
              <w:rPr/>
            </w:pPr>
            <w:r>
              <w:rPr/>
              <w:t>Fax.</w:t>
              <w:tab/>
              <w:t>(415) 276-6599</w:t>
            </w:r>
          </w:p>
          <w:p>
            <w:pPr>
              <w:pStyle w:val="Normal"/>
              <w:rPr/>
            </w:pPr>
            <w:r>
              <w:rPr/>
              <w:t>Attorneys for Calpine Corporation</w:t>
            </w:r>
          </w:p>
          <w:p>
            <w:pPr>
              <w:pStyle w:val="Normal"/>
              <w:rPr/>
            </w:pPr>
            <w:r>
              <w:rPr/>
            </w:r>
          </w:p>
        </w:tc>
      </w:tr>
    </w:tbl>
    <w:p>
      <w:pPr>
        <w:pStyle w:val="Normal"/>
        <w:rPr>
          <w:lang w:val="en-CA"/>
        </w:rPr>
      </w:pPr>
      <w:r>
        <w:rPr>
          <w:lang w:val="en-CA"/>
        </w:rPr>
        <w:t>December 11, 2000</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lang w:val="en-CA"/>
        </w:rPr>
      </w:pPr>
      <w:r>
        <w:rPr>
          <w:lang w:val="en-CA"/>
        </w:rPr>
      </w:r>
    </w:p>
    <w:p>
      <w:pPr>
        <w:pStyle w:val="Normal"/>
        <w:jc w:val="center"/>
        <w:rPr>
          <w:b/>
        </w:rPr>
      </w:pPr>
      <w:r>
        <w:rPr>
          <w:b/>
        </w:rPr>
        <w:t>BEFORE THE PUBLIC UTILITIES COMMISSION OF THE</w:t>
        <w:br/>
        <w:t>STATE OF CALIFORNIA</w:t>
      </w:r>
    </w:p>
    <w:p>
      <w:pPr>
        <w:pStyle w:val="Normal"/>
        <w:rPr>
          <w:b/>
        </w:rPr>
      </w:pPr>
      <w:r>
        <w:rPr>
          <w:b/>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360"/>
        <w:gridCol w:w="4428"/>
      </w:tblGrid>
      <w:tr>
        <w:trPr/>
        <w:tc>
          <w:tcPr>
            <w:tcW w:w="4788" w:type="dxa"/>
            <w:tcBorders>
              <w:bottom w:val="single" w:sz="4" w:space="0" w:color="000000"/>
            </w:tcBorders>
          </w:tcPr>
          <w:p>
            <w:pPr>
              <w:pStyle w:val="Normal"/>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360" w:type="dxa"/>
            <w:tcBorders/>
          </w:tcPr>
          <w:p>
            <w:pPr>
              <w:pStyle w:val="Normal"/>
              <w:rPr/>
            </w:pPr>
            <w:r>
              <w:rPr/>
              <w:t>) ) ) )))))</w:t>
            </w:r>
          </w:p>
        </w:tc>
        <w:tc>
          <w:tcPr>
            <w:tcW w:w="4428" w:type="dxa"/>
            <w:tcBorders/>
            <w:vAlign w:val="center"/>
          </w:tcPr>
          <w:p>
            <w:pPr>
              <w:pStyle w:val="Normal"/>
              <w:jc w:val="center"/>
              <w:rPr/>
            </w:pPr>
            <w:r>
              <w:rPr/>
              <w:t>I. 99-07-003</w:t>
            </w:r>
          </w:p>
        </w:tc>
      </w:tr>
    </w:tbl>
    <w:p>
      <w:pPr>
        <w:pStyle w:val="Normal"/>
        <w:rPr/>
      </w:pPr>
      <w:r>
        <w:rPr/>
      </w:r>
    </w:p>
    <w:p>
      <w:pPr>
        <w:pStyle w:val="Normal"/>
        <w:rPr/>
      </w:pPr>
      <w:r>
        <w:rPr/>
      </w:r>
    </w:p>
    <w:p>
      <w:pPr>
        <w:pStyle w:val="Heading"/>
        <w:rPr/>
      </w:pPr>
      <w:r>
        <w:rPr/>
        <w:t xml:space="preserve">OPENING COMMENTS OF CALPINE CORPORATION </w:t>
        <w:br/>
        <w:t>ON PROPOSED DECISION</w:t>
      </w:r>
    </w:p>
    <w:p>
      <w:pPr>
        <w:pStyle w:val="Normal"/>
        <w:rPr/>
      </w:pPr>
      <w:r>
        <w:rPr/>
      </w:r>
    </w:p>
    <w:p>
      <w:pPr>
        <w:pStyle w:val="Normal"/>
        <w:spacing w:lineRule="auto" w:line="480"/>
        <w:ind w:firstLine="720" w:end="0"/>
        <w:rPr/>
      </w:pPr>
      <w:r>
        <w:rPr/>
        <w:t>Pursuant to Rules 77.2, 77.3 and 77.4 of the California Public Utilities Commission’s (“Commission”) Rules of Practice and Procedure, Calpine Corporation (“Calpine”) submits its comments (“Comments”) on the proposed decision of Commissioner Bilas issued on November 7, 2000 (“Proposed Decision”).  The Proposed Decision would adopt, with certain modifications, an Interim Settlement Agreement (“IS”) supported by a minority of parties.  It would also reject a Comprehensive Settlement Agreement (“CS”) supported by the majority of parties, and indefinitely delay much needed reform on the Southern California Gas Company (“SoCalGas”) system.</w:t>
      </w:r>
    </w:p>
    <w:p>
      <w:pPr>
        <w:pStyle w:val="Normal"/>
        <w:spacing w:lineRule="auto" w:line="480"/>
        <w:ind w:firstLine="720" w:end="0"/>
        <w:rPr/>
      </w:pPr>
      <w:r>
        <w:rPr/>
        <w:t>Calpine does not oppose the interim steps proposed to be adopted by the Proposed Decision.  However, these interim steps would not advance the worthwhile goals already established by the Commission in this proceeding, nor address the underlying causes of the volatility experienced by California’s electric and natural gas markets over the past few months.  Further, the Proposed Decision relies on evidence outside the record in reaching its conclusions regarding the correlation between the recent high gas prices and the unbundling of intrastate transmission.  Calpine urges the Commission to reject the IS and adopt the CS.</w:t>
      </w:r>
    </w:p>
    <w:p>
      <w:pPr>
        <w:pStyle w:val="OutHead1"/>
        <w:numPr>
          <w:ilvl w:val="0"/>
          <w:numId w:val="2"/>
        </w:numPr>
        <w:ind w:hanging="0" w:start="0"/>
        <w:rPr/>
      </w:pPr>
      <w:r>
        <w:rPr/>
        <w:t>PROCEDURAL HISTORY</w:t>
      </w:r>
    </w:p>
    <w:p>
      <w:pPr>
        <w:pStyle w:val="DWTNorm"/>
        <w:rPr/>
      </w:pPr>
      <w:r>
        <w:rPr/>
        <w:t>On January 21, 1998, the Commission issued an Order Instituting Rulemaking (R.98-01-011) to assess the market and regulatory framework of California’s natural gas industry and to adopt reforms which emphasize market-oriented policies that will benefit all California natural gas consumers.  During the course of this proceeding, the Commission issued an interim decision  which articulated the Commission’s goals in assessing changes to the natural gas market structure.  These goals include:</w:t>
      </w:r>
    </w:p>
    <w:p>
      <w:pPr>
        <w:pStyle w:val="Normal"/>
        <w:spacing w:before="0" w:after="240"/>
        <w:ind w:hanging="720" w:start="1440" w:end="0"/>
        <w:rPr/>
      </w:pPr>
      <w:r>
        <w:rPr/>
        <w:t xml:space="preserve">1.  </w:t>
        <w:tab/>
        <w:t>To complement and enhance the benefits of electric restructuring;</w:t>
      </w:r>
    </w:p>
    <w:p>
      <w:pPr>
        <w:pStyle w:val="Normal"/>
        <w:spacing w:before="0" w:after="240"/>
        <w:ind w:hanging="720" w:start="1440" w:end="0"/>
        <w:rPr/>
      </w:pPr>
      <w:r>
        <w:rPr/>
        <w:t xml:space="preserve">2.  </w:t>
        <w:tab/>
        <w:t>To eliminate inappropriate cross-subsidies;</w:t>
      </w:r>
    </w:p>
    <w:p>
      <w:pPr>
        <w:pStyle w:val="Normal"/>
        <w:spacing w:before="0" w:after="240"/>
        <w:ind w:hanging="720" w:start="1440" w:end="0"/>
        <w:rPr/>
      </w:pPr>
      <w:r>
        <w:rPr/>
        <w:t xml:space="preserve">3.  </w:t>
        <w:tab/>
        <w:t>To guard against unnecessary barriers to the entry of competitors into various aspects of the natural gas market;</w:t>
      </w:r>
    </w:p>
    <w:p>
      <w:pPr>
        <w:pStyle w:val="Normal"/>
        <w:spacing w:before="0" w:after="240"/>
        <w:ind w:hanging="720" w:start="1440" w:end="0"/>
        <w:rPr/>
      </w:pPr>
      <w:r>
        <w:rPr/>
        <w:t xml:space="preserve">4.  </w:t>
        <w:tab/>
        <w:t>To mitigate competitive abuses that may occur because one firm exerts inordinate control over the functioning of the market place;</w:t>
      </w:r>
    </w:p>
    <w:p>
      <w:pPr>
        <w:pStyle w:val="Normal"/>
        <w:spacing w:before="0" w:after="240"/>
        <w:ind w:hanging="720" w:start="1440" w:end="0"/>
        <w:rPr/>
      </w:pPr>
      <w:r>
        <w:rPr/>
        <w:t xml:space="preserve">5.  </w:t>
        <w:tab/>
        <w:t>To enhance competition by providing separate rates for each major component of utility service and allowing customers to choose to have other firms substitute their services and charges where appropriate;</w:t>
      </w:r>
    </w:p>
    <w:p>
      <w:pPr>
        <w:pStyle w:val="Normal"/>
        <w:spacing w:before="0" w:after="240"/>
        <w:ind w:hanging="720" w:start="1440" w:end="0"/>
        <w:rPr/>
      </w:pPr>
      <w:r>
        <w:rPr/>
        <w:t xml:space="preserve">6.  </w:t>
        <w:tab/>
        <w:t>To ensure that the rates customers pay for utility services reflect the cost of those services;</w:t>
      </w:r>
    </w:p>
    <w:p>
      <w:pPr>
        <w:pStyle w:val="Normal"/>
        <w:spacing w:before="0" w:after="240"/>
        <w:ind w:hanging="720" w:start="1440" w:end="0"/>
        <w:rPr/>
      </w:pPr>
      <w:r>
        <w:rPr/>
        <w:t xml:space="preserve">7.  </w:t>
        <w:tab/>
        <w:t>To preserve the low-costs currently enjoyed by California natural gas customers;</w:t>
      </w:r>
    </w:p>
    <w:p>
      <w:pPr>
        <w:pStyle w:val="Normal"/>
        <w:spacing w:before="0" w:after="240"/>
        <w:ind w:hanging="720" w:start="1440" w:end="0"/>
        <w:rPr/>
      </w:pPr>
      <w:r>
        <w:rPr/>
        <w:t xml:space="preserve">8.  </w:t>
        <w:tab/>
        <w:t>To provide adequate consumer protection;</w:t>
      </w:r>
    </w:p>
    <w:p>
      <w:pPr>
        <w:pStyle w:val="Normal"/>
        <w:spacing w:before="0" w:after="240"/>
        <w:ind w:hanging="720" w:start="1440" w:end="0"/>
        <w:rPr/>
      </w:pPr>
      <w:r>
        <w:rPr/>
        <w:t xml:space="preserve">9.  </w:t>
        <w:tab/>
        <w:t>To ensure that natural gas service is safe and reliable.</w:t>
      </w:r>
    </w:p>
    <w:p>
      <w:pPr>
        <w:pStyle w:val="DWTNorm"/>
        <w:rPr/>
      </w:pPr>
      <w:r>
        <w:rPr/>
        <w:t xml:space="preserve">D. 98-08-030 (“Interim Decision”), </w:t>
      </w:r>
      <w:r>
        <w:rPr>
          <w:i/>
        </w:rPr>
        <w:t>mimeo</w:t>
      </w:r>
      <w:r>
        <w:rPr/>
        <w:t>, at 5-6.</w:t>
      </w:r>
    </w:p>
    <w:p>
      <w:pPr>
        <w:pStyle w:val="DWTNorm"/>
        <w:rPr/>
      </w:pPr>
      <w:r>
        <w:rPr/>
        <w:t xml:space="preserve">On July 8, 1999, the Commission identified “promising options” for further consideration and cost-benefit analysis.  </w:t>
      </w:r>
      <w:r>
        <w:rPr>
          <w:i/>
        </w:rPr>
        <w:t>Rulemaking on the Commission’s Own Motion to Assess and Revise the Regulatory Structure Governing California’s Natural Gas Industry</w:t>
      </w:r>
      <w:r>
        <w:rPr/>
        <w:t xml:space="preserve">, D. 99-07-015 (“Promising Options Decision”).  The Commission incorporated the entire record from R. 98-01-011 into the OII proceeding.  D. 99-07-015, Ordering Paragraph 13.  It also encouraged market participants to pursue a comprehensive settlement and set aside sixty days for parties to explore such a settlement. </w:t>
      </w:r>
      <w:r>
        <w:rPr>
          <w:i/>
        </w:rPr>
        <w:t>Id.</w:t>
      </w:r>
      <w:r>
        <w:rPr/>
        <w:t xml:space="preserve"> at Ordering Paragraph 4.  Commissioner Bilas directed the parties to explore further unbundling the provision of natural gas services on the SoCalGas system, and expressly directed SoCalGas to consider a partially unbundled structure similar to that one PG&amp;E.  Consistent with the Promising Options Decision and Commissioner Bilas’ direction, the parties then commenced settlement discussions. </w:t>
      </w:r>
    </w:p>
    <w:p>
      <w:pPr>
        <w:pStyle w:val="DWTNorm"/>
        <w:rPr/>
      </w:pPr>
      <w:r>
        <w:rPr/>
        <w:t>Several settlement proposals were filed in this proceeding.  The IS proposes limited steps to be implemented on an interim basis while further reform is evaluated.  SoCalGas, SDG&amp;E and some other parties initially supported the IS.  Other parties, including Calpine, opposed the IS, seeking additional unbundling and competition in natural gas services.  Subsequently, SoCalGas, SDG&amp;E, Calpine and numerous others proposed and supported the CS, intended to replace the IS.  The CS proposes significant reforms, including partial unbundling of SoCalGas backbone, local transmission and storage services, similar to PG&amp;E.</w:t>
      </w:r>
      <w:r>
        <w:rPr>
          <w:rStyle w:val="FootnoteCharacters"/>
          <w:rStyle w:val="FootnoteReference"/>
        </w:rPr>
        <w:footnoteReference w:id="2"/>
      </w:r>
    </w:p>
    <w:p>
      <w:pPr>
        <w:pStyle w:val="DWTNorm"/>
        <w:rPr/>
      </w:pPr>
      <w:r>
        <w:rPr/>
        <w:t>Evidentiary hearings were held from May 30 to June 8, 2000.  Opening briefs were filed on July 10, 2000 and reply briefs were filed by July 31, 2000.  The Commission designated the case as submitted on August 1, 2000.</w:t>
      </w:r>
    </w:p>
    <w:p>
      <w:pPr>
        <w:pStyle w:val="OutHead1"/>
        <w:numPr>
          <w:ilvl w:val="0"/>
          <w:numId w:val="2"/>
        </w:numPr>
        <w:ind w:hanging="0" w:start="0"/>
        <w:rPr/>
      </w:pPr>
      <w:r>
        <w:rPr/>
        <w:t>The PROPOSED DECISION does not advance the goals ALREADY ESPOUSED by this commission</w:t>
      </w:r>
    </w:p>
    <w:p>
      <w:pPr>
        <w:pStyle w:val="DWTNorm"/>
        <w:rPr/>
      </w:pPr>
      <w:r>
        <w:rPr/>
        <w:t>The Proposed Decision affirms that the Commission must “acknowledge forthrightly that [its] policy has been to foster competition through unbundling intrastate transmission; the goals of this restructuring investigation reflect that policy.”  Proposed Decision at 33.  The Commission’s goals, first set out in the Interim Decision, accurately recognize the attributes necessary for a competitive and workable regulatory gas market.  These goals are at least as applicable today as they were in 1998.  The CS is the only proposal, including the modifications to the IS recommended by the Proposed Decision, which would achieve each of these goals.  By failing to adopt the CS, and instead adopting only limited procedures, the Proposed Decision would indefinitely delay California’s attainment of these goals, to the detriment of all participants.  In fact, the Proposed Decision itself recognizes that the CS is the settlement which most comprehensively addresses the promising options.  Proposed Decision at 33.</w:t>
      </w:r>
    </w:p>
    <w:p>
      <w:pPr>
        <w:pStyle w:val="DWTNorm"/>
        <w:rPr/>
      </w:pPr>
      <w:r>
        <w:rPr/>
        <w:t>Despite this fact, the Proposed Decision would approve the IS, not the CS.  The Proposed Decision construes its approval of the IS as simply a deferral, not a rejection, of Commission action on the promising options, principally, the unbundling of intrastate transmission and the implementation of a system of firm, tradable intrastate transmission rights.  Proposed Decision at 108.  However, the Proposed Decision provides no guarantee that the Commission will revisit this issue.  Rather, the Proposed Decision would simply leave open the possibility that the Commission may open another investigation to “determine whether further reforms are needed in the gas industry structure in southern California.”  Proposed Decision at Ordering Paragraph 38.</w:t>
      </w:r>
    </w:p>
    <w:p>
      <w:pPr>
        <w:pStyle w:val="DWTNorm"/>
        <w:rPr/>
      </w:pPr>
      <w:r>
        <w:rPr/>
        <w:t xml:space="preserve">The Commission’s decision to adopt a settlement which is inconsistent with the Promising Option Decision, without a certain procedure by which the issue of real intrastate reform may be addressed, </w:t>
      </w:r>
      <w:r>
        <w:rPr>
          <w:i/>
        </w:rPr>
        <w:t>de facto</w:t>
      </w:r>
      <w:r>
        <w:rPr/>
        <w:t xml:space="preserve"> discards attainment of the Commission’s goals.  </w:t>
      </w:r>
    </w:p>
    <w:p>
      <w:pPr>
        <w:pStyle w:val="OutHead1"/>
        <w:numPr>
          <w:ilvl w:val="0"/>
          <w:numId w:val="2"/>
        </w:numPr>
        <w:ind w:hanging="0" w:start="0"/>
        <w:rPr/>
      </w:pPr>
      <w:r>
        <w:rPr/>
        <w:t>The proposed decision relies on facts outside the record</w:t>
      </w:r>
    </w:p>
    <w:p>
      <w:pPr>
        <w:pStyle w:val="DWTNorm"/>
        <w:rPr/>
      </w:pPr>
      <w:r>
        <w:rPr/>
        <w:t xml:space="preserve">The Proposed Decision justifies its approval of the IS primarily on the grounds of the recent volatility of electricity prices and the recent increase in gas prices.  Proposed Decision at 33-38.  Specifically, the Proposed Decision cites to the post-rate freeze prices in San Diego for electricity and the recent high prices for gas at the California border.  Proposed Decision at 8-9, 34, 38.  While Calpine recognizes the obligation of the Commission to make reasoned and fully informed decisions, the Commission’s own rules of practice and procedure mandate that Commission decisions be based on the “evidence of record.”  Commission Rules of Prac. and Proc. 2.  The Commission provides specific guidance as to the particular issues for determination by issuing a scoping memorandum for each proceeding.  </w:t>
      </w:r>
      <w:r>
        <w:rPr>
          <w:i/>
        </w:rPr>
        <w:t>See,</w:t>
      </w:r>
      <w:r>
        <w:rPr/>
        <w:t xml:space="preserve"> Commission Rules of Prac. and Proc. 6(c).</w:t>
      </w:r>
    </w:p>
    <w:p>
      <w:pPr>
        <w:pStyle w:val="DWTNorm"/>
        <w:rPr/>
      </w:pPr>
      <w:r>
        <w:rPr/>
        <w:t xml:space="preserve">The Commission does have the same right as California courts to take judicial notice of relevant facts.  Commission Rules of Prac. and Proc. 73.  Judicial notice is a substitute for formal proof, a judicial shortcut.  </w:t>
      </w:r>
      <w:r>
        <w:rPr>
          <w:i/>
        </w:rPr>
        <w:t xml:space="preserve">See, Varcoe v. Lee </w:t>
      </w:r>
      <w:r>
        <w:rPr/>
        <w:t xml:space="preserve">(1919) 180 Cal. 338, 344; </w:t>
      </w:r>
      <w:r>
        <w:rPr>
          <w:i/>
        </w:rPr>
        <w:t>Sosinsky v. Grant</w:t>
      </w:r>
      <w:r>
        <w:rPr/>
        <w:t xml:space="preserve"> (1992) 6 Cal.App.4</w:t>
      </w:r>
      <w:r>
        <w:rPr>
          <w:vertAlign w:val="superscript"/>
        </w:rPr>
        <w:t>th</w:t>
      </w:r>
      <w:r>
        <w:rPr/>
        <w:t xml:space="preserve"> 1548, 1564.  However, this right to rely on facts which are universally accepted, without the introduction of evidence to prove the fact, is subject to certain procedural due process safeguards.  If the trial court “resorts to any source of information not received in open court” that is of “substantial consequence to the determination of the action . . . such information and its source shall be made a part of the record in the action and the court shall afford each party reasonable opportunity to meet such information before judicial notice of the matter may be taken.”  Evid. Code § 455 (2000).</w:t>
      </w:r>
    </w:p>
    <w:p>
      <w:pPr>
        <w:pStyle w:val="DWTNorm"/>
        <w:rPr/>
      </w:pPr>
      <w:r>
        <w:rPr/>
        <w:t xml:space="preserve">The Proposed Decision’s reliance on facts, </w:t>
      </w:r>
      <w:r>
        <w:rPr>
          <w:i/>
        </w:rPr>
        <w:t xml:space="preserve">i.e., </w:t>
      </w:r>
      <w:r>
        <w:rPr/>
        <w:t xml:space="preserve">the high prices for electricity in SDG&amp;E’s service territory and for gas at the California border, which occurred after the evidentiary record in this proceeding was closed, to support a determination that the facts which </w:t>
      </w:r>
      <w:r>
        <w:rPr>
          <w:i/>
        </w:rPr>
        <w:t>were</w:t>
      </w:r>
      <w:r>
        <w:rPr/>
        <w:t xml:space="preserve"> considered at the evidentiary hearing can no longer be relied upon, does not comport with these procedural safeguards.  The Proposed Decision’s reliance on these facts to reach a conclusion not supported by the evidentiary record, and without affording parties the opportunity to analyze and brief the Commission on the impact of the recent price spikes on the benefits of the proposed settlements, would result in the adoption of a decision which has not benefited from relevant input from the very parties affected by the decision.  Such a result cannot be considered fully informed and reasoned.  Calpine urges the Commission to refrain from issuing a decision based on evidence outside the record for this proceeding.</w:t>
      </w:r>
    </w:p>
    <w:p>
      <w:pPr>
        <w:pStyle w:val="OutHead1"/>
        <w:numPr>
          <w:ilvl w:val="0"/>
          <w:numId w:val="2"/>
        </w:numPr>
        <w:ind w:hanging="0" w:start="0"/>
        <w:rPr/>
      </w:pPr>
      <w:r>
        <w:rPr/>
        <w:t>the evidence does not support a finding that unbundling intrastate transmission will result in higher prices</w:t>
      </w:r>
    </w:p>
    <w:p>
      <w:pPr>
        <w:pStyle w:val="DWTNorm"/>
        <w:rPr/>
      </w:pPr>
      <w:r>
        <w:rPr/>
        <w:t>The Proposed Decision states that “[i]n light of current market conditions, however, we believe that intrastate transmission unbundling at this time is not consistent with our goal of protecting low rates.  Moreover, we are unconvinced, in the terms of the promising options decision, that the benefits of intrastate transmission unbundling still outweigh the costs.”  Proposed Decision</w:t>
      </w:r>
      <w:r>
        <w:rPr>
          <w:i/>
        </w:rPr>
        <w:t xml:space="preserve"> </w:t>
      </w:r>
      <w:r>
        <w:rPr/>
        <w:t xml:space="preserve">at 33-34.  Even assuming that evidence of high electricity prices in SDG&amp;E’s service territory and the recent high gas prices are proper grounds on which to base a decision, those fact, in themselves, are insufficient to support a finding that unbundling of the intrastate transmission system will result in higher gas prices for California consumers.  Rather, the majority of the testimony presented in this proceeding supports the opposite conclusion.  </w:t>
      </w:r>
      <w:r>
        <w:rPr>
          <w:i/>
        </w:rPr>
        <w:t xml:space="preserve">See, </w:t>
      </w:r>
      <w:r>
        <w:rPr/>
        <w:t>Proposed Decision at 35-38.</w:t>
      </w:r>
    </w:p>
    <w:p>
      <w:pPr>
        <w:pStyle w:val="DWTNorm"/>
        <w:rPr/>
      </w:pPr>
      <w:r>
        <w:rPr/>
        <w:t>For example, the CS is the only settlement supported by generators, including Calpine, who have announced plans to develop and construct new electric generation facilities in SoCalGas’ service territory. Calpine supports the further unbundling of intrastate transmission as proposed in the CS.  Calpine supports the CS because it believes that the unbundling of intrastate transmission will increase operational efficiencies and reduce costs.  The opportunity to innovate and more efficiently operate electric generation facilities will encourage the development of new generation in California, exerting downward pressure on electricity prices, thereby benefiting all California consumers.</w:t>
      </w:r>
    </w:p>
    <w:p>
      <w:pPr>
        <w:pStyle w:val="DWTNorm"/>
        <w:rPr/>
      </w:pPr>
      <w:r>
        <w:rPr/>
        <w:t xml:space="preserve">By contrast, those generators which oppose the CS are not undertaking the development and construction of new power plants.  Instead, they are those who seek to maintain the status quo at the expense of California electricity customers.  </w:t>
      </w:r>
      <w:r>
        <w:rPr>
          <w:i/>
        </w:rPr>
        <w:t>See</w:t>
      </w:r>
      <w:r>
        <w:rPr/>
        <w:t xml:space="preserve">, Proposed Decision at 44-45.  </w:t>
      </w:r>
    </w:p>
    <w:p>
      <w:pPr>
        <w:pStyle w:val="OutHead1"/>
        <w:numPr>
          <w:ilvl w:val="0"/>
          <w:numId w:val="2"/>
        </w:numPr>
        <w:ind w:hanging="0" w:start="0"/>
        <w:rPr/>
      </w:pPr>
      <w:r>
        <w:rPr/>
        <w:t>conclusion</w:t>
      </w:r>
    </w:p>
    <w:p>
      <w:pPr>
        <w:pStyle w:val="DWTNorm"/>
        <w:rPr/>
      </w:pPr>
      <w:r>
        <w:rPr/>
        <w:t xml:space="preserve">In adopting the IS, the Proposed Decision would arrest the progress made toward the establishment of a competitive energy market in California, one where the “rates customers pay for utility services reflect the cost of those services.”  D. 98-08-030, </w:t>
      </w:r>
      <w:r>
        <w:rPr>
          <w:i/>
        </w:rPr>
        <w:t xml:space="preserve">mimeo, </w:t>
      </w:r>
      <w:r>
        <w:rPr/>
        <w:t>at 5.  There is no evidence that an abrupt halt will ease the volatility of the California energy market.  In fact, it is more likely to prolong high prices by hindering the development of a fully competitive gas market which complements the development of new electric generation plants in Southern California.  Unbundling of intrastate gas transmission services complements electric restructuring and is the necessary next step to achieving the goals set out by the Commission.</w:t>
      </w:r>
    </w:p>
    <w:p>
      <w:pPr>
        <w:pStyle w:val="DWTNorm"/>
        <w:rPr/>
      </w:pPr>
      <w:r>
        <w:rPr/>
        <w:t>California is mid-stream in its journey toward deregulation.  Based on the evidence presented in this case, Calpine urges the Commission to continue in its path towards developing a truly competitive natural gas market in California by adopting the CS.</w:t>
      </w:r>
    </w:p>
    <w:p>
      <w:pPr>
        <w:pStyle w:val="DWTNorm"/>
        <w:keepNext w:val="true"/>
        <w:rPr/>
      </w:pPr>
      <w:r>
        <w:rPr/>
        <w:t>If the Commission does not now approve the CS, it should adopt the IS as modified by the proposed Decision and continue its investigation to further analyze the impacts of an unbundled gas transmission system on gas and electric markets, rather than delaying such a review several years into the future.</w:t>
      </w:r>
    </w:p>
    <w:p>
      <w:pPr>
        <w:pStyle w:val="DWTNorm"/>
        <w:keepNext w:val="true"/>
        <w:ind w:hanging="0" w:end="0"/>
        <w:rPr/>
      </w:pPr>
      <w:r>
        <w:rPr/>
        <w:t>DATED:  December 11, 2000</w:t>
        <w:tab/>
        <w:tab/>
        <w:t>Respectfully submitted,</w:t>
      </w:r>
    </w:p>
    <w:tbl>
      <w:tblPr>
        <w:tblW w:w="9468" w:type="dxa"/>
        <w:jc w:val="start"/>
        <w:tblInd w:w="0" w:type="dxa"/>
        <w:tblLayout w:type="fixed"/>
        <w:tblCellMar>
          <w:top w:w="0" w:type="dxa"/>
          <w:start w:w="108" w:type="dxa"/>
          <w:bottom w:w="0" w:type="dxa"/>
          <w:end w:w="108" w:type="dxa"/>
        </w:tblCellMar>
      </w:tblPr>
      <w:tblGrid>
        <w:gridCol w:w="4338"/>
        <w:gridCol w:w="5130"/>
      </w:tblGrid>
      <w:tr>
        <w:trPr/>
        <w:tc>
          <w:tcPr>
            <w:tcW w:w="4338" w:type="dxa"/>
            <w:tcBorders/>
          </w:tcPr>
          <w:p>
            <w:pPr>
              <w:pStyle w:val="Normal"/>
              <w:snapToGrid w:val="false"/>
              <w:rPr/>
            </w:pPr>
            <w:r>
              <w:rPr/>
            </w:r>
          </w:p>
        </w:tc>
        <w:tc>
          <w:tcPr>
            <w:tcW w:w="5130" w:type="dxa"/>
            <w:tcBorders/>
          </w:tcPr>
          <w:p>
            <w:pPr>
              <w:pStyle w:val="Normal"/>
              <w:snapToGrid w:val="false"/>
              <w:rPr/>
            </w:pPr>
            <w:r>
              <w:rPr/>
            </w:r>
          </w:p>
          <w:p>
            <w:pPr>
              <w:pStyle w:val="Normal"/>
              <w:tabs>
                <w:tab w:val="clear" w:pos="720"/>
                <w:tab w:val="left" w:pos="4482" w:leader="none"/>
              </w:tabs>
              <w:rPr>
                <w:u w:val="single"/>
              </w:rPr>
            </w:pPr>
            <w:r>
              <w:rPr>
                <w:u w:val="single"/>
              </w:rPr>
              <w:tab/>
            </w:r>
          </w:p>
          <w:p>
            <w:pPr>
              <w:pStyle w:val="Normal"/>
              <w:rPr/>
            </w:pPr>
            <w:r>
              <w:rPr/>
              <w:t>Lindsey How-Downing</w:t>
            </w:r>
          </w:p>
          <w:p>
            <w:pPr>
              <w:pStyle w:val="Normal"/>
              <w:rPr/>
            </w:pPr>
            <w:r>
              <w:rPr/>
              <w:t>Steven F. Greenwald</w:t>
            </w:r>
          </w:p>
          <w:p>
            <w:pPr>
              <w:pStyle w:val="Normal"/>
              <w:rPr/>
            </w:pPr>
            <w:r>
              <w:rPr/>
              <w:t>Salle E. Yoo</w:t>
            </w:r>
          </w:p>
          <w:p>
            <w:pPr>
              <w:pStyle w:val="Normal"/>
              <w:rPr/>
            </w:pPr>
            <w:r>
              <w:rPr/>
            </w:r>
          </w:p>
          <w:p>
            <w:pPr>
              <w:pStyle w:val="Normal"/>
              <w:rPr/>
            </w:pPr>
            <w:r>
              <w:rPr/>
              <w:t>DAVIS WRIGHT TREMAINE LLP</w:t>
            </w:r>
          </w:p>
          <w:p>
            <w:pPr>
              <w:pStyle w:val="Normal"/>
              <w:rPr/>
            </w:pPr>
            <w:r>
              <w:rPr/>
              <w:t>One Embarcadero Center, Suite 600</w:t>
            </w:r>
          </w:p>
          <w:p>
            <w:pPr>
              <w:pStyle w:val="Normal"/>
              <w:rPr/>
            </w:pPr>
            <w:r>
              <w:rPr/>
              <w:t>San Francisco, CA  94111-3834</w:t>
            </w:r>
          </w:p>
          <w:p>
            <w:pPr>
              <w:pStyle w:val="Normal"/>
              <w:rPr/>
            </w:pPr>
            <w:r>
              <w:rPr/>
              <w:t>Telephone:  (415) 276-6500</w:t>
            </w:r>
          </w:p>
          <w:p>
            <w:pPr>
              <w:pStyle w:val="Normal"/>
              <w:rPr/>
            </w:pPr>
            <w:r>
              <w:rPr/>
              <w:t>Facsimile:    (415) 276-6599</w:t>
            </w:r>
          </w:p>
          <w:p>
            <w:pPr>
              <w:pStyle w:val="Normal"/>
              <w:rPr/>
            </w:pPr>
            <w:r>
              <w:rPr/>
              <w:t>E-mail:  lindseyhowdowning@dwt.com</w:t>
            </w:r>
          </w:p>
          <w:p>
            <w:pPr>
              <w:pStyle w:val="Normal"/>
              <w:rPr/>
            </w:pPr>
            <w:r>
              <w:rPr/>
            </w:r>
          </w:p>
          <w:p>
            <w:pPr>
              <w:pStyle w:val="Normal"/>
              <w:rPr/>
            </w:pPr>
            <w:r>
              <w:rPr/>
              <w:t>Attorneys for CALPINE CORPORATION</w:t>
            </w:r>
          </w:p>
        </w:tc>
      </w:tr>
    </w:tbl>
    <w:p>
      <w:pPr>
        <w:pStyle w:val="Normal"/>
        <w:rPr/>
      </w:pPr>
      <w:r>
        <w:rPr/>
      </w:r>
    </w:p>
    <w:p>
      <w:pPr>
        <w:pStyle w:val="Normal"/>
        <w:rPr/>
      </w:pPr>
      <w:r>
        <w:rPr/>
      </w:r>
    </w:p>
    <w:sectPr>
      <w:footerReference w:type="default" r:id="rId3"/>
      <w:footerReference w:type="first" r:id="rId4"/>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/mnt/main-storage/datasets/enron-docs/doc/00003pld.doc</w:t>
    </w:r>
    <w:r>
      <w:rPr>
        <w:sz w:val="16"/>
        <w:lang w:eastAsia="en-US"/>
      </w:rPr>
      <w:fldChar w:fldCharType="end"/>
    </w:r>
  </w:p>
  <w:p>
    <w:pPr>
      <w:pStyle w:val="Footer"/>
      <w:rPr>
        <w:sz w:val="16"/>
        <w:lang w:eastAsia="en-US"/>
      </w:rPr>
    </w:pPr>
    <w:r>
      <w:rPr>
        <w:sz w:val="16"/>
        <w:lang w:eastAsia="en-US"/>
      </w:rPr>
      <w:t>San Francisco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/mnt/main-storage/datasets/enron-docs/doc/00003pld.doc</w:t>
    </w:r>
    <w:r>
      <w:rPr>
        <w:sz w:val="16"/>
        <w:lang w:eastAsia="en-US"/>
      </w:rPr>
      <w:fldChar w:fldCharType="end"/>
    </w:r>
    <w:r>
      <w:rPr>
        <w:sz w:val="16"/>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sz w:val="16"/>
        <w:lang w:eastAsia="en-US"/>
      </w:rPr>
    </w:pPr>
    <w:r>
      <w:rPr>
        <w:sz w:val="16"/>
        <w:lang w:eastAsia="en-US"/>
      </w:rPr>
      <w:t>San Francisco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/mnt/main-storage/datasets/enron-docs/doc/00003pld.doc</w:t>
    </w:r>
    <w:r>
      <w:rPr>
        <w:sz w:val="16"/>
        <w:lang w:eastAsia="en-US"/>
      </w:rPr>
      <w:fldChar w:fldCharType="end"/>
    </w:r>
  </w:p>
  <w:p>
    <w:pPr>
      <w:pStyle w:val="Footer"/>
      <w:rPr>
        <w:sz w:val="16"/>
        <w:lang w:eastAsia="en-US"/>
      </w:rPr>
    </w:pPr>
    <w:r>
      <w:rPr>
        <w:sz w:val="16"/>
        <w:lang w:eastAsia="en-US"/>
      </w:rPr>
      <w:t>San Francisco</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firstLine="720" w:start="0" w:end="0"/>
        <w:rPr/>
      </w:pPr>
      <w:r>
        <w:rPr>
          <w:rStyle w:val="FootnoteCharacters"/>
        </w:rPr>
        <w:footnoteRef/>
      </w:r>
      <w:r>
        <w:rPr/>
        <w:t xml:space="preserve">  </w:t>
      </w:r>
      <w:r>
        <w:rPr/>
        <w:t>In addition, a “Post-Interim Settlement” proposed a six-year freeze on further unbundling, and Long Beach filed a unilateral proposal.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caps/>
        <w:outline w:val="false"/>
        <w:dstrike w:val="false"/>
        <w:strike w:val="false"/>
        <w:vertAlign w:val="baseline"/>
        <w:position w:val="0"/>
        <w:sz w:val="24"/>
        <w:sz w:val="24"/>
        <w:i w:val="false"/>
        <w:shadow w:val="false"/>
        <w:u w:val="none"/>
        <w:b/>
        <w:rFonts w:ascii="Times New Roman" w:hAnsi="Times New Roman" w:cs="Times New Roman"/>
        <w:color w:val="000000"/>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
    <w:qFormat/>
    <w:pPr>
      <w:keepNext w:val="true"/>
      <w:widowControl w:val="false"/>
      <w:numPr>
        <w:ilvl w:val="0"/>
        <w:numId w:val="1"/>
      </w:numPr>
      <w:jc w:val="center"/>
      <w:outlineLvl w:val="0"/>
    </w:pPr>
    <w:rPr>
      <w:caps/>
      <w:sz w:val="24"/>
    </w:rPr>
  </w:style>
  <w:style w:type="paragraph" w:styleId="Heading2">
    <w:name w:val="heading 2"/>
    <w:basedOn w:val="Normal"/>
    <w:next w:val="Body"/>
    <w:qFormat/>
    <w:pPr>
      <w:keepNext w:val="true"/>
      <w:widowControl w:val="false"/>
      <w:numPr>
        <w:ilvl w:val="1"/>
        <w:numId w:val="1"/>
      </w:numPr>
      <w:outlineLvl w:val="1"/>
    </w:pPr>
    <w:rPr>
      <w:caps/>
      <w:sz w:val="24"/>
    </w:rPr>
  </w:style>
  <w:style w:type="paragraph" w:styleId="Heading3">
    <w:name w:val="heading 3"/>
    <w:basedOn w:val="Normal"/>
    <w:next w:val="Body"/>
    <w:qFormat/>
    <w:pPr>
      <w:keepNext w:val="true"/>
      <w:widowControl w:val="false"/>
      <w:numPr>
        <w:ilvl w:val="2"/>
        <w:numId w:val="1"/>
      </w:numPr>
      <w:ind w:hanging="0" w:start="720" w:end="0"/>
      <w:outlineLvl w:val="2"/>
    </w:pPr>
    <w:rPr>
      <w:sz w:val="24"/>
    </w:rPr>
  </w:style>
  <w:style w:type="paragraph" w:styleId="Heading4">
    <w:name w:val="heading 4"/>
    <w:basedOn w:val="Normal"/>
    <w:next w:val="Body"/>
    <w:qFormat/>
    <w:pPr>
      <w:keepNext w:val="true"/>
      <w:widowControl w:val="false"/>
      <w:numPr>
        <w:ilvl w:val="3"/>
        <w:numId w:val="1"/>
      </w:numPr>
      <w:ind w:hanging="0" w:start="1440" w:end="0"/>
      <w:outlineLvl w:val="3"/>
    </w:pPr>
    <w:rPr>
      <w:sz w:val="24"/>
    </w:rPr>
  </w:style>
  <w:style w:type="paragraph" w:styleId="Heading5">
    <w:name w:val="heading 5"/>
    <w:basedOn w:val="Normal"/>
    <w:next w:val="Body"/>
    <w:qFormat/>
    <w:pPr>
      <w:keepNext w:val="true"/>
      <w:widowControl w:val="false"/>
      <w:numPr>
        <w:ilvl w:val="4"/>
        <w:numId w:val="1"/>
      </w:numPr>
      <w:ind w:hanging="0" w:start="2160" w:end="0"/>
      <w:outlineLvl w:val="4"/>
    </w:pPr>
    <w:rPr>
      <w:sz w:val="24"/>
    </w:rPr>
  </w:style>
  <w:style w:type="paragraph" w:styleId="Heading6">
    <w:name w:val="heading 6"/>
    <w:basedOn w:val="Normal"/>
    <w:next w:val="Normal"/>
    <w:qFormat/>
    <w:pPr>
      <w:keepNext w:val="true"/>
      <w:widowControl w:val="false"/>
      <w:numPr>
        <w:ilvl w:val="5"/>
        <w:numId w:val="1"/>
      </w:numPr>
      <w:ind w:hanging="0" w:start="2880" w:end="0"/>
      <w:outlineLvl w:val="5"/>
    </w:pPr>
    <w:rPr>
      <w:sz w:val="24"/>
    </w:rPr>
  </w:style>
  <w:style w:type="paragraph" w:styleId="Heading7">
    <w:name w:val="heading 7"/>
    <w:basedOn w:val="Normal"/>
    <w:next w:val="Normal"/>
    <w:qFormat/>
    <w:pPr>
      <w:widowControl w:val="false"/>
      <w:numPr>
        <w:ilvl w:val="6"/>
        <w:numId w:val="1"/>
      </w:numPr>
      <w:outlineLvl w:val="6"/>
    </w:pPr>
    <w:rPr>
      <w:sz w:val="24"/>
    </w:rPr>
  </w:style>
  <w:style w:type="paragraph" w:styleId="Heading8">
    <w:name w:val="heading 8"/>
    <w:basedOn w:val="Normal"/>
    <w:next w:val="Normal"/>
    <w:qFormat/>
    <w:pPr>
      <w:widowControl w:val="false"/>
      <w:numPr>
        <w:ilvl w:val="7"/>
        <w:numId w:val="1"/>
      </w:numPr>
      <w:outlineLvl w:val="7"/>
    </w:pPr>
    <w:rPr>
      <w:sz w:val="24"/>
    </w:rPr>
  </w:style>
  <w:style w:type="paragraph" w:styleId="Heading9">
    <w:name w:val="heading 9"/>
    <w:basedOn w:val="Normal"/>
    <w:next w:val="Normal"/>
    <w:qFormat/>
    <w:pPr>
      <w:widowControl w:val="false"/>
      <w:numPr>
        <w:ilvl w:val="8"/>
        <w:numId w:val="1"/>
      </w:numPr>
      <w:outlineLvl w:val="8"/>
    </w:pPr>
    <w:rPr>
      <w:sz w:val="24"/>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b/>
      <w:i w:val="false"/>
      <w:caps/>
      <w:strike w:val="false"/>
      <w:dstrike w:val="false"/>
      <w:outline w:val="false"/>
      <w:shadow w:val="false"/>
      <w:color w:val="000000"/>
      <w:position w:val="0"/>
      <w:sz w:val="24"/>
      <w:sz w:val="24"/>
      <w:u w:val="none"/>
      <w:vertAlign w:val="baseline"/>
    </w:rPr>
  </w:style>
  <w:style w:type="character" w:styleId="WW8Num2z1">
    <w:name w:val="WW8Num2z1"/>
    <w:qFormat/>
    <w:rPr>
      <w:rFonts w:ascii="Times New Roman" w:hAnsi="Times New Roman" w:cs="Times New Roman"/>
      <w:b/>
      <w:i w:val="false"/>
      <w:caps w:val="false"/>
      <w:smallCaps w:val="false"/>
      <w:strike w:val="false"/>
      <w:dstrike w:val="false"/>
      <w:outline w:val="false"/>
      <w:shadow w:val="false"/>
      <w:color w:val="000000"/>
      <w:position w:val="0"/>
      <w:sz w:val="24"/>
      <w:sz w:val="24"/>
      <w:u w:val="none"/>
      <w:vertAlign w:val="baseline"/>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llowedHyperlink">
    <w:name w:val="FollowedHyperlink"/>
    <w:basedOn w:val="DefaultParagraphFont"/>
    <w:rPr>
      <w:rFonts w:ascii="Times New Roman" w:hAnsi="Times New Roman" w:cs="Times New Roman"/>
      <w:color w:val="800080"/>
      <w:u w:val="single"/>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rFonts w:ascii="Times New Roman" w:hAnsi="Times New Roman" w:cs="Times New Roman"/>
      <w:color w:val="0000FF"/>
      <w:u w:val="single"/>
    </w:rPr>
  </w:style>
  <w:style w:type="character" w:styleId="LineNumber">
    <w:name w:val="line number"/>
    <w:basedOn w:val="DefaultParagraphFon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jc w:val="center"/>
    </w:pPr>
    <w:rPr>
      <w:rFonts w:ascii="Times New Roman Bold;Times New Roman" w:hAnsi="Times New Roman Bold;Times New Roman" w:cs="Times New Roman Bold;Times New Roman"/>
      <w:b/>
    </w:rPr>
  </w:style>
  <w:style w:type="paragraph" w:styleId="BodyText">
    <w:name w:val="Body Text"/>
    <w:basedOn w:val="Normal"/>
    <w:pPr>
      <w:spacing w:lineRule="auto" w:line="276" w:before="0" w:after="140"/>
    </w:pPr>
    <w:rPr/>
  </w:style>
  <w:style w:type="paragraph" w:styleId="List">
    <w:name w:val="List"/>
    <w:basedOn w:val="Normal"/>
    <w:pPr>
      <w:widowControl w:val="false"/>
      <w:ind w:hanging="360" w:start="72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WTNorm">
    <w:name w:val="DWTNorm"/>
    <w:basedOn w:val="Normal"/>
    <w:qFormat/>
    <w:pPr>
      <w:widowControl/>
      <w:spacing w:lineRule="auto" w:line="480"/>
      <w:ind w:firstLine="720" w:start="0" w:end="0"/>
    </w:pPr>
    <w:rPr/>
  </w:style>
  <w:style w:type="paragraph" w:styleId="AfterQuote">
    <w:name w:val="AfterQuote"/>
    <w:basedOn w:val="DWTNorm"/>
    <w:next w:val="DWTNorm"/>
    <w:qFormat/>
    <w:pPr>
      <w:ind w:hanging="0" w:start="0" w:end="0"/>
    </w:pPr>
    <w:rPr/>
  </w:style>
  <w:style w:type="paragraph" w:styleId="Body">
    <w:name w:val="Body"/>
    <w:basedOn w:val="Normal"/>
    <w:qFormat/>
    <w:pPr>
      <w:widowControl w:val="false"/>
      <w:spacing w:lineRule="exact" w:line="480"/>
      <w:ind w:firstLine="720" w:start="0" w:end="0"/>
    </w:pPr>
    <w:rPr>
      <w:sz w:val="24"/>
    </w:rPr>
  </w:style>
  <w:style w:type="paragraph" w:styleId="BodyTextIndent">
    <w:name w:val="Body Text Indent"/>
    <w:basedOn w:val="Normal"/>
    <w:pPr>
      <w:widowControl w:val="false"/>
      <w:spacing w:before="0" w:after="120"/>
      <w:ind w:hanging="0" w:start="360" w:end="0"/>
    </w:pPr>
    <w:rPr>
      <w:sz w:val="24"/>
    </w:rPr>
  </w:style>
  <w:style w:type="paragraph" w:styleId="Citation">
    <w:name w:val="Citation"/>
    <w:basedOn w:val="Body"/>
    <w:qFormat/>
    <w:pPr>
      <w:spacing w:lineRule="exact" w:line="240" w:before="240" w:after="0"/>
      <w:ind w:hanging="0" w:start="720" w:end="720"/>
    </w:pPr>
    <w:rPr/>
  </w:style>
  <w:style w:type="paragraph" w:styleId="Closed">
    <w:name w:val="Closed"/>
    <w:basedOn w:val="Normal"/>
    <w:qFormat/>
    <w:pPr>
      <w:widowControl w:val="false"/>
    </w:pPr>
    <w:rPr>
      <w:sz w:val="24"/>
    </w:rPr>
  </w:style>
  <w:style w:type="paragraph" w:styleId="CommentText">
    <w:name w:val="Comment Text"/>
    <w:basedOn w:val="Normal"/>
    <w:qFormat/>
    <w:pPr>
      <w:widowControl w:val="false"/>
    </w:pPr>
    <w:rPr/>
  </w:style>
  <w:style w:type="paragraph" w:styleId="CopyList">
    <w:name w:val="CopyList"/>
    <w:basedOn w:val="Normal"/>
    <w:qFormat/>
    <w:pPr>
      <w:widowControl w:val="false"/>
      <w:tabs>
        <w:tab w:val="clear" w:pos="720"/>
        <w:tab w:val="left" w:pos="504" w:leader="none"/>
        <w:tab w:val="left" w:pos="2160" w:leader="none"/>
      </w:tabs>
    </w:pPr>
    <w:rPr>
      <w:sz w:val="24"/>
    </w:rPr>
  </w:style>
  <w:style w:type="paragraph" w:styleId="Date">
    <w:name w:val="Date"/>
    <w:basedOn w:val="Normal"/>
    <w:next w:val="Normal"/>
    <w:qFormat/>
    <w:pPr>
      <w:widowControl w:val="false"/>
    </w:pPr>
    <w:rPr>
      <w:sz w:val="24"/>
    </w:rPr>
  </w:style>
  <w:style w:type="paragraph" w:styleId="DWTQuote">
    <w:name w:val="DWTQuote"/>
    <w:basedOn w:val="DWTNorm"/>
    <w:next w:val="AfterQuote"/>
    <w:qFormat/>
    <w:pPr>
      <w:ind w:hanging="0" w:start="1440" w:end="1440"/>
    </w:pPr>
    <w:rPr/>
  </w:style>
  <w:style w:type="paragraph" w:styleId="DWTTitle">
    <w:name w:val="DWTTitle"/>
    <w:basedOn w:val="Normal"/>
    <w:next w:val="DWTNorm"/>
    <w:qFormat/>
    <w:pPr>
      <w:keepNext w:val="true"/>
      <w:widowControl w:val="false"/>
      <w:spacing w:before="0" w:after="240"/>
      <w:jc w:val="center"/>
    </w:pPr>
    <w:rPr>
      <w:b/>
      <w:caps/>
      <w:sz w:val="24"/>
    </w:rPr>
  </w:style>
  <w:style w:type="paragraph" w:styleId="EndnoteText">
    <w:name w:val="endnote text"/>
    <w:basedOn w:val="Normal"/>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z w:val="24"/>
    </w:rPr>
  </w:style>
  <w:style w:type="paragraph" w:styleId="FootnoteText">
    <w:name w:val="footnote text"/>
    <w:basedOn w:val="Normal"/>
    <w:pPr>
      <w:spacing w:before="0" w:after="120"/>
      <w:ind w:firstLine="720" w:start="0" w:end="0"/>
    </w:pPr>
    <w:rPr/>
  </w:style>
  <w:style w:type="paragraph" w:styleId="From">
    <w:name w:val="From"/>
    <w:basedOn w:val="Normal"/>
    <w:qFormat/>
    <w:pPr>
      <w:widowControl w:val="false"/>
    </w:pPr>
    <w:rPr>
      <w:sz w:val="24"/>
    </w:rPr>
  </w:style>
  <w:style w:type="paragraph" w:styleId="Header">
    <w:name w:val="header"/>
    <w:basedOn w:val="Normal"/>
    <w:pPr>
      <w:widowControl w:val="false"/>
      <w:tabs>
        <w:tab w:val="clear" w:pos="720"/>
        <w:tab w:val="center" w:pos="4680" w:leader="none"/>
        <w:tab w:val="right" w:pos="9360" w:leader="none"/>
      </w:tabs>
    </w:pPr>
    <w:rPr>
      <w:sz w:val="24"/>
    </w:rPr>
  </w:style>
  <w:style w:type="paragraph" w:styleId="Indented">
    <w:name w:val="Indented"/>
    <w:basedOn w:val="Normal"/>
    <w:next w:val="Body"/>
    <w:qFormat/>
    <w:pPr>
      <w:widowControl w:val="false"/>
      <w:ind w:hanging="0" w:start="720" w:end="0"/>
    </w:pPr>
    <w:rPr>
      <w:sz w:val="24"/>
    </w:rPr>
  </w:style>
  <w:style w:type="paragraph" w:styleId="Index1">
    <w:name w:val="index 1"/>
    <w:basedOn w:val="Normal"/>
    <w:next w:val="Normal"/>
    <w:pPr>
      <w:widowControl w:val="false"/>
      <w:spacing w:before="240" w:after="0"/>
    </w:pPr>
    <w:rPr>
      <w:sz w:val="24"/>
    </w:rPr>
  </w:style>
  <w:style w:type="paragraph" w:styleId="Index2">
    <w:name w:val="index 2"/>
    <w:basedOn w:val="Normal"/>
    <w:next w:val="Normal"/>
    <w:pPr>
      <w:widowControl w:val="false"/>
      <w:tabs>
        <w:tab w:val="clear" w:pos="720"/>
        <w:tab w:val="right" w:pos="8640" w:leader="dot"/>
      </w:tabs>
    </w:pPr>
    <w:rPr>
      <w:sz w:val="24"/>
    </w:rPr>
  </w:style>
  <w:style w:type="paragraph" w:styleId="NormalIndent">
    <w:name w:val="Normal Indent"/>
    <w:basedOn w:val="Normal"/>
    <w:next w:val="Normal"/>
    <w:qFormat/>
    <w:pPr>
      <w:ind w:hanging="0" w:start="720" w:end="0"/>
    </w:pPr>
    <w:rPr/>
  </w:style>
  <w:style w:type="paragraph" w:styleId="OutHead1">
    <w:name w:val="OutHead1"/>
    <w:basedOn w:val="Normal"/>
    <w:next w:val="DWTNorm"/>
    <w:qFormat/>
    <w:pPr>
      <w:keepNext w:val="true"/>
      <w:numPr>
        <w:ilvl w:val="0"/>
        <w:numId w:val="2"/>
      </w:numPr>
      <w:spacing w:before="0" w:after="240"/>
      <w:outlineLvl w:val="0"/>
    </w:pPr>
    <w:rPr>
      <w:b/>
      <w:caps/>
      <w:color w:val="000000"/>
    </w:rPr>
  </w:style>
  <w:style w:type="paragraph" w:styleId="OutHead2">
    <w:name w:val="OutHead2"/>
    <w:basedOn w:val="Normal"/>
    <w:next w:val="DWTNorm"/>
    <w:qFormat/>
    <w:pPr>
      <w:keepNext w:val="true"/>
      <w:numPr>
        <w:ilvl w:val="0"/>
        <w:numId w:val="2"/>
      </w:numPr>
      <w:spacing w:before="0" w:after="240"/>
      <w:outlineLvl w:val="1"/>
    </w:pPr>
    <w:rPr>
      <w:b/>
      <w:color w:val="000000"/>
    </w:rPr>
  </w:style>
  <w:style w:type="paragraph" w:styleId="OutHead3">
    <w:name w:val="OutHead3"/>
    <w:basedOn w:val="Normal"/>
    <w:next w:val="DWTNorm"/>
    <w:qFormat/>
    <w:pPr>
      <w:keepNext w:val="true"/>
      <w:numPr>
        <w:ilvl w:val="0"/>
        <w:numId w:val="2"/>
      </w:numPr>
      <w:spacing w:before="0" w:after="240"/>
      <w:outlineLvl w:val="2"/>
    </w:pPr>
    <w:rPr>
      <w:b/>
      <w:color w:val="000000"/>
    </w:rPr>
  </w:style>
  <w:style w:type="paragraph" w:styleId="OutHead4">
    <w:name w:val="OutHead4"/>
    <w:basedOn w:val="Normal"/>
    <w:next w:val="DWTNorm"/>
    <w:qFormat/>
    <w:pPr>
      <w:keepNext w:val="true"/>
      <w:numPr>
        <w:ilvl w:val="0"/>
        <w:numId w:val="2"/>
      </w:numPr>
      <w:spacing w:before="0" w:after="240"/>
      <w:outlineLvl w:val="3"/>
    </w:pPr>
    <w:rPr>
      <w:b/>
      <w:color w:val="000000"/>
    </w:rPr>
  </w:style>
  <w:style w:type="paragraph" w:styleId="OutHead5">
    <w:name w:val="OutHead5"/>
    <w:basedOn w:val="Normal"/>
    <w:next w:val="DWTNorm"/>
    <w:qFormat/>
    <w:pPr>
      <w:keepNext w:val="true"/>
      <w:numPr>
        <w:ilvl w:val="0"/>
        <w:numId w:val="2"/>
      </w:numPr>
      <w:spacing w:before="0" w:after="240"/>
      <w:outlineLvl w:val="4"/>
    </w:pPr>
    <w:rPr>
      <w:b/>
      <w:color w:val="000000"/>
    </w:rPr>
  </w:style>
  <w:style w:type="paragraph" w:styleId="OutHead6">
    <w:name w:val="OutHead6"/>
    <w:basedOn w:val="Normal"/>
    <w:next w:val="DWTNorm"/>
    <w:qFormat/>
    <w:pPr>
      <w:keepNext w:val="true"/>
      <w:numPr>
        <w:ilvl w:val="0"/>
        <w:numId w:val="2"/>
      </w:numPr>
      <w:spacing w:before="0" w:after="240"/>
      <w:outlineLvl w:val="5"/>
    </w:pPr>
    <w:rPr>
      <w:b/>
      <w:color w:val="000000"/>
    </w:rPr>
  </w:style>
  <w:style w:type="paragraph" w:styleId="OutHead7">
    <w:name w:val="OutHead7"/>
    <w:basedOn w:val="Normal"/>
    <w:next w:val="DWTNorm"/>
    <w:qFormat/>
    <w:pPr>
      <w:keepNext w:val="true"/>
      <w:numPr>
        <w:ilvl w:val="0"/>
        <w:numId w:val="2"/>
      </w:numPr>
      <w:spacing w:before="0" w:after="240"/>
      <w:outlineLvl w:val="6"/>
    </w:pPr>
    <w:rPr>
      <w:b/>
      <w:color w:val="000000"/>
    </w:rPr>
  </w:style>
  <w:style w:type="paragraph" w:styleId="OutHead8">
    <w:name w:val="OutHead8"/>
    <w:basedOn w:val="Normal"/>
    <w:next w:val="DWTNorm"/>
    <w:qFormat/>
    <w:pPr>
      <w:keepNext w:val="true"/>
      <w:numPr>
        <w:ilvl w:val="0"/>
        <w:numId w:val="2"/>
      </w:numPr>
      <w:spacing w:before="0" w:after="240"/>
      <w:outlineLvl w:val="7"/>
    </w:pPr>
    <w:rPr>
      <w:b/>
      <w:color w:val="000000"/>
    </w:rPr>
  </w:style>
  <w:style w:type="paragraph" w:styleId="PlainText">
    <w:name w:val="Plain Text"/>
    <w:basedOn w:val="Normal"/>
    <w:qFormat/>
    <w:pPr/>
    <w:rPr>
      <w:sz w:val="20"/>
    </w:rPr>
  </w:style>
  <w:style w:type="paragraph" w:styleId="Signature">
    <w:name w:val="Signature"/>
    <w:basedOn w:val="Normal"/>
    <w:pPr>
      <w:keepLines/>
      <w:ind w:hanging="0" w:start="4320" w:end="0"/>
    </w:pPr>
    <w:rPr/>
  </w:style>
  <w:style w:type="paragraph" w:styleId="Subject">
    <w:name w:val="Subject"/>
    <w:basedOn w:val="Normal"/>
    <w:qFormat/>
    <w:pPr/>
    <w:rPr/>
  </w:style>
  <w:style w:type="paragraph" w:styleId="SubList">
    <w:name w:val="SubList"/>
    <w:basedOn w:val="List"/>
    <w:qFormat/>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
    <w:name w:val="Table"/>
    <w:basedOn w:val="Normal"/>
    <w:qFormat/>
    <w:pPr>
      <w:tabs>
        <w:tab w:val="clear" w:pos="720"/>
        <w:tab w:val="left" w:pos="1440" w:leader="none"/>
      </w:tabs>
      <w:spacing w:lineRule="atLeast" w:line="480"/>
    </w:pPr>
    <w:rPr/>
  </w:style>
  <w:style w:type="paragraph" w:styleId="Table2">
    <w:name w:val="Table2"/>
    <w:basedOn w:val="Normal"/>
    <w:qFormat/>
    <w:pPr>
      <w:spacing w:before="120" w:after="0"/>
      <w:ind w:hanging="0" w:start="720" w:end="0"/>
    </w:pPr>
    <w:rPr/>
  </w:style>
  <w:style w:type="paragraph" w:styleId="TOC1">
    <w:name w:val="toc 1"/>
    <w:basedOn w:val="Normal"/>
    <w:next w:val="Normal"/>
    <w:pPr>
      <w:keepNext w:val="true"/>
      <w:widowControl w:val="false"/>
      <w:tabs>
        <w:tab w:val="clear" w:pos="720"/>
        <w:tab w:val="right" w:pos="9350" w:leader="dot"/>
      </w:tabs>
      <w:spacing w:before="240" w:after="0"/>
      <w:ind w:hanging="720" w:start="720" w:end="720"/>
    </w:pPr>
    <w:rPr>
      <w:caps/>
      <w:lang w:val="en-CA"/>
    </w:rPr>
  </w:style>
  <w:style w:type="paragraph" w:styleId="TOC2">
    <w:name w:val="toc 2"/>
    <w:basedOn w:val="Normal"/>
    <w:next w:val="Normal"/>
    <w:pPr>
      <w:widowControl w:val="false"/>
      <w:tabs>
        <w:tab w:val="clear" w:pos="720"/>
        <w:tab w:val="left" w:pos="1440" w:leader="none"/>
        <w:tab w:val="right" w:pos="9360" w:leader="dot"/>
      </w:tabs>
      <w:ind w:hanging="720" w:start="1440" w:end="0"/>
    </w:pPr>
    <w:rPr>
      <w:lang w:val="en-CA"/>
    </w:rPr>
  </w:style>
  <w:style w:type="paragraph" w:styleId="TOC3">
    <w:name w:val="toc 3"/>
    <w:basedOn w:val="Normal"/>
    <w:next w:val="Normal"/>
    <w:pPr>
      <w:widowControl w:val="false"/>
      <w:tabs>
        <w:tab w:val="clear" w:pos="720"/>
        <w:tab w:val="right" w:pos="9360" w:leader="dot"/>
      </w:tabs>
      <w:ind w:hanging="720" w:start="2160" w:end="0"/>
    </w:pPr>
    <w:rPr>
      <w:lang w:val="en-CA"/>
    </w:rPr>
  </w:style>
  <w:style w:type="paragraph" w:styleId="TOC4">
    <w:name w:val="toc 4"/>
    <w:basedOn w:val="Normal"/>
    <w:next w:val="Normal"/>
    <w:pPr>
      <w:spacing w:before="0" w:after="240"/>
      <w:ind w:hanging="0" w:start="720" w:end="0"/>
    </w:pPr>
    <w:rPr/>
  </w:style>
  <w:style w:type="paragraph" w:styleId="TOC5">
    <w:name w:val="toc 5"/>
    <w:basedOn w:val="Normal"/>
    <w:next w:val="Normal"/>
    <w:pPr>
      <w:spacing w:before="0" w:after="240"/>
      <w:ind w:hanging="0" w:start="965" w:end="0"/>
    </w:pPr>
    <w:rPr/>
  </w:style>
  <w:style w:type="paragraph" w:styleId="TOC6">
    <w:name w:val="toc 6"/>
    <w:basedOn w:val="Normal"/>
    <w:next w:val="Normal"/>
    <w:pPr>
      <w:spacing w:before="0" w:after="240"/>
      <w:ind w:hanging="0" w:start="1195" w:end="0"/>
    </w:pPr>
    <w:rPr/>
  </w:style>
  <w:style w:type="paragraph" w:styleId="TOC7">
    <w:name w:val="toc 7"/>
    <w:basedOn w:val="Normal"/>
    <w:next w:val="Normal"/>
    <w:pPr>
      <w:spacing w:before="0" w:after="240"/>
      <w:ind w:hanging="0" w:start="1440" w:end="0"/>
    </w:pPr>
    <w:rPr/>
  </w:style>
  <w:style w:type="paragraph" w:styleId="TOC8">
    <w:name w:val="toc 8"/>
    <w:basedOn w:val="Normal"/>
    <w:next w:val="Normal"/>
    <w:pPr>
      <w:spacing w:before="0" w:after="240"/>
      <w:ind w:hanging="0" w:start="1685" w:end="0"/>
    </w:pPr>
    <w:rPr/>
  </w:style>
  <w:style w:type="paragraph" w:styleId="TOC9">
    <w:name w:val="toc 9"/>
    <w:basedOn w:val="Normal"/>
    <w:next w:val="Normal"/>
    <w:pPr>
      <w:spacing w:before="0" w:after="240"/>
      <w:ind w:hanging="0" w:start="1915" w:end="0"/>
    </w:pPr>
    <w:rPr/>
  </w:style>
  <w:style w:type="paragraph" w:styleId="TableofAuthorities">
    <w:name w:val="Table of Authorities"/>
    <w:basedOn w:val="Normal"/>
    <w:next w:val="Normal"/>
    <w:qFormat/>
    <w:pPr>
      <w:widowControl w:val="false"/>
      <w:spacing w:lineRule="exact" w:line="240" w:before="0" w:after="240"/>
      <w:ind w:hanging="720" w:start="720" w:end="720"/>
    </w:pPr>
    <w:rPr/>
  </w:style>
  <w:style w:type="paragraph" w:styleId="TOAHeading">
    <w:name w:val="TOA Heading"/>
    <w:basedOn w:val="Normal"/>
    <w:next w:val="Normal"/>
    <w:qFormat/>
    <w:pPr>
      <w:keepNext w:val="true"/>
      <w:widowControl w:val="false"/>
      <w:spacing w:lineRule="exact" w:line="240" w:before="0" w:after="240"/>
      <w:jc w:val="center"/>
    </w:pPr>
    <w:rPr>
      <w:rFonts w:ascii="Times New Roman Bold;Times New Roman" w:hAnsi="Times New Roman Bold;Times New Roman" w:cs="Times New Roman Bold;Times New Roman"/>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2000-12-07T16:45:00Z</dcterms:created>
  <dc:creator>Salle Yoo</dc:creator>
  <dc:description/>
  <dc:language>en-CA</dc:language>
  <cp:lastModifiedBy>Howard Jones</cp:lastModifiedBy>
  <cp:lastPrinted>2000-12-11T16:33:00Z</cp:lastPrinted>
  <dcterms:modified xsi:type="dcterms:W3CDTF">2000-12-11T22:21:00Z</dcterms:modified>
  <cp:revision>40</cp:revision>
  <dc:subject/>
  <dc:title>BEFORE THE PUBLIC UTILITIES COMMISSION OF THE</dc:title>
</cp:coreProperties>
</file>