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r>
        <w:rPr>
          <w:sz w:val="48"/>
        </w:rPr>
        <w:tab/>
      </w:r>
    </w:p>
    <w:p>
      <w:pPr>
        <w:pStyle w:val="Caption"/>
        <w:rPr>
          <w:sz w:val="48"/>
        </w:rPr>
      </w:pPr>
      <w:r>
        <w:rPr/>
        <w:t>CONFIDENTIAL AND PRIVILEGED</w:t>
      </w:r>
    </w:p>
    <w:p>
      <w:pPr>
        <w:pStyle w:val="Normal"/>
        <w:tabs>
          <w:tab w:val="clear" w:pos="720"/>
          <w:tab w:val="left" w:pos="5490" w:leader="none"/>
        </w:tabs>
        <w:jc w:val="end"/>
        <w:rPr/>
      </w:pPr>
      <w:r>
        <w:rPr>
          <w:sz w:val="48"/>
        </w:rPr>
        <w:tab/>
      </w:r>
      <w:r>
        <w:rPr>
          <w:b/>
        </w:rPr>
        <w:t>INTEROFFICE MEMORANDUM</w:t>
      </w:r>
    </w:p>
    <w:p>
      <w:pPr>
        <w:pStyle w:val="Normal"/>
        <w:pBdr>
          <w:top w:val="single" w:sz="12" w:space="1" w:color="000000"/>
        </w:pBdr>
        <w:tabs>
          <w:tab w:val="clear" w:pos="720"/>
          <w:tab w:val="left" w:pos="1440" w:leader="none"/>
          <w:tab w:val="left" w:pos="5040" w:leader="none"/>
          <w:tab w:val="left" w:pos="6660" w:leader="none"/>
        </w:tabs>
        <w:spacing w:before="120" w:after="0"/>
        <w:ind w:end="-90"/>
        <w:rPr/>
      </w:pPr>
      <w:r>
        <w:rPr>
          <w:b/>
        </w:rPr>
        <w:t>TO:</w:t>
      </w:r>
      <w:r>
        <w:rPr/>
        <w:tab/>
        <w:t>Mark Haedicke</w:t>
        <w:tab/>
      </w:r>
      <w:r>
        <w:rPr>
          <w:b/>
        </w:rPr>
        <w:t xml:space="preserve">DATE: </w:t>
        <w:tab/>
      </w:r>
      <w:r>
        <w:rPr/>
        <w:t>June _, 2001</w:t>
        <w:br/>
        <w:tab/>
        <w:t>Lance Schuler/John Novak</w:t>
      </w:r>
    </w:p>
    <w:p>
      <w:pPr>
        <w:pStyle w:val="Normal"/>
        <w:pBdr>
          <w:top w:val="single" w:sz="12" w:space="1" w:color="000000"/>
        </w:pBdr>
        <w:tabs>
          <w:tab w:val="clear" w:pos="720"/>
          <w:tab w:val="left" w:pos="1440" w:leader="none"/>
          <w:tab w:val="left" w:pos="5040" w:leader="none"/>
          <w:tab w:val="left" w:pos="6660" w:leader="none"/>
        </w:tabs>
        <w:spacing w:before="120" w:after="0"/>
        <w:ind w:end="-90"/>
        <w:rPr/>
      </w:pPr>
      <w:r>
        <w:rPr>
          <w:b/>
        </w:rPr>
        <w:t>FROM:</w:t>
      </w:r>
      <w:r>
        <w:rPr/>
        <w:tab/>
        <w:t>Eddy Daniels</w:t>
        <w:tab/>
      </w:r>
      <w:r>
        <w:rPr>
          <w:b/>
        </w:rPr>
        <w:t xml:space="preserve">DEPARTMENT:  </w:t>
        <w:tab/>
      </w:r>
      <w:r>
        <w:rPr/>
        <w:t>ENA/ESA</w:t>
      </w:r>
      <w:r>
        <w:rPr>
          <w:b/>
        </w:rPr>
        <w:t xml:space="preserve"> </w:t>
      </w:r>
      <w:r>
        <w:rPr/>
        <w:t>Legal</w:t>
      </w:r>
    </w:p>
    <w:p>
      <w:pPr>
        <w:pStyle w:val="Normal"/>
        <w:pBdr>
          <w:bottom w:val="single" w:sz="12" w:space="1" w:color="000000"/>
        </w:pBdr>
        <w:spacing w:before="120" w:after="0"/>
        <w:ind w:hanging="1440" w:start="1440" w:end="0"/>
        <w:jc w:val="both"/>
        <w:rPr/>
      </w:pPr>
      <w:r>
        <w:rPr>
          <w:b/>
        </w:rPr>
        <w:t>SUBJECT:</w:t>
        <w:tab/>
      </w:r>
      <w:r>
        <w:rPr/>
        <w:t>Amended and Restated Gas Supply Agreement among YPF S.A., Andina S.A., and Southern Cone Gas Ltd. and Amended and Restated Assignment Agreement between Andina S.A. and Transborder Gas Services Ltd.</w:t>
      </w:r>
    </w:p>
    <w:p>
      <w:pPr>
        <w:pStyle w:val="Normal"/>
        <w:pBdr>
          <w:bottom w:val="single" w:sz="12" w:space="1" w:color="000000"/>
        </w:pBdr>
        <w:spacing w:before="120" w:after="60"/>
        <w:rPr/>
      </w:pPr>
      <w:r>
        <w:rPr>
          <w:b/>
          <w:bCs/>
        </w:rPr>
        <w:t>RISK FACTOR:</w:t>
      </w:r>
      <w:r>
        <w:rPr/>
        <w:tab/>
        <w:t>[5]</w:t>
      </w:r>
    </w:p>
    <w:p>
      <w:pPr>
        <w:pStyle w:val="BodyText"/>
        <w:tabs>
          <w:tab w:val="clear" w:pos="720"/>
          <w:tab w:val="clear" w:pos="1530"/>
          <w:tab w:val="clear" w:pos="5040"/>
          <w:tab w:val="clear" w:pos="6480"/>
        </w:tabs>
        <w:spacing w:before="0" w:after="240"/>
        <w:ind w:firstLine="720" w:end="0"/>
        <w:rPr>
          <w:sz w:val="24"/>
        </w:rPr>
      </w:pPr>
      <w:r>
        <w:rPr>
          <w:sz w:val="24"/>
        </w:rPr>
        <w:t xml:space="preserve">On May 4, 2001, Southern Cone Gas Ltd. (“SCG”) (a 100% Enron-owned Cayman entity) became legally entitled to terminate its Gas Supply Agreement dated October 8, 1998 with YPF and Andina (the “GSA”).  In the weeks leading up to May 4, YPF and Andina indicated their willingness to renegotiate the GSA to prevent termination by SCG.  The commercial team also sought indications of interest from other producers with supplies near the Bolivia to Brazil pipeline system.  The YPF/Andina proposal emerged as the most favorable in every respect – price, liability provisions, and acceptability to potential project lenders.  Accordingly, corporate approval is being sought via a DASH to enter into an Amended and Restated Gas Supply Agreement (the “ARGSA”) on or around June 12, 2001.  </w:t>
      </w:r>
    </w:p>
    <w:p>
      <w:pPr>
        <w:pStyle w:val="BodyText"/>
        <w:tabs>
          <w:tab w:val="clear" w:pos="720"/>
          <w:tab w:val="clear" w:pos="1530"/>
          <w:tab w:val="clear" w:pos="5040"/>
          <w:tab w:val="clear" w:pos="6480"/>
        </w:tabs>
        <w:spacing w:before="0" w:after="240"/>
        <w:ind w:firstLine="720" w:end="0"/>
        <w:rPr>
          <w:sz w:val="24"/>
        </w:rPr>
      </w:pPr>
      <w:r>
        <w:rPr>
          <w:sz w:val="24"/>
        </w:rPr>
        <w:t>SCG seeks to purchase this gas for resale pursuant to its GSA with Transborder Gas Services Ltd. (“TBS”) (Cayman entity owned 72.5% by Enron and 27.5% by Shell).  TBS, in turn, resells the gas pursuant to its GSA with EPE (a Brazilian entity owning the power plant in Cuiaba, owned 72% by Enron and 28% by Shell) (“EPE”).</w:t>
      </w:r>
    </w:p>
    <w:p>
      <w:pPr>
        <w:pStyle w:val="BodyText"/>
        <w:tabs>
          <w:tab w:val="clear" w:pos="720"/>
          <w:tab w:val="clear" w:pos="1530"/>
          <w:tab w:val="clear" w:pos="5040"/>
          <w:tab w:val="clear" w:pos="6480"/>
        </w:tabs>
        <w:spacing w:before="0" w:after="240"/>
        <w:ind w:firstLine="720" w:end="0"/>
        <w:rPr>
          <w:sz w:val="24"/>
        </w:rPr>
      </w:pPr>
      <w:r>
        <w:rPr>
          <w:sz w:val="24"/>
        </w:rPr>
        <w:t>Before discussing the legal risks, a summary of the major terms of the ARGSA may be useful.</w:t>
      </w:r>
    </w:p>
    <w:p>
      <w:pPr>
        <w:pStyle w:val="BodyText"/>
        <w:tabs>
          <w:tab w:val="clear" w:pos="720"/>
          <w:tab w:val="clear" w:pos="1530"/>
          <w:tab w:val="clear" w:pos="5040"/>
          <w:tab w:val="clear" w:pos="6480"/>
        </w:tabs>
        <w:spacing w:before="240" w:after="0"/>
        <w:ind w:hanging="2160" w:start="2160" w:end="0"/>
        <w:rPr>
          <w:sz w:val="24"/>
        </w:rPr>
      </w:pPr>
      <w:r>
        <w:rPr>
          <w:sz w:val="24"/>
        </w:rPr>
        <w:t>Sellers:</w:t>
        <w:tab/>
        <w:t>YPF (50%) and Andina (50%).  Liability shared 50/50 regardless of fault</w:t>
      </w:r>
    </w:p>
    <w:p>
      <w:pPr>
        <w:pStyle w:val="BodyText"/>
        <w:tabs>
          <w:tab w:val="clear" w:pos="720"/>
          <w:tab w:val="clear" w:pos="1530"/>
          <w:tab w:val="clear" w:pos="5040"/>
          <w:tab w:val="clear" w:pos="6480"/>
        </w:tabs>
        <w:spacing w:before="240" w:after="0"/>
        <w:ind w:hanging="2160" w:start="2160" w:end="0"/>
        <w:rPr>
          <w:sz w:val="24"/>
        </w:rPr>
      </w:pPr>
      <w:r>
        <w:rPr>
          <w:sz w:val="24"/>
        </w:rPr>
        <w:t>Term:</w:t>
        <w:tab/>
        <w:t xml:space="preserve">Date of execution through May 4, 2019 </w:t>
      </w:r>
    </w:p>
    <w:p>
      <w:pPr>
        <w:pStyle w:val="BodyText"/>
        <w:tabs>
          <w:tab w:val="clear" w:pos="720"/>
          <w:tab w:val="clear" w:pos="1530"/>
          <w:tab w:val="clear" w:pos="5040"/>
          <w:tab w:val="clear" w:pos="6480"/>
        </w:tabs>
        <w:spacing w:before="240" w:after="0"/>
        <w:ind w:hanging="2160" w:start="2160" w:end="0"/>
        <w:rPr>
          <w:sz w:val="24"/>
        </w:rPr>
      </w:pPr>
      <w:r>
        <w:rPr>
          <w:sz w:val="24"/>
        </w:rPr>
        <w:t>Price:</w:t>
        <w:tab/>
        <w:t>$1.05 per MMBTU escalating at 1% annually through 1/1/07</w:t>
        <w:tab/>
        <w:tab/>
      </w:r>
    </w:p>
    <w:p>
      <w:pPr>
        <w:pStyle w:val="BodyText"/>
        <w:tabs>
          <w:tab w:val="clear" w:pos="720"/>
          <w:tab w:val="clear" w:pos="1530"/>
          <w:tab w:val="clear" w:pos="5040"/>
          <w:tab w:val="clear" w:pos="6480"/>
        </w:tabs>
        <w:spacing w:before="240" w:after="0"/>
        <w:ind w:hanging="2160" w:start="2160" w:end="0"/>
        <w:rPr>
          <w:sz w:val="24"/>
        </w:rPr>
      </w:pPr>
      <w:r>
        <w:rPr>
          <w:sz w:val="24"/>
        </w:rPr>
        <w:tab/>
        <w:t>$1.19 per MMBTU, escalating annually with PPI (up to 1.75%, but no less than 0.5%) beginning 1/1/08</w:t>
      </w:r>
    </w:p>
    <w:p>
      <w:pPr>
        <w:pStyle w:val="BodyText"/>
        <w:tabs>
          <w:tab w:val="clear" w:pos="720"/>
          <w:tab w:val="clear" w:pos="1530"/>
          <w:tab w:val="clear" w:pos="5040"/>
          <w:tab w:val="clear" w:pos="6480"/>
        </w:tabs>
        <w:spacing w:before="240" w:after="0"/>
        <w:ind w:hanging="2160" w:start="2160" w:end="0"/>
        <w:rPr>
          <w:sz w:val="24"/>
        </w:rPr>
      </w:pPr>
      <w:r>
        <w:rPr>
          <w:sz w:val="24"/>
        </w:rPr>
        <w:t>Quantity:</w:t>
        <w:tab/>
        <w:t>83,665 MMBTU/Day</w:t>
      </w:r>
    </w:p>
    <w:p>
      <w:pPr>
        <w:pStyle w:val="BodyText"/>
        <w:tabs>
          <w:tab w:val="clear" w:pos="720"/>
          <w:tab w:val="clear" w:pos="1530"/>
          <w:tab w:val="clear" w:pos="5040"/>
          <w:tab w:val="clear" w:pos="6480"/>
        </w:tabs>
        <w:spacing w:before="240" w:after="0"/>
        <w:ind w:hanging="2160" w:start="2160" w:end="0"/>
        <w:rPr>
          <w:sz w:val="24"/>
        </w:rPr>
      </w:pPr>
      <w:r>
        <w:rPr>
          <w:sz w:val="24"/>
        </w:rPr>
        <w:t>Take or Pay:</w:t>
        <w:tab/>
        <w:t>For commissioning period and first 18 months of commercial ops. – 0%, thereafter 55%</w:t>
      </w:r>
    </w:p>
    <w:p>
      <w:pPr>
        <w:pStyle w:val="BodyText"/>
        <w:tabs>
          <w:tab w:val="clear" w:pos="720"/>
          <w:tab w:val="clear" w:pos="1530"/>
          <w:tab w:val="clear" w:pos="5040"/>
          <w:tab w:val="clear" w:pos="6480"/>
        </w:tabs>
        <w:spacing w:before="240" w:after="0"/>
        <w:ind w:hanging="2160" w:start="2160" w:end="0"/>
        <w:rPr>
          <w:sz w:val="24"/>
        </w:rPr>
      </w:pPr>
      <w:r>
        <w:rPr>
          <w:sz w:val="24"/>
        </w:rPr>
        <w:t>Makeup:</w:t>
        <w:tab/>
        <w:t>60 months</w:t>
      </w:r>
    </w:p>
    <w:p>
      <w:pPr>
        <w:pStyle w:val="BodyText"/>
        <w:tabs>
          <w:tab w:val="clear" w:pos="720"/>
          <w:tab w:val="clear" w:pos="1530"/>
          <w:tab w:val="clear" w:pos="5040"/>
          <w:tab w:val="clear" w:pos="6480"/>
        </w:tabs>
        <w:spacing w:before="240" w:after="0"/>
        <w:ind w:hanging="2160" w:start="2160" w:end="0"/>
        <w:rPr>
          <w:sz w:val="24"/>
        </w:rPr>
      </w:pPr>
      <w:r>
        <w:rPr>
          <w:sz w:val="24"/>
        </w:rPr>
        <w:t>Damages:</w:t>
        <w:tab/>
        <w:t>Sellers liable for “cover” damages without cap</w:t>
      </w:r>
    </w:p>
    <w:p>
      <w:pPr>
        <w:pStyle w:val="BodyText"/>
        <w:tabs>
          <w:tab w:val="clear" w:pos="720"/>
          <w:tab w:val="clear" w:pos="1530"/>
          <w:tab w:val="clear" w:pos="5040"/>
          <w:tab w:val="clear" w:pos="6480"/>
        </w:tabs>
        <w:spacing w:before="240" w:after="0"/>
        <w:ind w:start="2160" w:end="0"/>
        <w:rPr>
          <w:sz w:val="24"/>
        </w:rPr>
      </w:pPr>
      <w:r>
        <w:rPr>
          <w:sz w:val="24"/>
        </w:rPr>
        <w:t>Sellers liable for “non-cover” damages up to $20 million/yr (escalating with PPI)</w:t>
      </w:r>
    </w:p>
    <w:p>
      <w:pPr>
        <w:pStyle w:val="BodyText"/>
        <w:tabs>
          <w:tab w:val="clear" w:pos="720"/>
          <w:tab w:val="clear" w:pos="1530"/>
          <w:tab w:val="clear" w:pos="5040"/>
          <w:tab w:val="clear" w:pos="6480"/>
        </w:tabs>
        <w:spacing w:before="240" w:after="0"/>
        <w:ind w:start="2160" w:end="0"/>
        <w:rPr>
          <w:sz w:val="24"/>
        </w:rPr>
      </w:pPr>
      <w:r>
        <w:rPr>
          <w:sz w:val="24"/>
        </w:rPr>
        <w:t>During commissioning, Sellers “non-cover” damages limited to $5 million.  However, if Sellers fail to deliver gas before December 31, 2001, liable for an additional $4 million to cover penalties in power plant construction contracts with Siemens</w:t>
      </w:r>
    </w:p>
    <w:p>
      <w:pPr>
        <w:pStyle w:val="BodyText"/>
        <w:tabs>
          <w:tab w:val="clear" w:pos="720"/>
          <w:tab w:val="clear" w:pos="1530"/>
          <w:tab w:val="clear" w:pos="5040"/>
          <w:tab w:val="clear" w:pos="6480"/>
        </w:tabs>
        <w:spacing w:before="240" w:after="0"/>
        <w:ind w:hanging="2160" w:start="2160" w:end="0"/>
        <w:rPr>
          <w:sz w:val="24"/>
        </w:rPr>
      </w:pPr>
      <w:r>
        <w:rPr>
          <w:sz w:val="24"/>
        </w:rPr>
        <w:t>Exclusivity:</w:t>
        <w:tab/>
        <w:t>100% of requirements after expiration of current 180 day contract with 3d party</w:t>
      </w:r>
    </w:p>
    <w:p>
      <w:pPr>
        <w:pStyle w:val="BodyText"/>
        <w:tabs>
          <w:tab w:val="clear" w:pos="720"/>
          <w:tab w:val="clear" w:pos="1530"/>
          <w:tab w:val="clear" w:pos="5040"/>
          <w:tab w:val="clear" w:pos="6480"/>
        </w:tabs>
        <w:spacing w:before="240" w:after="0"/>
        <w:ind w:hanging="2160" w:start="2160" w:end="0"/>
        <w:rPr>
          <w:sz w:val="24"/>
        </w:rPr>
      </w:pPr>
      <w:r>
        <w:rPr>
          <w:sz w:val="24"/>
        </w:rPr>
        <w:t>Security:</w:t>
        <w:tab/>
        <w:t>EPE Guaranty (already executed per GSA). SCG obligated to post $20 million letter of credit or additional guaranty (escalating with PPI) in event of SCG payment default</w:t>
      </w:r>
    </w:p>
    <w:p>
      <w:pPr>
        <w:pStyle w:val="BodyText"/>
        <w:tabs>
          <w:tab w:val="clear" w:pos="720"/>
          <w:tab w:val="clear" w:pos="1530"/>
          <w:tab w:val="clear" w:pos="5040"/>
          <w:tab w:val="clear" w:pos="6480"/>
        </w:tabs>
        <w:spacing w:before="240" w:after="0"/>
        <w:ind w:hanging="2160" w:start="2160" w:end="0"/>
        <w:rPr>
          <w:sz w:val="24"/>
        </w:rPr>
      </w:pPr>
      <w:r>
        <w:rPr>
          <w:sz w:val="24"/>
        </w:rPr>
        <w:t>Delivery Pt.:</w:t>
        <w:tab/>
        <w:t>Inlet flange of GTB pipeline (Rio Grande, Bolivia)</w:t>
      </w:r>
    </w:p>
    <w:p>
      <w:pPr>
        <w:pStyle w:val="BodyText"/>
        <w:tabs>
          <w:tab w:val="clear" w:pos="720"/>
          <w:tab w:val="clear" w:pos="1530"/>
          <w:tab w:val="clear" w:pos="5040"/>
          <w:tab w:val="clear" w:pos="6480"/>
        </w:tabs>
        <w:spacing w:before="240" w:after="0"/>
        <w:ind w:hanging="2160" w:start="2160" w:end="0"/>
        <w:rPr>
          <w:sz w:val="24"/>
        </w:rPr>
      </w:pPr>
      <w:r>
        <w:rPr>
          <w:sz w:val="24"/>
        </w:rPr>
        <w:t>Termination:</w:t>
        <w:tab/>
        <w:t>Limited to default, bankruptcy, and extended force majeure.</w:t>
      </w:r>
    </w:p>
    <w:p>
      <w:pPr>
        <w:pStyle w:val="BodyText"/>
        <w:tabs>
          <w:tab w:val="clear" w:pos="720"/>
          <w:tab w:val="clear" w:pos="1530"/>
          <w:tab w:val="clear" w:pos="5040"/>
          <w:tab w:val="clear" w:pos="6480"/>
        </w:tabs>
        <w:spacing w:before="240" w:after="0"/>
        <w:ind w:hanging="720" w:start="720" w:end="0"/>
        <w:rPr>
          <w:sz w:val="24"/>
        </w:rPr>
      </w:pPr>
      <w:r>
        <w:rPr>
          <w:sz w:val="24"/>
        </w:rPr>
        <w:t>PPA termination:</w:t>
        <w:tab/>
        <w:t>Special provisions allow take or pay to drop to 0% unless new PPAs are</w:t>
        <w:tab/>
        <w:tab/>
        <w:tab/>
        <w:t>obtained and for optional repricing based on fluctuation in EPE revenues.</w:t>
      </w:r>
    </w:p>
    <w:p>
      <w:pPr>
        <w:pStyle w:val="BodyText"/>
        <w:tabs>
          <w:tab w:val="clear" w:pos="720"/>
          <w:tab w:val="clear" w:pos="1530"/>
          <w:tab w:val="clear" w:pos="5040"/>
          <w:tab w:val="clear" w:pos="6480"/>
        </w:tabs>
        <w:spacing w:before="240" w:after="0"/>
        <w:rPr>
          <w:sz w:val="24"/>
        </w:rPr>
      </w:pPr>
      <w:r>
        <w:rPr>
          <w:sz w:val="24"/>
        </w:rPr>
        <w:t>Governing Law:</w:t>
        <w:tab/>
        <w:t>New York</w:t>
      </w:r>
    </w:p>
    <w:p>
      <w:pPr>
        <w:pStyle w:val="BodyText"/>
        <w:tabs>
          <w:tab w:val="clear" w:pos="720"/>
          <w:tab w:val="clear" w:pos="1530"/>
          <w:tab w:val="clear" w:pos="5040"/>
          <w:tab w:val="clear" w:pos="6480"/>
        </w:tabs>
        <w:spacing w:before="240" w:after="0"/>
        <w:rPr>
          <w:sz w:val="24"/>
        </w:rPr>
      </w:pPr>
      <w:r>
        <w:rPr>
          <w:sz w:val="24"/>
        </w:rPr>
        <w:t>Dispute Resolution:</w:t>
        <w:tab/>
        <w:t>Binding arbitration with ICC rules to occur in Miami, Florida</w:t>
      </w:r>
    </w:p>
    <w:p>
      <w:pPr>
        <w:pStyle w:val="BodyText"/>
        <w:tabs>
          <w:tab w:val="clear" w:pos="720"/>
          <w:tab w:val="clear" w:pos="1530"/>
          <w:tab w:val="clear" w:pos="5040"/>
          <w:tab w:val="clear" w:pos="6480"/>
        </w:tabs>
        <w:spacing w:before="240" w:after="0"/>
        <w:ind w:firstLine="720" w:end="0"/>
        <w:rPr>
          <w:sz w:val="24"/>
        </w:rPr>
      </w:pPr>
      <w:r>
        <w:rPr>
          <w:sz w:val="24"/>
        </w:rPr>
        <w:t>Additionally, upon execution of the ARGSA, Andina and TBS would enter into an Amended and Restated Assignment Agreement by which the current assignment to Andina of our pipeline capacity would be amended to provide that Andina may use all of our capacity to deliver Gas purchased by SCG in the ARGSA, and may reassign unused capacity subject to recall if needed.</w:t>
      </w:r>
    </w:p>
    <w:p>
      <w:pPr>
        <w:pStyle w:val="BodyText"/>
        <w:tabs>
          <w:tab w:val="clear" w:pos="720"/>
          <w:tab w:val="clear" w:pos="1530"/>
          <w:tab w:val="clear" w:pos="5040"/>
          <w:tab w:val="clear" w:pos="6480"/>
        </w:tabs>
        <w:spacing w:before="240" w:after="0"/>
        <w:ind w:firstLine="720" w:end="0"/>
        <w:rPr>
          <w:sz w:val="24"/>
        </w:rPr>
      </w:pPr>
      <w:r>
        <w:rPr>
          <w:sz w:val="24"/>
        </w:rPr>
        <w:t>The new provisions of the ARGSA will be replicated in the SCG-TBS GSA and the TBS-EPE GSA, except for the reduced contract price.  The failure to pass the reduced price to TBS and EPE may lead to disputes with Shell (as minority shareholder in those entities) and Furnas (power purchaser from EPE to whom gas costs are ultimately passed).</w:t>
      </w:r>
    </w:p>
    <w:p>
      <w:pPr>
        <w:pStyle w:val="BodyText"/>
        <w:tabs>
          <w:tab w:val="clear" w:pos="720"/>
          <w:tab w:val="clear" w:pos="1530"/>
          <w:tab w:val="clear" w:pos="5040"/>
          <w:tab w:val="clear" w:pos="6480"/>
        </w:tabs>
        <w:spacing w:before="240" w:after="0"/>
        <w:rPr/>
      </w:pPr>
      <w:r>
        <w:rPr>
          <w:sz w:val="24"/>
        </w:rPr>
        <w:tab/>
      </w:r>
      <w:r>
        <w:rPr>
          <w:sz w:val="24"/>
          <w:u w:val="single"/>
        </w:rPr>
        <w:t>Risks</w:t>
      </w:r>
    </w:p>
    <w:p>
      <w:pPr>
        <w:pStyle w:val="BodyText"/>
        <w:numPr>
          <w:ilvl w:val="0"/>
          <w:numId w:val="2"/>
        </w:numPr>
        <w:tabs>
          <w:tab w:val="clear" w:pos="720"/>
          <w:tab w:val="clear" w:pos="1530"/>
          <w:tab w:val="clear" w:pos="5040"/>
          <w:tab w:val="clear" w:pos="6480"/>
        </w:tabs>
        <w:spacing w:before="240" w:after="0"/>
        <w:ind w:hanging="720" w:start="720" w:end="0"/>
        <w:rPr>
          <w:sz w:val="24"/>
        </w:rPr>
      </w:pPr>
      <w:r>
        <w:rPr>
          <w:i/>
          <w:iCs/>
          <w:sz w:val="24"/>
        </w:rPr>
        <w:t>Risk associated with international transactions.</w:t>
      </w:r>
      <w:r>
        <w:rPr>
          <w:sz w:val="24"/>
        </w:rPr>
        <w:t xml:space="preserve">  There can be no assurance that the arbitration provisions will be enforced in the courts of Brazil, Bolivia or Argentina.  Further, should YPF or Andina initiate suit in Brazil, Bolivia or Argentina, there is a risk that New York law would not be applied instead of the law of the local jurisdiction or the law selected by the choice of law rules of the local jurisdiction.  YPF, formerly an Argentine state-owned entity, may have a considerable advantage in the courts of Argentina. Andina, whose shares are held by YPF and Bolivian pension funds, might have a considerable advantage in the courts of Bolivia.  In any event, arbitral awards against YPF and Andina would likely need to be enforced in the courts of Argentina and Bolivia.  Yet, the uncertainty resulting from the risks above may be overstated.  In the present circumstances, YPF and Andina did not resort to arbitration or litigation to prevent exercise of our rights under the contract as dictated by New York law. </w:t>
      </w:r>
    </w:p>
    <w:p>
      <w:pPr>
        <w:pStyle w:val="BodyText"/>
        <w:numPr>
          <w:ilvl w:val="0"/>
          <w:numId w:val="2"/>
        </w:numPr>
        <w:tabs>
          <w:tab w:val="clear" w:pos="720"/>
          <w:tab w:val="clear" w:pos="1530"/>
          <w:tab w:val="clear" w:pos="5040"/>
          <w:tab w:val="clear" w:pos="6480"/>
        </w:tabs>
        <w:spacing w:before="240" w:after="0"/>
        <w:ind w:hanging="720" w:start="720" w:end="0"/>
        <w:rPr>
          <w:sz w:val="24"/>
        </w:rPr>
      </w:pPr>
      <w:r>
        <w:rPr>
          <w:i/>
          <w:iCs/>
          <w:sz w:val="24"/>
        </w:rPr>
        <w:t>Risk associated with proportional liability arrangement.</w:t>
      </w:r>
      <w:r>
        <w:rPr>
          <w:sz w:val="24"/>
        </w:rPr>
        <w:t xml:space="preserve">  Though SCG has requested joint and several liability from YPF and Andina, they agreed only to a proportionate liability scheme whereby both are liable for 50% of any Seller liability under the contract.  If Sellers are obligated to deliver 100 units on a given day and actually deliver 40 units, each of YPF and Andina are credited with having delivered 20 units and are liable for failure to deliver 30 units, even if all of the gas that arrived came from YPF and all of the gas that did not arrive was to come from Andina.  This concept has the benefit of ease of application and minimal need to investigate liability as between YPF and Andina, and effectively serves as a YPF guaranty for 50% of Andina’s liability.  However, the liability scheme is untested and may lead to inequitable results (especially in the event that YPF’s interest in Andina decreases significantly in the years ahead), and decision makers in the future may be reluctant to strictly apply it.</w:t>
      </w:r>
    </w:p>
    <w:p>
      <w:pPr>
        <w:pStyle w:val="BodyText"/>
        <w:numPr>
          <w:ilvl w:val="0"/>
          <w:numId w:val="2"/>
        </w:numPr>
        <w:tabs>
          <w:tab w:val="clear" w:pos="720"/>
          <w:tab w:val="clear" w:pos="1530"/>
          <w:tab w:val="clear" w:pos="5040"/>
          <w:tab w:val="clear" w:pos="6480"/>
        </w:tabs>
        <w:spacing w:before="240" w:after="0"/>
        <w:ind w:hanging="720" w:start="720" w:end="0"/>
        <w:rPr>
          <w:sz w:val="24"/>
        </w:rPr>
      </w:pPr>
      <w:r>
        <w:rPr>
          <w:i/>
          <w:iCs/>
          <w:sz w:val="24"/>
        </w:rPr>
        <w:t>Risk associated with the Assignment Agreement.</w:t>
      </w:r>
      <w:r>
        <w:rPr>
          <w:sz w:val="24"/>
        </w:rPr>
        <w:t xml:space="preserve">  TBS has obtained capacity on the Transredes pipeline system for the purpose of fulfilling its obligation to transport gas from Sellers to EPE.  The assignment agreement assigns all of TBS’s capacity to Andina and permits Andina to reassign such capacity to other customers so long as Andina is able to perform its obligations to SCG (e.g. delivering gas using its own capacity arrangements) and so long as the capacity is subject to recall if needed to perform.  However, once the sale of Enron’s interest in Transredes is complete Enron will have less ability to ensure that TBS’s recall option is honored if the capacity is not released by the Reassignee.  Andina is required to expressly state in any reassignment that such reassignment is subject to TBS recall.  Further, TBS has an indemnity from Andina for any loss caused by its reassignment.  Nonetheless, TBS’s ability to enforce its recall option will depend on cooperation from Transredes, Bolivian regulators or Bolivian courts enforcing arbitral decisions.</w:t>
      </w:r>
    </w:p>
    <w:p>
      <w:pPr>
        <w:pStyle w:val="BodyText"/>
        <w:numPr>
          <w:ilvl w:val="0"/>
          <w:numId w:val="2"/>
        </w:numPr>
        <w:tabs>
          <w:tab w:val="clear" w:pos="720"/>
          <w:tab w:val="clear" w:pos="1530"/>
          <w:tab w:val="clear" w:pos="5040"/>
          <w:tab w:val="clear" w:pos="6480"/>
        </w:tabs>
        <w:spacing w:before="240" w:after="0"/>
        <w:ind w:hanging="720" w:start="720" w:end="0"/>
        <w:rPr>
          <w:sz w:val="24"/>
        </w:rPr>
      </w:pPr>
      <w:r>
        <w:rPr>
          <w:i/>
          <w:iCs/>
          <w:sz w:val="24"/>
        </w:rPr>
        <w:t>Risk associated with the exclusivity provisions.</w:t>
      </w:r>
      <w:r>
        <w:rPr>
          <w:sz w:val="24"/>
        </w:rPr>
        <w:t xml:space="preserve">  In return for significant price concessions, SCG is asked to agree to use YPF/Andina as essentially the sole suppliers.  Accordingly, SCG will have no long-term contracts with other producers in place which could be drawn upon to supply SCG’s customer in the event of YPF/Andina deficiencies.  The exclusivity provisions allow SCG to purchase “cover” gas from other producers in the event of deficiency, but those purchases would be on a spot basis and the availability of “cover” gas on a spot basis is uncertain.</w:t>
      </w:r>
    </w:p>
    <w:p>
      <w:pPr>
        <w:pStyle w:val="BodyText"/>
        <w:numPr>
          <w:ilvl w:val="0"/>
          <w:numId w:val="2"/>
        </w:numPr>
        <w:tabs>
          <w:tab w:val="clear" w:pos="720"/>
          <w:tab w:val="clear" w:pos="1530"/>
          <w:tab w:val="clear" w:pos="5040"/>
          <w:tab w:val="clear" w:pos="6480"/>
        </w:tabs>
        <w:spacing w:before="240" w:after="0"/>
        <w:ind w:hanging="720" w:start="720" w:end="0"/>
        <w:rPr>
          <w:sz w:val="24"/>
        </w:rPr>
      </w:pPr>
      <w:r>
        <w:rPr>
          <w:i/>
          <w:iCs/>
          <w:sz w:val="24"/>
        </w:rPr>
        <w:t>Risk associated with Argentine force majeure.</w:t>
      </w:r>
      <w:r>
        <w:rPr>
          <w:sz w:val="24"/>
        </w:rPr>
        <w:t xml:space="preserve">  The commercial deal called for SCG to take no risk in connection with the delivery of gas from Argentina above the risk it would otherwise have taken in connection with gas delivered from Bolivia.  To that end, a carve out was inserted in the definition of force majeure excepting Argentine laws or regulations.  However, force majeure is an equitable concept and may be applied independently of the terms of a contract. Thus, in spite of contractual efforts to allocate all such risk to Sellers, a reviewing arbitrator or court may excuse Sellers from the consequences of their failure to perform due to acts of the government of Argentina deemed beyond the control of Sellers.</w:t>
      </w:r>
    </w:p>
    <w:p>
      <w:pPr>
        <w:pStyle w:val="BodyText"/>
        <w:numPr>
          <w:ilvl w:val="0"/>
          <w:numId w:val="2"/>
        </w:numPr>
        <w:tabs>
          <w:tab w:val="clear" w:pos="720"/>
          <w:tab w:val="clear" w:pos="1530"/>
          <w:tab w:val="clear" w:pos="5040"/>
          <w:tab w:val="clear" w:pos="6480"/>
        </w:tabs>
        <w:spacing w:before="240" w:after="0"/>
        <w:ind w:hanging="720" w:start="720" w:end="0"/>
        <w:rPr>
          <w:sz w:val="24"/>
        </w:rPr>
      </w:pPr>
      <w:r>
        <w:rPr>
          <w:i/>
          <w:iCs/>
          <w:sz w:val="24"/>
        </w:rPr>
        <w:t>Risk associated with stamp tax liability.</w:t>
      </w:r>
      <w:r>
        <w:rPr>
          <w:sz w:val="24"/>
        </w:rPr>
        <w:t xml:space="preserve">  As part of the GSA, the parties agreed to share any stamp tax liability that may arise out of the GSA and the parties signed an agreement allocating such liability, if any.  As part of the ARGSA, SCG bargained for a provision whereby any additional stamp tax liability that may result from the ARGSA would be borne solely by Sellers.  There remains a risk that the provincial governments of Argentina may seek to impose a stamp tax liability on the original GSA (with liability to be shared by SCG).  That risk increases at least somewhat when we sign an amendment compared to the risk that would result if we terminated the GSA. </w:t>
      </w:r>
    </w:p>
    <w:p>
      <w:pPr>
        <w:pStyle w:val="BodyText"/>
        <w:tabs>
          <w:tab w:val="clear" w:pos="720"/>
          <w:tab w:val="clear" w:pos="1530"/>
          <w:tab w:val="clear" w:pos="5040"/>
          <w:tab w:val="clear" w:pos="6480"/>
        </w:tabs>
        <w:ind w:start="720" w:end="0"/>
        <w:rPr>
          <w:sz w:val="24"/>
        </w:rPr>
      </w:pPr>
      <w:r>
        <w:rPr>
          <w:sz w:val="24"/>
        </w:rPr>
      </w:r>
    </w:p>
    <w:p>
      <w:pPr>
        <w:pStyle w:val="BodyText"/>
        <w:tabs>
          <w:tab w:val="clear" w:pos="720"/>
          <w:tab w:val="clear" w:pos="1530"/>
          <w:tab w:val="clear" w:pos="5040"/>
          <w:tab w:val="clear" w:pos="6480"/>
        </w:tabs>
        <w:ind w:start="720" w:end="0"/>
        <w:rPr>
          <w:sz w:val="24"/>
        </w:rPr>
      </w:pPr>
      <w:r>
        <w:rPr>
          <w:sz w:val="24"/>
        </w:rPr>
        <w:t>cc:</w:t>
        <w:tab/>
        <w:t>John Lavaroto</w:t>
      </w:r>
    </w:p>
    <w:p>
      <w:pPr>
        <w:pStyle w:val="BodyText"/>
        <w:tabs>
          <w:tab w:val="clear" w:pos="720"/>
          <w:tab w:val="clear" w:pos="1530"/>
          <w:tab w:val="clear" w:pos="5040"/>
          <w:tab w:val="clear" w:pos="6480"/>
        </w:tabs>
        <w:ind w:firstLine="720" w:start="720" w:end="0"/>
        <w:rPr>
          <w:sz w:val="24"/>
        </w:rPr>
      </w:pPr>
      <w:r>
        <w:rPr>
          <w:sz w:val="24"/>
        </w:rPr>
        <w:t>Peter Weidler</w:t>
      </w:r>
    </w:p>
    <w:p>
      <w:pPr>
        <w:pStyle w:val="BodyText"/>
        <w:tabs>
          <w:tab w:val="clear" w:pos="720"/>
          <w:tab w:val="clear" w:pos="1530"/>
          <w:tab w:val="clear" w:pos="5040"/>
          <w:tab w:val="clear" w:pos="6480"/>
        </w:tabs>
        <w:ind w:start="720" w:end="0"/>
        <w:rPr>
          <w:sz w:val="24"/>
        </w:rPr>
      </w:pPr>
      <w:r>
        <w:rPr>
          <w:sz w:val="24"/>
        </w:rPr>
        <w:tab/>
        <w:t>Federico Cerisoli</w:t>
      </w:r>
    </w:p>
    <w:p>
      <w:pPr>
        <w:pStyle w:val="BodyText"/>
        <w:tabs>
          <w:tab w:val="clear" w:pos="720"/>
          <w:tab w:val="clear" w:pos="1530"/>
          <w:tab w:val="clear" w:pos="5040"/>
          <w:tab w:val="clear" w:pos="6480"/>
        </w:tabs>
        <w:ind w:start="720" w:end="0"/>
        <w:rPr>
          <w:sz w:val="24"/>
        </w:rPr>
      </w:pPr>
      <w:r>
        <w:rPr>
          <w:sz w:val="24"/>
        </w:rPr>
        <w:tab/>
        <w:t>Erwin Landivar</w:t>
      </w:r>
    </w:p>
    <w:p>
      <w:pPr>
        <w:pStyle w:val="BodyText"/>
        <w:tabs>
          <w:tab w:val="clear" w:pos="720"/>
          <w:tab w:val="clear" w:pos="1530"/>
          <w:tab w:val="clear" w:pos="5040"/>
          <w:tab w:val="clear" w:pos="6480"/>
        </w:tabs>
        <w:ind w:start="720" w:end="0"/>
        <w:rPr>
          <w:sz w:val="24"/>
        </w:rPr>
      </w:pPr>
      <w:r>
        <w:rPr>
          <w:sz w:val="24"/>
        </w:rPr>
        <w:tab/>
        <w:t>Vlady Gorny</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/mnt/main-storage/datasets/enron-docs/doc/000004.doc</w:t>
    </w:r>
    <w:r>
      <w:rPr>
        <w:sz w:val="14"/>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5580" w:leader="none"/>
      </w:tabs>
      <w:rPr>
        <w:sz w:val="20"/>
      </w:rPr>
    </w:pPr>
    <w:r>
      <w:rPr>
        <w:sz w:val="20"/>
      </w:rPr>
      <w:t>Mark Haedicke</w:t>
      <w:tab/>
      <w:tab/>
      <w:tab/>
      <w:tab/>
      <w:tab/>
      <w:t>DRAFT of June 7, 2001</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60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Header"/>
      <w:tabs>
        <w:tab w:val="clear" w:pos="8640"/>
        <w:tab w:val="center" w:pos="4320" w:leader="none"/>
        <w:tab w:val="right" w:pos="5580" w:leader="none"/>
      </w:tabs>
      <w:rPr>
        <w:sz w:val="20"/>
      </w:rPr>
    </w:pPr>
    <w:r>
      <w:rPr>
        <w:sz w:val="20"/>
      </w:rPr>
      <w:t>Lance Schuler</w:t>
    </w:r>
  </w:p>
  <w:p>
    <w:pPr>
      <w:pStyle w:val="Header"/>
      <w:tabs>
        <w:tab w:val="clear" w:pos="8640"/>
        <w:tab w:val="center" w:pos="4320" w:leader="none"/>
        <w:tab w:val="right" w:pos="5580" w:leader="none"/>
      </w:tabs>
      <w:rPr>
        <w:sz w:val="20"/>
      </w:rPr>
    </w:pPr>
    <w:r>
      <w:rPr>
        <w:sz w:val="20"/>
      </w:rPr>
      <w:t>John Novak</w:t>
    </w:r>
  </w:p>
  <w:p>
    <w:pPr>
      <w:pStyle w:val="Header"/>
      <w:tabs>
        <w:tab w:val="clear" w:pos="8640"/>
        <w:tab w:val="center" w:pos="4320" w:leader="none"/>
        <w:tab w:val="right" w:pos="5580" w:leader="none"/>
      </w:tabs>
      <w:rPr>
        <w:sz w:val="20"/>
      </w:rPr>
    </w:pPr>
    <w:r>
      <w:rPr>
        <w:sz w:val="20"/>
      </w:rPr>
      <w:t>June _, 2001</w:t>
    </w:r>
  </w:p>
  <w:p>
    <w:pPr>
      <w:pStyle w:val="Header"/>
      <w:tabs>
        <w:tab w:val="clear" w:pos="8640"/>
        <w:tab w:val="center" w:pos="4320" w:leader="none"/>
        <w:tab w:val="right" w:pos="5580" w:leader="none"/>
      </w:tabs>
      <w:rPr>
        <w:sz w:val="20"/>
      </w:rPr>
    </w:pPr>
    <w:r>
      <w:rPr>
        <w:sz w:val="20"/>
      </w:rPr>
    </w:r>
  </w:p>
  <w:p>
    <w:pPr>
      <w:pStyle w:val="Header"/>
      <w:tabs>
        <w:tab w:val="clear" w:pos="8640"/>
        <w:tab w:val="center" w:pos="4320" w:leader="none"/>
        <w:tab w:val="right" w:pos="5580" w:leader="none"/>
      </w:tabs>
      <w:rPr/>
    </w:pPr>
    <w:r>
      <w:rPr/>
    </w:r>
  </w:p>
  <w:p>
    <w:pPr>
      <w:pStyle w:val="Header"/>
      <w:tabs>
        <w:tab w:val="clear" w:pos="8640"/>
        <w:tab w:val="center" w:pos="4320" w:leader="none"/>
        <w:tab w:val="right" w:pos="558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June 7,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7200" w:leader="none"/>
      </w:tabs>
      <w:jc w:val="end"/>
    </w:pPr>
    <w:rPr>
      <w:b/>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2001-06-07T12:46:00Z</dcterms:created>
  <dc:creator>ECT</dc:creator>
  <dc:description/>
  <dc:language>en-CA</dc:language>
  <cp:lastModifiedBy>edaniel2</cp:lastModifiedBy>
  <cp:lastPrinted>2001-06-07T16:47:00Z</cp:lastPrinted>
  <dcterms:modified xsi:type="dcterms:W3CDTF">2001-06-07T22:13:00Z</dcterms:modified>
  <cp:revision>17</cp:revision>
  <dc:subject/>
  <dc:title> 	</dc:title>
</cp:coreProperties>
</file>