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spacing w:before="0" w:after="100"/>
        <w:rPr/>
      </w:pPr>
      <w:r>
        <w:rPr/>
      </w:r>
    </w:p>
    <w:p>
      <w:pPr>
        <w:pStyle w:val="coverpage"/>
        <w:spacing w:before="0" w:after="100"/>
        <w:rPr/>
      </w:pPr>
      <w:r>
        <w:rPr/>
        <w:t>BRAZILIAN POWER DEVELOPMENT TRUST</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ind w:end="-180"/>
        <w:rPr/>
      </w:pPr>
      <w:r>
        <w:rPr/>
        <w:t>EIGHT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Takeover Criteria</w:t>
              <w:tab/>
              <w:t>8</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Takeover Liquidated Damages</w:t>
              <w:tab/>
              <w:t>8</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Takeover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Takeover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31</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34</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34</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36</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36</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36</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37</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Takeover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38</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39</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39</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39</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39</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39</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39</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40</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40</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40</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41</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41</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41</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41</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41</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42</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42</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43</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43</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43</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43</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44</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44</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44</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44</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44</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44</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45</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45</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45</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45</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46</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46</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46</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46</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46</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47</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47</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47</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47</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48</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48</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48</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48</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48</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49</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49</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50</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50</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50</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51</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52</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52</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52</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53</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53</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53</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54</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54</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55</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56</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56</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57</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57</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57</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57</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57</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57</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57</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58</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59</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59</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59</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59</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60</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60</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60</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61</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61</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61</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61</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61</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63</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63</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63</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64</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64</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65</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66</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66</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67</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68</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68</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68</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68</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69</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69</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69</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70</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70</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71</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71</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71</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71</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71</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72</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72</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72</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72</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72</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72</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73</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73</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73</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73</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73</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74</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74</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74</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74</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74</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74</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74</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74</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74</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indent"/>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$125,225,400.00, as such amount may be increased by approved Change Orders. </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rPr/>
      </w:pPr>
      <w:r>
        <w:rPr/>
        <w:t>.  Shall mean Enron South America Turbine L.L.C., including its successors and permitted assigns.</w:t>
      </w:r>
    </w:p>
    <w:p>
      <w:pPr>
        <w:pStyle w:val="Heading2"/>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4" w:name="__RefHeading___Toc498751477"/>
      <w:r>
        <w:rPr/>
        <w:t>Takeover Criteria</w:t>
      </w:r>
      <w:bookmarkEnd w:id="114"/>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5" w:name="__RefHeading___Toc498751478"/>
      <w:r>
        <w:rPr/>
        <w:t>Takeover Liquidated Damages</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rPr/>
      </w:pPr>
      <w:r>
        <w:rPr/>
        <w:t xml:space="preserve">.  Shall mean, for each Unit, $15,653,175.00, as such amount may be increased by approved Change Orders.  </w:t>
      </w:r>
    </w:p>
    <w:p>
      <w:pPr>
        <w:pStyle w:val="Heading2"/>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3" w:name="__RefHeading___Toc498751495"/>
      <w:r>
        <w:rPr/>
        <w:t>Delivery of Equipment and Documentation.</w:t>
      </w:r>
      <w:bookmarkEnd w:id="133"/>
      <w:r>
        <w:rPr/>
        <w:t xml:space="preserve">  </w:t>
      </w:r>
    </w:p>
    <w:p>
      <w:pPr>
        <w:pStyle w:val="Heading3"/>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r>
        <w:rPr>
          <w:u w:val="none"/>
        </w:rPr>
        <w:t xml:space="preserve">  Purchaser shall pay to Seller thirty-two million, three hundred fifty thousand, two hundred dollars ($32,350,200)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eighty-two thousand, six hundred and fifty-nine dollars ($782,659.00)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eighty-two thousand, six hundred and fifty-nine dollars ($782,659.00).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1" w:name="__RefHeading___Toc498751552"/>
      <w:bookmarkEnd w:id="251"/>
      <w:r>
        <w:rPr/>
        <w:t>Invoices.</w:t>
      </w:r>
    </w:p>
    <w:p>
      <w:pPr>
        <w:pStyle w:val="Heading3"/>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rPr/>
      </w:pPr>
      <w:r>
        <w:rPr/>
        <w:t>Brazilian Power Development Trust</w:t>
      </w:r>
    </w:p>
    <w:p>
      <w:pPr>
        <w:pStyle w:val="address"/>
        <w:rPr/>
      </w:pPr>
      <w:r>
        <w:rPr/>
        <w:t>c/o Enron South America Turbine L.L.C.</w:t>
      </w:r>
    </w:p>
    <w:p>
      <w:pPr>
        <w:pStyle w:val="address"/>
        <w:rPr/>
      </w:pPr>
      <w:r>
        <w:rPr/>
        <w:t>1400 Smith Street</w:t>
      </w:r>
    </w:p>
    <w:p>
      <w:pPr>
        <w:pStyle w:val="address"/>
        <w:rPr/>
      </w:pPr>
      <w:r>
        <w:rPr/>
        <w:t>Houston, Texas 77002</w:t>
      </w:r>
    </w:p>
    <w:p>
      <w:pPr>
        <w:pStyle w:val="address"/>
        <w:rPr/>
      </w:pPr>
      <w:r>
        <w:rPr/>
        <w:t>Attention: Peter N. Anderson</w:t>
      </w:r>
    </w:p>
    <w:p>
      <w:pPr>
        <w:pStyle w:val="address"/>
        <w:rPr/>
      </w:pPr>
      <w:r>
        <w:rPr/>
        <w:t>Fax: (713) 345-6003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             turbine SN 308898</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2             turbine SN 308951</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3             turbine SN 308972</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4             turbine SN 308999</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5             turbine SN 309020</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6             turbine SN 309073</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21           turbine SN 309898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Unit   22           turbine SN 309988</w:t>
            </w:r>
          </w:p>
        </w:tc>
        <w:tc>
          <w:tcPr>
            <w:tcW w:w="3600" w:type="dxa"/>
            <w:tcBorders/>
          </w:tcPr>
          <w:p>
            <w:pPr>
              <w:pStyle w:val="BodyText"/>
              <w:spacing w:before="0" w:after="240"/>
              <w:jc w:val="both"/>
              <w:rPr/>
            </w:pPr>
            <w:r>
              <w:rPr/>
              <w:t>March 30,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rPr/>
            </w:pPr>
            <w:r>
              <w:rPr/>
              <w:tab/>
              <w:t>5 Days x $10,000/Day = $50,000</w:t>
            </w:r>
          </w:p>
          <w:p>
            <w:pPr>
              <w:pStyle w:val="BodyTextSS"/>
              <w:tabs>
                <w:tab w:val="left" w:pos="702" w:leader="none"/>
                <w:tab w:val="left" w:pos="1440" w:leader="none"/>
              </w:tabs>
              <w:rPr/>
            </w:pPr>
            <w:r>
              <w:rPr/>
            </w:r>
          </w:p>
          <w:p>
            <w:pPr>
              <w:pStyle w:val="BodyTextSS"/>
              <w:tabs>
                <w:tab w:val="left" w:pos="702" w:leader="none"/>
                <w:tab w:val="left" w:pos="14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 is 20 Days late</w:t>
            </w:r>
          </w:p>
          <w:p>
            <w:pPr>
              <w:pStyle w:val="BodyTextSS"/>
              <w:rPr/>
            </w:pPr>
            <w:r>
              <w:rPr/>
              <w:t>- non-Major Component of Unit 1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ind w:start="705" w:end="0"/>
              <w:rPr/>
            </w:pPr>
            <w:r>
              <w:rPr/>
              <w:t>- Major Component Delivery Liquidated Damages</w:t>
            </w:r>
          </w:p>
          <w:p>
            <w:pPr>
              <w:pStyle w:val="BodyTextSS"/>
              <w:tabs>
                <w:tab w:val="left" w:pos="702" w:leader="none"/>
                <w:tab w:val="left" w:pos="1440" w:leader="none"/>
              </w:tabs>
              <w:ind w:start="705" w:end="0"/>
              <w:rPr/>
            </w:pPr>
            <w:r>
              <w:rPr/>
              <w:t>15 Days x $10,000/Day = $150,000</w:t>
            </w:r>
          </w:p>
          <w:p>
            <w:pPr>
              <w:pStyle w:val="BodyTextSS"/>
              <w:tabs>
                <w:tab w:val="left" w:pos="702" w:leader="none"/>
                <w:tab w:val="left" w:pos="1440" w:leader="none"/>
              </w:tabs>
              <w:ind w:start="705" w:end="0"/>
              <w:rPr/>
            </w:pPr>
            <w:r>
              <w:rPr/>
            </w:r>
          </w:p>
          <w:p>
            <w:pPr>
              <w:pStyle w:val="BodyTextSS"/>
              <w:tabs>
                <w:tab w:val="left" w:pos="702" w:leader="none"/>
                <w:tab w:val="left" w:pos="14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snapToGrid w:val="false"/>
              <w:ind w:start="705" w:end="0"/>
              <w:rPr/>
            </w:pPr>
            <w:r>
              <w:rPr/>
            </w:r>
          </w:p>
          <w:p>
            <w:pPr>
              <w:pStyle w:val="BodyTextSS"/>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5 Days x $25,000 = $125,000</w:t>
            </w:r>
          </w:p>
          <w:p>
            <w:pPr>
              <w:pStyle w:val="BodyTextSS"/>
              <w:tabs>
                <w:tab w:val="left" w:pos="702" w:leader="none"/>
                <w:tab w:val="left" w:pos="14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rPr/>
      </w:pPr>
      <w:r>
        <w:rPr/>
        <w:t>Assessment of such Takeover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bookmarkEnd w:id="318"/>
      <w:r>
        <w:rPr/>
        <w:t>Not Used.</w:t>
      </w:r>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1" w:name="__RefHeading___Toc498751594"/>
      <w:bookmarkEnd w:id="321"/>
      <w:r>
        <w:rPr/>
        <w:t>Not Used</w:t>
      </w:r>
      <w:r>
        <w:rPr>
          <w:u w:val="none"/>
        </w:rPr>
        <w:t>.</w:t>
      </w:r>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98751597"/>
      <w:bookmarkEnd w:id="325"/>
      <w:r>
        <w:rPr/>
        <w:t>Sound Level Specific Performance Guarantee.</w:t>
      </w:r>
    </w:p>
    <w:p>
      <w:pPr>
        <w:pStyle w:val="Heading3"/>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p>
    <w:p>
      <w:pPr>
        <w:pStyle w:val="Heading2"/>
        <w:ind w:hanging="0" w:start="0"/>
        <w:rPr/>
      </w:pPr>
      <w:bookmarkStart w:id="344" w:name="__RefHeading___Toc498751607"/>
      <w:bookmarkStart w:id="345" w:name="_Ref486405955"/>
      <w:bookmarkEnd w:id="344"/>
      <w:r>
        <w:rPr/>
        <w:t>Heat Rate Guarantees.</w:t>
      </w:r>
      <w:bookmarkEnd w:id="345"/>
    </w:p>
    <w:p>
      <w:pPr>
        <w:pStyle w:val="Heading3"/>
        <w:ind w:hanging="0" w:start="0"/>
        <w:rPr>
          <w:vanish/>
        </w:rPr>
      </w:pP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8" w:name="__RefHeading___Toc498751609"/>
      <w:bookmarkStart w:id="349" w:name="_Ref486384576"/>
      <w:r>
        <w:rPr/>
        <w:t>Not Used.</w:t>
      </w:r>
      <w:bookmarkEnd w:id="348"/>
      <w:bookmarkEnd w:id="349"/>
      <w:r>
        <w:rPr/>
        <w:t xml:space="preserve"> </w:t>
      </w:r>
    </w:p>
    <w:p>
      <w:pPr>
        <w:pStyle w:val="Heading3"/>
        <w:ind w:hanging="0" w:start="0"/>
        <w:rPr>
          <w:vanish/>
        </w:rPr>
      </w:pP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52" w:name="__RefHeading___Toc498751611"/>
      <w:bookmarkStart w:id="353" w:name="_Ref486657139"/>
      <w:r>
        <w:rPr/>
        <w:t>Specific Performance Guarantee</w:t>
      </w:r>
      <w:bookmarkEnd w:id="352"/>
      <w:bookmarkEnd w:id="353"/>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4" w:name="__RefHeading___Toc498751612"/>
      <w:bookmarkStart w:id="355" w:name="_Ref486411037"/>
      <w:bookmarkStart w:id="356" w:name="_Ref486410891"/>
      <w:bookmarkEnd w:id="354"/>
      <w:r>
        <w:rPr/>
        <w:t>Performance Liquidated Damages.</w:t>
      </w:r>
      <w:bookmarkEnd w:id="355"/>
      <w:bookmarkEnd w:id="356"/>
    </w:p>
    <w:p>
      <w:pPr>
        <w:pStyle w:val="Heading3"/>
        <w:ind w:hanging="0" w:start="0"/>
        <w:rPr/>
      </w:pP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ind w:hanging="0" w:start="0"/>
        <w:rPr/>
      </w:pP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ind w:hanging="0" w:start="0"/>
        <w:rPr/>
      </w:pP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9" w:name="__RefHeading___Toc498751618"/>
      <w:bookmarkEnd w:id="369"/>
      <w:r>
        <w:rPr/>
        <w:t>Not Used.</w:t>
      </w:r>
    </w:p>
    <w:p>
      <w:pPr>
        <w:pStyle w:val="Heading3"/>
        <w:ind w:hanging="0" w:start="0"/>
        <w:rPr>
          <w:vanish/>
        </w:rPr>
      </w:pP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8751622"/>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ind w:hanging="0" w:start="0"/>
        <w:rPr>
          <w:vanish/>
        </w:rPr>
      </w:pP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1" w:name="__RefHeading___Toc498751625"/>
      <w:r>
        <w:rPr/>
        <w:t>Maximum Takeover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Takeover Liquidated Damages shall be fifteen percent (15%) of Maximum Liability Amount.</w:t>
      </w:r>
    </w:p>
    <w:p>
      <w:pPr>
        <w:pStyle w:val="Heading3"/>
        <w:ind w:hanging="0" w:start="0"/>
        <w:rPr>
          <w:vanish/>
        </w:rPr>
      </w:pP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7" w:name="__RefHeading___Toc498751630"/>
      <w:bookmarkEnd w:id="387"/>
      <w:r>
        <w:rPr/>
        <w:t>Performance Tests.</w:t>
      </w:r>
    </w:p>
    <w:p>
      <w:pPr>
        <w:pStyle w:val="Heading3"/>
        <w:keepNext w:val="true"/>
        <w:keepLines/>
        <w:ind w:hanging="0" w:start="0"/>
        <w:rPr>
          <w:vanish/>
        </w:rPr>
      </w:pP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1" w:name="__RefHeading___Toc498751634"/>
      <w:bookmarkEnd w:id="391"/>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4" w:name="__RefHeading___Toc498751639"/>
      <w:bookmarkEnd w:id="404"/>
      <w:r>
        <w:rPr/>
        <w:t>Not Used.</w:t>
      </w:r>
    </w:p>
    <w:p>
      <w:pPr>
        <w:pStyle w:val="Heading3"/>
        <w:ind w:hanging="0" w:start="0"/>
        <w:rPr/>
      </w:pPr>
      <w:bookmarkStart w:id="405" w:name="__RefHeading___Toc498751640"/>
      <w:r>
        <w:rPr/>
        <w:t>Fittings, Instrumentation and Test Uncertainty.</w:t>
      </w:r>
      <w:bookmarkEnd w:id="405"/>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8751642"/>
      <w:bookmarkStart w:id="408" w:name="_Ref486650773"/>
      <w:bookmarkEnd w:id="407"/>
      <w:r>
        <w:rPr/>
        <w:t>Remedies For Failure to Meet Specific Performance Requirements.</w:t>
      </w:r>
      <w:bookmarkEnd w:id="408"/>
    </w:p>
    <w:p>
      <w:pPr>
        <w:pStyle w:val="Heading4"/>
        <w:ind w:hanging="0" w:start="0"/>
        <w:rPr>
          <w:vanish/>
        </w:rPr>
      </w:pPr>
      <w:bookmarkStart w:id="409" w:name="__RefHeading___Toc498751643"/>
      <w:r>
        <w:rPr/>
        <w:t>Corrective Actions</w:t>
      </w:r>
      <w:bookmarkEnd w:id="409"/>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10" w:name="__RefHeading___Toc498751644"/>
      <w:r>
        <w:rPr/>
        <w:t>Failure to Achieve Specific Performance</w:t>
      </w:r>
      <w:bookmarkEnd w:id="410"/>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8751654"/>
      <w:r>
        <w:rPr/>
        <w:t>(NOT USED)</w:t>
      </w:r>
      <w:bookmarkEnd w:id="434"/>
      <w:r>
        <w:rPr/>
        <w:t xml:space="preserve"> </w:t>
      </w:r>
    </w:p>
    <w:p>
      <w:pPr>
        <w:pStyle w:val="Heading1"/>
        <w:ind w:hanging="0" w:start="0"/>
        <w:rPr/>
      </w:pPr>
      <w:r>
        <w:rPr/>
        <w:t xml:space="preserve">  </w:t>
      </w:r>
      <w:bookmarkStart w:id="435" w:name="__RefHeading___Toc498751655"/>
      <w:r>
        <w:rPr/>
        <w:t>ORDER OF PRECEDENCE</w:t>
      </w:r>
      <w:bookmarkEnd w:id="435"/>
    </w:p>
    <w:p>
      <w:pPr>
        <w:pStyle w:val="Heading2"/>
        <w:ind w:hanging="0" w:start="0"/>
        <w:rPr>
          <w:vanish/>
        </w:rPr>
      </w:pP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ind w:hanging="0" w:start="0"/>
        <w:rPr>
          <w:vanish/>
        </w:rPr>
      </w:pP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8751662"/>
      <w:bookmarkEnd w:id="453"/>
      <w:r>
        <w:rPr/>
        <w:t>Extended Warranty Period.</w:t>
      </w:r>
    </w:p>
    <w:p>
      <w:pPr>
        <w:pStyle w:val="Heading3"/>
        <w:ind w:hanging="0" w:start="0"/>
        <w:rPr>
          <w:vanish/>
        </w:rPr>
      </w:pP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8751666"/>
      <w:bookmarkEnd w:id="459"/>
      <w:r>
        <w:rPr/>
        <w:t>Not Used.</w:t>
      </w:r>
    </w:p>
    <w:p>
      <w:pPr>
        <w:pStyle w:val="Heading2"/>
        <w:ind w:hanging="0" w:start="0"/>
        <w:rPr>
          <w:vanish/>
        </w:rPr>
      </w:pP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8751670"/>
      <w:bookmarkStart w:id="464" w:name="_Ref486653129"/>
      <w:r>
        <w:rPr/>
        <w:t>RISK OF LOSS AND TITLE</w:t>
      </w:r>
      <w:bookmarkEnd w:id="463"/>
      <w:bookmarkEnd w:id="464"/>
    </w:p>
    <w:p>
      <w:pPr>
        <w:pStyle w:val="Heading2"/>
        <w:ind w:hanging="0" w:start="0"/>
        <w:rPr>
          <w:vanish/>
        </w:rPr>
      </w:pP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6" w:name="__RefHeading___Toc498751672"/>
      <w:bookmarkEnd w:id="466"/>
      <w:r>
        <w:rPr/>
        <w:t>Title.</w:t>
      </w:r>
    </w:p>
    <w:p>
      <w:pPr>
        <w:pStyle w:val="Heading3"/>
        <w:keepNext w:val="true"/>
        <w:keepLines/>
        <w:ind w:hanging="0" w:start="0"/>
        <w:rPr>
          <w:vanish/>
        </w:rPr>
      </w:pP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8751677"/>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8751678"/>
      <w:bookmarkStart w:id="477" w:name="_Ref486653035"/>
      <w:r>
        <w:rPr/>
        <w:t>DEFAULT</w:t>
      </w:r>
      <w:bookmarkEnd w:id="476"/>
      <w:bookmarkEnd w:id="477"/>
    </w:p>
    <w:p>
      <w:pPr>
        <w:pStyle w:val="Heading2"/>
        <w:ind w:hanging="0" w:start="0"/>
        <w:rPr>
          <w:vanish/>
        </w:rPr>
      </w:pP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ind w:hanging="0" w:start="0"/>
        <w:rPr/>
      </w:pPr>
      <w:bookmarkStart w:id="481" w:name="_Ref486412308"/>
      <w:r>
        <w:rPr/>
        <w:t>Seller’s liability for Takeover Liquidated Damages with respect to a Unit, as determined in accordance with Section 10.3.2, amounts to</w:t>
      </w:r>
      <w:r>
        <w:rPr>
          <w:b/>
        </w:rPr>
        <w:t xml:space="preserve"> </w:t>
      </w:r>
      <w:r>
        <w:rPr/>
        <w:t>fifteen percent (15%) of the Unit Liability Amount; or</w:t>
      </w:r>
      <w:bookmarkEnd w:id="48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8"/>
    </w:p>
    <w:p>
      <w:pPr>
        <w:pStyle w:val="Heading5"/>
        <w:ind w:hanging="0" w:start="0"/>
        <w:rPr/>
      </w:pPr>
      <w:bookmarkStart w:id="489" w:name="_Ref486412145"/>
      <w:r>
        <w:rPr/>
        <w:t>perform the following services relative to the Scope of Work so affected;</w:t>
      </w:r>
      <w:bookmarkEnd w:id="48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8751682"/>
      <w:bookmarkStart w:id="491" w:name="_Ref486411349"/>
      <w:r>
        <w:rPr/>
        <w:t>Payment Obligations.</w:t>
      </w:r>
      <w:bookmarkEnd w:id="490"/>
      <w:bookmarkEnd w:id="491"/>
      <w:r>
        <w:rPr/>
        <w:t xml:space="preserve"> </w:t>
      </w:r>
    </w:p>
    <w:p>
      <w:pPr>
        <w:pStyle w:val="Heading3"/>
        <w:ind w:hanging="0" w:start="0"/>
        <w:rPr>
          <w:vanish/>
        </w:rPr>
      </w:pP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8751689"/>
      <w:bookmarkStart w:id="512" w:name="_Ref486653865"/>
      <w:r>
        <w:rPr/>
        <w:t>FORCE MAJEURE</w:t>
      </w:r>
      <w:bookmarkEnd w:id="511"/>
      <w:bookmarkEnd w:id="512"/>
      <w:r>
        <w:rPr/>
        <w:t xml:space="preserve"> </w:t>
      </w:r>
    </w:p>
    <w:p>
      <w:pPr>
        <w:pStyle w:val="Heading2"/>
        <w:ind w:hanging="0" w:start="0"/>
        <w:rPr>
          <w:vanish/>
        </w:rPr>
      </w:pP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8751696"/>
      <w:r>
        <w:rPr/>
        <w:t>Not Used.</w:t>
      </w:r>
      <w:bookmarkEnd w:id="527"/>
      <w:r>
        <w:rPr/>
        <w:t xml:space="preserve">  </w:t>
      </w:r>
    </w:p>
    <w:p>
      <w:pPr>
        <w:pStyle w:val="Heading2"/>
        <w:ind w:hanging="0" w:start="0"/>
        <w:rPr>
          <w:vanish/>
        </w:rPr>
      </w:pP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8751699"/>
      <w:bookmarkStart w:id="532" w:name="_Ref486653245"/>
      <w:r>
        <w:rPr/>
        <w:t>INSURANCE</w:t>
      </w:r>
      <w:bookmarkEnd w:id="531"/>
      <w:bookmarkEnd w:id="532"/>
    </w:p>
    <w:p>
      <w:pPr>
        <w:pStyle w:val="Heading2"/>
        <w:ind w:hanging="0" w:start="0"/>
        <w:rPr>
          <w:vanish/>
        </w:rPr>
      </w:pP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ind w:hanging="0" w:start="0"/>
        <w:rPr>
          <w:vanish/>
        </w:rPr>
      </w:pP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8751717"/>
      <w:bookmarkStart w:id="555" w:name="_Ref486653326"/>
      <w:r>
        <w:rPr/>
        <w:t>INDEMNIFICATION</w:t>
      </w:r>
      <w:bookmarkEnd w:id="554"/>
      <w:bookmarkEnd w:id="555"/>
    </w:p>
    <w:p>
      <w:pPr>
        <w:pStyle w:val="Heading2"/>
        <w:ind w:hanging="0" w:start="0"/>
        <w:rPr>
          <w:vanish/>
        </w:rPr>
      </w:pP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1" w:name="__RefHeading___Toc498751720"/>
      <w:bookmarkStart w:id="562" w:name="_Ref486653336"/>
      <w:r>
        <w:rPr/>
        <w:t>NON-DISCLOSURE OF INFORMATION</w:t>
      </w:r>
      <w:bookmarkEnd w:id="561"/>
      <w:bookmarkEnd w:id="562"/>
    </w:p>
    <w:p>
      <w:pPr>
        <w:pStyle w:val="Heading2"/>
        <w:ind w:hanging="0" w:start="0"/>
        <w:rPr>
          <w:vanish/>
        </w:rPr>
      </w:pP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8751725"/>
      <w:r>
        <w:rPr/>
        <w:t>ASSIGNMENT</w:t>
      </w:r>
      <w:bookmarkEnd w:id="573"/>
      <w:bookmarkEnd w:id="574"/>
    </w:p>
    <w:p>
      <w:pPr>
        <w:pStyle w:val="Heading2"/>
        <w:ind w:hanging="0" w:start="0"/>
        <w:rPr>
          <w:vanish/>
        </w:rPr>
      </w:pP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8751728"/>
      <w:r>
        <w:rPr/>
        <w:t>RELATIONSHIP OF THE PARTIES</w:t>
      </w:r>
      <w:bookmarkEnd w:id="579"/>
    </w:p>
    <w:p>
      <w:pPr>
        <w:pStyle w:val="Heading2"/>
        <w:ind w:hanging="0" w:start="0"/>
        <w:rPr>
          <w:vanish/>
        </w:rPr>
      </w:pP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8751731"/>
      <w:bookmarkEnd w:id="582"/>
      <w:r>
        <w:rPr/>
        <w:t>Not Used</w:t>
      </w:r>
      <w:r>
        <w:rPr>
          <w:u w:val="none"/>
        </w:rPr>
        <w:t>.</w:t>
      </w:r>
    </w:p>
    <w:p>
      <w:pPr>
        <w:pStyle w:val="Heading1"/>
        <w:ind w:hanging="0" w:start="0"/>
        <w:rPr/>
      </w:pPr>
      <w:r>
        <w:rPr/>
        <w:t xml:space="preserve">  </w:t>
      </w:r>
      <w:bookmarkStart w:id="583" w:name="__RefHeading___Toc498751732"/>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8751733"/>
      <w:r>
        <w:rPr/>
        <w:t>NOTICES AND COMMUNICATIONS</w:t>
      </w:r>
      <w:bookmarkEnd w:id="585"/>
    </w:p>
    <w:p>
      <w:pPr>
        <w:pStyle w:val="Heading2"/>
        <w:ind w:hanging="0" w:start="0"/>
        <w:rPr>
          <w:vanish/>
        </w:rPr>
      </w:pP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ind w:hanging="2160" w:end="0"/>
              <w:rPr/>
            </w:pPr>
            <w:r>
              <w:rPr/>
              <w:t>Brazilian Power Development Trust</w:t>
            </w:r>
          </w:p>
          <w:p>
            <w:pPr>
              <w:pStyle w:val="address"/>
              <w:ind w:hanging="2160" w:end="0"/>
              <w:rPr/>
            </w:pPr>
            <w:r>
              <w:rPr/>
              <w:t>c/o Enron South America Turbine L.L.C.</w:t>
            </w:r>
          </w:p>
          <w:p>
            <w:pPr>
              <w:pStyle w:val="address"/>
              <w:ind w:hanging="2160" w:end="0"/>
              <w:rPr/>
            </w:pPr>
            <w:r>
              <w:rPr/>
              <w:t>1400 Smith Street</w:t>
            </w:r>
          </w:p>
          <w:p>
            <w:pPr>
              <w:pStyle w:val="address"/>
              <w:ind w:hanging="2160" w:end="0"/>
              <w:rPr/>
            </w:pPr>
            <w:r>
              <w:rPr/>
              <w:t>Houston, Texas 77002</w:t>
            </w:r>
          </w:p>
          <w:p>
            <w:pPr>
              <w:pStyle w:val="address"/>
              <w:ind w:hanging="2160" w:end="0"/>
              <w:rPr/>
            </w:pPr>
            <w:r>
              <w:rPr/>
              <w:t>Attention: Peter N. Anderson</w:t>
            </w:r>
          </w:p>
          <w:p>
            <w:pPr>
              <w:pStyle w:val="address"/>
              <w:ind w:hanging="2160" w:end="0"/>
              <w:rPr/>
            </w:pPr>
            <w:r>
              <w:rPr/>
              <w:t>Fax: (713) 345-6003</w:t>
            </w:r>
          </w:p>
          <w:p>
            <w:pPr>
              <w:pStyle w:val="address2"/>
              <w:tabs>
                <w:tab w:val="left" w:pos="1440" w:leader="none"/>
                <w:tab w:val="right" w:pos="3942" w:leader="none"/>
              </w:tabs>
              <w:rPr/>
            </w:pPr>
            <w:r>
              <w:rPr/>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
              <w:ind w:start="0" w:end="0"/>
              <w:rPr/>
            </w:pPr>
            <w:r>
              <w:rPr/>
              <w:t>Brazilian Power Development Trust</w:t>
            </w:r>
          </w:p>
          <w:p>
            <w:pPr>
              <w:pStyle w:val="address"/>
              <w:ind w:start="0" w:end="0"/>
              <w:rPr/>
            </w:pPr>
            <w:r>
              <w:rPr/>
              <w:t>c/o Enron South America Turbine L.L.C.</w:t>
            </w:r>
          </w:p>
          <w:p>
            <w:pPr>
              <w:pStyle w:val="address"/>
              <w:ind w:start="0" w:end="0"/>
              <w:rPr/>
            </w:pPr>
            <w:r>
              <w:rPr/>
              <w:t>1400 Smith Street</w:t>
            </w:r>
          </w:p>
          <w:p>
            <w:pPr>
              <w:pStyle w:val="address"/>
              <w:ind w:start="0" w:end="0"/>
              <w:rPr/>
            </w:pPr>
            <w:r>
              <w:rPr/>
              <w:t>Houston, Texas 77002</w:t>
            </w:r>
          </w:p>
          <w:p>
            <w:pPr>
              <w:pStyle w:val="address"/>
              <w:ind w:start="0" w:end="0"/>
              <w:rPr/>
            </w:pPr>
            <w:r>
              <w:rPr/>
              <w:t>Attention: Peter N. Anderson</w:t>
            </w:r>
          </w:p>
          <w:p>
            <w:pPr>
              <w:pStyle w:val="BodyTextSS"/>
              <w:rPr/>
            </w:pPr>
            <w:r>
              <w:rPr/>
              <w:t>Fax: (713) 345-6003</w:t>
            </w:r>
          </w:p>
        </w:tc>
      </w:tr>
    </w:tbl>
    <w:p>
      <w:pPr>
        <w:pStyle w:val="BodyText"/>
        <w:rPr/>
      </w:pPr>
      <w:r>
        <w:rPr/>
      </w:r>
    </w:p>
    <w:p>
      <w:pPr>
        <w:pStyle w:val="Heading1"/>
        <w:ind w:hanging="0" w:start="0"/>
        <w:rPr/>
      </w:pPr>
      <w:r>
        <w:rPr/>
        <w:t xml:space="preserve">  </w:t>
      </w:r>
      <w:bookmarkStart w:id="592" w:name="__RefHeading___Toc498751737"/>
      <w:bookmarkStart w:id="593" w:name="_Ref486653195"/>
      <w:r>
        <w:rPr/>
        <w:t>ARBITRATION</w:t>
      </w:r>
      <w:bookmarkEnd w:id="592"/>
      <w:bookmarkEnd w:id="593"/>
    </w:p>
    <w:p>
      <w:pPr>
        <w:pStyle w:val="Heading2"/>
        <w:ind w:hanging="0" w:start="0"/>
        <w:rPr>
          <w:vanish/>
        </w:rPr>
      </w:pP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8751741"/>
      <w:r>
        <w:rPr/>
        <w:t>Not Used</w:t>
      </w:r>
      <w:r>
        <w:rPr>
          <w:u w:val="none"/>
        </w:rPr>
        <w:t>.</w:t>
      </w:r>
      <w:bookmarkEnd w:id="599"/>
      <w:r>
        <w:rPr/>
        <w:t xml:space="preserve"> </w:t>
      </w:r>
    </w:p>
    <w:p>
      <w:pPr>
        <w:pStyle w:val="Heading2"/>
        <w:ind w:hanging="0" w:start="0"/>
        <w:rPr/>
      </w:pPr>
      <w:bookmarkStart w:id="600" w:name="__RefHeading___Toc498751742"/>
      <w:bookmarkEnd w:id="600"/>
      <w:r>
        <w:rPr/>
        <w:t>Not Used</w:t>
      </w:r>
      <w:r>
        <w:rPr>
          <w:u w:val="none"/>
        </w:rPr>
        <w:t>.</w:t>
      </w:r>
    </w:p>
    <w:p>
      <w:pPr>
        <w:pStyle w:val="Heading1"/>
        <w:ind w:hanging="0" w:start="0"/>
        <w:rPr/>
      </w:pPr>
      <w:bookmarkStart w:id="601" w:name="_Ref486653448"/>
      <w:r>
        <w:rPr/>
        <w:t xml:space="preserve">  </w:t>
      </w:r>
      <w:bookmarkStart w:id="602" w:name="__RefHeading___Toc498751743"/>
      <w:r>
        <w:rPr/>
        <w:t>LIMITATION OF LIABILITY</w:t>
      </w:r>
      <w:bookmarkEnd w:id="601"/>
      <w:bookmarkEnd w:id="602"/>
    </w:p>
    <w:p>
      <w:pPr>
        <w:pStyle w:val="Heading2"/>
        <w:ind w:hanging="0" w:start="0"/>
        <w:rPr>
          <w:vanish/>
        </w:rPr>
      </w:pP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98751748"/>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98751749"/>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98751750"/>
      <w:r>
        <w:rPr/>
        <w:t>MISCELLANEOUS</w:t>
      </w:r>
      <w:bookmarkEnd w:id="610"/>
    </w:p>
    <w:p>
      <w:pPr>
        <w:pStyle w:val="Heading2"/>
        <w:ind w:hanging="0" w:start="0"/>
        <w:rPr>
          <w:vanish/>
        </w:rPr>
      </w:pP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left" w:pos="1440" w:leader="none"/>
                <w:tab w:val="right" w:pos="5040" w:leader="none"/>
              </w:tabs>
              <w:snapToGrid w:val="false"/>
              <w:rPr>
                <w:b/>
                <w:u w:val="single"/>
              </w:rPr>
            </w:pPr>
            <w:r>
              <w:rPr>
                <w:b/>
                <w:u w:val="single"/>
              </w:rPr>
            </w:r>
          </w:p>
          <w:p>
            <w:pPr>
              <w:pStyle w:val="sigline"/>
              <w:tabs>
                <w:tab w:val="left" w:pos="1440" w:leader="none"/>
                <w:tab w:val="right" w:pos="5040" w:leader="none"/>
              </w:tabs>
              <w:rPr>
                <w:b/>
              </w:rPr>
            </w:pPr>
            <w:r>
              <w:rPr>
                <w:b/>
              </w:rPr>
              <w:t>Brazilian Power Development Trust,</w:t>
            </w:r>
          </w:p>
          <w:p>
            <w:pPr>
              <w:pStyle w:val="sigline"/>
              <w:rPr>
                <w:b/>
              </w:rPr>
            </w:pPr>
            <w:r>
              <w:rPr>
                <w:b/>
              </w:rPr>
              <w:t>as Purchaser</w:t>
            </w:r>
          </w:p>
          <w:p>
            <w:pPr>
              <w:pStyle w:val="sigline"/>
              <w:rPr>
                <w:b/>
              </w:rPr>
            </w:pPr>
            <w:r>
              <w:rPr>
                <w:b/>
              </w:rPr>
            </w:r>
          </w:p>
          <w:p>
            <w:pPr>
              <w:pStyle w:val="sigline"/>
              <w:rPr>
                <w:b/>
              </w:rPr>
            </w:pPr>
            <w:r>
              <w:rPr>
                <w:b/>
              </w:rPr>
              <w:t>By: Wilmington Trust Company, not in its individual capacity, but solely as Trustee</w:t>
            </w:r>
          </w:p>
          <w:p>
            <w:pPr>
              <w:pStyle w:val="sigline"/>
              <w:tabs>
                <w:tab w:val="left" w:pos="1440" w:leader="none"/>
                <w:tab w:val="right" w:pos="5040" w:leader="none"/>
              </w:tabs>
              <w:rPr>
                <w:b/>
              </w:rPr>
            </w:pPr>
            <w:r>
              <w:rPr>
                <w:b/>
              </w:rPr>
            </w:r>
          </w:p>
          <w:p>
            <w:pPr>
              <w:pStyle w:val="sigline"/>
              <w:tabs>
                <w:tab w:val="left" w:pos="1440" w:leader="none"/>
                <w:tab w:val="right" w:pos="5040" w:leader="none"/>
              </w:tabs>
              <w:rPr/>
            </w:pPr>
            <w:r>
              <w:rPr/>
            </w:r>
          </w:p>
          <w:p>
            <w:pPr>
              <w:pStyle w:val="sigline"/>
              <w:tabs>
                <w:tab w:val="left" w:pos="1440" w:leader="none"/>
                <w:tab w:val="right" w:pos="5040" w:leader="none"/>
              </w:tabs>
              <w:rPr/>
            </w:pPr>
            <w:r>
              <w:rPr/>
              <w:t xml:space="preserve">By:  </w:t>
            </w:r>
            <w:r>
              <w:rPr>
                <w:u w:val="single"/>
              </w:rPr>
              <w:tab/>
            </w:r>
          </w:p>
          <w:p>
            <w:pPr>
              <w:pStyle w:val="sigline"/>
              <w:tabs>
                <w:tab w:val="left" w:pos="1440" w:leader="none"/>
                <w:tab w:val="right" w:pos="5040" w:leader="none"/>
              </w:tabs>
              <w:rPr/>
            </w:pPr>
            <w:r>
              <w:rPr/>
              <w:t xml:space="preserve">Name:  </w:t>
            </w:r>
            <w:r>
              <w:rPr>
                <w:u w:val="single"/>
              </w:rPr>
              <w:tab/>
            </w:r>
          </w:p>
          <w:p>
            <w:pPr>
              <w:pStyle w:val="sigline"/>
              <w:tabs>
                <w:tab w:val="left" w:pos="1440" w:leader="none"/>
                <w:tab w:val="right" w:pos="5040" w:leader="none"/>
              </w:tabs>
              <w:rPr/>
            </w:pPr>
            <w:r>
              <w:rPr/>
              <w:t xml:space="preserve">Title:  </w:t>
            </w:r>
            <w:r>
              <w:rPr>
                <w:u w:val="single"/>
              </w:rPr>
              <w:tab/>
            </w:r>
          </w:p>
          <w:p>
            <w:pPr>
              <w:pStyle w:val="BodyTextSS"/>
              <w:rPr>
                <w:u w:val="single"/>
              </w:rPr>
            </w:pPr>
            <w:r>
              <w:rPr>
                <w:u w:val="single"/>
              </w:rPr>
            </w:r>
          </w:p>
          <w:p>
            <w:pPr>
              <w:pStyle w:val="BodyTextSS"/>
              <w:rPr>
                <w:u w:val="single"/>
              </w:rPr>
            </w:pPr>
            <w:r>
              <w:rPr>
                <w:u w:val="single"/>
              </w:rPr>
            </w:r>
          </w:p>
          <w:p>
            <w:pPr>
              <w:pStyle w:val="BodyTextSS"/>
              <w:rPr>
                <w:u w:val="single"/>
              </w:rPr>
            </w:pPr>
            <w:r>
              <w:rPr>
                <w:u w:val="single"/>
              </w:rPr>
            </w:r>
          </w:p>
        </w:tc>
      </w:tr>
      <w:tr>
        <w:trPr/>
        <w:tc>
          <w:tcPr>
            <w:tcW w:w="6408" w:type="dxa"/>
            <w:tcBorders/>
          </w:tcPr>
          <w:p>
            <w:pPr>
              <w:pStyle w:val="sigline"/>
              <w:tabs>
                <w:tab w:val="left" w:pos="1440" w:leader="none"/>
                <w:tab w:val="right" w:pos="5040" w:leader="none"/>
              </w:tabs>
              <w:rPr>
                <w:b/>
              </w:rPr>
            </w:pPr>
            <w:r>
              <w:rPr>
                <w:b/>
              </w:rPr>
              <w:t>GE Packaged Power, Inc.</w:t>
            </w:r>
          </w:p>
          <w:p>
            <w:pPr>
              <w:pStyle w:val="sigline"/>
              <w:tabs>
                <w:tab w:val="left" w:pos="1440" w:leader="none"/>
                <w:tab w:val="right" w:pos="5040" w:leader="none"/>
              </w:tabs>
              <w:rPr>
                <w:b/>
              </w:rPr>
            </w:pPr>
            <w:r>
              <w:rPr>
                <w:b/>
              </w:rPr>
              <w:t>as Seller</w:t>
            </w:r>
          </w:p>
          <w:p>
            <w:pPr>
              <w:pStyle w:val="sigline"/>
              <w:tabs>
                <w:tab w:val="left" w:pos="1440" w:leader="none"/>
                <w:tab w:val="right" w:pos="5040" w:leader="none"/>
              </w:tabs>
              <w:rPr/>
            </w:pPr>
            <w:r>
              <w:rPr/>
            </w:r>
          </w:p>
          <w:p>
            <w:pPr>
              <w:pStyle w:val="sigline"/>
              <w:tabs>
                <w:tab w:val="left" w:pos="1440" w:leader="none"/>
                <w:tab w:val="right" w:pos="5040" w:leader="none"/>
              </w:tabs>
              <w:rPr/>
            </w:pPr>
            <w:r>
              <w:rPr/>
            </w:r>
          </w:p>
          <w:p>
            <w:pPr>
              <w:pStyle w:val="sigline"/>
              <w:tabs>
                <w:tab w:val="left" w:pos="1440" w:leader="none"/>
                <w:tab w:val="right" w:pos="5040" w:leader="none"/>
              </w:tabs>
              <w:rPr/>
            </w:pPr>
            <w:r>
              <w:rPr/>
              <w:t xml:space="preserve">By:  </w:t>
            </w:r>
            <w:r>
              <w:rPr>
                <w:u w:val="single"/>
              </w:rPr>
              <w:tab/>
            </w:r>
          </w:p>
          <w:p>
            <w:pPr>
              <w:pStyle w:val="sigline"/>
              <w:tabs>
                <w:tab w:val="left" w:pos="1440" w:leader="none"/>
                <w:tab w:val="right" w:pos="5040" w:leader="none"/>
              </w:tabs>
              <w:rPr/>
            </w:pPr>
            <w:r>
              <w:rPr/>
              <w:t xml:space="preserve">Name:  </w:t>
            </w:r>
            <w:r>
              <w:rPr>
                <w:u w:val="single"/>
              </w:rPr>
              <w:tab/>
            </w:r>
          </w:p>
          <w:p>
            <w:pPr>
              <w:pStyle w:val="sigline"/>
              <w:tabs>
                <w:tab w:val="left" w:pos="1440" w:leader="none"/>
                <w:tab w:val="right" w:pos="5040" w:leader="none"/>
              </w:tabs>
              <w:rPr/>
            </w:pPr>
            <w:r>
              <w:rPr/>
              <w:t xml:space="preserve">Title:  </w:t>
            </w:r>
            <w:r>
              <w:rPr>
                <w:u w:val="single"/>
              </w:rPr>
              <w:tab/>
            </w:r>
          </w:p>
          <w:p>
            <w:pPr>
              <w:pStyle w:val="BodyTextSS"/>
              <w:rPr>
                <w:u w:val="single"/>
              </w:rPr>
            </w:pPr>
            <w:r>
              <w:rPr>
                <w:u w:val="single"/>
              </w:rPr>
            </w:r>
          </w:p>
        </w:tc>
      </w:tr>
    </w:tbl>
    <w:p>
      <w:pPr>
        <w:pStyle w:val="BodyText"/>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1440"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2000-12-05T16:12:00Z</dcterms:created>
  <dc:creator>A&amp;K</dc:creator>
  <dc:description/>
  <dc:language>en-CA</dc:language>
  <cp:lastModifiedBy>A&amp;K</cp:lastModifiedBy>
  <cp:lastPrinted>2000-12-05T12:42:00Z</cp:lastPrinted>
  <dcterms:modified xsi:type="dcterms:W3CDTF">2000-12-05T16:12:00Z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WAS:83164.3 </vt:lpwstr>
  </property>
</Properties>
</file>