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1" distT="0" distB="0" distL="114935" distR="114935" simplePos="0" locked="0" layoutInCell="0" allowOverlap="1" relativeHeight="3">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spacing w:before="600" w:after="120"/>
        <w:jc w:val="center"/>
        <w:rPr>
          <w:spacing w:val="110"/>
          <w:sz w:val="36"/>
          <w:u w:val="single"/>
        </w:rPr>
      </w:pPr>
      <w:r>
        <w:rPr>
          <w:spacing w:val="110"/>
          <w:sz w:val="36"/>
          <w:u w:val="single"/>
        </w:rPr>
        <w:t>DRAFT</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680085" cy="965200"/>
                <wp:effectExtent l="0" t="0" r="0" b="0"/>
                <wp:wrapTopAndBottom/>
                <wp:docPr id="2" name="Frame2"/>
                <a:graphic xmlns:a="http://schemas.openxmlformats.org/drawingml/2006/main">
                  <a:graphicData uri="http://schemas.microsoft.com/office/word/2010/wordprocessingShape">
                    <wps:wsp>
                      <wps:cNvSpPr txBox="1"/>
                      <wps:spPr>
                        <a:xfrm>
                          <a:off x="0" y="0"/>
                          <a:ext cx="680085" cy="965200"/>
                        </a:xfrm>
                        <a:prstGeom prst="rect"/>
                        <a:solidFill>
                          <a:srgbClr val="FFFFFF">
                            <a:alpha val="0"/>
                          </a:srgbClr>
                        </a:solidFill>
                      </wps:spPr>
                      <wps:txbx>
                        <w:txbxContent>
                          <w:p>
                            <w:pPr>
                              <w:pStyle w:val="DirectDial"/>
                              <w:rPr/>
                            </w:pPr>
                            <w:bookmarkStart w:id="2" w:name="Sender"/>
                            <w:bookmarkEnd w:id="2"/>
                            <w:r>
                              <w:rPr/>
                              <w:t>David S. Mitchell</w:t>
                              <w:br/>
                              <w:t xml:space="preserve">Direct Dial: </w:t>
                            </w:r>
                            <w:bookmarkStart w:id="3" w:name="DirectDial"/>
                            <w:bookmarkEnd w:id="3"/>
                            <w:r>
                              <w:rPr/>
                              <w:t>(212) 504-6285</w:t>
                              <w:br/>
                              <w:t xml:space="preserve">Direct Fax: </w:t>
                            </w:r>
                            <w:bookmarkStart w:id="4" w:name="DirectFax"/>
                            <w:bookmarkEnd w:id="4"/>
                            <w:r>
                              <w:rPr/>
                              <w:t>(212) 504-5641</w:t>
                              <w:br/>
                              <w:t xml:space="preserve">Internet: </w:t>
                            </w:r>
                            <w:bookmarkStart w:id="5" w:name="EMail"/>
                            <w:bookmarkEnd w:id="5"/>
                            <w:r>
                              <w:rPr/>
                              <w:t>dmitchel@cwt.com</w:t>
                            </w:r>
                          </w:p>
                        </w:txbxContent>
                      </wps:txbx>
                      <wps:bodyPr anchor="t" lIns="0" tIns="0" rIns="0" bIns="0">
                        <a:noAutofit/>
                      </wps:bodyPr>
                    </wps:wsp>
                  </a:graphicData>
                </a:graphic>
              </wp:anchor>
            </w:drawing>
          </mc:Choice>
          <mc:Fallback>
            <w:pict>
              <v:rect fillcolor="#FFFFFF" style="position:absolute;rotation:-0;width:53.55pt;height:76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bookmarkStart w:id="6" w:name="Sender"/>
                      <w:bookmarkEnd w:id="6"/>
                      <w:r>
                        <w:rPr/>
                        <w:t>David S. Mitchell</w:t>
                        <w:br/>
                        <w:t xml:space="preserve">Direct Dial: </w:t>
                      </w:r>
                      <w:bookmarkStart w:id="7" w:name="DirectDial"/>
                      <w:bookmarkEnd w:id="7"/>
                      <w:r>
                        <w:rPr/>
                        <w:t>(212) 504-6285</w:t>
                        <w:br/>
                        <w:t xml:space="preserve">Direct Fax: </w:t>
                      </w:r>
                      <w:bookmarkStart w:id="8" w:name="DirectFax"/>
                      <w:bookmarkEnd w:id="8"/>
                      <w:r>
                        <w:rPr/>
                        <w:t>(212) 504-5641</w:t>
                        <w:br/>
                        <w:t xml:space="preserve">Internet: </w:t>
                      </w:r>
                      <w:bookmarkStart w:id="9" w:name="EMail"/>
                      <w:bookmarkEnd w:id="9"/>
                      <w:r>
                        <w:rPr/>
                        <w:t>dmitchel@cwt.com</w:t>
                      </w:r>
                    </w:p>
                  </w:txbxContent>
                </v:textbox>
                <w10:wrap type="topAndBottom"/>
              </v:rect>
            </w:pict>
          </mc:Fallback>
        </mc:AlternateContent>
      </w:r>
    </w:p>
    <w:p>
      <w:pPr>
        <w:pStyle w:val="Normal"/>
        <w:spacing w:before="0" w:after="120"/>
        <w:jc w:val="center"/>
        <w:rPr/>
      </w:pPr>
      <w:r>
        <w:rPr/>
        <w:t>MEMORANDUM</w:t>
      </w:r>
    </w:p>
    <w:tbl>
      <w:tblPr>
        <w:tblW w:w="9576" w:type="dxa"/>
        <w:jc w:val="start"/>
        <w:tblInd w:w="0" w:type="dxa"/>
        <w:tblLayout w:type="fixed"/>
        <w:tblCellMar>
          <w:top w:w="0" w:type="dxa"/>
          <w:start w:w="108" w:type="dxa"/>
          <w:bottom w:w="0" w:type="dxa"/>
          <w:end w:w="108" w:type="dxa"/>
        </w:tblCellMar>
      </w:tblPr>
      <w:tblGrid>
        <w:gridCol w:w="1440"/>
        <w:gridCol w:w="4068"/>
        <w:gridCol w:w="4068"/>
      </w:tblGrid>
      <w:tr>
        <w:trPr/>
        <w:tc>
          <w:tcPr>
            <w:tcW w:w="1440" w:type="dxa"/>
            <w:tcBorders/>
          </w:tcPr>
          <w:p>
            <w:pPr>
              <w:pStyle w:val="Normal"/>
              <w:spacing w:before="240" w:after="0"/>
              <w:ind w:end="144"/>
              <w:jc w:val="end"/>
              <w:rPr>
                <w:b/>
              </w:rPr>
            </w:pPr>
            <w:r>
              <w:rPr>
                <w:b/>
              </w:rPr>
              <w:t>To:</w:t>
            </w:r>
          </w:p>
        </w:tc>
        <w:tc>
          <w:tcPr>
            <w:tcW w:w="4068" w:type="dxa"/>
            <w:tcBorders/>
          </w:tcPr>
          <w:p>
            <w:pPr>
              <w:pStyle w:val="Normal"/>
              <w:spacing w:before="240" w:after="0"/>
              <w:ind w:start="144" w:end="0"/>
              <w:rPr>
                <w:lang w:val="en-CA" w:eastAsia="en-CA"/>
              </w:rPr>
            </w:pPr>
            <w:bookmarkStart w:id="10" w:name="To"/>
            <w:bookmarkEnd w:id="10"/>
            <w:r>
              <w:rPr>
                <w:lang w:val="en-CA" w:eastAsia="en-CA"/>
              </w:rPr>
              <w:t>Elizabeth Sager</w:t>
              <w:br/>
              <w:t>Mark Taylor</w:t>
              <w:br/>
              <w:t>(Enron North America Corp.)</w:t>
            </w:r>
          </w:p>
        </w:tc>
        <w:tc>
          <w:tcPr>
            <w:tcW w:w="4068" w:type="dxa"/>
            <w:tcBorders/>
          </w:tcPr>
          <w:p>
            <w:pPr>
              <w:pStyle w:val="Normal"/>
              <w:snapToGrid w:val="false"/>
              <w:spacing w:before="240" w:after="0"/>
              <w:ind w:start="144" w:end="0"/>
              <w:rPr>
                <w:lang w:val="en-CA" w:eastAsia="en-CA"/>
              </w:rPr>
            </w:pPr>
            <w:r>
              <w:rPr>
                <w:lang w:val="en-CA" w:eastAsia="en-CA"/>
              </w:rPr>
            </w:r>
          </w:p>
        </w:tc>
      </w:tr>
      <w:tr>
        <w:trPr/>
        <w:tc>
          <w:tcPr>
            <w:tcW w:w="1440" w:type="dxa"/>
            <w:tcBorders/>
          </w:tcPr>
          <w:p>
            <w:pPr>
              <w:pStyle w:val="Normal"/>
              <w:spacing w:before="240" w:after="0"/>
              <w:ind w:end="144"/>
              <w:jc w:val="end"/>
              <w:rPr>
                <w:b/>
              </w:rPr>
            </w:pPr>
            <w:r>
              <w:rPr>
                <w:b/>
              </w:rPr>
              <w:t>From:</w:t>
            </w:r>
          </w:p>
        </w:tc>
        <w:tc>
          <w:tcPr>
            <w:tcW w:w="8136" w:type="dxa"/>
            <w:gridSpan w:val="2"/>
            <w:tcBorders/>
          </w:tcPr>
          <w:p>
            <w:pPr>
              <w:pStyle w:val="Normal"/>
              <w:spacing w:before="240" w:after="0"/>
              <w:ind w:start="144" w:end="0"/>
              <w:rPr>
                <w:lang w:val="en-CA" w:eastAsia="en-CA"/>
              </w:rPr>
            </w:pPr>
            <w:bookmarkStart w:id="11" w:name="From"/>
            <w:bookmarkEnd w:id="11"/>
            <w:r>
              <w:rPr>
                <w:lang w:val="en-CA" w:eastAsia="en-CA"/>
              </w:rPr>
              <w:t>David S. Mitchell</w:t>
              <w:br/>
              <w:t>Jarret Braterman</w:t>
            </w:r>
          </w:p>
        </w:tc>
      </w:tr>
      <w:tr>
        <w:trPr/>
        <w:tc>
          <w:tcPr>
            <w:tcW w:w="1440" w:type="dxa"/>
            <w:tcBorders/>
          </w:tcPr>
          <w:p>
            <w:pPr>
              <w:pStyle w:val="Normal"/>
              <w:spacing w:before="240" w:after="0"/>
              <w:ind w:end="144"/>
              <w:jc w:val="end"/>
              <w:rPr>
                <w:b/>
              </w:rPr>
            </w:pPr>
            <w:bookmarkStart w:id="12" w:name="Date"/>
            <w:bookmarkEnd w:id="12"/>
            <w:r>
              <w:rPr>
                <w:b/>
              </w:rPr>
              <w:t>Date:</w:t>
            </w:r>
          </w:p>
        </w:tc>
        <w:tc>
          <w:tcPr>
            <w:tcW w:w="8136" w:type="dxa"/>
            <w:gridSpan w:val="2"/>
            <w:tcBorders/>
          </w:tcPr>
          <w:p>
            <w:pPr>
              <w:pStyle w:val="Normal"/>
              <w:spacing w:before="240" w:after="0"/>
              <w:ind w:start="144" w:end="0"/>
              <w:rPr/>
            </w:pPr>
            <w:r>
              <w:rPr/>
              <w:t>March 3, 2000</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gridSpan w:val="2"/>
            <w:tcBorders>
              <w:bottom w:val="double" w:sz="4" w:space="0" w:color="000000"/>
            </w:tcBorders>
          </w:tcPr>
          <w:p>
            <w:pPr>
              <w:pStyle w:val="Normal"/>
              <w:tabs>
                <w:tab w:val="clear" w:pos="720"/>
                <w:tab w:val="left" w:pos="7200" w:leader="none"/>
              </w:tabs>
              <w:spacing w:before="240" w:after="240"/>
              <w:ind w:start="144" w:end="720"/>
              <w:jc w:val="both"/>
              <w:rPr/>
            </w:pPr>
            <w:bookmarkStart w:id="13" w:name="Re"/>
            <w:bookmarkEnd w:id="13"/>
            <w:r>
              <w:rPr/>
              <w:t xml:space="preserve">Distinguishing Factors Between Forward Contracts and Off-Exchange </w:t>
            </w:r>
            <w:r>
              <w:rPr>
                <w:u w:val="single"/>
              </w:rPr>
              <w:t>Futures Contracts</w:t>
              <w:tab/>
            </w:r>
          </w:p>
        </w:tc>
      </w:tr>
      <w:tr>
        <w:trPr/>
        <w:tc>
          <w:tcPr>
            <w:tcW w:w="1440" w:type="dxa"/>
            <w:tcBorders/>
          </w:tcPr>
          <w:p>
            <w:pPr>
              <w:pStyle w:val="Normal"/>
              <w:snapToGrid w:val="false"/>
              <w:ind w:end="144"/>
              <w:jc w:val="end"/>
              <w:rPr>
                <w:b/>
              </w:rPr>
            </w:pPr>
            <w:r>
              <w:rPr>
                <w:b/>
              </w:rPr>
            </w:r>
          </w:p>
        </w:tc>
        <w:tc>
          <w:tcPr>
            <w:tcW w:w="8136" w:type="dxa"/>
            <w:gridSpan w:val="2"/>
            <w:tcBorders/>
          </w:tcPr>
          <w:p>
            <w:pPr>
              <w:pStyle w:val="Normal"/>
              <w:snapToGrid w:val="false"/>
              <w:ind w:start="144" w:end="0"/>
              <w:rPr>
                <w:b/>
              </w:rPr>
            </w:pPr>
            <w:r>
              <w:rPr>
                <w:b/>
              </w:rPr>
            </w:r>
          </w:p>
        </w:tc>
      </w:tr>
    </w:tbl>
    <w:p>
      <w:pPr>
        <w:pStyle w:val="BodyMain"/>
        <w:spacing w:lineRule="auto" w:line="480"/>
        <w:rPr/>
      </w:pPr>
      <w:bookmarkStart w:id="14" w:name="Body"/>
      <w:bookmarkEnd w:id="14"/>
      <w:r>
        <w:rPr/>
        <w:t xml:space="preserve">Pursuant to your request, we have reviewed recent judicial decisions which set forth the principal elements of forward contracts and futures contracts.  These decisions provide some guidance on evaluating whether particular off-exchange transactions constitute exempt forward contracts or futures contracts within the meaning of the Commodity Exchange Act, as amended (the “CEA”), 7 U.S.C. § 1 </w:t>
      </w:r>
      <w:r>
        <w:rPr>
          <w:u w:val="single"/>
        </w:rPr>
        <w:t>et</w:t>
      </w:r>
      <w:r>
        <w:rPr/>
        <w:t xml:space="preserve"> </w:t>
      </w:r>
      <w:r>
        <w:rPr>
          <w:u w:val="single"/>
        </w:rPr>
        <w:t>seq</w:t>
      </w:r>
      <w:r>
        <w:rPr/>
        <w:t>. and Commodity Futures Trading Commission (“CFTC”) rules and regulations.  Under existing law, a judicial or CFTC finding that an off-exchange transaction constitutes a futures contract under the CEA could result in the transaction being unlawful, with the risk of non-enforceability or rescission as well as CFTC enforcement sanctions.  In contrast, a forward contract is generally exempt from regulation under the CEA, including the exchange trading requirement.</w:t>
      </w:r>
    </w:p>
    <w:p>
      <w:pPr>
        <w:pStyle w:val="BodyMain"/>
        <w:spacing w:lineRule="auto" w:line="480"/>
        <w:ind w:hanging="0" w:end="0"/>
        <w:rPr/>
      </w:pPr>
      <w:r>
        <w:rPr/>
        <w:t xml:space="preserve">(1) </w:t>
      </w:r>
      <w:r>
        <w:rPr>
          <w:u w:val="single"/>
        </w:rPr>
        <w:t>The Andersons, Inc. v. Horton Farms, Inc., 166 F.3d 308 (7</w:t>
      </w:r>
      <w:r>
        <w:rPr>
          <w:u w:val="single"/>
          <w:vertAlign w:val="superscript"/>
        </w:rPr>
        <w:t>th</w:t>
      </w:r>
      <w:r>
        <w:rPr>
          <w:u w:val="single"/>
        </w:rPr>
        <w:t xml:space="preserve"> Cir. 1998)</w:t>
      </w:r>
    </w:p>
    <w:p>
      <w:pPr>
        <w:pStyle w:val="Normal"/>
        <w:spacing w:lineRule="auto" w:line="480"/>
        <w:jc w:val="both"/>
        <w:rPr/>
      </w:pPr>
      <w:r>
        <w:rPr/>
        <w:tab/>
        <w:tab/>
        <w:t xml:space="preserve">All of the contracts involved were grain delivery contracts; certain of them were called “Hedge to Arrive” contracts (“HTA Contracts”).  Horton Farms contended that the HTA Contracts were futures contracts under the CEA, but the court found that these contracts were cash forward contracts because they required actual, albeit deferred, delivery of corn.  The court held that the critical issue is whether there is a legitimate expectation that physical delivery of the actual commodity by the seller to the original contracting buyer will occur in the future.  In concluding that these contracts qualified as forward contracts, the court emphasized the following factors:  (i) the HTA Contracts contemplated, on their face, the physical delivery of corn against payment in cash; (ii)  the parties had the ability to make and take delivery of the corn in the normal course of their businesses pursuant to the terms of the HTA Contracts; (iii) Horton Farms was to receive payment only after it fulfilled its delivery obligations; (iv) aside form the disputed contracts, the parties had a several-year history of making and taking delivery of corn under similar contracts; and (v)  there was no evidence that the Andersons entered into the HTA Contracts with anyone other than commercial parties. </w:t>
      </w:r>
    </w:p>
    <w:p>
      <w:pPr>
        <w:pStyle w:val="BodyMain"/>
        <w:ind w:hanging="0" w:end="0"/>
        <w:rPr/>
      </w:pPr>
      <w:r>
        <w:rPr/>
        <w:t xml:space="preserve">(2) </w:t>
      </w:r>
      <w:r>
        <w:rPr>
          <w:u w:val="single"/>
        </w:rPr>
        <w:t>MG Refining &amp; Marketing, Inc. v. Knight Enterprises, Inc., 25 F. Supp. 175 (S.D.N.Y. 1998)</w:t>
      </w:r>
    </w:p>
    <w:p>
      <w:pPr>
        <w:pStyle w:val="BodyMain"/>
        <w:spacing w:before="0" w:after="0"/>
        <w:ind w:firstLine="360" w:end="0"/>
        <w:rPr/>
      </w:pPr>
      <w:r>
        <w:rPr/>
      </w:r>
    </w:p>
    <w:p>
      <w:pPr>
        <w:pStyle w:val="Normal"/>
        <w:spacing w:lineRule="auto" w:line="480"/>
        <w:jc w:val="both"/>
        <w:rPr/>
      </w:pPr>
      <w:r>
        <w:rPr/>
        <w:tab/>
        <w:tab/>
        <w:t>The fuel contracts in this case were called ratables or flexies.  Under the ratables,  MG was required to meet the stipulated delivery requirements and customers were required to take monthly deliveries on a ratable basis.  Except in a few cases, physical delivery occurred regularly under these contracts and all of the customers had the physical capacity to take these deliveries.  The flexies were nearly identical to the ratables, but the delivery provisions permitted customers to elect to settle their obligations to take delivery by payment in cash.   None of the customers ever requested physical deliveries under a flexie, and few, if any, had the capacity to take the full stated volumes all at once.  The court held that the flexies constitute off-exchange contracts rather than exempt forward contracts.</w:t>
      </w:r>
    </w:p>
    <w:p>
      <w:pPr>
        <w:pStyle w:val="Normal"/>
        <w:spacing w:lineRule="auto" w:line="480"/>
        <w:jc w:val="both"/>
        <w:rPr/>
      </w:pPr>
      <w:r>
        <w:rPr/>
        <w:tab/>
        <w:tab/>
        <w:t>This decision makes clear that forward contracts may be settled by offset and  payments in cash pursuant to separate, independently negotiated agreements, but not pursuant to provisions set forth in the original contracts themselves.  According to the court, to assess whether a contract qualifies as an exempt forward contract, the underlying purpose must be examined even when on its face the provisions seem to qualify it for an exemption.  Here it was clear that there was no intention to use the flexie contracts to effect physical delivery, because the contracts included a cash settlement mechanism at inception and delivery never occurred.  (“Because the rights to cash out derived from the original contracts, rather than from individually negotiated agreements, th[e] overwhelming absence of physical delivery is indicative, though not conclusive, of a speculative purpose….”)  The court also noted that the flexie contracts were marketed to potential buyers as a means of speculating on the subsequent price of fuel oil without having to take delivery.</w:t>
      </w:r>
    </w:p>
    <w:p>
      <w:pPr>
        <w:pStyle w:val="BodyMain"/>
        <w:spacing w:lineRule="auto" w:line="480" w:before="0" w:after="0"/>
        <w:rPr/>
      </w:pPr>
      <w:r>
        <w:rPr/>
        <w:tab/>
        <w:tab/>
        <w:tab/>
        <w:t>*  *  *  *  *  *  *</w:t>
      </w:r>
    </w:p>
    <w:p>
      <w:pPr>
        <w:pStyle w:val="BodyMain"/>
        <w:spacing w:lineRule="auto" w:line="480" w:before="0" w:after="0"/>
        <w:rPr/>
      </w:pPr>
      <w:r>
        <w:rPr/>
        <w:t>If you have any questions or desire any additional detail concerning this issue, please do not hesitate to contact David S. Mitchell at (212) 504-6285 or Jarrett Braterman at (212) 504-6552.</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head">
    <w:name w:val="letterhead"/>
    <w:basedOn w:val="Normal"/>
    <w:qFormat/>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DirectDial">
    <w:name w:val="Direct Dial"/>
    <w:basedOn w:val="Normal"/>
    <w:qFormat/>
    <w:pPr>
      <w:spacing w:lineRule="exact" w:line="190"/>
    </w:pPr>
    <w:rPr>
      <w:sz w:val="15"/>
      <w:lang w:val="en-CA" w:eastAsia="en-CA"/>
    </w:rPr>
  </w:style>
  <w:style w:type="paragraph" w:styleId="Blockquote1">
    <w:name w:val="Blockquote"/>
    <w:basedOn w:val="Normal"/>
    <w:qFormat/>
    <w:pPr>
      <w:spacing w:before="100" w:after="100"/>
      <w:ind w:hanging="0" w:start="360" w:end="36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2000-03-03T18:30:00Z</dcterms:created>
  <dc:creator>smester</dc:creator>
  <dc:description>CWTMemo for March rollout</dc:description>
  <dc:language>en-CA</dc:language>
  <cp:lastModifiedBy>jbraterm</cp:lastModifiedBy>
  <cp:lastPrinted>2000-03-03T15:50:00Z</cp:lastPrinted>
  <dcterms:modified xsi:type="dcterms:W3CDTF">2000-03-03T18:30:00Z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PCDOCS ID Info">
    <vt:lpwstr>CWT\{PCDOCS Library}\{filename}</vt:lpwstr>
  </property>
  <property fmtid="{D5CDD505-2E9C-101B-9397-08002B2CF9AE}" pid="4" name="PCDOCS ID Long">
    <vt:lpwstr>CWT\A:\#455536 v3 - Memo to Elizabeth Sager &amp; Mark Taylor of Enron North America Corp..doc</vt:lpwstr>
  </property>
  <property fmtid="{D5CDD505-2E9C-101B-9397-08002B2CF9AE}" pid="5" name="PCDOCS ID Short">
    <vt:lpwstr>#455536 v3 - Memo to Elizabeth Sager &amp; Mark Taylor of Enron North America Corp..doc</vt:lpwstr>
  </property>
</Properties>
</file>