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6 -->
  <w:body>
    <w:p w:rsidR="00C20A1A" w:rsidP="00EE3322">
      <w:pPr>
        <w:pStyle w:val="BodyTextBold"/>
        <w:jc w:val="center"/>
      </w:pPr>
      <w:r>
        <w:t xml:space="preserve">CVCA VENTURE CAPITAL </w:t>
      </w:r>
      <w:r w:rsidR="005F658C">
        <w:br/>
      </w:r>
      <w:r>
        <w:t>MODEL TRANSACTION DOCUMENTS</w:t>
      </w:r>
    </w:p>
    <w:p w:rsidR="00C20A1A" w:rsidP="00293FA3">
      <w:pPr>
        <w:pStyle w:val="BodyTextBold"/>
      </w:pPr>
    </w:p>
    <w:p w:rsidR="00C20A1A" w:rsidP="00DA7E6A">
      <w:pPr>
        <w:pStyle w:val="BodyText"/>
      </w:pPr>
    </w:p>
    <w:p w:rsidR="00C20A1A" w:rsidP="0096008D">
      <w:pPr>
        <w:pStyle w:val="CenteredBold"/>
        <w:spacing w:after="1200"/>
      </w:pPr>
      <w:r>
        <w:t>[AMENDED AND RESTATED]</w:t>
      </w:r>
      <w:r>
        <w:br/>
        <w:t>[UNANIMOUS] SHAREHOLDERS AGREEMENT</w:t>
      </w:r>
      <w:r>
        <w:br/>
        <w:t>(Based on NVCA Model Documents)</w:t>
      </w:r>
    </w:p>
    <w:p w:rsidR="00C20A1A">
      <w:pPr>
        <w:pStyle w:val="BodyText"/>
      </w:pPr>
      <w:r>
        <w:t>This document is based on the following NVCA documents: Investors</w:t>
      </w:r>
      <w:r w:rsidR="00D206B0">
        <w:t>'</w:t>
      </w:r>
      <w:r>
        <w:t xml:space="preserve"> Rights Agreement, Voting Agreement, Right of First Refusal and Co-Sale Agreement and certain provisions of the </w:t>
      </w:r>
      <w:r w:rsidR="00D219CA">
        <w:t>Articles</w:t>
      </w:r>
      <w:r>
        <w:t xml:space="preserve"> </w:t>
      </w:r>
      <w:r w:rsidR="007C4504">
        <w:t xml:space="preserve">of Incorporation </w:t>
      </w:r>
      <w:r>
        <w:t>(</w:t>
      </w:r>
      <w:r w:rsidR="00D206B0">
        <w:t>July to September 2020</w:t>
      </w:r>
      <w:r>
        <w:t xml:space="preserve"> versions)</w:t>
      </w:r>
      <w:r>
        <w:rPr>
          <w:rStyle w:val="FootnoteReference"/>
        </w:rPr>
        <w:footnoteReference w:id="2"/>
      </w:r>
      <w:r>
        <w:t>. This Agreement attempts to combine all the key provisions of those documents in one shareholders agreement</w:t>
      </w:r>
      <w:r w:rsidR="00D219CA">
        <w:t xml:space="preserve"> and also includes a small number of additional common Canadian </w:t>
      </w:r>
      <w:r w:rsidR="00385A27">
        <w:t xml:space="preserve">unanimous </w:t>
      </w:r>
      <w:r w:rsidR="00D219CA">
        <w:t>shareholder agreement terms</w:t>
      </w:r>
      <w:r>
        <w:t>. In Canadian</w:t>
      </w:r>
      <w:r w:rsidR="007C4504">
        <w:t xml:space="preserve"> venture capital</w:t>
      </w:r>
      <w:r>
        <w:t xml:space="preserve"> </w:t>
      </w:r>
      <w:r w:rsidR="009B77C2">
        <w:t>transactions</w:t>
      </w:r>
      <w:r>
        <w:t xml:space="preserve">, </w:t>
      </w:r>
      <w:r w:rsidR="007C4504">
        <w:t xml:space="preserve">it continues to be a </w:t>
      </w:r>
      <w:r>
        <w:t>common practice to use a shareholders agreement as the key document to set out the rights of shareholder</w:t>
      </w:r>
      <w:r w:rsidR="007C4504">
        <w:t>s</w:t>
      </w:r>
      <w:r>
        <w:t>.</w:t>
      </w:r>
      <w:r w:rsidR="00D206B0">
        <w:t xml:space="preserve"> See the </w:t>
      </w:r>
      <w:r w:rsidR="00C968F6">
        <w:t>C</w:t>
      </w:r>
      <w:r w:rsidR="00D206B0">
        <w:t xml:space="preserve">VCA Model </w:t>
      </w:r>
      <w:r w:rsidR="00C968F6">
        <w:t>Document</w:t>
      </w:r>
      <w:r w:rsidR="00D206B0">
        <w:t xml:space="preserve"> called </w:t>
      </w:r>
      <w:r w:rsidR="00D219CA">
        <w:t>"</w:t>
      </w:r>
      <w:r w:rsidR="00D206B0">
        <w:t>Unanimous Shareholders Agreement</w:t>
      </w:r>
      <w:r w:rsidR="00D219CA">
        <w:t>"</w:t>
      </w:r>
      <w:r w:rsidR="00D206B0">
        <w:t xml:space="preserve"> for additional terms that are commonly found in Canadian shareholders agreements for venture capital transactions.</w:t>
      </w:r>
    </w:p>
    <w:p w:rsidR="00C20A1A">
      <w:pPr>
        <w:pStyle w:val="BodyText"/>
      </w:pPr>
      <w:r>
        <w:t xml:space="preserve">The CVCA gratefully acknowledges the NVCA for granting permission to use </w:t>
      </w:r>
      <w:r w:rsidR="007C4504">
        <w:t xml:space="preserve">its model </w:t>
      </w:r>
      <w:r>
        <w:t>documents in this document.</w:t>
      </w:r>
    </w:p>
    <w:p w:rsidR="00C20A1A">
      <w:pPr>
        <w:pStyle w:val="BodyText"/>
      </w:pPr>
      <w:r>
        <w:t>The Canadian version of this document was created by the CVCA Venture Capital Model Documents Working Group comprised of Gary Solway of Bennett Jones LLP (Chair), Sophia Maizel of HarbourVest (Vice Chair), Mireille Fontaine of BCF, Ed Vandenberg of Osler, Hoskin &amp; Harcourt LLP, Pascal de Guise, Blake, Cassels &amp;</w:t>
      </w:r>
      <w:r w:rsidR="00D206B0">
        <w:t xml:space="preserve"> </w:t>
      </w:r>
      <w:r>
        <w:t xml:space="preserve">Graydon LLP with the assistance of Charles Malone of Borden Lardner Gervais LLP, Brian Lenihan of Choate Hall &amp; Stewart LLP, Jesslyn Maurier of Bennett Jones LLP and Julie Robinson of McInnes Cooper. The lead author on this document is Gary Solway (solwayg@bennettjones.com). </w:t>
      </w:r>
    </w:p>
    <w:p w:rsidR="00C20A1A">
      <w:pPr>
        <w:pStyle w:val="BodyText"/>
      </w:pPr>
    </w:p>
    <w:p w:rsidR="00C20A1A">
      <w:pPr>
        <w:pStyle w:val="BodyText"/>
        <w:pBdr>
          <w:top w:val="single" w:sz="4" w:space="1" w:color="auto"/>
          <w:left w:val="single" w:sz="4" w:space="4" w:color="auto"/>
          <w:bottom w:val="single" w:sz="4" w:space="1" w:color="auto"/>
          <w:right w:val="single" w:sz="4" w:space="4" w:color="auto"/>
        </w:pBdr>
        <w:rPr>
          <w:i/>
          <w:iCs/>
        </w:rPr>
      </w:pPr>
      <w:r>
        <w:rPr>
          <w:i/>
          <w:iCs/>
        </w:rPr>
        <w:t>Disclaimer: This model document is for informational purposes only and is not to be construed as legal advice for any particular facts or circumstances. This document is provided "as is", without any warranty, either express or implied, and without liability. This document is intended to serve as a starting point only, and must be tailored to meet your specific requirements.</w:t>
      </w:r>
    </w:p>
    <w:p w:rsidR="00C20A1A">
      <w:pPr>
        <w:pStyle w:val="BodyText"/>
        <w:sectPr w:rsidSect="00475142">
          <w:footerReference w:type="default" r:id="rId6"/>
          <w:footerReference w:type="first" r:id="rId7"/>
          <w:pgSz w:w="12240" w:h="15840"/>
          <w:pgMar w:top="1440" w:right="1440" w:bottom="1440" w:left="1440" w:header="720" w:footer="432" w:gutter="0"/>
          <w:cols w:space="720"/>
          <w:titlePg/>
          <w:docGrid w:linePitch="360"/>
        </w:sectPr>
      </w:pPr>
    </w:p>
    <w:p w:rsidR="00C20A1A" w:rsidP="00BC361D">
      <w:pPr>
        <w:pStyle w:val="Heading1"/>
        <w:rPr>
          <w:lang w:val="fr-FR"/>
        </w:rPr>
      </w:pPr>
      <w:r>
        <w:rPr>
          <w:lang w:val="fr-FR"/>
        </w:rPr>
        <w:t>TABLE OF CONCORDANCE</w:t>
      </w:r>
    </w:p>
    <w:p w:rsidR="00C20A1A">
      <w:pPr>
        <w:pStyle w:val="BodyText"/>
        <w:jc w:val="left"/>
        <w:rPr>
          <w:lang w:val="fr-FR"/>
        </w:rPr>
      </w:pPr>
    </w:p>
    <w:p w:rsidR="00C20A1A" w:rsidP="00293FA3">
      <w:pPr>
        <w:pStyle w:val="BodyTextBold"/>
        <w:rPr>
          <w:lang w:val="fr-FR"/>
        </w:rPr>
      </w:pPr>
      <w:r>
        <w:rPr>
          <w:lang w:val="fr-FR"/>
        </w:rPr>
        <w:t>Source</w:t>
      </w:r>
      <w:r w:rsidR="007C4504">
        <w:rPr>
          <w:lang w:val="fr-FR"/>
        </w:rPr>
        <w:t xml:space="preserve"> NVCA</w:t>
      </w:r>
      <w:r>
        <w:rPr>
          <w:lang w:val="fr-FR"/>
        </w:rPr>
        <w:t xml:space="preserve"> Document:</w:t>
      </w:r>
    </w:p>
    <w:p w:rsidR="00C20A1A" w:rsidP="00A434F3">
      <w:pPr>
        <w:pStyle w:val="BodyText"/>
        <w:numPr>
          <w:ilvl w:val="0"/>
          <w:numId w:val="12"/>
        </w:numPr>
        <w:spacing w:after="60"/>
        <w:ind w:hanging="720"/>
        <w:jc w:val="left"/>
      </w:pPr>
      <w:bookmarkStart w:id="0" w:name="_Ref55320125"/>
      <w:r>
        <w:t>Certificate/</w:t>
      </w:r>
      <w:r>
        <w:t>Articles of Incorporation/Amendment ("</w:t>
      </w:r>
      <w:r>
        <w:rPr>
          <w:b/>
          <w:bCs/>
        </w:rPr>
        <w:t>Articles</w:t>
      </w:r>
      <w:r>
        <w:t>")</w:t>
      </w:r>
      <w:bookmarkEnd w:id="0"/>
    </w:p>
    <w:p w:rsidR="00C20A1A" w:rsidP="00A434F3">
      <w:pPr>
        <w:pStyle w:val="BodyText"/>
        <w:numPr>
          <w:ilvl w:val="0"/>
          <w:numId w:val="12"/>
        </w:numPr>
        <w:spacing w:after="60"/>
        <w:ind w:hanging="720"/>
        <w:jc w:val="left"/>
      </w:pPr>
      <w:r>
        <w:t>Right of First Refusal and Co-Sale Agreement ("</w:t>
      </w:r>
      <w:r>
        <w:rPr>
          <w:b/>
          <w:bCs/>
        </w:rPr>
        <w:t>ROFR</w:t>
      </w:r>
      <w:r>
        <w:t>")</w:t>
      </w:r>
    </w:p>
    <w:p w:rsidR="00C20A1A" w:rsidP="00A434F3">
      <w:pPr>
        <w:pStyle w:val="BodyText"/>
        <w:numPr>
          <w:ilvl w:val="0"/>
          <w:numId w:val="12"/>
        </w:numPr>
        <w:spacing w:after="60"/>
        <w:ind w:hanging="720"/>
        <w:jc w:val="left"/>
      </w:pPr>
      <w:r>
        <w:t>Voting Agreement ("</w:t>
      </w:r>
      <w:r>
        <w:rPr>
          <w:b/>
          <w:bCs/>
        </w:rPr>
        <w:t>VA</w:t>
      </w:r>
      <w:r>
        <w:t>")</w:t>
      </w:r>
    </w:p>
    <w:p w:rsidR="00C20A1A" w:rsidP="00A434F3">
      <w:pPr>
        <w:pStyle w:val="BodyText"/>
        <w:numPr>
          <w:ilvl w:val="0"/>
          <w:numId w:val="12"/>
        </w:numPr>
        <w:ind w:hanging="720"/>
        <w:jc w:val="left"/>
      </w:pPr>
      <w:r>
        <w:t>Investors' Rights Agreement ("</w:t>
      </w:r>
      <w:r>
        <w:rPr>
          <w:b/>
          <w:bCs/>
        </w:rPr>
        <w:t>IRA</w:t>
      </w:r>
      <w:r>
        <w:t>")</w:t>
      </w:r>
    </w:p>
    <w:p w:rsidR="00C20A1A">
      <w:pPr>
        <w:pStyle w:val="BodyText"/>
        <w:jc w:val="left"/>
      </w:pPr>
      <w:r>
        <w:t>Note: In most cases, sections are unchanged from the source document. In some cases, conforming changes were required to make it work in the context of a unanimous shareholders agreement.</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40"/>
        <w:gridCol w:w="3690"/>
      </w:tblGrid>
      <w:tr w:rsidTr="001F1E5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5940" w:type="dxa"/>
          </w:tcPr>
          <w:p w:rsidR="00C20A1A" w:rsidP="00D63169">
            <w:pPr>
              <w:pStyle w:val="BodyText"/>
              <w:spacing w:after="0"/>
              <w:ind w:left="720" w:hanging="720"/>
              <w:jc w:val="left"/>
              <w:rPr>
                <w:b/>
              </w:rPr>
            </w:pPr>
            <w:r>
              <w:rPr>
                <w:b/>
              </w:rPr>
              <w:t>Section of USA</w:t>
            </w:r>
          </w:p>
        </w:tc>
        <w:tc>
          <w:tcPr>
            <w:tcW w:w="3690" w:type="dxa"/>
          </w:tcPr>
          <w:p w:rsidR="00C20A1A" w:rsidP="00D63169">
            <w:pPr>
              <w:jc w:val="left"/>
              <w:rPr>
                <w:b/>
              </w:rPr>
            </w:pPr>
            <w:r>
              <w:rPr>
                <w:b/>
              </w:rPr>
              <w:t>Source Document</w:t>
            </w:r>
          </w:p>
        </w:tc>
      </w:tr>
      <w:tr w:rsidTr="001F1E58">
        <w:tblPrEx>
          <w:tblW w:w="9630" w:type="dxa"/>
          <w:tblLook w:val="04A0"/>
        </w:tblPrEx>
        <w:tc>
          <w:tcPr>
            <w:tcW w:w="5940" w:type="dxa"/>
          </w:tcPr>
          <w:p w:rsidR="00C20A1A">
            <w:pPr>
              <w:pStyle w:val="BodyText"/>
              <w:spacing w:after="0"/>
              <w:ind w:left="720" w:hanging="720"/>
              <w:rPr>
                <w:rFonts w:eastAsiaTheme="minorEastAsia"/>
              </w:rPr>
            </w:pPr>
            <w:r>
              <w:t>1.1</w:t>
            </w:r>
            <w:r>
              <w:rPr>
                <w:rFonts w:eastAsiaTheme="minorEastAsia"/>
              </w:rPr>
              <w:tab/>
            </w:r>
            <w:r>
              <w:t>Definitions</w:t>
            </w:r>
          </w:p>
        </w:tc>
        <w:tc>
          <w:tcPr>
            <w:tcW w:w="3690" w:type="dxa"/>
          </w:tcPr>
          <w:p w:rsidR="00C20A1A" w:rsidP="00682437">
            <w:pPr>
              <w:jc w:val="left"/>
            </w:pPr>
            <w:r>
              <w:t>Various but primarily source documents</w:t>
            </w:r>
          </w:p>
        </w:tc>
      </w:tr>
      <w:tr w:rsidTr="001F1E58">
        <w:tblPrEx>
          <w:tblW w:w="9630" w:type="dxa"/>
          <w:tblLook w:val="04A0"/>
        </w:tblPrEx>
        <w:tc>
          <w:tcPr>
            <w:tcW w:w="5940" w:type="dxa"/>
          </w:tcPr>
          <w:p w:rsidR="00C20A1A" w:rsidP="00C968F6">
            <w:pPr>
              <w:pStyle w:val="BodyText"/>
              <w:spacing w:after="0"/>
              <w:ind w:left="720" w:hanging="720"/>
              <w:jc w:val="left"/>
              <w:rPr>
                <w:rFonts w:eastAsiaTheme="minorEastAsia"/>
              </w:rPr>
            </w:pPr>
            <w:r>
              <w:t>1.</w:t>
            </w:r>
            <w:r w:rsidR="00C968F6">
              <w:t>2</w:t>
            </w:r>
            <w:r>
              <w:rPr>
                <w:rFonts w:eastAsiaTheme="minorEastAsia"/>
              </w:rPr>
              <w:tab/>
            </w:r>
            <w:r>
              <w:t>Certain Rules of Interpretation</w:t>
            </w:r>
          </w:p>
        </w:tc>
        <w:tc>
          <w:tcPr>
            <w:tcW w:w="3690" w:type="dxa"/>
          </w:tcPr>
          <w:p w:rsidR="00C20A1A">
            <w:r>
              <w:t>New</w:t>
            </w:r>
          </w:p>
        </w:tc>
      </w:tr>
      <w:tr w:rsidTr="001F1E58">
        <w:tblPrEx>
          <w:tblW w:w="9630" w:type="dxa"/>
          <w:tblLook w:val="04A0"/>
        </w:tblPrEx>
        <w:tc>
          <w:tcPr>
            <w:tcW w:w="5940" w:type="dxa"/>
          </w:tcPr>
          <w:p w:rsidR="00C20A1A" w:rsidP="00475142">
            <w:pPr>
              <w:pStyle w:val="BodyText"/>
              <w:spacing w:after="0"/>
              <w:ind w:left="720" w:hanging="720"/>
              <w:jc w:val="left"/>
              <w:rPr>
                <w:rFonts w:eastAsiaTheme="minorEastAsia"/>
              </w:rPr>
            </w:pPr>
            <w:r>
              <w:t>1.3</w:t>
            </w:r>
            <w:r>
              <w:rPr>
                <w:rFonts w:eastAsiaTheme="minorEastAsia"/>
              </w:rPr>
              <w:tab/>
            </w:r>
            <w:r>
              <w:t>Entire Agreement / Amendment/Revocation of any Prior Shareholder Agreement</w:t>
            </w:r>
          </w:p>
        </w:tc>
        <w:tc>
          <w:tcPr>
            <w:tcW w:w="3690" w:type="dxa"/>
          </w:tcPr>
          <w:p w:rsidR="00C20A1A">
            <w:r>
              <w:t>IRA 6.10, ROFR s. 6.19</w:t>
            </w:r>
          </w:p>
        </w:tc>
      </w:tr>
      <w:tr w:rsidTr="001F1E58">
        <w:tblPrEx>
          <w:tblW w:w="9630" w:type="dxa"/>
          <w:tblLook w:val="04A0"/>
        </w:tblPrEx>
        <w:tc>
          <w:tcPr>
            <w:tcW w:w="5940" w:type="dxa"/>
          </w:tcPr>
          <w:p w:rsidR="00C20A1A" w:rsidP="00475142">
            <w:pPr>
              <w:pStyle w:val="BodyText"/>
              <w:spacing w:after="0"/>
              <w:ind w:left="720" w:hanging="720"/>
              <w:jc w:val="left"/>
              <w:rPr>
                <w:rFonts w:eastAsiaTheme="minorEastAsia"/>
              </w:rPr>
            </w:pPr>
            <w:r>
              <w:t>2.1</w:t>
            </w:r>
            <w:r>
              <w:rPr>
                <w:rFonts w:eastAsiaTheme="minorEastAsia"/>
              </w:rPr>
              <w:tab/>
            </w:r>
            <w:r>
              <w:t>Unanimous Shareholder Agreement</w:t>
            </w:r>
          </w:p>
        </w:tc>
        <w:tc>
          <w:tcPr>
            <w:tcW w:w="3690" w:type="dxa"/>
          </w:tcPr>
          <w:p w:rsidR="00C20A1A">
            <w:r>
              <w:t>New</w:t>
            </w:r>
          </w:p>
        </w:tc>
      </w:tr>
      <w:tr w:rsidTr="001F1E58">
        <w:tblPrEx>
          <w:tblW w:w="9630" w:type="dxa"/>
          <w:tblLook w:val="04A0"/>
        </w:tblPrEx>
        <w:tc>
          <w:tcPr>
            <w:tcW w:w="5940" w:type="dxa"/>
          </w:tcPr>
          <w:p w:rsidR="00C20A1A" w:rsidP="00475142">
            <w:pPr>
              <w:pStyle w:val="BodyText"/>
              <w:spacing w:after="0"/>
              <w:ind w:left="720" w:hanging="720"/>
              <w:jc w:val="left"/>
              <w:rPr>
                <w:rFonts w:eastAsiaTheme="minorEastAsia"/>
              </w:rPr>
            </w:pPr>
            <w:r>
              <w:t>2.2</w:t>
            </w:r>
            <w:r>
              <w:rPr>
                <w:rFonts w:eastAsiaTheme="minorEastAsia"/>
              </w:rPr>
              <w:tab/>
            </w:r>
            <w:r>
              <w:t>Compliance by Company and Shareholders</w:t>
            </w:r>
          </w:p>
        </w:tc>
        <w:tc>
          <w:tcPr>
            <w:tcW w:w="3690" w:type="dxa"/>
          </w:tcPr>
          <w:p w:rsidR="00C20A1A">
            <w:r>
              <w:t>VA s. 1.1, 1.2 and 1.4</w:t>
            </w:r>
          </w:p>
        </w:tc>
      </w:tr>
      <w:tr w:rsidTr="001F1E58">
        <w:tblPrEx>
          <w:tblW w:w="9630" w:type="dxa"/>
          <w:tblLook w:val="04A0"/>
        </w:tblPrEx>
        <w:tc>
          <w:tcPr>
            <w:tcW w:w="5940" w:type="dxa"/>
          </w:tcPr>
          <w:p w:rsidR="00C20A1A" w:rsidP="00475142">
            <w:pPr>
              <w:pStyle w:val="BodyText"/>
              <w:spacing w:after="0"/>
              <w:ind w:left="720" w:hanging="720"/>
              <w:jc w:val="left"/>
              <w:rPr>
                <w:rFonts w:eastAsiaTheme="minorEastAsia"/>
              </w:rPr>
            </w:pPr>
            <w:r>
              <w:t>2.3</w:t>
            </w:r>
            <w:r>
              <w:rPr>
                <w:rFonts w:eastAsiaTheme="minorEastAsia"/>
              </w:rPr>
              <w:tab/>
            </w:r>
            <w:r w:rsidRPr="0064732B">
              <w:t>Deemed Consent to Transfer</w:t>
            </w:r>
          </w:p>
        </w:tc>
        <w:tc>
          <w:tcPr>
            <w:tcW w:w="3690" w:type="dxa"/>
          </w:tcPr>
          <w:p w:rsidR="00C20A1A" w:rsidRPr="00D63169" w:rsidP="00CD342B">
            <w:r>
              <w:t>New</w:t>
            </w:r>
          </w:p>
        </w:tc>
      </w:tr>
      <w:tr w:rsidTr="001F1E58">
        <w:tblPrEx>
          <w:tblW w:w="9630" w:type="dxa"/>
          <w:tblLook w:val="04A0"/>
        </w:tblPrEx>
        <w:tc>
          <w:tcPr>
            <w:tcW w:w="5940" w:type="dxa"/>
          </w:tcPr>
          <w:p w:rsidR="00C20A1A" w:rsidP="00475142">
            <w:pPr>
              <w:pStyle w:val="BodyText"/>
              <w:spacing w:after="0"/>
              <w:ind w:left="720" w:hanging="720"/>
              <w:jc w:val="left"/>
              <w:rPr>
                <w:rFonts w:eastAsiaTheme="minorEastAsia"/>
              </w:rPr>
            </w:pPr>
            <w:r>
              <w:t>2.4</w:t>
            </w:r>
            <w:r>
              <w:rPr>
                <w:rFonts w:eastAsiaTheme="minorEastAsia"/>
              </w:rPr>
              <w:tab/>
            </w:r>
            <w:r>
              <w:t>Vote to Increase Authorized Common Shares</w:t>
            </w:r>
          </w:p>
        </w:tc>
        <w:tc>
          <w:tcPr>
            <w:tcW w:w="3690" w:type="dxa"/>
          </w:tcPr>
          <w:p w:rsidR="00C20A1A">
            <w:r>
              <w:t>VA s. 2</w:t>
            </w:r>
          </w:p>
        </w:tc>
      </w:tr>
      <w:tr w:rsidTr="001F1E58">
        <w:tblPrEx>
          <w:tblW w:w="9630" w:type="dxa"/>
          <w:tblLook w:val="04A0"/>
        </w:tblPrEx>
        <w:tc>
          <w:tcPr>
            <w:tcW w:w="5940" w:type="dxa"/>
          </w:tcPr>
          <w:p w:rsidR="00C20A1A" w:rsidP="00475142">
            <w:pPr>
              <w:pStyle w:val="BodyText"/>
              <w:spacing w:after="0"/>
              <w:ind w:left="720" w:hanging="720"/>
              <w:jc w:val="left"/>
              <w:rPr>
                <w:rFonts w:eastAsiaTheme="minorEastAsia"/>
              </w:rPr>
            </w:pPr>
            <w:r>
              <w:t>3.1</w:t>
            </w:r>
            <w:r>
              <w:rPr>
                <w:rFonts w:eastAsiaTheme="minorEastAsia"/>
              </w:rPr>
              <w:tab/>
            </w:r>
            <w:r>
              <w:t>Size of the Board</w:t>
            </w:r>
          </w:p>
        </w:tc>
        <w:tc>
          <w:tcPr>
            <w:tcW w:w="3690" w:type="dxa"/>
          </w:tcPr>
          <w:p w:rsidR="00C20A1A">
            <w:r>
              <w:t>VA s. 1.1</w:t>
            </w:r>
          </w:p>
        </w:tc>
      </w:tr>
      <w:tr w:rsidTr="001F1E58">
        <w:tblPrEx>
          <w:tblW w:w="9630" w:type="dxa"/>
          <w:tblLook w:val="04A0"/>
        </w:tblPrEx>
        <w:tc>
          <w:tcPr>
            <w:tcW w:w="5940" w:type="dxa"/>
          </w:tcPr>
          <w:p w:rsidR="00C20A1A" w:rsidP="00475142">
            <w:pPr>
              <w:pStyle w:val="BodyText"/>
              <w:spacing w:after="0"/>
              <w:ind w:left="720" w:hanging="720"/>
              <w:jc w:val="left"/>
              <w:rPr>
                <w:rFonts w:eastAsiaTheme="minorEastAsia"/>
              </w:rPr>
            </w:pPr>
            <w:r>
              <w:t>3.2</w:t>
            </w:r>
            <w:r>
              <w:rPr>
                <w:rFonts w:eastAsiaTheme="minorEastAsia"/>
              </w:rPr>
              <w:tab/>
            </w:r>
            <w:r>
              <w:t>Board Composition</w:t>
            </w:r>
          </w:p>
        </w:tc>
        <w:tc>
          <w:tcPr>
            <w:tcW w:w="3690" w:type="dxa"/>
          </w:tcPr>
          <w:p w:rsidR="00C20A1A" w:rsidP="00EE3322">
            <w:r>
              <w:t>VA s.1.2, Articles (Election of Directors) [Note: Language from Articles not adopted]</w:t>
            </w:r>
          </w:p>
        </w:tc>
      </w:tr>
      <w:tr w:rsidTr="001F1E58">
        <w:tblPrEx>
          <w:tblW w:w="9630" w:type="dxa"/>
          <w:tblLook w:val="04A0"/>
        </w:tblPrEx>
        <w:tc>
          <w:tcPr>
            <w:tcW w:w="5940" w:type="dxa"/>
          </w:tcPr>
          <w:p w:rsidR="00C20A1A" w:rsidP="00475142">
            <w:pPr>
              <w:pStyle w:val="BodyText"/>
              <w:spacing w:after="0"/>
              <w:ind w:left="720" w:hanging="720"/>
              <w:jc w:val="left"/>
              <w:rPr>
                <w:rFonts w:eastAsiaTheme="minorEastAsia"/>
              </w:rPr>
            </w:pPr>
            <w:r>
              <w:t>3.3</w:t>
            </w:r>
            <w:r>
              <w:rPr>
                <w:rFonts w:eastAsiaTheme="minorEastAsia"/>
              </w:rPr>
              <w:tab/>
            </w:r>
            <w:r>
              <w:t>Failure to Designate a Board Member</w:t>
            </w:r>
          </w:p>
        </w:tc>
        <w:tc>
          <w:tcPr>
            <w:tcW w:w="3690" w:type="dxa"/>
          </w:tcPr>
          <w:p w:rsidR="00C20A1A">
            <w:r>
              <w:t>VA s. 1.3</w:t>
            </w:r>
          </w:p>
        </w:tc>
      </w:tr>
      <w:tr w:rsidTr="001F1E58">
        <w:tblPrEx>
          <w:tblW w:w="9630" w:type="dxa"/>
          <w:tblLook w:val="04A0"/>
        </w:tblPrEx>
        <w:tc>
          <w:tcPr>
            <w:tcW w:w="5940" w:type="dxa"/>
          </w:tcPr>
          <w:p w:rsidR="00C20A1A" w:rsidP="00475142">
            <w:pPr>
              <w:pStyle w:val="BodyText"/>
              <w:spacing w:after="0"/>
              <w:ind w:left="720" w:hanging="720"/>
              <w:jc w:val="left"/>
              <w:rPr>
                <w:rFonts w:eastAsiaTheme="minorEastAsia"/>
              </w:rPr>
            </w:pPr>
            <w:r>
              <w:t>3.4</w:t>
            </w:r>
            <w:r>
              <w:rPr>
                <w:rFonts w:eastAsiaTheme="minorEastAsia"/>
              </w:rPr>
              <w:tab/>
            </w:r>
            <w:r>
              <w:t>Removal of Board Members</w:t>
            </w:r>
          </w:p>
        </w:tc>
        <w:tc>
          <w:tcPr>
            <w:tcW w:w="3690" w:type="dxa"/>
          </w:tcPr>
          <w:p w:rsidR="00C20A1A">
            <w:r>
              <w:t>VA s. 1.4</w:t>
            </w:r>
          </w:p>
        </w:tc>
      </w:tr>
      <w:tr w:rsidTr="001F1E58">
        <w:tblPrEx>
          <w:tblW w:w="9630" w:type="dxa"/>
          <w:tblLook w:val="04A0"/>
        </w:tblPrEx>
        <w:tc>
          <w:tcPr>
            <w:tcW w:w="5940" w:type="dxa"/>
          </w:tcPr>
          <w:p w:rsidR="00C20A1A" w:rsidP="00475142">
            <w:pPr>
              <w:pStyle w:val="BodyText"/>
              <w:spacing w:after="0"/>
              <w:ind w:left="720" w:hanging="720"/>
              <w:jc w:val="left"/>
              <w:rPr>
                <w:rFonts w:eastAsiaTheme="minorEastAsia"/>
              </w:rPr>
            </w:pPr>
            <w:r>
              <w:t>3.5</w:t>
            </w:r>
            <w:r>
              <w:rPr>
                <w:rFonts w:eastAsiaTheme="minorEastAsia"/>
              </w:rPr>
              <w:tab/>
            </w:r>
            <w:r>
              <w:t>No Liability for Election of Recommended Directors</w:t>
            </w:r>
          </w:p>
        </w:tc>
        <w:tc>
          <w:tcPr>
            <w:tcW w:w="3690" w:type="dxa"/>
          </w:tcPr>
          <w:p w:rsidR="00C20A1A">
            <w:r>
              <w:t>VA s. 1.5</w:t>
            </w:r>
          </w:p>
        </w:tc>
      </w:tr>
      <w:tr w:rsidTr="001F1E58">
        <w:tblPrEx>
          <w:tblW w:w="9630" w:type="dxa"/>
          <w:tblLook w:val="04A0"/>
        </w:tblPrEx>
        <w:tc>
          <w:tcPr>
            <w:tcW w:w="5940" w:type="dxa"/>
          </w:tcPr>
          <w:p w:rsidR="00C20A1A" w:rsidP="00475142">
            <w:pPr>
              <w:pStyle w:val="BodyText"/>
              <w:spacing w:after="0"/>
              <w:ind w:left="720" w:hanging="720"/>
              <w:jc w:val="left"/>
              <w:rPr>
                <w:rFonts w:eastAsiaTheme="minorEastAsia"/>
              </w:rPr>
            </w:pPr>
            <w:r>
              <w:t>3.6</w:t>
            </w:r>
            <w:r>
              <w:rPr>
                <w:rFonts w:eastAsiaTheme="minorEastAsia"/>
              </w:rPr>
              <w:tab/>
            </w:r>
            <w:r>
              <w:t>Committees</w:t>
            </w:r>
          </w:p>
        </w:tc>
        <w:tc>
          <w:tcPr>
            <w:tcW w:w="3690" w:type="dxa"/>
          </w:tcPr>
          <w:p w:rsidR="00C20A1A" w:rsidP="007C4504">
            <w:r>
              <w:t>IRA s. 5.</w:t>
            </w:r>
            <w:r w:rsidR="007C4504">
              <w:t>6</w:t>
            </w:r>
          </w:p>
        </w:tc>
      </w:tr>
      <w:tr w:rsidTr="001F1E58">
        <w:tblPrEx>
          <w:tblW w:w="9630" w:type="dxa"/>
          <w:tblLook w:val="04A0"/>
        </w:tblPrEx>
        <w:tc>
          <w:tcPr>
            <w:tcW w:w="5940" w:type="dxa"/>
          </w:tcPr>
          <w:p w:rsidR="00C20A1A" w:rsidP="00475142">
            <w:pPr>
              <w:pStyle w:val="BodyText"/>
              <w:spacing w:after="0"/>
              <w:ind w:left="720" w:hanging="720"/>
              <w:jc w:val="left"/>
              <w:rPr>
                <w:rFonts w:eastAsiaTheme="minorEastAsia"/>
              </w:rPr>
            </w:pPr>
            <w:r>
              <w:t>3.7</w:t>
            </w:r>
            <w:r>
              <w:rPr>
                <w:rFonts w:eastAsiaTheme="minorEastAsia"/>
              </w:rPr>
              <w:tab/>
            </w:r>
            <w:r>
              <w:t>Compensation and Expenses of Directors</w:t>
            </w:r>
          </w:p>
        </w:tc>
        <w:tc>
          <w:tcPr>
            <w:tcW w:w="3690" w:type="dxa"/>
          </w:tcPr>
          <w:p w:rsidR="00C20A1A" w:rsidP="007C4504">
            <w:r>
              <w:t>IRA s. 5.</w:t>
            </w:r>
            <w:r w:rsidR="007C4504">
              <w:t>6</w:t>
            </w:r>
          </w:p>
        </w:tc>
      </w:tr>
      <w:tr w:rsidTr="001F1E58">
        <w:tblPrEx>
          <w:tblW w:w="9630" w:type="dxa"/>
          <w:tblLook w:val="04A0"/>
        </w:tblPrEx>
        <w:tc>
          <w:tcPr>
            <w:tcW w:w="5940" w:type="dxa"/>
          </w:tcPr>
          <w:p w:rsidR="00C20A1A" w:rsidP="00C968F6">
            <w:pPr>
              <w:pStyle w:val="BodyText"/>
              <w:spacing w:after="0"/>
              <w:ind w:left="720" w:hanging="720"/>
              <w:jc w:val="left"/>
              <w:rPr>
                <w:rFonts w:eastAsiaTheme="minorEastAsia"/>
              </w:rPr>
            </w:pPr>
            <w:r>
              <w:t>3.8</w:t>
            </w:r>
            <w:r>
              <w:rPr>
                <w:rFonts w:eastAsiaTheme="minorEastAsia"/>
              </w:rPr>
              <w:tab/>
            </w:r>
            <w:r>
              <w:t>Matters Requiring Class A Director Approval</w:t>
            </w:r>
          </w:p>
        </w:tc>
        <w:tc>
          <w:tcPr>
            <w:tcW w:w="3690" w:type="dxa"/>
          </w:tcPr>
          <w:p w:rsidR="00C20A1A">
            <w:r>
              <w:t>IRA s. 5.4</w:t>
            </w:r>
          </w:p>
        </w:tc>
      </w:tr>
      <w:tr w:rsidTr="001F1E58">
        <w:tblPrEx>
          <w:tblW w:w="9630" w:type="dxa"/>
          <w:tblLook w:val="04A0"/>
        </w:tblPrEx>
        <w:tc>
          <w:tcPr>
            <w:tcW w:w="5940" w:type="dxa"/>
          </w:tcPr>
          <w:p w:rsidR="00C20A1A" w:rsidP="00C968F6">
            <w:pPr>
              <w:pStyle w:val="BodyText"/>
              <w:spacing w:after="0"/>
              <w:ind w:left="720" w:hanging="720"/>
              <w:jc w:val="left"/>
              <w:rPr>
                <w:rFonts w:eastAsiaTheme="minorEastAsia"/>
              </w:rPr>
            </w:pPr>
            <w:r>
              <w:t>3.9</w:t>
            </w:r>
            <w:r>
              <w:rPr>
                <w:rFonts w:eastAsiaTheme="minorEastAsia"/>
              </w:rPr>
              <w:tab/>
            </w:r>
            <w:r>
              <w:t>Investor Protective Provisions</w:t>
            </w:r>
          </w:p>
        </w:tc>
        <w:tc>
          <w:tcPr>
            <w:tcW w:w="3690" w:type="dxa"/>
          </w:tcPr>
          <w:p w:rsidR="00C20A1A" w:rsidP="0068780E">
            <w:r>
              <w:t>Articles s. B.3.4</w:t>
            </w:r>
          </w:p>
        </w:tc>
      </w:tr>
      <w:tr w:rsidTr="001F1E58">
        <w:tblPrEx>
          <w:tblW w:w="9630" w:type="dxa"/>
          <w:tblLook w:val="04A0"/>
        </w:tblPrEx>
        <w:tc>
          <w:tcPr>
            <w:tcW w:w="5940" w:type="dxa"/>
          </w:tcPr>
          <w:p w:rsidR="00C20A1A" w:rsidP="00475142">
            <w:pPr>
              <w:pStyle w:val="BodyText"/>
              <w:spacing w:after="0"/>
              <w:ind w:left="720" w:hanging="720"/>
              <w:jc w:val="left"/>
              <w:rPr>
                <w:rFonts w:eastAsiaTheme="minorEastAsia"/>
              </w:rPr>
            </w:pPr>
            <w:r>
              <w:t>4.1</w:t>
            </w:r>
            <w:r>
              <w:rPr>
                <w:rFonts w:eastAsiaTheme="minorEastAsia"/>
              </w:rPr>
              <w:tab/>
            </w:r>
            <w:r>
              <w:t>Delivery of Financial Statements</w:t>
            </w:r>
          </w:p>
        </w:tc>
        <w:tc>
          <w:tcPr>
            <w:tcW w:w="3690" w:type="dxa"/>
          </w:tcPr>
          <w:p w:rsidR="00C20A1A">
            <w:r>
              <w:t>IRA s. 3.1</w:t>
            </w:r>
          </w:p>
        </w:tc>
      </w:tr>
      <w:tr w:rsidTr="001F1E58">
        <w:tblPrEx>
          <w:tblW w:w="9630" w:type="dxa"/>
          <w:tblLook w:val="04A0"/>
        </w:tblPrEx>
        <w:tc>
          <w:tcPr>
            <w:tcW w:w="5940" w:type="dxa"/>
          </w:tcPr>
          <w:p w:rsidR="00C20A1A" w:rsidP="00475142">
            <w:pPr>
              <w:pStyle w:val="BodyText"/>
              <w:spacing w:after="0"/>
              <w:ind w:left="720" w:hanging="720"/>
              <w:jc w:val="left"/>
              <w:rPr>
                <w:rFonts w:eastAsiaTheme="minorEastAsia"/>
              </w:rPr>
            </w:pPr>
            <w:r>
              <w:t>4.2</w:t>
            </w:r>
            <w:r>
              <w:rPr>
                <w:rFonts w:eastAsiaTheme="minorEastAsia"/>
              </w:rPr>
              <w:tab/>
            </w:r>
            <w:r>
              <w:t>Waiver of Audit Rights</w:t>
            </w:r>
          </w:p>
        </w:tc>
        <w:tc>
          <w:tcPr>
            <w:tcW w:w="3690" w:type="dxa"/>
          </w:tcPr>
          <w:p w:rsidR="00C20A1A">
            <w:r>
              <w:t>New</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4.3</w:t>
            </w:r>
            <w:r>
              <w:rPr>
                <w:rFonts w:eastAsiaTheme="minorEastAsia"/>
              </w:rPr>
              <w:tab/>
            </w:r>
            <w:r>
              <w:t>Inspection</w:t>
            </w:r>
          </w:p>
        </w:tc>
        <w:tc>
          <w:tcPr>
            <w:tcW w:w="3690" w:type="dxa"/>
          </w:tcPr>
          <w:p w:rsidR="00C20A1A">
            <w:r>
              <w:t>IRA s. 3.2</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4.4</w:t>
            </w:r>
            <w:r>
              <w:rPr>
                <w:rFonts w:eastAsiaTheme="minorEastAsia"/>
              </w:rPr>
              <w:tab/>
            </w:r>
            <w:r>
              <w:t>Observer Rights</w:t>
            </w:r>
          </w:p>
        </w:tc>
        <w:tc>
          <w:tcPr>
            <w:tcW w:w="3690" w:type="dxa"/>
          </w:tcPr>
          <w:p w:rsidR="00C20A1A">
            <w:r>
              <w:t>IRA s. 3.3</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4.5</w:t>
            </w:r>
            <w:r>
              <w:rPr>
                <w:rFonts w:eastAsiaTheme="minorEastAsia"/>
              </w:rPr>
              <w:tab/>
            </w:r>
            <w:r>
              <w:t>Termination of Information and Observer Rights</w:t>
            </w:r>
          </w:p>
        </w:tc>
        <w:tc>
          <w:tcPr>
            <w:tcW w:w="3690" w:type="dxa"/>
          </w:tcPr>
          <w:p w:rsidR="00C20A1A">
            <w:r>
              <w:t>IRA s. 3.4</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4.6</w:t>
            </w:r>
            <w:r>
              <w:rPr>
                <w:rFonts w:eastAsiaTheme="minorEastAsia"/>
              </w:rPr>
              <w:tab/>
            </w:r>
            <w:r>
              <w:t>Confidentiality</w:t>
            </w:r>
          </w:p>
        </w:tc>
        <w:tc>
          <w:tcPr>
            <w:tcW w:w="3690" w:type="dxa"/>
          </w:tcPr>
          <w:p w:rsidR="00C20A1A">
            <w:r>
              <w:t>IRA s. 3.5</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5.1</w:t>
            </w:r>
            <w:r>
              <w:rPr>
                <w:rFonts w:eastAsiaTheme="minorEastAsia"/>
              </w:rPr>
              <w:tab/>
            </w:r>
            <w:r>
              <w:t>Registration Rights</w:t>
            </w:r>
          </w:p>
        </w:tc>
        <w:tc>
          <w:tcPr>
            <w:tcW w:w="3690" w:type="dxa"/>
          </w:tcPr>
          <w:p w:rsidR="00C20A1A">
            <w:r>
              <w:t>IRA - See Schedule</w:t>
            </w:r>
            <w:r w:rsidR="008D486F">
              <w:t xml:space="preserve"> D</w:t>
            </w:r>
            <w:r>
              <w:t xml:space="preserve"> below</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5.2</w:t>
            </w:r>
            <w:r>
              <w:rPr>
                <w:rFonts w:eastAsiaTheme="minorEastAsia"/>
              </w:rPr>
              <w:tab/>
            </w:r>
            <w:r>
              <w:t>Insurance</w:t>
            </w:r>
          </w:p>
        </w:tc>
        <w:tc>
          <w:tcPr>
            <w:tcW w:w="3690" w:type="dxa"/>
          </w:tcPr>
          <w:p w:rsidR="00C20A1A">
            <w:r>
              <w:t>IRA s. 5.1</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5.3</w:t>
            </w:r>
            <w:r>
              <w:rPr>
                <w:rFonts w:eastAsiaTheme="minorEastAsia"/>
              </w:rPr>
              <w:tab/>
            </w:r>
            <w:r>
              <w:t>Employee Agreements</w:t>
            </w:r>
          </w:p>
        </w:tc>
        <w:tc>
          <w:tcPr>
            <w:tcW w:w="3690" w:type="dxa"/>
          </w:tcPr>
          <w:p w:rsidR="00C20A1A">
            <w:r>
              <w:t>IRA s. 5.2</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5.4</w:t>
            </w:r>
            <w:r>
              <w:rPr>
                <w:rFonts w:eastAsiaTheme="minorEastAsia"/>
              </w:rPr>
              <w:tab/>
            </w:r>
            <w:r>
              <w:t>Employee Shares</w:t>
            </w:r>
          </w:p>
        </w:tc>
        <w:tc>
          <w:tcPr>
            <w:tcW w:w="3690" w:type="dxa"/>
          </w:tcPr>
          <w:p w:rsidR="00C20A1A">
            <w:r>
              <w:t>IRA s. 5.3</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5.5</w:t>
            </w:r>
            <w:r>
              <w:rPr>
                <w:rFonts w:eastAsiaTheme="minorEastAsia"/>
              </w:rPr>
              <w:tab/>
            </w:r>
            <w:r>
              <w:t>Expenses of Counsel</w:t>
            </w:r>
          </w:p>
        </w:tc>
        <w:tc>
          <w:tcPr>
            <w:tcW w:w="3690" w:type="dxa"/>
          </w:tcPr>
          <w:p w:rsidR="00C20A1A" w:rsidP="008D486F">
            <w:r>
              <w:t>IRA s. 5.</w:t>
            </w:r>
            <w:r w:rsidR="008D486F">
              <w:t>8</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5.6</w:t>
            </w:r>
            <w:r>
              <w:rPr>
                <w:rFonts w:eastAsiaTheme="minorEastAsia"/>
              </w:rPr>
              <w:tab/>
            </w:r>
            <w:r>
              <w:t>Indemnification Matters</w:t>
            </w:r>
          </w:p>
        </w:tc>
        <w:tc>
          <w:tcPr>
            <w:tcW w:w="3690" w:type="dxa"/>
          </w:tcPr>
          <w:p w:rsidR="00C20A1A" w:rsidP="008D486F">
            <w:r>
              <w:t>IRA s. 5.</w:t>
            </w:r>
            <w:r w:rsidR="008D486F">
              <w:t>9</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5.7</w:t>
            </w:r>
            <w:r>
              <w:rPr>
                <w:rFonts w:eastAsiaTheme="minorEastAsia"/>
              </w:rPr>
              <w:tab/>
            </w:r>
            <w:r>
              <w:t>Right to Conduct Activities</w:t>
            </w:r>
          </w:p>
        </w:tc>
        <w:tc>
          <w:tcPr>
            <w:tcW w:w="3690" w:type="dxa"/>
          </w:tcPr>
          <w:p w:rsidR="00C20A1A" w:rsidP="008D486F">
            <w:r>
              <w:t>IRA s. 5.</w:t>
            </w:r>
            <w:r w:rsidR="008D486F">
              <w:t>10</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5.8</w:t>
            </w:r>
            <w:r>
              <w:rPr>
                <w:rFonts w:eastAsiaTheme="minorEastAsia"/>
              </w:rPr>
              <w:tab/>
            </w:r>
            <w:r>
              <w:t>Harassment Policy</w:t>
            </w:r>
          </w:p>
        </w:tc>
        <w:tc>
          <w:tcPr>
            <w:tcW w:w="3690" w:type="dxa"/>
          </w:tcPr>
          <w:p w:rsidR="00C20A1A" w:rsidP="008D486F">
            <w:r>
              <w:t>IRA s. 5.1</w:t>
            </w:r>
            <w:r w:rsidR="008D486F">
              <w:t>1</w:t>
            </w:r>
          </w:p>
        </w:tc>
      </w:tr>
      <w:tr w:rsidTr="001F1E58">
        <w:tblPrEx>
          <w:tblW w:w="9630" w:type="dxa"/>
          <w:tblLook w:val="04A0"/>
        </w:tblPrEx>
        <w:tc>
          <w:tcPr>
            <w:tcW w:w="5940" w:type="dxa"/>
          </w:tcPr>
          <w:p w:rsidR="00C20A1A" w:rsidP="00475142">
            <w:pPr>
              <w:pStyle w:val="BodyText"/>
              <w:spacing w:after="0"/>
              <w:ind w:left="720" w:hanging="720"/>
              <w:jc w:val="left"/>
            </w:pPr>
            <w:r>
              <w:t>5.9</w:t>
            </w:r>
            <w:r>
              <w:tab/>
              <w:t>Foreign Corrupt Practices</w:t>
            </w:r>
          </w:p>
        </w:tc>
        <w:tc>
          <w:tcPr>
            <w:tcW w:w="3690" w:type="dxa"/>
          </w:tcPr>
          <w:p w:rsidR="00C20A1A" w:rsidP="008D486F">
            <w:r>
              <w:t>IRA s. 5.1</w:t>
            </w:r>
            <w:r w:rsidR="008D486F">
              <w:t>2</w:t>
            </w:r>
          </w:p>
        </w:tc>
      </w:tr>
      <w:tr w:rsidTr="001F1E58">
        <w:tblPrEx>
          <w:tblW w:w="9630" w:type="dxa"/>
          <w:tblLook w:val="04A0"/>
        </w:tblPrEx>
        <w:tc>
          <w:tcPr>
            <w:tcW w:w="5940" w:type="dxa"/>
          </w:tcPr>
          <w:p w:rsidR="00C20A1A" w:rsidP="00D8327F">
            <w:pPr>
              <w:pStyle w:val="BodyText"/>
              <w:spacing w:after="0"/>
              <w:ind w:left="720" w:hanging="720"/>
              <w:jc w:val="left"/>
              <w:rPr>
                <w:rFonts w:eastAsiaTheme="minorEastAsia"/>
              </w:rPr>
            </w:pPr>
            <w:r>
              <w:t>5.10</w:t>
            </w:r>
            <w:r>
              <w:rPr>
                <w:rFonts w:eastAsiaTheme="minorEastAsia"/>
              </w:rPr>
              <w:tab/>
            </w:r>
            <w:r>
              <w:t>Agreement to Lock-Up (Market Stand-off)</w:t>
            </w:r>
          </w:p>
        </w:tc>
        <w:tc>
          <w:tcPr>
            <w:tcW w:w="3690" w:type="dxa"/>
          </w:tcPr>
          <w:p w:rsidR="00C20A1A" w:rsidP="00D92231">
            <w:r>
              <w:t>IRA s. 2.11, ROFR s. 5</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6.1</w:t>
            </w:r>
            <w:r>
              <w:rPr>
                <w:rFonts w:eastAsiaTheme="minorEastAsia"/>
              </w:rPr>
              <w:tab/>
            </w:r>
            <w:r>
              <w:t>Restrictions on Transfer</w:t>
            </w:r>
          </w:p>
        </w:tc>
        <w:tc>
          <w:tcPr>
            <w:tcW w:w="3690" w:type="dxa"/>
          </w:tcPr>
          <w:p w:rsidR="00C20A1A" w:rsidP="00D92231">
            <w:pPr>
              <w:rPr>
                <w:lang w:val="fr-FR"/>
              </w:rPr>
            </w:pPr>
            <w:r>
              <w:rPr>
                <w:lang w:val="fr-FR"/>
              </w:rPr>
              <w:t>IRA s. 2.12</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6.2</w:t>
            </w:r>
            <w:r>
              <w:rPr>
                <w:rFonts w:eastAsiaTheme="minorEastAsia"/>
              </w:rPr>
              <w:tab/>
            </w:r>
            <w:r>
              <w:t>Additional Parties to be Bound</w:t>
            </w:r>
          </w:p>
        </w:tc>
        <w:tc>
          <w:tcPr>
            <w:tcW w:w="3690" w:type="dxa"/>
          </w:tcPr>
          <w:p w:rsidR="00C20A1A" w:rsidP="00D92231">
            <w:pPr>
              <w:rPr>
                <w:lang w:val="fr-FR"/>
              </w:rPr>
            </w:pPr>
            <w:r>
              <w:rPr>
                <w:lang w:val="fr-FR"/>
              </w:rPr>
              <w:t>VA s. 7.1 s. 7.2, IRA s. 6.9, ROFR s. 6.18</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6.3</w:t>
            </w:r>
            <w:r>
              <w:rPr>
                <w:rFonts w:eastAsiaTheme="minorEastAsia"/>
              </w:rPr>
              <w:tab/>
            </w:r>
            <w:r>
              <w:t>Pre-emptive Right (Right of First Offer)</w:t>
            </w:r>
          </w:p>
        </w:tc>
        <w:tc>
          <w:tcPr>
            <w:tcW w:w="3690" w:type="dxa"/>
          </w:tcPr>
          <w:p w:rsidR="00C20A1A" w:rsidP="00D92231">
            <w:pPr>
              <w:rPr>
                <w:lang w:val="fr-FR"/>
              </w:rPr>
            </w:pPr>
            <w:r>
              <w:rPr>
                <w:lang w:val="fr-FR"/>
              </w:rPr>
              <w:t>IRA s. 4.1</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6.4</w:t>
            </w:r>
            <w:r>
              <w:rPr>
                <w:rFonts w:eastAsiaTheme="minorEastAsia"/>
              </w:rPr>
              <w:tab/>
            </w:r>
            <w:r>
              <w:t>Right of First Refusal</w:t>
            </w:r>
          </w:p>
        </w:tc>
        <w:tc>
          <w:tcPr>
            <w:tcW w:w="3690" w:type="dxa"/>
          </w:tcPr>
          <w:p w:rsidR="00C20A1A" w:rsidP="00D92231">
            <w:r>
              <w:t>ROFR s. 2.1</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6.5</w:t>
            </w:r>
            <w:r>
              <w:rPr>
                <w:rFonts w:eastAsiaTheme="minorEastAsia"/>
              </w:rPr>
              <w:tab/>
            </w:r>
            <w:r>
              <w:t>Right of Co-Sale/Piggyback Right</w:t>
            </w:r>
          </w:p>
        </w:tc>
        <w:tc>
          <w:tcPr>
            <w:tcW w:w="3690" w:type="dxa"/>
          </w:tcPr>
          <w:p w:rsidR="00C20A1A" w:rsidP="00D92231">
            <w:r>
              <w:t>ROFR s. 2.2</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6.6</w:t>
            </w:r>
            <w:r>
              <w:rPr>
                <w:rFonts w:eastAsiaTheme="minorEastAsia"/>
              </w:rPr>
              <w:tab/>
            </w:r>
            <w:r>
              <w:t>Effect of Failure to Comply</w:t>
            </w:r>
          </w:p>
        </w:tc>
        <w:tc>
          <w:tcPr>
            <w:tcW w:w="3690" w:type="dxa"/>
          </w:tcPr>
          <w:p w:rsidR="00C20A1A" w:rsidP="00D92231">
            <w:r>
              <w:t>ROFR s. 2.3</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6.7</w:t>
            </w:r>
            <w:r>
              <w:rPr>
                <w:rFonts w:eastAsiaTheme="minorEastAsia"/>
              </w:rPr>
              <w:tab/>
            </w:r>
            <w:r>
              <w:t>Exempted Transfers</w:t>
            </w:r>
          </w:p>
        </w:tc>
        <w:tc>
          <w:tcPr>
            <w:tcW w:w="3690" w:type="dxa"/>
          </w:tcPr>
          <w:p w:rsidR="00C20A1A" w:rsidP="00D92231">
            <w:r>
              <w:t>ROFR s. 3.1</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6.8</w:t>
            </w:r>
            <w:r>
              <w:rPr>
                <w:rFonts w:eastAsiaTheme="minorEastAsia"/>
              </w:rPr>
              <w:tab/>
            </w:r>
            <w:r>
              <w:t>Exempted Offerings</w:t>
            </w:r>
          </w:p>
        </w:tc>
        <w:tc>
          <w:tcPr>
            <w:tcW w:w="3690" w:type="dxa"/>
          </w:tcPr>
          <w:p w:rsidR="00C20A1A" w:rsidP="00D92231">
            <w:r>
              <w:t>ROFR s. 3.2</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6.9</w:t>
            </w:r>
            <w:r>
              <w:rPr>
                <w:rFonts w:eastAsiaTheme="minorEastAsia"/>
              </w:rPr>
              <w:tab/>
            </w:r>
            <w:r>
              <w:t>Prohibited Transferees</w:t>
            </w:r>
          </w:p>
        </w:tc>
        <w:tc>
          <w:tcPr>
            <w:tcW w:w="3690" w:type="dxa"/>
          </w:tcPr>
          <w:p w:rsidR="00C20A1A" w:rsidP="00D92231">
            <w:r>
              <w:t>ROFR s. 3.3</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6.10</w:t>
            </w:r>
            <w:r>
              <w:rPr>
                <w:rFonts w:eastAsiaTheme="minorEastAsia"/>
              </w:rPr>
              <w:tab/>
            </w:r>
            <w:r>
              <w:t>Drag-Along Right</w:t>
            </w:r>
          </w:p>
        </w:tc>
        <w:tc>
          <w:tcPr>
            <w:tcW w:w="3690" w:type="dxa"/>
          </w:tcPr>
          <w:p w:rsidR="00C20A1A" w:rsidP="00D92231">
            <w:r>
              <w:t>VA s. 3.1, s. 3.2</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6.11</w:t>
            </w:r>
            <w:r>
              <w:rPr>
                <w:rFonts w:eastAsiaTheme="minorEastAsia"/>
              </w:rPr>
              <w:tab/>
            </w:r>
            <w:r>
              <w:t>Conditions</w:t>
            </w:r>
          </w:p>
        </w:tc>
        <w:tc>
          <w:tcPr>
            <w:tcW w:w="3690" w:type="dxa"/>
          </w:tcPr>
          <w:p w:rsidR="00C20A1A" w:rsidP="00D92231">
            <w:r>
              <w:t>VA s. 3.3</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6.12</w:t>
            </w:r>
            <w:r>
              <w:rPr>
                <w:rFonts w:eastAsiaTheme="minorEastAsia"/>
              </w:rPr>
              <w:tab/>
            </w:r>
            <w:r>
              <w:t>Restrictions on Sales of Control of the Company</w:t>
            </w:r>
          </w:p>
        </w:tc>
        <w:tc>
          <w:tcPr>
            <w:tcW w:w="3690" w:type="dxa"/>
          </w:tcPr>
          <w:p w:rsidR="00C20A1A" w:rsidP="00D92231">
            <w:r>
              <w:t>VA s. 3.4</w:t>
            </w:r>
          </w:p>
        </w:tc>
      </w:tr>
      <w:tr w:rsidTr="001F1E58">
        <w:tblPrEx>
          <w:tblW w:w="9630" w:type="dxa"/>
          <w:tblLook w:val="04A0"/>
        </w:tblPrEx>
        <w:tc>
          <w:tcPr>
            <w:tcW w:w="5940" w:type="dxa"/>
          </w:tcPr>
          <w:p w:rsidR="00C20A1A" w:rsidP="007F7C1C">
            <w:pPr>
              <w:pStyle w:val="BodyText"/>
              <w:spacing w:after="0"/>
              <w:ind w:left="720" w:hanging="720"/>
              <w:jc w:val="left"/>
            </w:pPr>
            <w:r>
              <w:t>Article 7   "Bad Actor" Matters</w:t>
            </w:r>
          </w:p>
        </w:tc>
        <w:tc>
          <w:tcPr>
            <w:tcW w:w="3690" w:type="dxa"/>
          </w:tcPr>
          <w:p w:rsidR="00C20A1A" w:rsidP="00D92231">
            <w:r>
              <w:t>VA s. 5</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8.1</w:t>
            </w:r>
            <w:r>
              <w:rPr>
                <w:rFonts w:eastAsiaTheme="minorEastAsia"/>
              </w:rPr>
              <w:tab/>
            </w:r>
            <w:r>
              <w:t>Irrevocable Proxy and Power of Attorney</w:t>
            </w:r>
          </w:p>
        </w:tc>
        <w:tc>
          <w:tcPr>
            <w:tcW w:w="3690" w:type="dxa"/>
          </w:tcPr>
          <w:p w:rsidR="00C20A1A" w:rsidP="00D92231">
            <w:r>
              <w:t>VA s. 4.2</w:t>
            </w:r>
            <w:r w:rsidR="00D206B0">
              <w:t xml:space="preserve"> (modified)</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8.2</w:t>
            </w:r>
            <w:r>
              <w:rPr>
                <w:rFonts w:eastAsiaTheme="minorEastAsia"/>
              </w:rPr>
              <w:tab/>
            </w:r>
            <w:r>
              <w:t>Specific Enforcement</w:t>
            </w:r>
          </w:p>
        </w:tc>
        <w:tc>
          <w:tcPr>
            <w:tcW w:w="3690" w:type="dxa"/>
          </w:tcPr>
          <w:p w:rsidR="00C20A1A" w:rsidP="00D92231">
            <w:r>
              <w:t>VA s. 4.3, ROFR s. 6.17</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8.3</w:t>
            </w:r>
            <w:r>
              <w:rPr>
                <w:rFonts w:eastAsiaTheme="minorEastAsia"/>
              </w:rPr>
              <w:tab/>
            </w:r>
            <w:r>
              <w:t>Remedies Cumulative</w:t>
            </w:r>
          </w:p>
        </w:tc>
        <w:tc>
          <w:tcPr>
            <w:tcW w:w="3690" w:type="dxa"/>
          </w:tcPr>
          <w:p w:rsidR="00C20A1A" w:rsidP="00D92231">
            <w:r>
              <w:t>VA s. 4.4</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8.4</w:t>
            </w:r>
            <w:r>
              <w:rPr>
                <w:rFonts w:eastAsiaTheme="minorEastAsia"/>
              </w:rPr>
              <w:tab/>
            </w:r>
            <w:r>
              <w:t>Term</w:t>
            </w:r>
          </w:p>
        </w:tc>
        <w:tc>
          <w:tcPr>
            <w:tcW w:w="3690" w:type="dxa"/>
          </w:tcPr>
          <w:p w:rsidR="00C20A1A" w:rsidP="00D92231">
            <w:r>
              <w:t>VA s. 6</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8.5</w:t>
            </w:r>
            <w:r>
              <w:rPr>
                <w:rFonts w:eastAsiaTheme="minorEastAsia"/>
              </w:rPr>
              <w:tab/>
            </w:r>
            <w:r>
              <w:t>Successors and Assigns</w:t>
            </w:r>
          </w:p>
        </w:tc>
        <w:tc>
          <w:tcPr>
            <w:tcW w:w="3690" w:type="dxa"/>
          </w:tcPr>
          <w:p w:rsidR="00C20A1A" w:rsidP="00D92231">
            <w:r>
              <w:t>IRA s. 6.1 (modified)</w:t>
            </w:r>
            <w:r w:rsidR="001F1E58">
              <w:t>, ROFR s. 6.10</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8.6</w:t>
            </w:r>
            <w:r>
              <w:rPr>
                <w:rFonts w:eastAsiaTheme="minorEastAsia"/>
              </w:rPr>
              <w:tab/>
            </w:r>
            <w:r>
              <w:t>Governing Law</w:t>
            </w:r>
          </w:p>
        </w:tc>
        <w:tc>
          <w:tcPr>
            <w:tcW w:w="3690" w:type="dxa"/>
          </w:tcPr>
          <w:p w:rsidR="00C20A1A" w:rsidP="008D486F">
            <w:r>
              <w:t>VA s. 7.</w:t>
            </w:r>
            <w:r w:rsidR="008D486F">
              <w:t>4</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8.7</w:t>
            </w:r>
            <w:r>
              <w:rPr>
                <w:rFonts w:eastAsiaTheme="minorEastAsia"/>
              </w:rPr>
              <w:tab/>
            </w:r>
            <w:r>
              <w:t>Counterparts</w:t>
            </w:r>
          </w:p>
        </w:tc>
        <w:tc>
          <w:tcPr>
            <w:tcW w:w="3690" w:type="dxa"/>
          </w:tcPr>
          <w:p w:rsidR="00C20A1A" w:rsidP="008D486F">
            <w:r>
              <w:t>VA s. 7.</w:t>
            </w:r>
            <w:r w:rsidR="008D486F">
              <w:t>5</w:t>
            </w:r>
            <w:r>
              <w:t>, ROFR s. 6.15</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8.8</w:t>
            </w:r>
            <w:r>
              <w:rPr>
                <w:rFonts w:eastAsiaTheme="minorEastAsia"/>
              </w:rPr>
              <w:tab/>
            </w:r>
            <w:r>
              <w:t>Notices</w:t>
            </w:r>
          </w:p>
        </w:tc>
        <w:tc>
          <w:tcPr>
            <w:tcW w:w="3690" w:type="dxa"/>
          </w:tcPr>
          <w:p w:rsidR="00C20A1A" w:rsidP="008D486F">
            <w:r>
              <w:t>VA s. 7.</w:t>
            </w:r>
            <w:r w:rsidR="008D486F">
              <w:t>7</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8.9</w:t>
            </w:r>
            <w:r>
              <w:rPr>
                <w:rFonts w:eastAsiaTheme="minorEastAsia"/>
              </w:rPr>
              <w:tab/>
            </w:r>
            <w:r>
              <w:t>Consent Required to Amend, Terminate or Waive</w:t>
            </w:r>
          </w:p>
        </w:tc>
        <w:tc>
          <w:tcPr>
            <w:tcW w:w="3690" w:type="dxa"/>
          </w:tcPr>
          <w:p w:rsidR="00C20A1A" w:rsidP="008D486F">
            <w:r>
              <w:t>VA s. 7.</w:t>
            </w:r>
            <w:r w:rsidR="008D486F">
              <w:t>8</w:t>
            </w:r>
            <w:r>
              <w:t>, IRA s. 6.6 (in part)</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8.10</w:t>
            </w:r>
            <w:r>
              <w:rPr>
                <w:rFonts w:eastAsiaTheme="minorEastAsia"/>
              </w:rPr>
              <w:tab/>
            </w:r>
            <w:r>
              <w:t>Delays or Omissions</w:t>
            </w:r>
          </w:p>
        </w:tc>
        <w:tc>
          <w:tcPr>
            <w:tcW w:w="3690" w:type="dxa"/>
          </w:tcPr>
          <w:p w:rsidR="00C20A1A" w:rsidP="008D486F">
            <w:r>
              <w:t>VA s. 7.</w:t>
            </w:r>
            <w:r w:rsidR="008D486F">
              <w:t>9</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8.11</w:t>
            </w:r>
            <w:r>
              <w:rPr>
                <w:rFonts w:eastAsiaTheme="minorEastAsia"/>
              </w:rPr>
              <w:tab/>
            </w:r>
            <w:r>
              <w:t>Severability</w:t>
            </w:r>
          </w:p>
        </w:tc>
        <w:tc>
          <w:tcPr>
            <w:tcW w:w="3690" w:type="dxa"/>
          </w:tcPr>
          <w:p w:rsidR="00C20A1A" w:rsidP="008D486F">
            <w:r>
              <w:t>VA s. 7.</w:t>
            </w:r>
            <w:r w:rsidR="008D486F">
              <w:t>10</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8.12</w:t>
            </w:r>
            <w:r>
              <w:rPr>
                <w:rFonts w:eastAsiaTheme="minorEastAsia"/>
              </w:rPr>
              <w:tab/>
            </w:r>
            <w:r>
              <w:t>Share Splits, Share Dividends, and Recapitalizations</w:t>
            </w:r>
          </w:p>
        </w:tc>
        <w:tc>
          <w:tcPr>
            <w:tcW w:w="3690" w:type="dxa"/>
          </w:tcPr>
          <w:p w:rsidR="00C20A1A" w:rsidP="008D486F">
            <w:r>
              <w:t>VA s. 7.1</w:t>
            </w:r>
            <w:r w:rsidR="008D486F">
              <w:t>3</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8.13</w:t>
            </w:r>
            <w:r>
              <w:rPr>
                <w:rFonts w:eastAsiaTheme="minorEastAsia"/>
              </w:rPr>
              <w:tab/>
            </w:r>
            <w:r>
              <w:t>Manner of Voting</w:t>
            </w:r>
          </w:p>
        </w:tc>
        <w:tc>
          <w:tcPr>
            <w:tcW w:w="3690" w:type="dxa"/>
          </w:tcPr>
          <w:p w:rsidR="00C20A1A" w:rsidP="008D486F">
            <w:r>
              <w:t>VA s. 7.1</w:t>
            </w:r>
            <w:r w:rsidR="008D486F">
              <w:t>4</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8.14</w:t>
            </w:r>
            <w:r>
              <w:rPr>
                <w:rFonts w:eastAsiaTheme="minorEastAsia"/>
              </w:rPr>
              <w:tab/>
            </w:r>
            <w:r>
              <w:t>Further Assurances</w:t>
            </w:r>
          </w:p>
        </w:tc>
        <w:tc>
          <w:tcPr>
            <w:tcW w:w="3690" w:type="dxa"/>
          </w:tcPr>
          <w:p w:rsidR="00C20A1A" w:rsidP="008D486F">
            <w:r>
              <w:t>VA s. 7.1</w:t>
            </w:r>
            <w:r w:rsidR="008D486F">
              <w:t>5</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8.15</w:t>
            </w:r>
            <w:r>
              <w:rPr>
                <w:rFonts w:eastAsiaTheme="minorEastAsia"/>
              </w:rPr>
              <w:tab/>
            </w:r>
            <w:r>
              <w:t>Dispute Resolution</w:t>
            </w:r>
          </w:p>
        </w:tc>
        <w:tc>
          <w:tcPr>
            <w:tcW w:w="3690" w:type="dxa"/>
          </w:tcPr>
          <w:p w:rsidR="00C20A1A" w:rsidP="008D486F">
            <w:r>
              <w:t>VA s. 7.1</w:t>
            </w:r>
            <w:r w:rsidR="008D486F">
              <w:t>6</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8.16</w:t>
            </w:r>
            <w:r>
              <w:rPr>
                <w:rFonts w:eastAsiaTheme="minorEastAsia"/>
              </w:rPr>
              <w:tab/>
            </w:r>
            <w:r>
              <w:t>Costs of Enforcement</w:t>
            </w:r>
          </w:p>
        </w:tc>
        <w:tc>
          <w:tcPr>
            <w:tcW w:w="3690" w:type="dxa"/>
          </w:tcPr>
          <w:p w:rsidR="00C20A1A" w:rsidP="008D486F">
            <w:r>
              <w:t>VA s. 7.1</w:t>
            </w:r>
            <w:r w:rsidR="008D486F">
              <w:t>7</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8.17</w:t>
            </w:r>
            <w:r>
              <w:rPr>
                <w:rFonts w:eastAsiaTheme="minorEastAsia"/>
              </w:rPr>
              <w:tab/>
            </w:r>
            <w:r>
              <w:t>Aggregation of Shares</w:t>
            </w:r>
          </w:p>
        </w:tc>
        <w:tc>
          <w:tcPr>
            <w:tcW w:w="3690" w:type="dxa"/>
          </w:tcPr>
          <w:p w:rsidR="00C20A1A" w:rsidP="008D486F">
            <w:r>
              <w:t>VA s. 7.1</w:t>
            </w:r>
            <w:r w:rsidR="008D486F">
              <w:t>8</w:t>
            </w:r>
            <w:r>
              <w:t>, IRA s. 6.8</w:t>
            </w:r>
          </w:p>
        </w:tc>
      </w:tr>
      <w:tr w:rsidTr="001F1E58">
        <w:tblPrEx>
          <w:tblW w:w="9630" w:type="dxa"/>
          <w:tblLook w:val="04A0"/>
        </w:tblPrEx>
        <w:tc>
          <w:tcPr>
            <w:tcW w:w="5940" w:type="dxa"/>
          </w:tcPr>
          <w:p w:rsidR="00C20A1A" w:rsidP="008D486F">
            <w:pPr>
              <w:pStyle w:val="BodyText"/>
              <w:spacing w:before="120" w:after="0"/>
              <w:ind w:left="720" w:hanging="720"/>
              <w:jc w:val="left"/>
              <w:rPr>
                <w:rFonts w:eastAsiaTheme="minorEastAsia"/>
              </w:rPr>
            </w:pPr>
            <w:r>
              <w:t>Schedule A Investors</w:t>
            </w:r>
          </w:p>
        </w:tc>
        <w:tc>
          <w:tcPr>
            <w:tcW w:w="3690" w:type="dxa"/>
          </w:tcPr>
          <w:p w:rsidR="00C20A1A" w:rsidP="008D486F">
            <w:pPr>
              <w:spacing w:before="120"/>
            </w:pPr>
            <w:r>
              <w:t>VA, IRA</w:t>
            </w:r>
          </w:p>
        </w:tc>
      </w:tr>
      <w:tr w:rsidTr="001F1E58">
        <w:tblPrEx>
          <w:tblW w:w="9630" w:type="dxa"/>
          <w:tblLook w:val="04A0"/>
        </w:tblPrEx>
        <w:tc>
          <w:tcPr>
            <w:tcW w:w="5940" w:type="dxa"/>
          </w:tcPr>
          <w:p w:rsidR="00C20A1A" w:rsidP="00335DFD">
            <w:pPr>
              <w:pStyle w:val="BodyText"/>
              <w:spacing w:after="0"/>
              <w:ind w:left="720" w:hanging="720"/>
              <w:jc w:val="left"/>
              <w:rPr>
                <w:rFonts w:eastAsiaTheme="minorEastAsia"/>
              </w:rPr>
            </w:pPr>
            <w:r>
              <w:t>Schedule B Shareholders/Key Holders</w:t>
            </w:r>
          </w:p>
        </w:tc>
        <w:tc>
          <w:tcPr>
            <w:tcW w:w="3690" w:type="dxa"/>
          </w:tcPr>
          <w:p w:rsidR="00C20A1A" w:rsidP="00D92231">
            <w:r>
              <w:t>VA, IRA</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Schedule C Adoption Agreement</w:t>
            </w:r>
          </w:p>
        </w:tc>
        <w:tc>
          <w:tcPr>
            <w:tcW w:w="3690" w:type="dxa"/>
          </w:tcPr>
          <w:p w:rsidR="00C20A1A" w:rsidP="00D92231">
            <w:r>
              <w:t>VA</w:t>
            </w:r>
          </w:p>
        </w:tc>
      </w:tr>
      <w:tr w:rsidTr="001F1E58">
        <w:tblPrEx>
          <w:tblW w:w="9630" w:type="dxa"/>
          <w:tblLook w:val="04A0"/>
        </w:tblPrEx>
        <w:tc>
          <w:tcPr>
            <w:tcW w:w="5940" w:type="dxa"/>
          </w:tcPr>
          <w:p w:rsidR="00C20A1A" w:rsidP="007F7C1C">
            <w:pPr>
              <w:pStyle w:val="BodyText"/>
              <w:spacing w:after="0"/>
              <w:ind w:left="720" w:hanging="720"/>
              <w:jc w:val="left"/>
              <w:rPr>
                <w:rFonts w:eastAsiaTheme="minorEastAsia"/>
              </w:rPr>
            </w:pPr>
            <w:r>
              <w:t>Schedule D Registration Rights</w:t>
            </w:r>
          </w:p>
        </w:tc>
        <w:tc>
          <w:tcPr>
            <w:tcW w:w="3690" w:type="dxa"/>
          </w:tcPr>
          <w:p w:rsidR="00C20A1A" w:rsidP="00B9044F">
            <w:r>
              <w:t>IRA s. 2</w:t>
            </w:r>
            <w:r w:rsidR="008D486F">
              <w:t xml:space="preserve"> (modified for Canadian Securities Laws)</w:t>
            </w:r>
          </w:p>
        </w:tc>
      </w:tr>
    </w:tbl>
    <w:p w:rsidR="00C20A1A">
      <w:pPr>
        <w:pStyle w:val="BodyText"/>
      </w:pPr>
    </w:p>
    <w:p w:rsidR="00C20A1A">
      <w:pPr>
        <w:pStyle w:val="BodyText"/>
        <w:sectPr w:rsidSect="00475142">
          <w:pgSz w:w="12240" w:h="15840"/>
          <w:pgMar w:top="1440" w:right="1440" w:bottom="1440" w:left="1440" w:header="720" w:footer="432" w:gutter="0"/>
          <w:cols w:space="720"/>
          <w:titlePg/>
          <w:docGrid w:linePitch="360"/>
        </w:sectPr>
      </w:pPr>
    </w:p>
    <w:p w:rsidR="00C20A1A" w:rsidP="00BC361D">
      <w:pPr>
        <w:pStyle w:val="Heading1"/>
      </w:pPr>
      <w:r>
        <w:t>TABLE OF CONTENTS</w:t>
      </w:r>
    </w:p>
    <w:p w:rsidR="00C20A1A" w:rsidP="00BC361D">
      <w:pPr>
        <w:pStyle w:val="BodyTextItalics"/>
      </w:pPr>
      <w:r>
        <w:t xml:space="preserve">Note to Drafter: Section headings have been formatted to automatically populate the Table of Contents. However, when editing this document for your own use, the page numbers may change. In order to reflect the correct page numbers in the Table of Contents, you must "update page numbers" to the Table of Contents by </w:t>
      </w:r>
      <w:bookmarkStart w:id="1" w:name="DocXTextRef1"/>
      <w:r>
        <w:t>(1)</w:t>
      </w:r>
      <w:bookmarkEnd w:id="1"/>
      <w:r>
        <w:t xml:space="preserve"> right-clicking anywhere in the Table of Contents, and </w:t>
      </w:r>
      <w:bookmarkStart w:id="2" w:name="DocXTextRef2"/>
      <w:r>
        <w:t>(2)</w:t>
      </w:r>
      <w:bookmarkEnd w:id="2"/>
      <w:r>
        <w:t xml:space="preserve"> choose "update field," then "update page numbers only." If you add or delete section headings, follow step </w:t>
      </w:r>
      <w:bookmarkStart w:id="3" w:name="DocXTextRef3"/>
      <w:r>
        <w:t>(1)</w:t>
      </w:r>
      <w:bookmarkEnd w:id="3"/>
      <w:r>
        <w:t xml:space="preserve"> and </w:t>
      </w:r>
      <w:bookmarkStart w:id="4" w:name="DocXTextRef4"/>
      <w:r>
        <w:t>(2)</w:t>
      </w:r>
      <w:bookmarkEnd w:id="4"/>
      <w:r>
        <w:t xml:space="preserve"> above and choose "update entire table."</w:t>
      </w:r>
    </w:p>
    <w:p w:rsidR="00C20A1A">
      <w:pPr>
        <w:pStyle w:val="BodyText"/>
        <w:jc w:val="right"/>
        <w:rPr>
          <w:b/>
          <w:bCs/>
          <w:u w:val="single"/>
        </w:rPr>
      </w:pPr>
      <w:r>
        <w:rPr>
          <w:b/>
          <w:bCs/>
          <w:u w:val="single"/>
        </w:rPr>
        <w:t>Page</w:t>
      </w:r>
    </w:p>
    <w:p w:rsidR="00B22DAD">
      <w:pPr>
        <w:pStyle w:val="TOC1"/>
        <w:rPr>
          <w:rFonts w:asciiTheme="minorHAnsi" w:eastAsiaTheme="minorEastAsia" w:hAnsiTheme="minorHAnsi" w:cstheme="minorBidi"/>
          <w:b w:val="0"/>
          <w:noProof/>
          <w:sz w:val="22"/>
          <w:szCs w:val="22"/>
        </w:rPr>
      </w:pPr>
      <w:r>
        <w:fldChar w:fldCharType="begin"/>
      </w:r>
      <w:r>
        <w:instrText xml:space="preserve"> TOC \h \z \t "ArticleBJ_L1,1,ArticleBJ_L2,2" </w:instrText>
      </w:r>
      <w:r>
        <w:fldChar w:fldCharType="separate"/>
      </w:r>
      <w:r>
        <w:fldChar w:fldCharType="begin"/>
      </w:r>
      <w:r>
        <w:instrText xml:space="preserve"> HYPERLINK \l "_Toc56159004" </w:instrText>
      </w:r>
      <w:r>
        <w:fldChar w:fldCharType="separate"/>
      </w:r>
      <w:r w:rsidRPr="00B9239C">
        <w:rPr>
          <w:rStyle w:val="Hyperlink"/>
          <w:noProof/>
        </w:rPr>
        <w:t>Article 1 Interpretation</w:t>
      </w:r>
      <w:r>
        <w:rPr>
          <w:noProof/>
          <w:webHidden/>
        </w:rPr>
        <w:tab/>
      </w:r>
      <w:r>
        <w:rPr>
          <w:noProof/>
          <w:webHidden/>
        </w:rPr>
        <w:fldChar w:fldCharType="begin"/>
      </w:r>
      <w:r>
        <w:rPr>
          <w:noProof/>
          <w:webHidden/>
        </w:rPr>
        <w:instrText xml:space="preserve"> PAGEREF _Toc56159004 \h </w:instrText>
      </w:r>
      <w:r>
        <w:rPr>
          <w:noProof/>
          <w:webHidden/>
        </w:rPr>
        <w:fldChar w:fldCharType="separate"/>
      </w:r>
      <w:r w:rsidR="00230E5B">
        <w:rPr>
          <w:noProof/>
          <w:webHidden/>
        </w:rPr>
        <w:t>1</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"_Toc56159005" </w:instrText>
      </w:r>
      <w:r>
        <w:fldChar w:fldCharType="separate"/>
      </w:r>
      <w:r w:rsidRPr="00B9239C">
        <w:rPr>
          <w:rStyle w:val="Hyperlink"/>
          <w:noProof/>
        </w:rPr>
        <w:t>1.1</w:t>
      </w:r>
      <w:r>
        <w:rPr>
          <w:rFonts w:asciiTheme="minorHAnsi" w:eastAsiaTheme="minorEastAsia" w:hAnsiTheme="minorHAnsi"/>
          <w:noProof/>
          <w:sz w:val="22"/>
          <w:szCs w:val="22"/>
        </w:rPr>
        <w:tab/>
      </w:r>
      <w:r w:rsidRPr="00B9239C">
        <w:rPr>
          <w:rStyle w:val="Hyperlink"/>
          <w:noProof/>
        </w:rPr>
        <w:t>Definitions</w:t>
      </w:r>
      <w:r>
        <w:rPr>
          <w:noProof/>
          <w:webHidden/>
        </w:rPr>
        <w:tab/>
      </w:r>
      <w:r>
        <w:rPr>
          <w:noProof/>
          <w:webHidden/>
        </w:rPr>
        <w:fldChar w:fldCharType="begin"/>
      </w:r>
      <w:r>
        <w:rPr>
          <w:noProof/>
          <w:webHidden/>
        </w:rPr>
        <w:instrText xml:space="preserve"> PAGEREF _Toc56159005 \h </w:instrText>
      </w:r>
      <w:r>
        <w:rPr>
          <w:noProof/>
          <w:webHidden/>
        </w:rPr>
        <w:fldChar w:fldCharType="separate"/>
      </w:r>
      <w:r w:rsidR="00230E5B">
        <w:rPr>
          <w:noProof/>
          <w:webHidden/>
        </w:rPr>
        <w:t>1</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"_Toc56159006" </w:instrText>
      </w:r>
      <w:r>
        <w:fldChar w:fldCharType="separate"/>
      </w:r>
      <w:r w:rsidRPr="00B9239C">
        <w:rPr>
          <w:rStyle w:val="Hyperlink"/>
          <w:noProof/>
        </w:rPr>
        <w:t>1.2</w:t>
      </w:r>
      <w:r>
        <w:rPr>
          <w:rFonts w:asciiTheme="minorHAnsi" w:eastAsiaTheme="minorEastAsia" w:hAnsiTheme="minorHAnsi"/>
          <w:noProof/>
          <w:sz w:val="22"/>
          <w:szCs w:val="22"/>
        </w:rPr>
        <w:tab/>
      </w:r>
      <w:r w:rsidRPr="00B9239C">
        <w:rPr>
          <w:rStyle w:val="Hyperlink"/>
          <w:noProof/>
        </w:rPr>
        <w:t>[Certain Rules of Interpretation</w:t>
      </w:r>
      <w:r>
        <w:rPr>
          <w:noProof/>
          <w:webHidden/>
        </w:rPr>
        <w:tab/>
      </w:r>
      <w:r>
        <w:rPr>
          <w:noProof/>
          <w:webHidden/>
        </w:rPr>
        <w:fldChar w:fldCharType="begin"/>
      </w:r>
      <w:r>
        <w:rPr>
          <w:noProof/>
          <w:webHidden/>
        </w:rPr>
        <w:instrText xml:space="preserve"> PAGEREF _Toc56159006 \h </w:instrText>
      </w:r>
      <w:r>
        <w:rPr>
          <w:noProof/>
          <w:webHidden/>
        </w:rPr>
        <w:fldChar w:fldCharType="separate"/>
      </w:r>
      <w:r w:rsidR="00230E5B">
        <w:rPr>
          <w:noProof/>
          <w:webHidden/>
        </w:rPr>
        <w:t>6</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"_Toc56159007" </w:instrText>
      </w:r>
      <w:r>
        <w:fldChar w:fldCharType="separate"/>
      </w:r>
      <w:r w:rsidRPr="00B9239C">
        <w:rPr>
          <w:rStyle w:val="Hyperlink"/>
          <w:noProof/>
        </w:rPr>
        <w:t>1.3</w:t>
      </w:r>
      <w:r>
        <w:rPr>
          <w:rFonts w:asciiTheme="minorHAnsi" w:eastAsiaTheme="minorEastAsia" w:hAnsiTheme="minorHAnsi"/>
          <w:noProof/>
          <w:sz w:val="22"/>
          <w:szCs w:val="22"/>
        </w:rPr>
        <w:tab/>
      </w:r>
      <w:r w:rsidRPr="00B9239C">
        <w:rPr>
          <w:rStyle w:val="Hyperlink"/>
          <w:noProof/>
        </w:rPr>
        <w:t>Entire Agreement / Amendment/Revocation of any Prior Shareholder Agreement</w:t>
      </w:r>
      <w:r>
        <w:rPr>
          <w:noProof/>
          <w:webHidden/>
        </w:rPr>
        <w:tab/>
      </w:r>
      <w:r>
        <w:rPr>
          <w:noProof/>
          <w:webHidden/>
        </w:rPr>
        <w:fldChar w:fldCharType="begin"/>
      </w:r>
      <w:r>
        <w:rPr>
          <w:noProof/>
          <w:webHidden/>
        </w:rPr>
        <w:instrText xml:space="preserve"> PAGEREF _Toc56159007 \h </w:instrText>
      </w:r>
      <w:r>
        <w:rPr>
          <w:noProof/>
          <w:webHidden/>
        </w:rPr>
        <w:fldChar w:fldCharType="separate"/>
      </w:r>
      <w:r w:rsidR="00230E5B">
        <w:rPr>
          <w:noProof/>
          <w:webHidden/>
        </w:rPr>
        <w:t>7</w:t>
      </w:r>
      <w:r>
        <w:rPr>
          <w:noProof/>
          <w:webHidden/>
        </w:rPr>
        <w:fldChar w:fldCharType="end"/>
      </w:r>
      <w:r>
        <w:fldChar w:fldCharType="end"/>
      </w:r>
    </w:p>
    <w:p w:rsidR="00B22DAD">
      <w:pPr>
        <w:pStyle w:val="TOC1"/>
        <w:rPr>
          <w:rFonts w:asciiTheme="minorHAnsi" w:eastAsiaTheme="minorEastAsia" w:hAnsiTheme="minorHAnsi" w:cstheme="minorBidi"/>
          <w:b w:val="0"/>
          <w:noProof/>
          <w:sz w:val="22"/>
          <w:szCs w:val="22"/>
        </w:rPr>
      </w:pPr>
      <w:r>
        <w:fldChar w:fldCharType="begin"/>
      </w:r>
      <w:r>
        <w:instrText xml:space="preserve"> HYPERLINK \l "_Toc56159008" </w:instrText>
      </w:r>
      <w:r>
        <w:fldChar w:fldCharType="separate"/>
      </w:r>
      <w:r w:rsidRPr="00B9239C">
        <w:rPr>
          <w:rStyle w:val="Hyperlink"/>
          <w:noProof/>
        </w:rPr>
        <w:t>Article 2 Compliance with Agreement</w:t>
      </w:r>
      <w:r>
        <w:rPr>
          <w:noProof/>
          <w:webHidden/>
        </w:rPr>
        <w:tab/>
      </w:r>
      <w:r>
        <w:rPr>
          <w:noProof/>
          <w:webHidden/>
        </w:rPr>
        <w:fldChar w:fldCharType="begin"/>
      </w:r>
      <w:r>
        <w:rPr>
          <w:noProof/>
          <w:webHidden/>
        </w:rPr>
        <w:instrText xml:space="preserve"> PAGEREF _Toc56159008 \h </w:instrText>
      </w:r>
      <w:r>
        <w:rPr>
          <w:noProof/>
          <w:webHidden/>
        </w:rPr>
        <w:fldChar w:fldCharType="separate"/>
      </w:r>
      <w:r w:rsidR="00230E5B">
        <w:rPr>
          <w:noProof/>
          <w:webHidden/>
        </w:rPr>
        <w:t>7</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"_Toc56159009" </w:instrText>
      </w:r>
      <w:r>
        <w:fldChar w:fldCharType="separate"/>
      </w:r>
      <w:r w:rsidRPr="00B9239C">
        <w:rPr>
          <w:rStyle w:val="Hyperlink"/>
          <w:noProof/>
        </w:rPr>
        <w:t>2.1</w:t>
      </w:r>
      <w:r>
        <w:rPr>
          <w:rFonts w:asciiTheme="minorHAnsi" w:eastAsiaTheme="minorEastAsia" w:hAnsiTheme="minorHAnsi"/>
          <w:noProof/>
          <w:sz w:val="22"/>
          <w:szCs w:val="22"/>
        </w:rPr>
        <w:tab/>
      </w:r>
      <w:r w:rsidRPr="00B9239C">
        <w:rPr>
          <w:rStyle w:val="Hyperlink"/>
          <w:noProof/>
        </w:rPr>
        <w:t>[Unanimous Shareholder Agreement</w:t>
      </w:r>
      <w:r>
        <w:rPr>
          <w:noProof/>
          <w:webHidden/>
        </w:rPr>
        <w:tab/>
      </w:r>
      <w:r>
        <w:rPr>
          <w:noProof/>
          <w:webHidden/>
        </w:rPr>
        <w:fldChar w:fldCharType="begin"/>
      </w:r>
      <w:r>
        <w:rPr>
          <w:noProof/>
          <w:webHidden/>
        </w:rPr>
        <w:instrText xml:space="preserve"> PAGEREF _Toc56159009 \h </w:instrText>
      </w:r>
      <w:r>
        <w:rPr>
          <w:noProof/>
          <w:webHidden/>
        </w:rPr>
        <w:fldChar w:fldCharType="separate"/>
      </w:r>
      <w:r w:rsidR="00230E5B">
        <w:rPr>
          <w:noProof/>
          <w:webHidden/>
        </w:rPr>
        <w:t>7</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"_Toc56159010" </w:instrText>
      </w:r>
      <w:r>
        <w:fldChar w:fldCharType="separate"/>
      </w:r>
      <w:r w:rsidRPr="00B9239C">
        <w:rPr>
          <w:rStyle w:val="Hyperlink"/>
          <w:noProof/>
        </w:rPr>
        <w:t>2.2</w:t>
      </w:r>
      <w:r>
        <w:rPr>
          <w:rFonts w:asciiTheme="minorHAnsi" w:eastAsiaTheme="minorEastAsia" w:hAnsiTheme="minorHAnsi"/>
          <w:noProof/>
          <w:sz w:val="22"/>
          <w:szCs w:val="22"/>
        </w:rPr>
        <w:tab/>
      </w:r>
      <w:r w:rsidRPr="00B9239C">
        <w:rPr>
          <w:rStyle w:val="Hyperlink"/>
          <w:noProof/>
        </w:rPr>
        <w:t>Compliance by Company and Shareholders</w:t>
      </w:r>
      <w:r>
        <w:rPr>
          <w:noProof/>
          <w:webHidden/>
        </w:rPr>
        <w:tab/>
      </w:r>
      <w:r>
        <w:rPr>
          <w:noProof/>
          <w:webHidden/>
        </w:rPr>
        <w:fldChar w:fldCharType="begin"/>
      </w:r>
      <w:r>
        <w:rPr>
          <w:noProof/>
          <w:webHidden/>
        </w:rPr>
        <w:instrText xml:space="preserve"> PAGEREF _Toc56159010 \h </w:instrText>
      </w:r>
      <w:r>
        <w:rPr>
          <w:noProof/>
          <w:webHidden/>
        </w:rPr>
        <w:fldChar w:fldCharType="separate"/>
      </w:r>
      <w:r w:rsidR="00230E5B">
        <w:rPr>
          <w:noProof/>
          <w:webHidden/>
        </w:rPr>
        <w:t>8</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"_Toc56159011" </w:instrText>
      </w:r>
      <w:r>
        <w:fldChar w:fldCharType="separate"/>
      </w:r>
      <w:r w:rsidRPr="00B9239C">
        <w:rPr>
          <w:rStyle w:val="Hyperlink"/>
          <w:noProof/>
        </w:rPr>
        <w:t>2.3</w:t>
      </w:r>
      <w:r>
        <w:rPr>
          <w:rFonts w:asciiTheme="minorHAnsi" w:eastAsiaTheme="minorEastAsia" w:hAnsiTheme="minorHAnsi"/>
          <w:noProof/>
          <w:sz w:val="22"/>
          <w:szCs w:val="22"/>
        </w:rPr>
        <w:tab/>
      </w:r>
      <w:r w:rsidRPr="00B9239C">
        <w:rPr>
          <w:rStyle w:val="Hyperlink"/>
          <w:noProof/>
        </w:rPr>
        <w:t>[Deemed Consent to Transfer</w:t>
      </w:r>
      <w:r>
        <w:rPr>
          <w:noProof/>
          <w:webHidden/>
        </w:rPr>
        <w:tab/>
      </w:r>
      <w:r>
        <w:rPr>
          <w:noProof/>
          <w:webHidden/>
        </w:rPr>
        <w:fldChar w:fldCharType="begin"/>
      </w:r>
      <w:r>
        <w:rPr>
          <w:noProof/>
          <w:webHidden/>
        </w:rPr>
        <w:instrText xml:space="preserve"> PAGEREF _Toc56159011 \h </w:instrText>
      </w:r>
      <w:r>
        <w:rPr>
          <w:noProof/>
          <w:webHidden/>
        </w:rPr>
        <w:fldChar w:fldCharType="separate"/>
      </w:r>
      <w:r w:rsidR="00230E5B">
        <w:rPr>
          <w:noProof/>
          <w:webHidden/>
        </w:rPr>
        <w:t>8</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"_Toc56159012" </w:instrText>
      </w:r>
      <w:r>
        <w:fldChar w:fldCharType="separate"/>
      </w:r>
      <w:r w:rsidRPr="00B9239C">
        <w:rPr>
          <w:rStyle w:val="Hyperlink"/>
          <w:noProof/>
        </w:rPr>
        <w:t>2.4</w:t>
      </w:r>
      <w:r>
        <w:rPr>
          <w:rFonts w:asciiTheme="minorHAnsi" w:eastAsiaTheme="minorEastAsia" w:hAnsiTheme="minorHAnsi"/>
          <w:noProof/>
          <w:sz w:val="22"/>
          <w:szCs w:val="22"/>
        </w:rPr>
        <w:tab/>
      </w:r>
      <w:r w:rsidRPr="00B9239C">
        <w:rPr>
          <w:rStyle w:val="Hyperlink"/>
          <w:noProof/>
        </w:rPr>
        <w:t>Vote to Increase Authorized Common Shares</w:t>
      </w:r>
      <w:r>
        <w:rPr>
          <w:noProof/>
          <w:webHidden/>
        </w:rPr>
        <w:tab/>
      </w:r>
      <w:r>
        <w:rPr>
          <w:noProof/>
          <w:webHidden/>
        </w:rPr>
        <w:fldChar w:fldCharType="begin"/>
      </w:r>
      <w:r>
        <w:rPr>
          <w:noProof/>
          <w:webHidden/>
        </w:rPr>
        <w:instrText xml:space="preserve"> PAGEREF _Toc56159012 \h </w:instrText>
      </w:r>
      <w:r>
        <w:rPr>
          <w:noProof/>
          <w:webHidden/>
        </w:rPr>
        <w:fldChar w:fldCharType="separate"/>
      </w:r>
      <w:r w:rsidR="00230E5B">
        <w:rPr>
          <w:noProof/>
          <w:webHidden/>
        </w:rPr>
        <w:t>8</w:t>
      </w:r>
      <w:r>
        <w:rPr>
          <w:noProof/>
          <w:webHidden/>
        </w:rPr>
        <w:fldChar w:fldCharType="end"/>
      </w:r>
      <w:r>
        <w:fldChar w:fldCharType="end"/>
      </w:r>
    </w:p>
    <w:p w:rsidR="00B22DAD">
      <w:pPr>
        <w:pStyle w:val="TOC1"/>
        <w:rPr>
          <w:rFonts w:asciiTheme="minorHAnsi" w:eastAsiaTheme="minorEastAsia" w:hAnsiTheme="minorHAnsi" w:cstheme="minorBidi"/>
          <w:b w:val="0"/>
          <w:noProof/>
          <w:sz w:val="22"/>
          <w:szCs w:val="22"/>
        </w:rPr>
      </w:pPr>
      <w:r>
        <w:fldChar w:fldCharType="begin"/>
      </w:r>
      <w:r>
        <w:instrText xml:space="preserve"> HYPERLINK \l "_Toc56159013" </w:instrText>
      </w:r>
      <w:r>
        <w:fldChar w:fldCharType="separate"/>
      </w:r>
      <w:r w:rsidRPr="00B9239C">
        <w:rPr>
          <w:rStyle w:val="Hyperlink"/>
          <w:noProof/>
        </w:rPr>
        <w:t>Article 3 Voting Provisions Regarding Board of Directors</w:t>
      </w:r>
      <w:r>
        <w:rPr>
          <w:noProof/>
          <w:webHidden/>
        </w:rPr>
        <w:tab/>
      </w:r>
      <w:r>
        <w:rPr>
          <w:noProof/>
          <w:webHidden/>
        </w:rPr>
        <w:fldChar w:fldCharType="begin"/>
      </w:r>
      <w:r>
        <w:rPr>
          <w:noProof/>
          <w:webHidden/>
        </w:rPr>
        <w:instrText xml:space="preserve"> PAGEREF _Toc56159013 \h </w:instrText>
      </w:r>
      <w:r>
        <w:rPr>
          <w:noProof/>
          <w:webHidden/>
        </w:rPr>
        <w:fldChar w:fldCharType="separate"/>
      </w:r>
      <w:r w:rsidR="00230E5B">
        <w:rPr>
          <w:noProof/>
          <w:webHidden/>
        </w:rPr>
        <w:t>9</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"_Toc56159014" </w:instrText>
      </w:r>
      <w:r>
        <w:fldChar w:fldCharType="separate"/>
      </w:r>
      <w:r w:rsidRPr="00B9239C">
        <w:rPr>
          <w:rStyle w:val="Hyperlink"/>
          <w:noProof/>
        </w:rPr>
        <w:t>3.1</w:t>
      </w:r>
      <w:r>
        <w:rPr>
          <w:rFonts w:asciiTheme="minorHAnsi" w:eastAsiaTheme="minorEastAsia" w:hAnsiTheme="minorHAnsi"/>
          <w:noProof/>
          <w:sz w:val="22"/>
          <w:szCs w:val="22"/>
        </w:rPr>
        <w:tab/>
      </w:r>
      <w:r w:rsidRPr="00B9239C">
        <w:rPr>
          <w:rStyle w:val="Hyperlink"/>
          <w:noProof/>
        </w:rPr>
        <w:t>Shares</w:t>
      </w:r>
      <w:r>
        <w:rPr>
          <w:noProof/>
          <w:webHidden/>
        </w:rPr>
        <w:tab/>
      </w:r>
      <w:r>
        <w:rPr>
          <w:noProof/>
          <w:webHidden/>
        </w:rPr>
        <w:fldChar w:fldCharType="begin"/>
      </w:r>
      <w:r>
        <w:rPr>
          <w:noProof/>
          <w:webHidden/>
        </w:rPr>
        <w:instrText xml:space="preserve"> PAGEREF _Toc56159014 \h </w:instrText>
      </w:r>
      <w:r>
        <w:rPr>
          <w:noProof/>
          <w:webHidden/>
        </w:rPr>
        <w:fldChar w:fldCharType="separate"/>
      </w:r>
      <w:r w:rsidR="00230E5B">
        <w:rPr>
          <w:noProof/>
          <w:webHidden/>
        </w:rPr>
        <w:t>9</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"_Toc56159015" </w:instrText>
      </w:r>
      <w:r>
        <w:fldChar w:fldCharType="separate"/>
      </w:r>
      <w:r w:rsidRPr="00B9239C">
        <w:rPr>
          <w:rStyle w:val="Hyperlink"/>
          <w:noProof/>
        </w:rPr>
        <w:t>3.2</w:t>
      </w:r>
      <w:r>
        <w:rPr>
          <w:rFonts w:asciiTheme="minorHAnsi" w:eastAsiaTheme="minorEastAsia" w:hAnsiTheme="minorHAnsi"/>
          <w:noProof/>
          <w:sz w:val="22"/>
          <w:szCs w:val="22"/>
        </w:rPr>
        <w:tab/>
      </w:r>
      <w:r w:rsidRPr="00B9239C">
        <w:rPr>
          <w:rStyle w:val="Hyperlink"/>
          <w:noProof/>
        </w:rPr>
        <w:t>Board Composition</w:t>
      </w:r>
      <w:r>
        <w:rPr>
          <w:noProof/>
          <w:webHidden/>
        </w:rPr>
        <w:tab/>
      </w:r>
      <w:r>
        <w:rPr>
          <w:noProof/>
          <w:webHidden/>
        </w:rPr>
        <w:fldChar w:fldCharType="begin"/>
      </w:r>
      <w:r>
        <w:rPr>
          <w:noProof/>
          <w:webHidden/>
        </w:rPr>
        <w:instrText xml:space="preserve"> PAGEREF _Toc56159015 \h </w:instrText>
      </w:r>
      <w:r>
        <w:rPr>
          <w:noProof/>
          <w:webHidden/>
        </w:rPr>
        <w:fldChar w:fldCharType="separate"/>
      </w:r>
      <w:r w:rsidR="00230E5B">
        <w:rPr>
          <w:noProof/>
          <w:webHidden/>
        </w:rPr>
        <w:t>9</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"_Toc56159016" </w:instrText>
      </w:r>
      <w:r>
        <w:fldChar w:fldCharType="separate"/>
      </w:r>
      <w:r w:rsidRPr="00B9239C">
        <w:rPr>
          <w:rStyle w:val="Hyperlink"/>
          <w:noProof/>
        </w:rPr>
        <w:t>3.3</w:t>
      </w:r>
      <w:r>
        <w:rPr>
          <w:rFonts w:asciiTheme="minorHAnsi" w:eastAsiaTheme="minorEastAsia" w:hAnsiTheme="minorHAnsi"/>
          <w:noProof/>
          <w:sz w:val="22"/>
          <w:szCs w:val="22"/>
        </w:rPr>
        <w:tab/>
      </w:r>
      <w:r w:rsidRPr="00B9239C">
        <w:rPr>
          <w:rStyle w:val="Hyperlink"/>
          <w:noProof/>
        </w:rPr>
        <w:t>Failure to Designate a Board Member</w:t>
      </w:r>
      <w:r>
        <w:rPr>
          <w:noProof/>
          <w:webHidden/>
        </w:rPr>
        <w:tab/>
      </w:r>
      <w:r>
        <w:rPr>
          <w:noProof/>
          <w:webHidden/>
        </w:rPr>
        <w:fldChar w:fldCharType="begin"/>
      </w:r>
      <w:r>
        <w:rPr>
          <w:noProof/>
          <w:webHidden/>
        </w:rPr>
        <w:instrText xml:space="preserve"> PAGEREF _Toc56159016 \h </w:instrText>
      </w:r>
      <w:r>
        <w:rPr>
          <w:noProof/>
          <w:webHidden/>
        </w:rPr>
        <w:fldChar w:fldCharType="separate"/>
      </w:r>
      <w:r w:rsidR="00230E5B">
        <w:rPr>
          <w:noProof/>
          <w:webHidden/>
        </w:rPr>
        <w:t>10</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"_Toc56159017" </w:instrText>
      </w:r>
      <w:r>
        <w:fldChar w:fldCharType="separate"/>
      </w:r>
      <w:r w:rsidRPr="00B9239C">
        <w:rPr>
          <w:rStyle w:val="Hyperlink"/>
          <w:noProof/>
        </w:rPr>
        <w:t>3.4</w:t>
      </w:r>
      <w:r>
        <w:rPr>
          <w:rFonts w:asciiTheme="minorHAnsi" w:eastAsiaTheme="minorEastAsia" w:hAnsiTheme="minorHAnsi"/>
          <w:noProof/>
          <w:sz w:val="22"/>
          <w:szCs w:val="22"/>
        </w:rPr>
        <w:tab/>
      </w:r>
      <w:r w:rsidRPr="00B9239C">
        <w:rPr>
          <w:rStyle w:val="Hyperlink"/>
          <w:noProof/>
        </w:rPr>
        <w:t>Removal of Board Members</w:t>
      </w:r>
      <w:r>
        <w:rPr>
          <w:noProof/>
          <w:webHidden/>
        </w:rPr>
        <w:tab/>
      </w:r>
      <w:r>
        <w:rPr>
          <w:noProof/>
          <w:webHidden/>
        </w:rPr>
        <w:fldChar w:fldCharType="begin"/>
      </w:r>
      <w:r>
        <w:rPr>
          <w:noProof/>
          <w:webHidden/>
        </w:rPr>
        <w:instrText xml:space="preserve"> PAGEREF _Toc56159017 \h </w:instrText>
      </w:r>
      <w:r>
        <w:rPr>
          <w:noProof/>
          <w:webHidden/>
        </w:rPr>
        <w:fldChar w:fldCharType="separate"/>
      </w:r>
      <w:r w:rsidR="00230E5B">
        <w:rPr>
          <w:noProof/>
          <w:webHidden/>
        </w:rPr>
        <w:t>11</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"_Toc56159018" </w:instrText>
      </w:r>
      <w:r>
        <w:fldChar w:fldCharType="separate"/>
      </w:r>
      <w:r w:rsidRPr="00B9239C">
        <w:rPr>
          <w:rStyle w:val="Hyperlink"/>
          <w:noProof/>
        </w:rPr>
        <w:t>3.5</w:t>
      </w:r>
      <w:r>
        <w:rPr>
          <w:rFonts w:asciiTheme="minorHAnsi" w:eastAsiaTheme="minorEastAsia" w:hAnsiTheme="minorHAnsi"/>
          <w:noProof/>
          <w:sz w:val="22"/>
          <w:szCs w:val="22"/>
        </w:rPr>
        <w:tab/>
      </w:r>
      <w:r w:rsidRPr="00B9239C">
        <w:rPr>
          <w:rStyle w:val="Hyperlink"/>
          <w:noProof/>
        </w:rPr>
        <w:t>No Liability for Election of Recommended Directors</w:t>
      </w:r>
      <w:r>
        <w:rPr>
          <w:noProof/>
          <w:webHidden/>
        </w:rPr>
        <w:tab/>
      </w:r>
      <w:r>
        <w:rPr>
          <w:noProof/>
          <w:webHidden/>
        </w:rPr>
        <w:fldChar w:fldCharType="begin"/>
      </w:r>
      <w:r>
        <w:rPr>
          <w:noProof/>
          <w:webHidden/>
        </w:rPr>
        <w:instrText xml:space="preserve"> PAGEREF _Toc56159018 \h </w:instrText>
      </w:r>
      <w:r>
        <w:rPr>
          <w:noProof/>
          <w:webHidden/>
        </w:rPr>
        <w:fldChar w:fldCharType="separate"/>
      </w:r>
      <w:r w:rsidR="00230E5B">
        <w:rPr>
          <w:noProof/>
          <w:webHidden/>
        </w:rPr>
        <w:t>11</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"_Toc56159019" </w:instrText>
      </w:r>
      <w:r>
        <w:fldChar w:fldCharType="separate"/>
      </w:r>
      <w:r w:rsidRPr="00B9239C">
        <w:rPr>
          <w:rStyle w:val="Hyperlink"/>
          <w:noProof/>
        </w:rPr>
        <w:t>3.6</w:t>
      </w:r>
      <w:r>
        <w:rPr>
          <w:rFonts w:asciiTheme="minorHAnsi" w:eastAsiaTheme="minorEastAsia" w:hAnsiTheme="minorHAnsi"/>
          <w:noProof/>
          <w:sz w:val="22"/>
          <w:szCs w:val="22"/>
        </w:rPr>
        <w:tab/>
      </w:r>
      <w:r w:rsidRPr="00B9239C">
        <w:rPr>
          <w:rStyle w:val="Hyperlink"/>
          <w:noProof/>
        </w:rPr>
        <w:t>Committees</w:t>
      </w:r>
      <w:r>
        <w:rPr>
          <w:noProof/>
          <w:webHidden/>
        </w:rPr>
        <w:tab/>
      </w:r>
      <w:r>
        <w:rPr>
          <w:noProof/>
          <w:webHidden/>
        </w:rPr>
        <w:fldChar w:fldCharType="begin"/>
      </w:r>
      <w:r>
        <w:rPr>
          <w:noProof/>
          <w:webHidden/>
        </w:rPr>
        <w:instrText xml:space="preserve"> PAGEREF _Toc56159019 \h </w:instrText>
      </w:r>
      <w:r>
        <w:rPr>
          <w:noProof/>
          <w:webHidden/>
        </w:rPr>
        <w:fldChar w:fldCharType="separate"/>
      </w:r>
      <w:r w:rsidR="00230E5B">
        <w:rPr>
          <w:noProof/>
          <w:webHidden/>
        </w:rPr>
        <w:t>11</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"_Toc56159020" </w:instrText>
      </w:r>
      <w:r>
        <w:fldChar w:fldCharType="separate"/>
      </w:r>
      <w:r w:rsidRPr="00B9239C">
        <w:rPr>
          <w:rStyle w:val="Hyperlink"/>
          <w:noProof/>
        </w:rPr>
        <w:t>3.7</w:t>
      </w:r>
      <w:r>
        <w:rPr>
          <w:rFonts w:asciiTheme="minorHAnsi" w:eastAsiaTheme="minorEastAsia" w:hAnsiTheme="minorHAnsi"/>
          <w:noProof/>
          <w:sz w:val="22"/>
          <w:szCs w:val="22"/>
        </w:rPr>
        <w:tab/>
      </w:r>
      <w:r w:rsidRPr="00B9239C">
        <w:rPr>
          <w:rStyle w:val="Hyperlink"/>
          <w:noProof/>
        </w:rPr>
        <w:t>Compensation and Expenses of Directors</w:t>
      </w:r>
      <w:r>
        <w:rPr>
          <w:noProof/>
          <w:webHidden/>
        </w:rPr>
        <w:tab/>
      </w:r>
      <w:r>
        <w:rPr>
          <w:noProof/>
          <w:webHidden/>
        </w:rPr>
        <w:fldChar w:fldCharType="begin"/>
      </w:r>
      <w:r>
        <w:rPr>
          <w:noProof/>
          <w:webHidden/>
        </w:rPr>
        <w:instrText xml:space="preserve"> PAGEREF _Toc56159020 \h </w:instrText>
      </w:r>
      <w:r>
        <w:rPr>
          <w:noProof/>
          <w:webHidden/>
        </w:rPr>
        <w:fldChar w:fldCharType="separate"/>
      </w:r>
      <w:r w:rsidR="00230E5B">
        <w:rPr>
          <w:noProof/>
          <w:webHidden/>
        </w:rPr>
        <w:t>12</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"_Toc56159021" </w:instrText>
      </w:r>
      <w:r>
        <w:fldChar w:fldCharType="separate"/>
      </w:r>
      <w:r w:rsidRPr="00B9239C">
        <w:rPr>
          <w:rStyle w:val="Hyperlink"/>
          <w:noProof/>
        </w:rPr>
        <w:t>3.8</w:t>
      </w:r>
      <w:r>
        <w:rPr>
          <w:rFonts w:asciiTheme="minorHAnsi" w:eastAsiaTheme="minorEastAsia" w:hAnsiTheme="minorHAnsi"/>
          <w:noProof/>
          <w:sz w:val="22"/>
          <w:szCs w:val="22"/>
        </w:rPr>
        <w:tab/>
      </w:r>
      <w:r w:rsidRPr="00B9239C">
        <w:rPr>
          <w:rStyle w:val="Hyperlink"/>
          <w:noProof/>
        </w:rPr>
        <w:t>Matters Requiring Preferred Director Approval</w:t>
      </w:r>
      <w:r>
        <w:rPr>
          <w:noProof/>
          <w:webHidden/>
        </w:rPr>
        <w:tab/>
      </w:r>
      <w:r>
        <w:rPr>
          <w:noProof/>
          <w:webHidden/>
        </w:rPr>
        <w:fldChar w:fldCharType="begin"/>
      </w:r>
      <w:r>
        <w:rPr>
          <w:noProof/>
          <w:webHidden/>
        </w:rPr>
        <w:instrText xml:space="preserve"> PAGEREF _Toc56159021 \h </w:instrText>
      </w:r>
      <w:r>
        <w:rPr>
          <w:noProof/>
          <w:webHidden/>
        </w:rPr>
        <w:fldChar w:fldCharType="separate"/>
      </w:r>
      <w:r w:rsidR="00230E5B">
        <w:rPr>
          <w:noProof/>
          <w:webHidden/>
        </w:rPr>
        <w:t>12</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"_Toc56159022" </w:instrText>
      </w:r>
      <w:r>
        <w:fldChar w:fldCharType="separate"/>
      </w:r>
      <w:r w:rsidRPr="00B9239C">
        <w:rPr>
          <w:rStyle w:val="Hyperlink"/>
          <w:noProof/>
        </w:rPr>
        <w:t>3.9</w:t>
      </w:r>
      <w:r>
        <w:rPr>
          <w:rFonts w:asciiTheme="minorHAnsi" w:eastAsiaTheme="minorEastAsia" w:hAnsiTheme="minorHAnsi"/>
          <w:noProof/>
          <w:sz w:val="22"/>
          <w:szCs w:val="22"/>
        </w:rPr>
        <w:tab/>
      </w:r>
      <w:r w:rsidRPr="00B9239C">
        <w:rPr>
          <w:rStyle w:val="Hyperlink"/>
          <w:noProof/>
        </w:rPr>
        <w:t>Class A Preferred Share Protective Provisions</w:t>
      </w:r>
      <w:r>
        <w:rPr>
          <w:noProof/>
          <w:webHidden/>
        </w:rPr>
        <w:tab/>
      </w:r>
      <w:r>
        <w:rPr>
          <w:noProof/>
          <w:webHidden/>
        </w:rPr>
        <w:fldChar w:fldCharType="begin"/>
      </w:r>
      <w:r>
        <w:rPr>
          <w:noProof/>
          <w:webHidden/>
        </w:rPr>
        <w:instrText xml:space="preserve"> PAGEREF _Toc56159022 \h </w:instrText>
      </w:r>
      <w:r>
        <w:rPr>
          <w:noProof/>
          <w:webHidden/>
        </w:rPr>
        <w:fldChar w:fldCharType="separate"/>
      </w:r>
      <w:r w:rsidR="00230E5B">
        <w:rPr>
          <w:noProof/>
          <w:webHidden/>
        </w:rPr>
        <w:t>13</w:t>
      </w:r>
      <w:r>
        <w:rPr>
          <w:noProof/>
          <w:webHidden/>
        </w:rPr>
        <w:fldChar w:fldCharType="end"/>
      </w:r>
      <w:r>
        <w:fldChar w:fldCharType="end"/>
      </w:r>
    </w:p>
    <w:p w:rsidR="00B22DAD">
      <w:pPr>
        <w:pStyle w:val="TOC1"/>
        <w:rPr>
          <w:rFonts w:asciiTheme="minorHAnsi" w:eastAsiaTheme="minorEastAsia" w:hAnsiTheme="minorHAnsi" w:cstheme="minorBidi"/>
          <w:b w:val="0"/>
          <w:noProof/>
          <w:sz w:val="22"/>
          <w:szCs w:val="22"/>
        </w:rPr>
      </w:pPr>
      <w:r>
        <w:fldChar w:fldCharType="begin"/>
      </w:r>
      <w:r>
        <w:instrText xml:space="preserve"> HYPERLINK \l "_Toc56159023" </w:instrText>
      </w:r>
      <w:r>
        <w:fldChar w:fldCharType="separate"/>
      </w:r>
      <w:r w:rsidRPr="00B9239C">
        <w:rPr>
          <w:rStyle w:val="Hyperlink"/>
          <w:noProof/>
        </w:rPr>
        <w:t>Article 4 Information and Observer Rights, Confidentiality</w:t>
      </w:r>
      <w:r>
        <w:rPr>
          <w:noProof/>
          <w:webHidden/>
        </w:rPr>
        <w:tab/>
      </w:r>
      <w:r>
        <w:rPr>
          <w:noProof/>
          <w:webHidden/>
        </w:rPr>
        <w:fldChar w:fldCharType="begin"/>
      </w:r>
      <w:r>
        <w:rPr>
          <w:noProof/>
          <w:webHidden/>
        </w:rPr>
        <w:instrText xml:space="preserve"> PAGEREF _Toc56159023 \h </w:instrText>
      </w:r>
      <w:r>
        <w:rPr>
          <w:noProof/>
          <w:webHidden/>
        </w:rPr>
        <w:fldChar w:fldCharType="separate"/>
      </w:r>
      <w:r w:rsidR="00230E5B">
        <w:rPr>
          <w:noProof/>
          <w:webHidden/>
        </w:rPr>
        <w:t>15</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"_Toc56159024" </w:instrText>
      </w:r>
      <w:r>
        <w:fldChar w:fldCharType="separate"/>
      </w:r>
      <w:r w:rsidRPr="00B9239C">
        <w:rPr>
          <w:rStyle w:val="Hyperlink"/>
          <w:noProof/>
        </w:rPr>
        <w:t>4.1</w:t>
      </w:r>
      <w:r>
        <w:rPr>
          <w:rFonts w:asciiTheme="minorHAnsi" w:eastAsiaTheme="minorEastAsia" w:hAnsiTheme="minorHAnsi"/>
          <w:noProof/>
          <w:sz w:val="22"/>
          <w:szCs w:val="22"/>
        </w:rPr>
        <w:tab/>
      </w:r>
      <w:r w:rsidRPr="00B9239C">
        <w:rPr>
          <w:rStyle w:val="Hyperlink"/>
          <w:noProof/>
        </w:rPr>
        <w:t>Delivery of Financial Statements</w:t>
      </w:r>
      <w:r>
        <w:rPr>
          <w:noProof/>
          <w:webHidden/>
        </w:rPr>
        <w:tab/>
      </w:r>
      <w:r>
        <w:rPr>
          <w:noProof/>
          <w:webHidden/>
        </w:rPr>
        <w:fldChar w:fldCharType="begin"/>
      </w:r>
      <w:r>
        <w:rPr>
          <w:noProof/>
          <w:webHidden/>
        </w:rPr>
        <w:instrText xml:space="preserve"> PAGEREF _Toc56159024 \h </w:instrText>
      </w:r>
      <w:r>
        <w:rPr>
          <w:noProof/>
          <w:webHidden/>
        </w:rPr>
        <w:fldChar w:fldCharType="separate"/>
      </w:r>
      <w:r w:rsidR="00230E5B">
        <w:rPr>
          <w:noProof/>
          <w:webHidden/>
        </w:rPr>
        <w:t>15</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"_Toc56159025" </w:instrText>
      </w:r>
      <w:r>
        <w:fldChar w:fldCharType="separate"/>
      </w:r>
      <w:r w:rsidRPr="00B9239C">
        <w:rPr>
          <w:rStyle w:val="Hyperlink"/>
          <w:noProof/>
        </w:rPr>
        <w:t>4.2</w:t>
      </w:r>
      <w:r>
        <w:rPr>
          <w:rFonts w:asciiTheme="minorHAnsi" w:eastAsiaTheme="minorEastAsia" w:hAnsiTheme="minorHAnsi"/>
          <w:noProof/>
          <w:sz w:val="22"/>
          <w:szCs w:val="22"/>
        </w:rPr>
        <w:tab/>
      </w:r>
      <w:r w:rsidRPr="00B9239C">
        <w:rPr>
          <w:rStyle w:val="Hyperlink"/>
          <w:noProof/>
        </w:rPr>
        <w:t>[Waiver of Audit Rights</w:t>
      </w:r>
      <w:r>
        <w:rPr>
          <w:noProof/>
          <w:webHidden/>
        </w:rPr>
        <w:tab/>
      </w:r>
      <w:r>
        <w:rPr>
          <w:noProof/>
          <w:webHidden/>
        </w:rPr>
        <w:fldChar w:fldCharType="begin"/>
      </w:r>
      <w:r>
        <w:rPr>
          <w:noProof/>
          <w:webHidden/>
        </w:rPr>
        <w:instrText xml:space="preserve"> PAGEREF _Toc56159025 \h </w:instrText>
      </w:r>
      <w:r>
        <w:rPr>
          <w:noProof/>
          <w:webHidden/>
        </w:rPr>
        <w:fldChar w:fldCharType="separate"/>
      </w:r>
      <w:r w:rsidR="00230E5B">
        <w:rPr>
          <w:noProof/>
          <w:webHidden/>
        </w:rPr>
        <w:t>17</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"_Toc56159026" </w:instrText>
      </w:r>
      <w:r>
        <w:fldChar w:fldCharType="separate"/>
      </w:r>
      <w:r w:rsidRPr="00B9239C">
        <w:rPr>
          <w:rStyle w:val="Hyperlink"/>
          <w:noProof/>
        </w:rPr>
        <w:t>4.3</w:t>
      </w:r>
      <w:r>
        <w:rPr>
          <w:rFonts w:asciiTheme="minorHAnsi" w:eastAsiaTheme="minorEastAsia" w:hAnsiTheme="minorHAnsi"/>
          <w:noProof/>
          <w:sz w:val="22"/>
          <w:szCs w:val="22"/>
        </w:rPr>
        <w:tab/>
      </w:r>
      <w:r w:rsidRPr="00B9239C">
        <w:rPr>
          <w:rStyle w:val="Hyperlink"/>
          <w:noProof/>
        </w:rPr>
        <w:t>Inspection</w:t>
      </w:r>
      <w:r>
        <w:rPr>
          <w:noProof/>
          <w:webHidden/>
        </w:rPr>
        <w:tab/>
      </w:r>
      <w:r>
        <w:rPr>
          <w:noProof/>
          <w:webHidden/>
        </w:rPr>
        <w:fldChar w:fldCharType="begin"/>
      </w:r>
      <w:r>
        <w:rPr>
          <w:noProof/>
          <w:webHidden/>
        </w:rPr>
        <w:instrText xml:space="preserve"> PAGEREF _Toc56159026 \h </w:instrText>
      </w:r>
      <w:r>
        <w:rPr>
          <w:noProof/>
          <w:webHidden/>
        </w:rPr>
        <w:fldChar w:fldCharType="separate"/>
      </w:r>
      <w:r w:rsidR="00230E5B">
        <w:rPr>
          <w:noProof/>
          <w:webHidden/>
        </w:rPr>
        <w:t>17</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"_Toc56159027" </w:instrText>
      </w:r>
      <w:r>
        <w:fldChar w:fldCharType="separate"/>
      </w:r>
      <w:r w:rsidRPr="00B9239C">
        <w:rPr>
          <w:rStyle w:val="Hyperlink"/>
          <w:noProof/>
        </w:rPr>
        <w:t>4.4</w:t>
      </w:r>
      <w:r>
        <w:rPr>
          <w:rFonts w:asciiTheme="minorHAnsi" w:eastAsiaTheme="minorEastAsia" w:hAnsiTheme="minorHAnsi"/>
          <w:noProof/>
          <w:sz w:val="22"/>
          <w:szCs w:val="22"/>
        </w:rPr>
        <w:tab/>
      </w:r>
      <w:r w:rsidRPr="00B9239C">
        <w:rPr>
          <w:rStyle w:val="Hyperlink"/>
          <w:noProof/>
        </w:rPr>
        <w:t>[Observer Rights</w:t>
      </w:r>
      <w:r>
        <w:rPr>
          <w:noProof/>
          <w:webHidden/>
        </w:rPr>
        <w:tab/>
      </w:r>
      <w:r>
        <w:rPr>
          <w:noProof/>
          <w:webHidden/>
        </w:rPr>
        <w:fldChar w:fldCharType="begin"/>
      </w:r>
      <w:r>
        <w:rPr>
          <w:noProof/>
          <w:webHidden/>
        </w:rPr>
        <w:instrText xml:space="preserve"> PAGEREF _Toc56159027 \h </w:instrText>
      </w:r>
      <w:r>
        <w:rPr>
          <w:noProof/>
          <w:webHidden/>
        </w:rPr>
        <w:fldChar w:fldCharType="separate"/>
      </w:r>
      <w:r w:rsidR="00230E5B">
        <w:rPr>
          <w:noProof/>
          <w:webHidden/>
        </w:rPr>
        <w:t>17</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"_Toc56159028" </w:instrText>
      </w:r>
      <w:r>
        <w:fldChar w:fldCharType="separate"/>
      </w:r>
      <w:r w:rsidRPr="00B9239C">
        <w:rPr>
          <w:rStyle w:val="Hyperlink"/>
          <w:noProof/>
        </w:rPr>
        <w:t>4.5</w:t>
      </w:r>
      <w:r>
        <w:rPr>
          <w:rFonts w:asciiTheme="minorHAnsi" w:eastAsiaTheme="minorEastAsia" w:hAnsiTheme="minorHAnsi"/>
          <w:noProof/>
          <w:sz w:val="22"/>
          <w:szCs w:val="22"/>
        </w:rPr>
        <w:tab/>
      </w:r>
      <w:r w:rsidRPr="00B9239C">
        <w:rPr>
          <w:rStyle w:val="Hyperlink"/>
          <w:noProof/>
        </w:rPr>
        <w:t>[Termination of Information [and Observer Rights]</w:t>
      </w:r>
      <w:r>
        <w:rPr>
          <w:noProof/>
          <w:webHidden/>
        </w:rPr>
        <w:tab/>
      </w:r>
      <w:r>
        <w:rPr>
          <w:noProof/>
          <w:webHidden/>
        </w:rPr>
        <w:fldChar w:fldCharType="begin"/>
      </w:r>
      <w:r>
        <w:rPr>
          <w:noProof/>
          <w:webHidden/>
        </w:rPr>
        <w:instrText xml:space="preserve"> PAGEREF _Toc56159028 \h </w:instrText>
      </w:r>
      <w:r>
        <w:rPr>
          <w:noProof/>
          <w:webHidden/>
        </w:rPr>
        <w:fldChar w:fldCharType="separate"/>
      </w:r>
      <w:r w:rsidR="00230E5B">
        <w:rPr>
          <w:noProof/>
          <w:webHidden/>
        </w:rPr>
        <w:t>17</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"_Toc56159029" </w:instrText>
      </w:r>
      <w:r>
        <w:fldChar w:fldCharType="separate"/>
      </w:r>
      <w:r w:rsidRPr="00B9239C">
        <w:rPr>
          <w:rStyle w:val="Hyperlink"/>
          <w:noProof/>
        </w:rPr>
        <w:t>4.6</w:t>
      </w:r>
      <w:r>
        <w:rPr>
          <w:rFonts w:asciiTheme="minorHAnsi" w:eastAsiaTheme="minorEastAsia" w:hAnsiTheme="minorHAnsi"/>
          <w:noProof/>
          <w:sz w:val="22"/>
          <w:szCs w:val="22"/>
        </w:rPr>
        <w:tab/>
      </w:r>
      <w:r w:rsidRPr="00B9239C">
        <w:rPr>
          <w:rStyle w:val="Hyperlink"/>
          <w:noProof/>
        </w:rPr>
        <w:t>Confidentiality</w:t>
      </w:r>
      <w:r>
        <w:rPr>
          <w:noProof/>
          <w:webHidden/>
        </w:rPr>
        <w:tab/>
      </w:r>
      <w:r>
        <w:rPr>
          <w:noProof/>
          <w:webHidden/>
        </w:rPr>
        <w:fldChar w:fldCharType="begin"/>
      </w:r>
      <w:r>
        <w:rPr>
          <w:noProof/>
          <w:webHidden/>
        </w:rPr>
        <w:instrText xml:space="preserve"> PAGEREF _Toc56159029 \h </w:instrText>
      </w:r>
      <w:r>
        <w:rPr>
          <w:noProof/>
          <w:webHidden/>
        </w:rPr>
        <w:fldChar w:fldCharType="separate"/>
      </w:r>
      <w:r w:rsidR="00230E5B">
        <w:rPr>
          <w:noProof/>
          <w:webHidden/>
        </w:rPr>
        <w:t>18</w:t>
      </w:r>
      <w:r>
        <w:rPr>
          <w:noProof/>
          <w:webHidden/>
        </w:rPr>
        <w:fldChar w:fldCharType="end"/>
      </w:r>
      <w:r>
        <w:fldChar w:fldCharType="end"/>
      </w:r>
    </w:p>
    <w:p w:rsidR="00B22DAD">
      <w:pPr>
        <w:pStyle w:val="TOC1"/>
        <w:rPr>
          <w:rFonts w:asciiTheme="minorHAnsi" w:eastAsiaTheme="minorEastAsia" w:hAnsiTheme="minorHAnsi" w:cstheme="minorBidi"/>
          <w:b w:val="0"/>
          <w:noProof/>
          <w:sz w:val="22"/>
          <w:szCs w:val="22"/>
        </w:rPr>
      </w:pPr>
      <w:r>
        <w:fldChar w:fldCharType="begin"/>
      </w:r>
      <w:r>
        <w:instrText xml:space="preserve"> HYPERLINK \l "_Toc56159030" </w:instrText>
      </w:r>
      <w:r>
        <w:fldChar w:fldCharType="separate"/>
      </w:r>
      <w:r w:rsidRPr="00B9239C">
        <w:rPr>
          <w:rStyle w:val="Hyperlink"/>
          <w:noProof/>
        </w:rPr>
        <w:t>Article 5 Additional Covenants</w:t>
      </w:r>
      <w:r>
        <w:rPr>
          <w:noProof/>
          <w:webHidden/>
        </w:rPr>
        <w:tab/>
      </w:r>
      <w:r>
        <w:rPr>
          <w:noProof/>
          <w:webHidden/>
        </w:rPr>
        <w:fldChar w:fldCharType="begin"/>
      </w:r>
      <w:r>
        <w:rPr>
          <w:noProof/>
          <w:webHidden/>
        </w:rPr>
        <w:instrText xml:space="preserve"> PAGEREF _Toc56159030 \h </w:instrText>
      </w:r>
      <w:r>
        <w:rPr>
          <w:noProof/>
          <w:webHidden/>
        </w:rPr>
        <w:fldChar w:fldCharType="separate"/>
      </w:r>
      <w:r w:rsidR="00230E5B">
        <w:rPr>
          <w:noProof/>
          <w:webHidden/>
        </w:rPr>
        <w:t>18</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"_Toc56159031" </w:instrText>
      </w:r>
      <w:r>
        <w:fldChar w:fldCharType="separate"/>
      </w:r>
      <w:r w:rsidRPr="00B9239C">
        <w:rPr>
          <w:rStyle w:val="Hyperlink"/>
          <w:noProof/>
        </w:rPr>
        <w:t>5.1</w:t>
      </w:r>
      <w:r>
        <w:rPr>
          <w:rFonts w:asciiTheme="minorHAnsi" w:eastAsiaTheme="minorEastAsia" w:hAnsiTheme="minorHAnsi"/>
          <w:noProof/>
          <w:sz w:val="22"/>
          <w:szCs w:val="22"/>
        </w:rPr>
        <w:tab/>
      </w:r>
      <w:r w:rsidRPr="00B9239C">
        <w:rPr>
          <w:rStyle w:val="Hyperlink"/>
          <w:noProof/>
        </w:rPr>
        <w:t>Registration Rights</w:t>
      </w:r>
      <w:r>
        <w:rPr>
          <w:noProof/>
          <w:webHidden/>
        </w:rPr>
        <w:tab/>
      </w:r>
      <w:r>
        <w:rPr>
          <w:noProof/>
          <w:webHidden/>
        </w:rPr>
        <w:fldChar w:fldCharType="begin"/>
      </w:r>
      <w:r>
        <w:rPr>
          <w:noProof/>
          <w:webHidden/>
        </w:rPr>
        <w:instrText xml:space="preserve"> PAGEREF _Toc56159031 \h </w:instrText>
      </w:r>
      <w:r>
        <w:rPr>
          <w:noProof/>
          <w:webHidden/>
        </w:rPr>
        <w:fldChar w:fldCharType="separate"/>
      </w:r>
      <w:r w:rsidR="00230E5B">
        <w:rPr>
          <w:noProof/>
          <w:webHidden/>
        </w:rPr>
        <w:t>18</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"_Toc56159032" </w:instrText>
      </w:r>
      <w:r>
        <w:fldChar w:fldCharType="separate"/>
      </w:r>
      <w:r w:rsidRPr="00B9239C">
        <w:rPr>
          <w:rStyle w:val="Hyperlink"/>
          <w:noProof/>
        </w:rPr>
        <w:t>5.2</w:t>
      </w:r>
      <w:r>
        <w:rPr>
          <w:rFonts w:asciiTheme="minorHAnsi" w:eastAsiaTheme="minorEastAsia" w:hAnsiTheme="minorHAnsi"/>
          <w:noProof/>
          <w:sz w:val="22"/>
          <w:szCs w:val="22"/>
        </w:rPr>
        <w:tab/>
      </w:r>
      <w:r w:rsidRPr="00B9239C">
        <w:rPr>
          <w:rStyle w:val="Hyperlink"/>
          <w:noProof/>
        </w:rPr>
        <w:t>Insurance</w:t>
      </w:r>
      <w:r>
        <w:rPr>
          <w:noProof/>
          <w:webHidden/>
        </w:rPr>
        <w:tab/>
      </w:r>
      <w:r>
        <w:rPr>
          <w:noProof/>
          <w:webHidden/>
        </w:rPr>
        <w:fldChar w:fldCharType="begin"/>
      </w:r>
      <w:r>
        <w:rPr>
          <w:noProof/>
          <w:webHidden/>
        </w:rPr>
        <w:instrText xml:space="preserve"> PAGEREF _Toc56159032 \h </w:instrText>
      </w:r>
      <w:r>
        <w:rPr>
          <w:noProof/>
          <w:webHidden/>
        </w:rPr>
        <w:fldChar w:fldCharType="separate"/>
      </w:r>
      <w:r w:rsidR="00230E5B">
        <w:rPr>
          <w:noProof/>
          <w:webHidden/>
        </w:rPr>
        <w:t>19</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"_Toc56159033" </w:instrText>
      </w:r>
      <w:r>
        <w:fldChar w:fldCharType="separate"/>
      </w:r>
      <w:r w:rsidRPr="00B9239C">
        <w:rPr>
          <w:rStyle w:val="Hyperlink"/>
          <w:noProof/>
        </w:rPr>
        <w:t>5.3</w:t>
      </w:r>
      <w:r>
        <w:rPr>
          <w:rFonts w:asciiTheme="minorHAnsi" w:eastAsiaTheme="minorEastAsia" w:hAnsiTheme="minorHAnsi"/>
          <w:noProof/>
          <w:sz w:val="22"/>
          <w:szCs w:val="22"/>
        </w:rPr>
        <w:tab/>
      </w:r>
      <w:r w:rsidRPr="00B9239C">
        <w:rPr>
          <w:rStyle w:val="Hyperlink"/>
          <w:noProof/>
        </w:rPr>
        <w:t>Employee Agreements</w:t>
      </w:r>
      <w:r>
        <w:rPr>
          <w:noProof/>
          <w:webHidden/>
        </w:rPr>
        <w:tab/>
      </w:r>
      <w:r>
        <w:rPr>
          <w:noProof/>
          <w:webHidden/>
        </w:rPr>
        <w:fldChar w:fldCharType="begin"/>
      </w:r>
      <w:r>
        <w:rPr>
          <w:noProof/>
          <w:webHidden/>
        </w:rPr>
        <w:instrText xml:space="preserve"> PAGEREF _Toc56159033 \h </w:instrText>
      </w:r>
      <w:r>
        <w:rPr>
          <w:noProof/>
          <w:webHidden/>
        </w:rPr>
        <w:fldChar w:fldCharType="separate"/>
      </w:r>
      <w:r w:rsidR="00230E5B">
        <w:rPr>
          <w:noProof/>
          <w:webHidden/>
        </w:rPr>
        <w:t>19</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"_Toc56159034" </w:instrText>
      </w:r>
      <w:r>
        <w:fldChar w:fldCharType="separate"/>
      </w:r>
      <w:r w:rsidRPr="00B9239C">
        <w:rPr>
          <w:rStyle w:val="Hyperlink"/>
          <w:noProof/>
        </w:rPr>
        <w:t>5.4</w:t>
      </w:r>
      <w:r>
        <w:rPr>
          <w:rFonts w:asciiTheme="minorHAnsi" w:eastAsiaTheme="minorEastAsia" w:hAnsiTheme="minorHAnsi"/>
          <w:noProof/>
          <w:sz w:val="22"/>
          <w:szCs w:val="22"/>
        </w:rPr>
        <w:tab/>
      </w:r>
      <w:r w:rsidRPr="00B9239C">
        <w:rPr>
          <w:rStyle w:val="Hyperlink"/>
          <w:noProof/>
        </w:rPr>
        <w:t>Employee Shares</w:t>
      </w:r>
      <w:r>
        <w:rPr>
          <w:noProof/>
          <w:webHidden/>
        </w:rPr>
        <w:tab/>
      </w:r>
      <w:r>
        <w:rPr>
          <w:noProof/>
          <w:webHidden/>
        </w:rPr>
        <w:fldChar w:fldCharType="begin"/>
      </w:r>
      <w:r>
        <w:rPr>
          <w:noProof/>
          <w:webHidden/>
        </w:rPr>
        <w:instrText xml:space="preserve"> PAGEREF _Toc56159034 \h </w:instrText>
      </w:r>
      <w:r>
        <w:rPr>
          <w:noProof/>
          <w:webHidden/>
        </w:rPr>
        <w:fldChar w:fldCharType="separate"/>
      </w:r>
      <w:r w:rsidR="00230E5B">
        <w:rPr>
          <w:noProof/>
          <w:webHidden/>
        </w:rPr>
        <w:t>20</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"_Toc56159035" </w:instrText>
      </w:r>
      <w:r>
        <w:fldChar w:fldCharType="separate"/>
      </w:r>
      <w:r w:rsidRPr="00B9239C">
        <w:rPr>
          <w:rStyle w:val="Hyperlink"/>
          <w:noProof/>
        </w:rPr>
        <w:t>5.5</w:t>
      </w:r>
      <w:r>
        <w:rPr>
          <w:rFonts w:asciiTheme="minorHAnsi" w:eastAsiaTheme="minorEastAsia" w:hAnsiTheme="minorHAnsi"/>
          <w:noProof/>
          <w:sz w:val="22"/>
          <w:szCs w:val="22"/>
        </w:rPr>
        <w:tab/>
      </w:r>
      <w:r w:rsidRPr="00B9239C">
        <w:rPr>
          <w:rStyle w:val="Hyperlink"/>
          <w:noProof/>
        </w:rPr>
        <w:t>[Expenses of Counsel</w:t>
      </w:r>
      <w:r>
        <w:rPr>
          <w:noProof/>
          <w:webHidden/>
        </w:rPr>
        <w:tab/>
      </w:r>
      <w:r>
        <w:rPr>
          <w:noProof/>
          <w:webHidden/>
        </w:rPr>
        <w:fldChar w:fldCharType="begin"/>
      </w:r>
      <w:r>
        <w:rPr>
          <w:noProof/>
          <w:webHidden/>
        </w:rPr>
        <w:instrText xml:space="preserve"> PAGEREF _Toc56159035 \h </w:instrText>
      </w:r>
      <w:r>
        <w:rPr>
          <w:noProof/>
          <w:webHidden/>
        </w:rPr>
        <w:fldChar w:fldCharType="separate"/>
      </w:r>
      <w:r w:rsidR="00230E5B">
        <w:rPr>
          <w:noProof/>
          <w:webHidden/>
        </w:rPr>
        <w:t>20</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"_Toc56159036" </w:instrText>
      </w:r>
      <w:r>
        <w:fldChar w:fldCharType="separate"/>
      </w:r>
      <w:r w:rsidRPr="00B9239C">
        <w:rPr>
          <w:rStyle w:val="Hyperlink"/>
          <w:noProof/>
        </w:rPr>
        <w:t>5.6</w:t>
      </w:r>
      <w:r>
        <w:rPr>
          <w:rFonts w:asciiTheme="minorHAnsi" w:eastAsiaTheme="minorEastAsia" w:hAnsiTheme="minorHAnsi"/>
          <w:noProof/>
          <w:sz w:val="22"/>
          <w:szCs w:val="22"/>
        </w:rPr>
        <w:tab/>
      </w:r>
      <w:r w:rsidRPr="00B9239C">
        <w:rPr>
          <w:rStyle w:val="Hyperlink"/>
          <w:noProof/>
        </w:rPr>
        <w:t>[Indemnification Matters</w:t>
      </w:r>
      <w:r>
        <w:rPr>
          <w:noProof/>
          <w:webHidden/>
        </w:rPr>
        <w:tab/>
      </w:r>
      <w:r>
        <w:rPr>
          <w:noProof/>
          <w:webHidden/>
        </w:rPr>
        <w:fldChar w:fldCharType="begin"/>
      </w:r>
      <w:r>
        <w:rPr>
          <w:noProof/>
          <w:webHidden/>
        </w:rPr>
        <w:instrText xml:space="preserve"> PAGEREF _Toc56159036 \h </w:instrText>
      </w:r>
      <w:r>
        <w:rPr>
          <w:noProof/>
          <w:webHidden/>
        </w:rPr>
        <w:fldChar w:fldCharType="separate"/>
      </w:r>
      <w:r w:rsidR="00230E5B">
        <w:rPr>
          <w:noProof/>
          <w:webHidden/>
        </w:rPr>
        <w:t>21</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"_Toc56159037" </w:instrText>
      </w:r>
      <w:r>
        <w:fldChar w:fldCharType="separate"/>
      </w:r>
      <w:r w:rsidRPr="00B9239C">
        <w:rPr>
          <w:rStyle w:val="Hyperlink"/>
          <w:noProof/>
        </w:rPr>
        <w:t>5.7</w:t>
      </w:r>
      <w:r>
        <w:rPr>
          <w:rFonts w:asciiTheme="minorHAnsi" w:eastAsiaTheme="minorEastAsia" w:hAnsiTheme="minorHAnsi"/>
          <w:noProof/>
          <w:sz w:val="22"/>
          <w:szCs w:val="22"/>
        </w:rPr>
        <w:tab/>
      </w:r>
      <w:r w:rsidRPr="00B9239C">
        <w:rPr>
          <w:rStyle w:val="Hyperlink"/>
          <w:noProof/>
        </w:rPr>
        <w:t>[Right to Conduct Activities</w:t>
      </w:r>
      <w:r>
        <w:rPr>
          <w:noProof/>
          <w:webHidden/>
        </w:rPr>
        <w:tab/>
      </w:r>
      <w:r>
        <w:rPr>
          <w:noProof/>
          <w:webHidden/>
        </w:rPr>
        <w:fldChar w:fldCharType="begin"/>
      </w:r>
      <w:r>
        <w:rPr>
          <w:noProof/>
          <w:webHidden/>
        </w:rPr>
        <w:instrText xml:space="preserve"> PAGEREF _Toc56159037 \h </w:instrText>
      </w:r>
      <w:r>
        <w:rPr>
          <w:noProof/>
          <w:webHidden/>
        </w:rPr>
        <w:fldChar w:fldCharType="separate"/>
      </w:r>
      <w:r w:rsidR="00230E5B">
        <w:rPr>
          <w:noProof/>
          <w:webHidden/>
        </w:rPr>
        <w:t>22</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"_Toc56159038" </w:instrText>
      </w:r>
      <w:r>
        <w:fldChar w:fldCharType="separate"/>
      </w:r>
      <w:r w:rsidRPr="00B9239C">
        <w:rPr>
          <w:rStyle w:val="Hyperlink"/>
          <w:noProof/>
        </w:rPr>
        <w:t>5.8</w:t>
      </w:r>
      <w:r>
        <w:rPr>
          <w:rFonts w:asciiTheme="minorHAnsi" w:eastAsiaTheme="minorEastAsia" w:hAnsiTheme="minorHAnsi"/>
          <w:noProof/>
          <w:sz w:val="22"/>
          <w:szCs w:val="22"/>
        </w:rPr>
        <w:tab/>
      </w:r>
      <w:r w:rsidRPr="00B9239C">
        <w:rPr>
          <w:rStyle w:val="Hyperlink"/>
          <w:noProof/>
        </w:rPr>
        <w:t>[Anti-Harassment Policy</w:t>
      </w:r>
      <w:r>
        <w:rPr>
          <w:noProof/>
          <w:webHidden/>
        </w:rPr>
        <w:tab/>
      </w:r>
      <w:r>
        <w:rPr>
          <w:noProof/>
          <w:webHidden/>
        </w:rPr>
        <w:fldChar w:fldCharType="begin"/>
      </w:r>
      <w:r>
        <w:rPr>
          <w:noProof/>
          <w:webHidden/>
        </w:rPr>
        <w:instrText xml:space="preserve"> PAGEREF _Toc56159038 \h </w:instrText>
      </w:r>
      <w:r>
        <w:rPr>
          <w:noProof/>
          <w:webHidden/>
        </w:rPr>
        <w:fldChar w:fldCharType="separate"/>
      </w:r>
      <w:r w:rsidR="00230E5B">
        <w:rPr>
          <w:noProof/>
          <w:webHidden/>
        </w:rPr>
        <w:t>22</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"_Toc56159039" </w:instrText>
      </w:r>
      <w:r>
        <w:fldChar w:fldCharType="separate"/>
      </w:r>
      <w:r w:rsidRPr="00B9239C">
        <w:rPr>
          <w:rStyle w:val="Hyperlink"/>
          <w:noProof/>
        </w:rPr>
        <w:t>5.9</w:t>
      </w:r>
      <w:r>
        <w:rPr>
          <w:rFonts w:asciiTheme="minorHAnsi" w:eastAsiaTheme="minorEastAsia" w:hAnsiTheme="minorHAnsi"/>
          <w:noProof/>
          <w:sz w:val="22"/>
          <w:szCs w:val="22"/>
        </w:rPr>
        <w:tab/>
      </w:r>
      <w:r w:rsidRPr="00B9239C">
        <w:rPr>
          <w:rStyle w:val="Hyperlink"/>
          <w:noProof/>
        </w:rPr>
        <w:t>Foreign Corrupt Practices</w:t>
      </w:r>
      <w:r>
        <w:rPr>
          <w:noProof/>
          <w:webHidden/>
        </w:rPr>
        <w:tab/>
      </w:r>
      <w:r>
        <w:rPr>
          <w:noProof/>
          <w:webHidden/>
        </w:rPr>
        <w:fldChar w:fldCharType="begin"/>
      </w:r>
      <w:r>
        <w:rPr>
          <w:noProof/>
          <w:webHidden/>
        </w:rPr>
        <w:instrText xml:space="preserve"> PAGEREF _Toc56159039 \h </w:instrText>
      </w:r>
      <w:r>
        <w:rPr>
          <w:noProof/>
          <w:webHidden/>
        </w:rPr>
        <w:fldChar w:fldCharType="separate"/>
      </w:r>
      <w:r w:rsidR="00230E5B">
        <w:rPr>
          <w:noProof/>
          <w:webHidden/>
        </w:rPr>
        <w:t>22</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"_Toc56159040" </w:instrText>
      </w:r>
      <w:r>
        <w:fldChar w:fldCharType="separate"/>
      </w:r>
      <w:r w:rsidRPr="00B9239C">
        <w:rPr>
          <w:rStyle w:val="Hyperlink"/>
          <w:noProof/>
        </w:rPr>
        <w:t>5.10</w:t>
      </w:r>
      <w:r>
        <w:rPr>
          <w:rFonts w:asciiTheme="minorHAnsi" w:eastAsiaTheme="minorEastAsia" w:hAnsiTheme="minorHAnsi"/>
          <w:noProof/>
          <w:sz w:val="22"/>
          <w:szCs w:val="22"/>
        </w:rPr>
        <w:tab/>
      </w:r>
      <w:r w:rsidRPr="00B9239C">
        <w:rPr>
          <w:rStyle w:val="Hyperlink"/>
          <w:noProof/>
        </w:rPr>
        <w:t>Agreement to Lock-Up (Market Stand-off)</w:t>
      </w:r>
      <w:r>
        <w:rPr>
          <w:noProof/>
          <w:webHidden/>
        </w:rPr>
        <w:tab/>
      </w:r>
      <w:r>
        <w:rPr>
          <w:noProof/>
          <w:webHidden/>
        </w:rPr>
        <w:fldChar w:fldCharType="begin"/>
      </w:r>
      <w:r>
        <w:rPr>
          <w:noProof/>
          <w:webHidden/>
        </w:rPr>
        <w:instrText xml:space="preserve"> PAGEREF _Toc56159040 \h </w:instrText>
      </w:r>
      <w:r>
        <w:rPr>
          <w:noProof/>
          <w:webHidden/>
        </w:rPr>
        <w:fldChar w:fldCharType="separate"/>
      </w:r>
      <w:r w:rsidR="00230E5B">
        <w:rPr>
          <w:noProof/>
          <w:webHidden/>
        </w:rPr>
        <w:t>23</w:t>
      </w:r>
      <w:r>
        <w:rPr>
          <w:noProof/>
          <w:webHidden/>
        </w:rPr>
        <w:fldChar w:fldCharType="end"/>
      </w:r>
      <w:r>
        <w:fldChar w:fldCharType="end"/>
      </w:r>
    </w:p>
    <w:p w:rsidR="00B22DAD">
      <w:pPr>
        <w:pStyle w:val="TOC1"/>
        <w:rPr>
          <w:rFonts w:asciiTheme="minorHAnsi" w:eastAsiaTheme="minorEastAsia" w:hAnsiTheme="minorHAnsi" w:cstheme="minorBidi"/>
          <w:b w:val="0"/>
          <w:noProof/>
          <w:sz w:val="22"/>
          <w:szCs w:val="22"/>
        </w:rPr>
      </w:pPr>
      <w:r>
        <w:fldChar w:fldCharType="begin"/>
      </w:r>
      <w:r>
        <w:instrText xml:space="preserve"> HYPERLINK \l "_Toc56159041" </w:instrText>
      </w:r>
      <w:r>
        <w:fldChar w:fldCharType="separate"/>
      </w:r>
      <w:r w:rsidRPr="00B9239C">
        <w:rPr>
          <w:rStyle w:val="Hyperlink"/>
          <w:noProof/>
        </w:rPr>
        <w:t>Article 6 Dealing with Securities</w:t>
      </w:r>
      <w:r>
        <w:rPr>
          <w:noProof/>
          <w:webHidden/>
        </w:rPr>
        <w:tab/>
      </w:r>
      <w:r>
        <w:rPr>
          <w:noProof/>
          <w:webHidden/>
        </w:rPr>
        <w:fldChar w:fldCharType="begin"/>
      </w:r>
      <w:r>
        <w:rPr>
          <w:noProof/>
          <w:webHidden/>
        </w:rPr>
        <w:instrText xml:space="preserve"> PAGEREF _Toc56159041 \h </w:instrText>
      </w:r>
      <w:r>
        <w:rPr>
          <w:noProof/>
          <w:webHidden/>
        </w:rPr>
        <w:fldChar w:fldCharType="separate"/>
      </w:r>
      <w:r w:rsidR="00230E5B">
        <w:rPr>
          <w:noProof/>
          <w:webHidden/>
        </w:rPr>
        <w:t>24</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"_Toc56159042" </w:instrText>
      </w:r>
      <w:r>
        <w:fldChar w:fldCharType="separate"/>
      </w:r>
      <w:r w:rsidRPr="00B9239C">
        <w:rPr>
          <w:rStyle w:val="Hyperlink"/>
          <w:noProof/>
        </w:rPr>
        <w:t>6.1</w:t>
      </w:r>
      <w:r>
        <w:rPr>
          <w:rFonts w:asciiTheme="minorHAnsi" w:eastAsiaTheme="minorEastAsia" w:hAnsiTheme="minorHAnsi"/>
          <w:noProof/>
          <w:sz w:val="22"/>
          <w:szCs w:val="22"/>
        </w:rPr>
        <w:tab/>
      </w:r>
      <w:r w:rsidRPr="00B9239C">
        <w:rPr>
          <w:rStyle w:val="Hyperlink"/>
          <w:noProof/>
        </w:rPr>
        <w:t>Restrictions on Transfer</w:t>
      </w:r>
      <w:r>
        <w:rPr>
          <w:noProof/>
          <w:webHidden/>
        </w:rPr>
        <w:tab/>
      </w:r>
      <w:r>
        <w:rPr>
          <w:noProof/>
          <w:webHidden/>
        </w:rPr>
        <w:fldChar w:fldCharType="begin"/>
      </w:r>
      <w:r>
        <w:rPr>
          <w:noProof/>
          <w:webHidden/>
        </w:rPr>
        <w:instrText xml:space="preserve"> PAGEREF _Toc56159042 \h </w:instrText>
      </w:r>
      <w:r>
        <w:rPr>
          <w:noProof/>
          <w:webHidden/>
        </w:rPr>
        <w:fldChar w:fldCharType="separate"/>
      </w:r>
      <w:r w:rsidR="00230E5B">
        <w:rPr>
          <w:noProof/>
          <w:webHidden/>
        </w:rPr>
        <w:t>24</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"_Toc56159043" </w:instrText>
      </w:r>
      <w:r>
        <w:fldChar w:fldCharType="separate"/>
      </w:r>
      <w:r w:rsidRPr="00B9239C">
        <w:rPr>
          <w:rStyle w:val="Hyperlink"/>
          <w:noProof/>
        </w:rPr>
        <w:t>6.2</w:t>
      </w:r>
      <w:r>
        <w:rPr>
          <w:rFonts w:asciiTheme="minorHAnsi" w:eastAsiaTheme="minorEastAsia" w:hAnsiTheme="minorHAnsi"/>
          <w:noProof/>
          <w:sz w:val="22"/>
          <w:szCs w:val="22"/>
        </w:rPr>
        <w:tab/>
      </w:r>
      <w:r w:rsidRPr="00B9239C">
        <w:rPr>
          <w:rStyle w:val="Hyperlink"/>
          <w:noProof/>
        </w:rPr>
        <w:t>Additional Parties to be Bound</w:t>
      </w:r>
      <w:r>
        <w:rPr>
          <w:noProof/>
          <w:webHidden/>
        </w:rPr>
        <w:tab/>
      </w:r>
      <w:r>
        <w:rPr>
          <w:noProof/>
          <w:webHidden/>
        </w:rPr>
        <w:fldChar w:fldCharType="begin"/>
      </w:r>
      <w:r>
        <w:rPr>
          <w:noProof/>
          <w:webHidden/>
        </w:rPr>
        <w:instrText xml:space="preserve"> PAGEREF _Toc56159043 \h </w:instrText>
      </w:r>
      <w:r>
        <w:rPr>
          <w:noProof/>
          <w:webHidden/>
        </w:rPr>
        <w:fldChar w:fldCharType="separate"/>
      </w:r>
      <w:r w:rsidR="00230E5B">
        <w:rPr>
          <w:noProof/>
          <w:webHidden/>
        </w:rPr>
        <w:t>26</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"_Toc56159044" </w:instrText>
      </w:r>
      <w:r>
        <w:fldChar w:fldCharType="separate"/>
      </w:r>
      <w:r w:rsidRPr="00B9239C">
        <w:rPr>
          <w:rStyle w:val="Hyperlink"/>
          <w:noProof/>
        </w:rPr>
        <w:t>6.3</w:t>
      </w:r>
      <w:r>
        <w:rPr>
          <w:rFonts w:asciiTheme="minorHAnsi" w:eastAsiaTheme="minorEastAsia" w:hAnsiTheme="minorHAnsi"/>
          <w:noProof/>
          <w:sz w:val="22"/>
          <w:szCs w:val="22"/>
        </w:rPr>
        <w:tab/>
      </w:r>
      <w:r w:rsidRPr="00B9239C">
        <w:rPr>
          <w:rStyle w:val="Hyperlink"/>
          <w:noProof/>
        </w:rPr>
        <w:t>Pre-emptive Right (Right of First Offer)</w:t>
      </w:r>
      <w:r>
        <w:rPr>
          <w:noProof/>
          <w:webHidden/>
        </w:rPr>
        <w:tab/>
      </w:r>
      <w:r>
        <w:rPr>
          <w:noProof/>
          <w:webHidden/>
        </w:rPr>
        <w:fldChar w:fldCharType="begin"/>
      </w:r>
      <w:r>
        <w:rPr>
          <w:noProof/>
          <w:webHidden/>
        </w:rPr>
        <w:instrText xml:space="preserve"> PAGEREF _Toc56159044 \h </w:instrText>
      </w:r>
      <w:r>
        <w:rPr>
          <w:noProof/>
          <w:webHidden/>
        </w:rPr>
        <w:fldChar w:fldCharType="separate"/>
      </w:r>
      <w:r w:rsidR="00230E5B">
        <w:rPr>
          <w:noProof/>
          <w:webHidden/>
        </w:rPr>
        <w:t>27</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"_Toc56159045" </w:instrText>
      </w:r>
      <w:r>
        <w:fldChar w:fldCharType="separate"/>
      </w:r>
      <w:r w:rsidRPr="00B9239C">
        <w:rPr>
          <w:rStyle w:val="Hyperlink"/>
          <w:noProof/>
        </w:rPr>
        <w:t>6.4</w:t>
      </w:r>
      <w:r>
        <w:rPr>
          <w:rFonts w:asciiTheme="minorHAnsi" w:eastAsiaTheme="minorEastAsia" w:hAnsiTheme="minorHAnsi"/>
          <w:noProof/>
          <w:sz w:val="22"/>
          <w:szCs w:val="22"/>
        </w:rPr>
        <w:tab/>
      </w:r>
      <w:r w:rsidRPr="00B9239C">
        <w:rPr>
          <w:rStyle w:val="Hyperlink"/>
          <w:noProof/>
        </w:rPr>
        <w:t>Right of First Refusal</w:t>
      </w:r>
      <w:r>
        <w:rPr>
          <w:noProof/>
          <w:webHidden/>
        </w:rPr>
        <w:tab/>
      </w:r>
      <w:r>
        <w:rPr>
          <w:noProof/>
          <w:webHidden/>
        </w:rPr>
        <w:fldChar w:fldCharType="begin"/>
      </w:r>
      <w:r>
        <w:rPr>
          <w:noProof/>
          <w:webHidden/>
        </w:rPr>
        <w:instrText xml:space="preserve"> PAGEREF _Toc56159045 \h </w:instrText>
      </w:r>
      <w:r>
        <w:rPr>
          <w:noProof/>
          <w:webHidden/>
        </w:rPr>
        <w:fldChar w:fldCharType="separate"/>
      </w:r>
      <w:r w:rsidR="00230E5B">
        <w:rPr>
          <w:noProof/>
          <w:webHidden/>
        </w:rPr>
        <w:t>29</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"_Toc56159046" </w:instrText>
      </w:r>
      <w:r>
        <w:fldChar w:fldCharType="separate"/>
      </w:r>
      <w:r w:rsidRPr="00B9239C">
        <w:rPr>
          <w:rStyle w:val="Hyperlink"/>
          <w:noProof/>
        </w:rPr>
        <w:t>6.5</w:t>
      </w:r>
      <w:r>
        <w:rPr>
          <w:rFonts w:asciiTheme="minorHAnsi" w:eastAsiaTheme="minorEastAsia" w:hAnsiTheme="minorHAnsi"/>
          <w:noProof/>
          <w:sz w:val="22"/>
          <w:szCs w:val="22"/>
        </w:rPr>
        <w:tab/>
      </w:r>
      <w:r w:rsidRPr="00B9239C">
        <w:rPr>
          <w:rStyle w:val="Hyperlink"/>
          <w:noProof/>
        </w:rPr>
        <w:t>Right of Co-Sale/Piggyback Right</w:t>
      </w:r>
      <w:r>
        <w:rPr>
          <w:noProof/>
          <w:webHidden/>
        </w:rPr>
        <w:tab/>
      </w:r>
      <w:r>
        <w:rPr>
          <w:noProof/>
          <w:webHidden/>
        </w:rPr>
        <w:fldChar w:fldCharType="begin"/>
      </w:r>
      <w:r>
        <w:rPr>
          <w:noProof/>
          <w:webHidden/>
        </w:rPr>
        <w:instrText xml:space="preserve"> PAGEREF _Toc56159046 \h </w:instrText>
      </w:r>
      <w:r>
        <w:rPr>
          <w:noProof/>
          <w:webHidden/>
        </w:rPr>
        <w:fldChar w:fldCharType="separate"/>
      </w:r>
      <w:r w:rsidR="00230E5B">
        <w:rPr>
          <w:noProof/>
          <w:webHidden/>
        </w:rPr>
        <w:t>32</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"_Toc56159047" </w:instrText>
      </w:r>
      <w:r>
        <w:fldChar w:fldCharType="separate"/>
      </w:r>
      <w:r w:rsidRPr="00B9239C">
        <w:rPr>
          <w:rStyle w:val="Hyperlink"/>
          <w:noProof/>
        </w:rPr>
        <w:t>6.6</w:t>
      </w:r>
      <w:r>
        <w:rPr>
          <w:rFonts w:asciiTheme="minorHAnsi" w:eastAsiaTheme="minorEastAsia" w:hAnsiTheme="minorHAnsi"/>
          <w:noProof/>
          <w:sz w:val="22"/>
          <w:szCs w:val="22"/>
        </w:rPr>
        <w:tab/>
      </w:r>
      <w:r w:rsidRPr="00B9239C">
        <w:rPr>
          <w:rStyle w:val="Hyperlink"/>
          <w:noProof/>
        </w:rPr>
        <w:t>Effect of Failure to Comply</w:t>
      </w:r>
      <w:r>
        <w:rPr>
          <w:noProof/>
          <w:webHidden/>
        </w:rPr>
        <w:tab/>
      </w:r>
      <w:r>
        <w:rPr>
          <w:noProof/>
          <w:webHidden/>
        </w:rPr>
        <w:fldChar w:fldCharType="begin"/>
      </w:r>
      <w:r>
        <w:rPr>
          <w:noProof/>
          <w:webHidden/>
        </w:rPr>
        <w:instrText xml:space="preserve"> PAGEREF _Toc56159047 \h </w:instrText>
      </w:r>
      <w:r>
        <w:rPr>
          <w:noProof/>
          <w:webHidden/>
        </w:rPr>
        <w:fldChar w:fldCharType="separate"/>
      </w:r>
      <w:r w:rsidR="00230E5B">
        <w:rPr>
          <w:noProof/>
          <w:webHidden/>
        </w:rPr>
        <w:t>34</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"_Toc56159048" </w:instrText>
      </w:r>
      <w:r>
        <w:fldChar w:fldCharType="separate"/>
      </w:r>
      <w:r w:rsidRPr="00B9239C">
        <w:rPr>
          <w:rStyle w:val="Hyperlink"/>
          <w:noProof/>
        </w:rPr>
        <w:t>6.7</w:t>
      </w:r>
      <w:r>
        <w:rPr>
          <w:rFonts w:asciiTheme="minorHAnsi" w:eastAsiaTheme="minorEastAsia" w:hAnsiTheme="minorHAnsi"/>
          <w:noProof/>
          <w:sz w:val="22"/>
          <w:szCs w:val="22"/>
        </w:rPr>
        <w:tab/>
      </w:r>
      <w:r w:rsidRPr="00B9239C">
        <w:rPr>
          <w:rStyle w:val="Hyperlink"/>
          <w:noProof/>
        </w:rPr>
        <w:t>Exempted Transfers</w:t>
      </w:r>
      <w:r>
        <w:rPr>
          <w:noProof/>
          <w:webHidden/>
        </w:rPr>
        <w:tab/>
      </w:r>
      <w:r>
        <w:rPr>
          <w:noProof/>
          <w:webHidden/>
        </w:rPr>
        <w:fldChar w:fldCharType="begin"/>
      </w:r>
      <w:r>
        <w:rPr>
          <w:noProof/>
          <w:webHidden/>
        </w:rPr>
        <w:instrText xml:space="preserve"> PAGEREF _Toc56159048 \h </w:instrText>
      </w:r>
      <w:r>
        <w:rPr>
          <w:noProof/>
          <w:webHidden/>
        </w:rPr>
        <w:fldChar w:fldCharType="separate"/>
      </w:r>
      <w:r w:rsidR="00230E5B">
        <w:rPr>
          <w:noProof/>
          <w:webHidden/>
        </w:rPr>
        <w:t>35</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"_Toc56159049" </w:instrText>
      </w:r>
      <w:r>
        <w:fldChar w:fldCharType="separate"/>
      </w:r>
      <w:r w:rsidRPr="00B9239C">
        <w:rPr>
          <w:rStyle w:val="Hyperlink"/>
          <w:noProof/>
        </w:rPr>
        <w:t>6.8</w:t>
      </w:r>
      <w:r>
        <w:rPr>
          <w:rFonts w:asciiTheme="minorHAnsi" w:eastAsiaTheme="minorEastAsia" w:hAnsiTheme="minorHAnsi"/>
          <w:noProof/>
          <w:sz w:val="22"/>
          <w:szCs w:val="22"/>
        </w:rPr>
        <w:tab/>
      </w:r>
      <w:r w:rsidRPr="00B9239C">
        <w:rPr>
          <w:rStyle w:val="Hyperlink"/>
          <w:noProof/>
        </w:rPr>
        <w:t>Exempted Offerings</w:t>
      </w:r>
      <w:r>
        <w:rPr>
          <w:noProof/>
          <w:webHidden/>
        </w:rPr>
        <w:tab/>
      </w:r>
      <w:r>
        <w:rPr>
          <w:noProof/>
          <w:webHidden/>
        </w:rPr>
        <w:fldChar w:fldCharType="begin"/>
      </w:r>
      <w:r>
        <w:rPr>
          <w:noProof/>
          <w:webHidden/>
        </w:rPr>
        <w:instrText xml:space="preserve"> PAGEREF _Toc56159049 \h </w:instrText>
      </w:r>
      <w:r>
        <w:rPr>
          <w:noProof/>
          <w:webHidden/>
        </w:rPr>
        <w:fldChar w:fldCharType="separate"/>
      </w:r>
      <w:r w:rsidR="00230E5B">
        <w:rPr>
          <w:noProof/>
          <w:webHidden/>
        </w:rPr>
        <w:t>36</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"_Toc56159050" </w:instrText>
      </w:r>
      <w:r>
        <w:fldChar w:fldCharType="separate"/>
      </w:r>
      <w:r w:rsidRPr="00B9239C">
        <w:rPr>
          <w:rStyle w:val="Hyperlink"/>
          <w:noProof/>
        </w:rPr>
        <w:t>6.9</w:t>
      </w:r>
      <w:r>
        <w:rPr>
          <w:rFonts w:asciiTheme="minorHAnsi" w:eastAsiaTheme="minorEastAsia" w:hAnsiTheme="minorHAnsi"/>
          <w:noProof/>
          <w:sz w:val="22"/>
          <w:szCs w:val="22"/>
        </w:rPr>
        <w:tab/>
      </w:r>
      <w:r w:rsidRPr="00B9239C">
        <w:rPr>
          <w:rStyle w:val="Hyperlink"/>
          <w:noProof/>
        </w:rPr>
        <w:t>[Prohibited Transferees</w:t>
      </w:r>
      <w:r>
        <w:rPr>
          <w:noProof/>
          <w:webHidden/>
        </w:rPr>
        <w:tab/>
      </w:r>
      <w:r>
        <w:rPr>
          <w:noProof/>
          <w:webHidden/>
        </w:rPr>
        <w:fldChar w:fldCharType="begin"/>
      </w:r>
      <w:r>
        <w:rPr>
          <w:noProof/>
          <w:webHidden/>
        </w:rPr>
        <w:instrText xml:space="preserve"> PAGEREF _Toc56159050 \h </w:instrText>
      </w:r>
      <w:r>
        <w:rPr>
          <w:noProof/>
          <w:webHidden/>
        </w:rPr>
        <w:fldChar w:fldCharType="separate"/>
      </w:r>
      <w:r w:rsidR="00230E5B">
        <w:rPr>
          <w:noProof/>
          <w:webHidden/>
        </w:rPr>
        <w:t>36</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"_Toc56159051" </w:instrText>
      </w:r>
      <w:r>
        <w:fldChar w:fldCharType="separate"/>
      </w:r>
      <w:r w:rsidRPr="00B9239C">
        <w:rPr>
          <w:rStyle w:val="Hyperlink"/>
          <w:noProof/>
        </w:rPr>
        <w:t>6.10</w:t>
      </w:r>
      <w:r>
        <w:rPr>
          <w:rFonts w:asciiTheme="minorHAnsi" w:eastAsiaTheme="minorEastAsia" w:hAnsiTheme="minorHAnsi"/>
          <w:noProof/>
          <w:sz w:val="22"/>
          <w:szCs w:val="22"/>
        </w:rPr>
        <w:tab/>
      </w:r>
      <w:r w:rsidRPr="00B9239C">
        <w:rPr>
          <w:rStyle w:val="Hyperlink"/>
          <w:noProof/>
        </w:rPr>
        <w:t>Drag-Along Right</w:t>
      </w:r>
      <w:r>
        <w:rPr>
          <w:noProof/>
          <w:webHidden/>
        </w:rPr>
        <w:tab/>
      </w:r>
      <w:r>
        <w:rPr>
          <w:noProof/>
          <w:webHidden/>
        </w:rPr>
        <w:fldChar w:fldCharType="begin"/>
      </w:r>
      <w:r>
        <w:rPr>
          <w:noProof/>
          <w:webHidden/>
        </w:rPr>
        <w:instrText xml:space="preserve"> PAGEREF _Toc56159051 \h </w:instrText>
      </w:r>
      <w:r>
        <w:rPr>
          <w:noProof/>
          <w:webHidden/>
        </w:rPr>
        <w:fldChar w:fldCharType="separate"/>
      </w:r>
      <w:r w:rsidR="00230E5B">
        <w:rPr>
          <w:noProof/>
          <w:webHidden/>
        </w:rPr>
        <w:t>36</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"_Toc56159052" </w:instrText>
      </w:r>
      <w:r>
        <w:fldChar w:fldCharType="separate"/>
      </w:r>
      <w:r w:rsidRPr="00B9239C">
        <w:rPr>
          <w:rStyle w:val="Hyperlink"/>
          <w:noProof/>
        </w:rPr>
        <w:t>6.11</w:t>
      </w:r>
      <w:r>
        <w:rPr>
          <w:rFonts w:asciiTheme="minorHAnsi" w:eastAsiaTheme="minorEastAsia" w:hAnsiTheme="minorHAnsi"/>
          <w:noProof/>
          <w:sz w:val="22"/>
          <w:szCs w:val="22"/>
        </w:rPr>
        <w:tab/>
      </w:r>
      <w:r w:rsidRPr="00B9239C">
        <w:rPr>
          <w:rStyle w:val="Hyperlink"/>
          <w:noProof/>
        </w:rPr>
        <w:t>Conditions</w:t>
      </w:r>
      <w:r>
        <w:rPr>
          <w:noProof/>
          <w:webHidden/>
        </w:rPr>
        <w:tab/>
      </w:r>
      <w:r>
        <w:rPr>
          <w:noProof/>
          <w:webHidden/>
        </w:rPr>
        <w:fldChar w:fldCharType="begin"/>
      </w:r>
      <w:r>
        <w:rPr>
          <w:noProof/>
          <w:webHidden/>
        </w:rPr>
        <w:instrText xml:space="preserve"> PAGEREF _Toc56159052 \h </w:instrText>
      </w:r>
      <w:r>
        <w:rPr>
          <w:noProof/>
          <w:webHidden/>
        </w:rPr>
        <w:fldChar w:fldCharType="separate"/>
      </w:r>
      <w:r w:rsidR="00230E5B">
        <w:rPr>
          <w:noProof/>
          <w:webHidden/>
        </w:rPr>
        <w:t>38</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"_Toc56159053" </w:instrText>
      </w:r>
      <w:r>
        <w:fldChar w:fldCharType="separate"/>
      </w:r>
      <w:r w:rsidRPr="00B9239C">
        <w:rPr>
          <w:rStyle w:val="Hyperlink"/>
          <w:noProof/>
        </w:rPr>
        <w:t>6.12</w:t>
      </w:r>
      <w:r>
        <w:rPr>
          <w:rFonts w:asciiTheme="minorHAnsi" w:eastAsiaTheme="minorEastAsia" w:hAnsiTheme="minorHAnsi"/>
          <w:noProof/>
          <w:sz w:val="22"/>
          <w:szCs w:val="22"/>
        </w:rPr>
        <w:tab/>
      </w:r>
      <w:r w:rsidRPr="00B9239C">
        <w:rPr>
          <w:rStyle w:val="Hyperlink"/>
          <w:noProof/>
        </w:rPr>
        <w:t>Restrictions on Sales of Control of the Company</w:t>
      </w:r>
      <w:r>
        <w:rPr>
          <w:noProof/>
          <w:webHidden/>
        </w:rPr>
        <w:tab/>
      </w:r>
      <w:r>
        <w:rPr>
          <w:noProof/>
          <w:webHidden/>
        </w:rPr>
        <w:fldChar w:fldCharType="begin"/>
      </w:r>
      <w:r>
        <w:rPr>
          <w:noProof/>
          <w:webHidden/>
        </w:rPr>
        <w:instrText xml:space="preserve"> PAGEREF _Toc56159053 \h </w:instrText>
      </w:r>
      <w:r>
        <w:rPr>
          <w:noProof/>
          <w:webHidden/>
        </w:rPr>
        <w:fldChar w:fldCharType="separate"/>
      </w:r>
      <w:r w:rsidR="00230E5B">
        <w:rPr>
          <w:noProof/>
          <w:webHidden/>
        </w:rPr>
        <w:t>40</w:t>
      </w:r>
      <w:r>
        <w:rPr>
          <w:noProof/>
          <w:webHidden/>
        </w:rPr>
        <w:fldChar w:fldCharType="end"/>
      </w:r>
      <w:r>
        <w:fldChar w:fldCharType="end"/>
      </w:r>
    </w:p>
    <w:p w:rsidR="00B22DAD">
      <w:pPr>
        <w:pStyle w:val="TOC1"/>
        <w:rPr>
          <w:rFonts w:asciiTheme="minorHAnsi" w:eastAsiaTheme="minorEastAsia" w:hAnsiTheme="minorHAnsi" w:cstheme="minorBidi"/>
          <w:b w:val="0"/>
          <w:noProof/>
          <w:sz w:val="22"/>
          <w:szCs w:val="22"/>
        </w:rPr>
      </w:pPr>
      <w:r>
        <w:fldChar w:fldCharType="begin"/>
      </w:r>
      <w:r>
        <w:instrText xml:space="preserve"> HYPERLINK \l "_Toc56159054" </w:instrText>
      </w:r>
      <w:r>
        <w:fldChar w:fldCharType="separate"/>
      </w:r>
      <w:r w:rsidRPr="00B9239C">
        <w:rPr>
          <w:rStyle w:val="Hyperlink"/>
          <w:noProof/>
        </w:rPr>
        <w:t>Article 7 "Bad Actor" Matters</w:t>
      </w:r>
      <w:r>
        <w:rPr>
          <w:noProof/>
          <w:webHidden/>
        </w:rPr>
        <w:tab/>
      </w:r>
      <w:r>
        <w:rPr>
          <w:noProof/>
          <w:webHidden/>
        </w:rPr>
        <w:fldChar w:fldCharType="begin"/>
      </w:r>
      <w:r>
        <w:rPr>
          <w:noProof/>
          <w:webHidden/>
        </w:rPr>
        <w:instrText xml:space="preserve"> PAGEREF _Toc56159054 \h </w:instrText>
      </w:r>
      <w:r>
        <w:rPr>
          <w:noProof/>
          <w:webHidden/>
        </w:rPr>
        <w:fldChar w:fldCharType="separate"/>
      </w:r>
      <w:r w:rsidR="00230E5B">
        <w:rPr>
          <w:noProof/>
          <w:webHidden/>
        </w:rPr>
        <w:t>41</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"_Toc56159055" </w:instrText>
      </w:r>
      <w:r>
        <w:fldChar w:fldCharType="separate"/>
      </w:r>
      <w:r w:rsidRPr="00B9239C">
        <w:rPr>
          <w:rStyle w:val="Hyperlink"/>
          <w:noProof/>
        </w:rPr>
        <w:t>7.1</w:t>
      </w:r>
      <w:r>
        <w:rPr>
          <w:rFonts w:asciiTheme="minorHAnsi" w:eastAsiaTheme="minorEastAsia" w:hAnsiTheme="minorHAnsi"/>
          <w:noProof/>
          <w:sz w:val="22"/>
          <w:szCs w:val="22"/>
        </w:rPr>
        <w:tab/>
      </w:r>
      <w:r w:rsidRPr="00B9239C">
        <w:rPr>
          <w:rStyle w:val="Hyperlink"/>
          <w:noProof/>
        </w:rPr>
        <w:t>Definitions</w:t>
      </w:r>
      <w:r>
        <w:rPr>
          <w:noProof/>
          <w:webHidden/>
        </w:rPr>
        <w:tab/>
      </w:r>
      <w:r>
        <w:rPr>
          <w:noProof/>
          <w:webHidden/>
        </w:rPr>
        <w:fldChar w:fldCharType="begin"/>
      </w:r>
      <w:r>
        <w:rPr>
          <w:noProof/>
          <w:webHidden/>
        </w:rPr>
        <w:instrText xml:space="preserve"> PAGEREF _Toc56159055 \h </w:instrText>
      </w:r>
      <w:r>
        <w:rPr>
          <w:noProof/>
          <w:webHidden/>
        </w:rPr>
        <w:fldChar w:fldCharType="separate"/>
      </w:r>
      <w:r w:rsidR="00230E5B">
        <w:rPr>
          <w:noProof/>
          <w:webHidden/>
        </w:rPr>
        <w:t>41</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"_Toc56159056" </w:instrText>
      </w:r>
      <w:r>
        <w:fldChar w:fldCharType="separate"/>
      </w:r>
      <w:r w:rsidRPr="00B9239C">
        <w:rPr>
          <w:rStyle w:val="Hyperlink"/>
          <w:noProof/>
        </w:rPr>
        <w:t>7.2</w:t>
      </w:r>
      <w:r>
        <w:rPr>
          <w:rFonts w:asciiTheme="minorHAnsi" w:eastAsiaTheme="minorEastAsia" w:hAnsiTheme="minorHAnsi"/>
          <w:noProof/>
          <w:sz w:val="22"/>
          <w:szCs w:val="22"/>
        </w:rPr>
        <w:tab/>
      </w:r>
      <w:r w:rsidRPr="00B9239C">
        <w:rPr>
          <w:rStyle w:val="Hyperlink"/>
          <w:noProof/>
        </w:rPr>
        <w:t>Representations</w:t>
      </w:r>
      <w:r>
        <w:rPr>
          <w:noProof/>
          <w:webHidden/>
        </w:rPr>
        <w:tab/>
      </w:r>
      <w:r>
        <w:rPr>
          <w:noProof/>
          <w:webHidden/>
        </w:rPr>
        <w:fldChar w:fldCharType="begin"/>
      </w:r>
      <w:r>
        <w:rPr>
          <w:noProof/>
          <w:webHidden/>
        </w:rPr>
        <w:instrText xml:space="preserve"> PAGEREF _Toc56159056 \h </w:instrText>
      </w:r>
      <w:r>
        <w:rPr>
          <w:noProof/>
          <w:webHidden/>
        </w:rPr>
        <w:fldChar w:fldCharType="separate"/>
      </w:r>
      <w:r w:rsidR="00230E5B">
        <w:rPr>
          <w:noProof/>
          <w:webHidden/>
        </w:rPr>
        <w:t>41</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"_Toc56159057" </w:instrText>
      </w:r>
      <w:r>
        <w:fldChar w:fldCharType="separate"/>
      </w:r>
      <w:r w:rsidRPr="00B9239C">
        <w:rPr>
          <w:rStyle w:val="Hyperlink"/>
          <w:noProof/>
        </w:rPr>
        <w:t>7.3</w:t>
      </w:r>
      <w:r>
        <w:rPr>
          <w:rFonts w:asciiTheme="minorHAnsi" w:eastAsiaTheme="minorEastAsia" w:hAnsiTheme="minorHAnsi"/>
          <w:noProof/>
          <w:sz w:val="22"/>
          <w:szCs w:val="22"/>
        </w:rPr>
        <w:tab/>
      </w:r>
      <w:r w:rsidRPr="00B9239C">
        <w:rPr>
          <w:rStyle w:val="Hyperlink"/>
          <w:noProof/>
        </w:rPr>
        <w:t>[Covenant</w:t>
      </w:r>
      <w:r>
        <w:rPr>
          <w:noProof/>
          <w:webHidden/>
        </w:rPr>
        <w:tab/>
      </w:r>
      <w:r>
        <w:rPr>
          <w:noProof/>
          <w:webHidden/>
        </w:rPr>
        <w:fldChar w:fldCharType="begin"/>
      </w:r>
      <w:r>
        <w:rPr>
          <w:noProof/>
          <w:webHidden/>
        </w:rPr>
        <w:instrText xml:space="preserve"> PAGEREF _Toc56159057 \h </w:instrText>
      </w:r>
      <w:r>
        <w:rPr>
          <w:noProof/>
          <w:webHidden/>
        </w:rPr>
        <w:fldChar w:fldCharType="separate"/>
      </w:r>
      <w:r w:rsidR="00230E5B">
        <w:rPr>
          <w:noProof/>
          <w:webHidden/>
        </w:rPr>
        <w:t>42</w:t>
      </w:r>
      <w:r>
        <w:rPr>
          <w:noProof/>
          <w:webHidden/>
        </w:rPr>
        <w:fldChar w:fldCharType="end"/>
      </w:r>
      <w:r>
        <w:fldChar w:fldCharType="end"/>
      </w:r>
    </w:p>
    <w:p w:rsidR="00B22DAD">
      <w:pPr>
        <w:pStyle w:val="TOC1"/>
        <w:rPr>
          <w:rFonts w:asciiTheme="minorHAnsi" w:eastAsiaTheme="minorEastAsia" w:hAnsiTheme="minorHAnsi" w:cstheme="minorBidi"/>
          <w:b w:val="0"/>
          <w:noProof/>
          <w:sz w:val="22"/>
          <w:szCs w:val="22"/>
        </w:rPr>
      </w:pPr>
      <w:r>
        <w:fldChar w:fldCharType="begin"/>
      </w:r>
      <w:r>
        <w:instrText xml:space="preserve"> HYPERLINK \l "_Toc56159058" </w:instrText>
      </w:r>
      <w:r>
        <w:fldChar w:fldCharType="separate"/>
      </w:r>
      <w:r w:rsidRPr="00B9239C">
        <w:rPr>
          <w:rStyle w:val="Hyperlink"/>
          <w:noProof/>
        </w:rPr>
        <w:t>Article 8 General</w:t>
      </w:r>
      <w:r>
        <w:rPr>
          <w:noProof/>
          <w:webHidden/>
        </w:rPr>
        <w:tab/>
      </w:r>
      <w:r>
        <w:rPr>
          <w:noProof/>
          <w:webHidden/>
        </w:rPr>
        <w:fldChar w:fldCharType="begin"/>
      </w:r>
      <w:r>
        <w:rPr>
          <w:noProof/>
          <w:webHidden/>
        </w:rPr>
        <w:instrText xml:space="preserve"> PAGEREF _Toc56159058 \h </w:instrText>
      </w:r>
      <w:r>
        <w:rPr>
          <w:noProof/>
          <w:webHidden/>
        </w:rPr>
        <w:fldChar w:fldCharType="separate"/>
      </w:r>
      <w:r w:rsidR="00230E5B">
        <w:rPr>
          <w:noProof/>
          <w:webHidden/>
        </w:rPr>
        <w:t>42</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"_Toc56159059" </w:instrText>
      </w:r>
      <w:r>
        <w:fldChar w:fldCharType="separate"/>
      </w:r>
      <w:r w:rsidRPr="00B9239C">
        <w:rPr>
          <w:rStyle w:val="Hyperlink"/>
          <w:noProof/>
        </w:rPr>
        <w:t>8.1</w:t>
      </w:r>
      <w:r>
        <w:rPr>
          <w:rFonts w:asciiTheme="minorHAnsi" w:eastAsiaTheme="minorEastAsia" w:hAnsiTheme="minorHAnsi"/>
          <w:noProof/>
          <w:sz w:val="22"/>
          <w:szCs w:val="22"/>
        </w:rPr>
        <w:tab/>
      </w:r>
      <w:r w:rsidRPr="00B9239C">
        <w:rPr>
          <w:rStyle w:val="Hyperlink"/>
          <w:noProof/>
        </w:rPr>
        <w:t>[Irrevocable Proxy and Power of Attorney</w:t>
      </w:r>
      <w:r>
        <w:rPr>
          <w:noProof/>
          <w:webHidden/>
        </w:rPr>
        <w:tab/>
      </w:r>
      <w:r>
        <w:rPr>
          <w:noProof/>
          <w:webHidden/>
        </w:rPr>
        <w:fldChar w:fldCharType="begin"/>
      </w:r>
      <w:r>
        <w:rPr>
          <w:noProof/>
          <w:webHidden/>
        </w:rPr>
        <w:instrText xml:space="preserve"> PAGEREF _Toc56159059 \h </w:instrText>
      </w:r>
      <w:r>
        <w:rPr>
          <w:noProof/>
          <w:webHidden/>
        </w:rPr>
        <w:fldChar w:fldCharType="separate"/>
      </w:r>
      <w:r w:rsidR="00230E5B">
        <w:rPr>
          <w:noProof/>
          <w:webHidden/>
        </w:rPr>
        <w:t>42</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"_Toc56159060" </w:instrText>
      </w:r>
      <w:r>
        <w:fldChar w:fldCharType="separate"/>
      </w:r>
      <w:r w:rsidRPr="00B9239C">
        <w:rPr>
          <w:rStyle w:val="Hyperlink"/>
          <w:noProof/>
        </w:rPr>
        <w:t>8.2</w:t>
      </w:r>
      <w:r>
        <w:rPr>
          <w:rFonts w:asciiTheme="minorHAnsi" w:eastAsiaTheme="minorEastAsia" w:hAnsiTheme="minorHAnsi"/>
          <w:noProof/>
          <w:sz w:val="22"/>
          <w:szCs w:val="22"/>
        </w:rPr>
        <w:tab/>
      </w:r>
      <w:r w:rsidRPr="00B9239C">
        <w:rPr>
          <w:rStyle w:val="Hyperlink"/>
          <w:noProof/>
        </w:rPr>
        <w:t>Specific Enforcement</w:t>
      </w:r>
      <w:r>
        <w:rPr>
          <w:noProof/>
          <w:webHidden/>
        </w:rPr>
        <w:tab/>
      </w:r>
      <w:r>
        <w:rPr>
          <w:noProof/>
          <w:webHidden/>
        </w:rPr>
        <w:fldChar w:fldCharType="begin"/>
      </w:r>
      <w:r>
        <w:rPr>
          <w:noProof/>
          <w:webHidden/>
        </w:rPr>
        <w:instrText xml:space="preserve"> PAGEREF _Toc56159060 \h </w:instrText>
      </w:r>
      <w:r>
        <w:rPr>
          <w:noProof/>
          <w:webHidden/>
        </w:rPr>
        <w:fldChar w:fldCharType="separate"/>
      </w:r>
      <w:r w:rsidR="00230E5B">
        <w:rPr>
          <w:noProof/>
          <w:webHidden/>
        </w:rPr>
        <w:t>44</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"_Toc56159061" </w:instrText>
      </w:r>
      <w:r>
        <w:fldChar w:fldCharType="separate"/>
      </w:r>
      <w:r w:rsidRPr="00B9239C">
        <w:rPr>
          <w:rStyle w:val="Hyperlink"/>
          <w:noProof/>
        </w:rPr>
        <w:t>8.3</w:t>
      </w:r>
      <w:r>
        <w:rPr>
          <w:rFonts w:asciiTheme="minorHAnsi" w:eastAsiaTheme="minorEastAsia" w:hAnsiTheme="minorHAnsi"/>
          <w:noProof/>
          <w:sz w:val="22"/>
          <w:szCs w:val="22"/>
        </w:rPr>
        <w:tab/>
      </w:r>
      <w:r w:rsidRPr="00B9239C">
        <w:rPr>
          <w:rStyle w:val="Hyperlink"/>
          <w:noProof/>
        </w:rPr>
        <w:t>Remedies Cumulative</w:t>
      </w:r>
      <w:r>
        <w:rPr>
          <w:noProof/>
          <w:webHidden/>
        </w:rPr>
        <w:tab/>
      </w:r>
      <w:r>
        <w:rPr>
          <w:noProof/>
          <w:webHidden/>
        </w:rPr>
        <w:fldChar w:fldCharType="begin"/>
      </w:r>
      <w:r>
        <w:rPr>
          <w:noProof/>
          <w:webHidden/>
        </w:rPr>
        <w:instrText xml:space="preserve"> PAGEREF _Toc56159061 \h </w:instrText>
      </w:r>
      <w:r>
        <w:rPr>
          <w:noProof/>
          <w:webHidden/>
        </w:rPr>
        <w:fldChar w:fldCharType="separate"/>
      </w:r>
      <w:r w:rsidR="00230E5B">
        <w:rPr>
          <w:noProof/>
          <w:webHidden/>
        </w:rPr>
        <w:t>44</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"_Toc56159062" </w:instrText>
      </w:r>
      <w:r>
        <w:fldChar w:fldCharType="separate"/>
      </w:r>
      <w:r w:rsidRPr="00B9239C">
        <w:rPr>
          <w:rStyle w:val="Hyperlink"/>
          <w:noProof/>
        </w:rPr>
        <w:t>8.4</w:t>
      </w:r>
      <w:r>
        <w:rPr>
          <w:rFonts w:asciiTheme="minorHAnsi" w:eastAsiaTheme="minorEastAsia" w:hAnsiTheme="minorHAnsi"/>
          <w:noProof/>
          <w:sz w:val="22"/>
          <w:szCs w:val="22"/>
        </w:rPr>
        <w:tab/>
      </w:r>
      <w:r w:rsidRPr="00B9239C">
        <w:rPr>
          <w:rStyle w:val="Hyperlink"/>
          <w:noProof/>
        </w:rPr>
        <w:t>Term</w:t>
      </w:r>
      <w:r>
        <w:rPr>
          <w:noProof/>
          <w:webHidden/>
        </w:rPr>
        <w:tab/>
      </w:r>
      <w:r>
        <w:rPr>
          <w:noProof/>
          <w:webHidden/>
        </w:rPr>
        <w:fldChar w:fldCharType="begin"/>
      </w:r>
      <w:r>
        <w:rPr>
          <w:noProof/>
          <w:webHidden/>
        </w:rPr>
        <w:instrText xml:space="preserve"> PAGEREF _Toc56159062 \h </w:instrText>
      </w:r>
      <w:r>
        <w:rPr>
          <w:noProof/>
          <w:webHidden/>
        </w:rPr>
        <w:fldChar w:fldCharType="separate"/>
      </w:r>
      <w:r w:rsidR="00230E5B">
        <w:rPr>
          <w:noProof/>
          <w:webHidden/>
        </w:rPr>
        <w:t>44</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"_Toc56159063" </w:instrText>
      </w:r>
      <w:r>
        <w:fldChar w:fldCharType="separate"/>
      </w:r>
      <w:r w:rsidRPr="00B9239C">
        <w:rPr>
          <w:rStyle w:val="Hyperlink"/>
          <w:noProof/>
        </w:rPr>
        <w:t>8.5</w:t>
      </w:r>
      <w:r>
        <w:rPr>
          <w:rFonts w:asciiTheme="minorHAnsi" w:eastAsiaTheme="minorEastAsia" w:hAnsiTheme="minorHAnsi"/>
          <w:noProof/>
          <w:sz w:val="22"/>
          <w:szCs w:val="22"/>
        </w:rPr>
        <w:tab/>
      </w:r>
      <w:r w:rsidRPr="00B9239C">
        <w:rPr>
          <w:rStyle w:val="Hyperlink"/>
          <w:noProof/>
        </w:rPr>
        <w:t>Successors and Assigns</w:t>
      </w:r>
      <w:r>
        <w:rPr>
          <w:noProof/>
          <w:webHidden/>
        </w:rPr>
        <w:tab/>
      </w:r>
      <w:r>
        <w:rPr>
          <w:noProof/>
          <w:webHidden/>
        </w:rPr>
        <w:fldChar w:fldCharType="begin"/>
      </w:r>
      <w:r>
        <w:rPr>
          <w:noProof/>
          <w:webHidden/>
        </w:rPr>
        <w:instrText xml:space="preserve"> PAGEREF _Toc56159063 \h </w:instrText>
      </w:r>
      <w:r>
        <w:rPr>
          <w:noProof/>
          <w:webHidden/>
        </w:rPr>
        <w:fldChar w:fldCharType="separate"/>
      </w:r>
      <w:r w:rsidR="00230E5B">
        <w:rPr>
          <w:noProof/>
          <w:webHidden/>
        </w:rPr>
        <w:t>44</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"_Toc56159064" </w:instrText>
      </w:r>
      <w:r>
        <w:fldChar w:fldCharType="separate"/>
      </w:r>
      <w:r w:rsidRPr="00B9239C">
        <w:rPr>
          <w:rStyle w:val="Hyperlink"/>
          <w:noProof/>
        </w:rPr>
        <w:t>8.6</w:t>
      </w:r>
      <w:r>
        <w:rPr>
          <w:rFonts w:asciiTheme="minorHAnsi" w:eastAsiaTheme="minorEastAsia" w:hAnsiTheme="minorHAnsi"/>
          <w:noProof/>
          <w:sz w:val="22"/>
          <w:szCs w:val="22"/>
        </w:rPr>
        <w:tab/>
      </w:r>
      <w:r w:rsidRPr="00B9239C">
        <w:rPr>
          <w:rStyle w:val="Hyperlink"/>
          <w:noProof/>
        </w:rPr>
        <w:t>Governing Law</w:t>
      </w:r>
      <w:r>
        <w:rPr>
          <w:noProof/>
          <w:webHidden/>
        </w:rPr>
        <w:tab/>
      </w:r>
      <w:r>
        <w:rPr>
          <w:noProof/>
          <w:webHidden/>
        </w:rPr>
        <w:fldChar w:fldCharType="begin"/>
      </w:r>
      <w:r>
        <w:rPr>
          <w:noProof/>
          <w:webHidden/>
        </w:rPr>
        <w:instrText xml:space="preserve"> PAGEREF _Toc56159064 \h </w:instrText>
      </w:r>
      <w:r>
        <w:rPr>
          <w:noProof/>
          <w:webHidden/>
        </w:rPr>
        <w:fldChar w:fldCharType="separate"/>
      </w:r>
      <w:r w:rsidR="00230E5B">
        <w:rPr>
          <w:noProof/>
          <w:webHidden/>
        </w:rPr>
        <w:t>46</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"_Toc56159065" </w:instrText>
      </w:r>
      <w:r>
        <w:fldChar w:fldCharType="separate"/>
      </w:r>
      <w:r w:rsidRPr="00B9239C">
        <w:rPr>
          <w:rStyle w:val="Hyperlink"/>
          <w:noProof/>
        </w:rPr>
        <w:t>8.7</w:t>
      </w:r>
      <w:r>
        <w:rPr>
          <w:rFonts w:asciiTheme="minorHAnsi" w:eastAsiaTheme="minorEastAsia" w:hAnsiTheme="minorHAnsi"/>
          <w:noProof/>
          <w:sz w:val="22"/>
          <w:szCs w:val="22"/>
        </w:rPr>
        <w:tab/>
      </w:r>
      <w:r w:rsidRPr="00B9239C">
        <w:rPr>
          <w:rStyle w:val="Hyperlink"/>
          <w:noProof/>
        </w:rPr>
        <w:t>Counterparts</w:t>
      </w:r>
      <w:r>
        <w:rPr>
          <w:noProof/>
          <w:webHidden/>
        </w:rPr>
        <w:tab/>
      </w:r>
      <w:r>
        <w:rPr>
          <w:noProof/>
          <w:webHidden/>
        </w:rPr>
        <w:fldChar w:fldCharType="begin"/>
      </w:r>
      <w:r>
        <w:rPr>
          <w:noProof/>
          <w:webHidden/>
        </w:rPr>
        <w:instrText xml:space="preserve"> PAGEREF _Toc56159065 \h </w:instrText>
      </w:r>
      <w:r>
        <w:rPr>
          <w:noProof/>
          <w:webHidden/>
        </w:rPr>
        <w:fldChar w:fldCharType="separate"/>
      </w:r>
      <w:r w:rsidR="00230E5B">
        <w:rPr>
          <w:noProof/>
          <w:webHidden/>
        </w:rPr>
        <w:t>46</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"_Toc56159066" </w:instrText>
      </w:r>
      <w:r>
        <w:fldChar w:fldCharType="separate"/>
      </w:r>
      <w:r w:rsidRPr="00B9239C">
        <w:rPr>
          <w:rStyle w:val="Hyperlink"/>
          <w:noProof/>
        </w:rPr>
        <w:t>8.8</w:t>
      </w:r>
      <w:r>
        <w:rPr>
          <w:rFonts w:asciiTheme="minorHAnsi" w:eastAsiaTheme="minorEastAsia" w:hAnsiTheme="minorHAnsi"/>
          <w:noProof/>
          <w:sz w:val="22"/>
          <w:szCs w:val="22"/>
        </w:rPr>
        <w:tab/>
      </w:r>
      <w:r w:rsidRPr="00B9239C">
        <w:rPr>
          <w:rStyle w:val="Hyperlink"/>
          <w:noProof/>
        </w:rPr>
        <w:t>Notices</w:t>
      </w:r>
      <w:r>
        <w:rPr>
          <w:noProof/>
          <w:webHidden/>
        </w:rPr>
        <w:tab/>
      </w:r>
      <w:r>
        <w:rPr>
          <w:noProof/>
          <w:webHidden/>
        </w:rPr>
        <w:fldChar w:fldCharType="begin"/>
      </w:r>
      <w:r>
        <w:rPr>
          <w:noProof/>
          <w:webHidden/>
        </w:rPr>
        <w:instrText xml:space="preserve"> PAGEREF _Toc56159066 \h </w:instrText>
      </w:r>
      <w:r>
        <w:rPr>
          <w:noProof/>
          <w:webHidden/>
        </w:rPr>
        <w:fldChar w:fldCharType="separate"/>
      </w:r>
      <w:r w:rsidR="00230E5B">
        <w:rPr>
          <w:noProof/>
          <w:webHidden/>
        </w:rPr>
        <w:t>46</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"_Toc56159067" </w:instrText>
      </w:r>
      <w:r>
        <w:fldChar w:fldCharType="separate"/>
      </w:r>
      <w:r w:rsidRPr="00B9239C">
        <w:rPr>
          <w:rStyle w:val="Hyperlink"/>
          <w:noProof/>
        </w:rPr>
        <w:t>8.9</w:t>
      </w:r>
      <w:r>
        <w:rPr>
          <w:rFonts w:asciiTheme="minorHAnsi" w:eastAsiaTheme="minorEastAsia" w:hAnsiTheme="minorHAnsi"/>
          <w:noProof/>
          <w:sz w:val="22"/>
          <w:szCs w:val="22"/>
        </w:rPr>
        <w:tab/>
      </w:r>
      <w:r w:rsidRPr="00B9239C">
        <w:rPr>
          <w:rStyle w:val="Hyperlink"/>
          <w:noProof/>
        </w:rPr>
        <w:t>Consent Required to Amend, Terminate or Waive</w:t>
      </w:r>
      <w:r>
        <w:rPr>
          <w:noProof/>
          <w:webHidden/>
        </w:rPr>
        <w:tab/>
      </w:r>
      <w:r>
        <w:rPr>
          <w:noProof/>
          <w:webHidden/>
        </w:rPr>
        <w:fldChar w:fldCharType="begin"/>
      </w:r>
      <w:r>
        <w:rPr>
          <w:noProof/>
          <w:webHidden/>
        </w:rPr>
        <w:instrText xml:space="preserve"> PAGEREF _Toc56159067 \h </w:instrText>
      </w:r>
      <w:r>
        <w:rPr>
          <w:noProof/>
          <w:webHidden/>
        </w:rPr>
        <w:fldChar w:fldCharType="separate"/>
      </w:r>
      <w:r w:rsidR="00230E5B">
        <w:rPr>
          <w:noProof/>
          <w:webHidden/>
        </w:rPr>
        <w:t>47</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"_Toc56159068" </w:instrText>
      </w:r>
      <w:r>
        <w:fldChar w:fldCharType="separate"/>
      </w:r>
      <w:r w:rsidRPr="00B9239C">
        <w:rPr>
          <w:rStyle w:val="Hyperlink"/>
          <w:noProof/>
        </w:rPr>
        <w:t>8.10</w:t>
      </w:r>
      <w:r>
        <w:rPr>
          <w:rFonts w:asciiTheme="minorHAnsi" w:eastAsiaTheme="minorEastAsia" w:hAnsiTheme="minorHAnsi"/>
          <w:noProof/>
          <w:sz w:val="22"/>
          <w:szCs w:val="22"/>
        </w:rPr>
        <w:tab/>
      </w:r>
      <w:r w:rsidRPr="00B9239C">
        <w:rPr>
          <w:rStyle w:val="Hyperlink"/>
          <w:noProof/>
        </w:rPr>
        <w:t>Delays or Omissions</w:t>
      </w:r>
      <w:r>
        <w:rPr>
          <w:noProof/>
          <w:webHidden/>
        </w:rPr>
        <w:tab/>
      </w:r>
      <w:r>
        <w:rPr>
          <w:noProof/>
          <w:webHidden/>
        </w:rPr>
        <w:fldChar w:fldCharType="begin"/>
      </w:r>
      <w:r>
        <w:rPr>
          <w:noProof/>
          <w:webHidden/>
        </w:rPr>
        <w:instrText xml:space="preserve"> PAGEREF _Toc56159068 \h </w:instrText>
      </w:r>
      <w:r>
        <w:rPr>
          <w:noProof/>
          <w:webHidden/>
        </w:rPr>
        <w:fldChar w:fldCharType="separate"/>
      </w:r>
      <w:r w:rsidR="00230E5B">
        <w:rPr>
          <w:noProof/>
          <w:webHidden/>
        </w:rPr>
        <w:t>48</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"_Toc56159069" </w:instrText>
      </w:r>
      <w:r>
        <w:fldChar w:fldCharType="separate"/>
      </w:r>
      <w:r w:rsidRPr="00B9239C">
        <w:rPr>
          <w:rStyle w:val="Hyperlink"/>
          <w:noProof/>
        </w:rPr>
        <w:t>8.11</w:t>
      </w:r>
      <w:r>
        <w:rPr>
          <w:rFonts w:asciiTheme="minorHAnsi" w:eastAsiaTheme="minorEastAsia" w:hAnsiTheme="minorHAnsi"/>
          <w:noProof/>
          <w:sz w:val="22"/>
          <w:szCs w:val="22"/>
        </w:rPr>
        <w:tab/>
      </w:r>
      <w:r w:rsidRPr="00B9239C">
        <w:rPr>
          <w:rStyle w:val="Hyperlink"/>
          <w:noProof/>
        </w:rPr>
        <w:t>Severability</w:t>
      </w:r>
      <w:r>
        <w:rPr>
          <w:noProof/>
          <w:webHidden/>
        </w:rPr>
        <w:tab/>
      </w:r>
      <w:r>
        <w:rPr>
          <w:noProof/>
          <w:webHidden/>
        </w:rPr>
        <w:fldChar w:fldCharType="begin"/>
      </w:r>
      <w:r>
        <w:rPr>
          <w:noProof/>
          <w:webHidden/>
        </w:rPr>
        <w:instrText xml:space="preserve"> PAGEREF _Toc56159069 \h </w:instrText>
      </w:r>
      <w:r>
        <w:rPr>
          <w:noProof/>
          <w:webHidden/>
        </w:rPr>
        <w:fldChar w:fldCharType="separate"/>
      </w:r>
      <w:r w:rsidR="00230E5B">
        <w:rPr>
          <w:noProof/>
          <w:webHidden/>
        </w:rPr>
        <w:t>49</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"_Toc56159070" </w:instrText>
      </w:r>
      <w:r>
        <w:fldChar w:fldCharType="separate"/>
      </w:r>
      <w:r w:rsidRPr="00B9239C">
        <w:rPr>
          <w:rStyle w:val="Hyperlink"/>
          <w:noProof/>
        </w:rPr>
        <w:t>8.12</w:t>
      </w:r>
      <w:r>
        <w:rPr>
          <w:rFonts w:asciiTheme="minorHAnsi" w:eastAsiaTheme="minorEastAsia" w:hAnsiTheme="minorHAnsi"/>
          <w:noProof/>
          <w:sz w:val="22"/>
          <w:szCs w:val="22"/>
        </w:rPr>
        <w:tab/>
      </w:r>
      <w:r w:rsidRPr="00B9239C">
        <w:rPr>
          <w:rStyle w:val="Hyperlink"/>
          <w:noProof/>
        </w:rPr>
        <w:t>Share Splits, Share Dividends, and Recapitalizations</w:t>
      </w:r>
      <w:r>
        <w:rPr>
          <w:noProof/>
          <w:webHidden/>
        </w:rPr>
        <w:tab/>
      </w:r>
      <w:r>
        <w:rPr>
          <w:noProof/>
          <w:webHidden/>
        </w:rPr>
        <w:fldChar w:fldCharType="begin"/>
      </w:r>
      <w:r>
        <w:rPr>
          <w:noProof/>
          <w:webHidden/>
        </w:rPr>
        <w:instrText xml:space="preserve"> PAGEREF _Toc56159070 \h </w:instrText>
      </w:r>
      <w:r>
        <w:rPr>
          <w:noProof/>
          <w:webHidden/>
        </w:rPr>
        <w:fldChar w:fldCharType="separate"/>
      </w:r>
      <w:r w:rsidR="00230E5B">
        <w:rPr>
          <w:noProof/>
          <w:webHidden/>
        </w:rPr>
        <w:t>49</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"_Toc56159071" </w:instrText>
      </w:r>
      <w:r>
        <w:fldChar w:fldCharType="separate"/>
      </w:r>
      <w:r w:rsidRPr="00B9239C">
        <w:rPr>
          <w:rStyle w:val="Hyperlink"/>
          <w:noProof/>
        </w:rPr>
        <w:t>8.13</w:t>
      </w:r>
      <w:r>
        <w:rPr>
          <w:rFonts w:asciiTheme="minorHAnsi" w:eastAsiaTheme="minorEastAsia" w:hAnsiTheme="minorHAnsi"/>
          <w:noProof/>
          <w:sz w:val="22"/>
          <w:szCs w:val="22"/>
        </w:rPr>
        <w:tab/>
      </w:r>
      <w:r w:rsidRPr="00B9239C">
        <w:rPr>
          <w:rStyle w:val="Hyperlink"/>
          <w:noProof/>
        </w:rPr>
        <w:t>Manner of Voting</w:t>
      </w:r>
      <w:r>
        <w:rPr>
          <w:noProof/>
          <w:webHidden/>
        </w:rPr>
        <w:tab/>
      </w:r>
      <w:r>
        <w:rPr>
          <w:noProof/>
          <w:webHidden/>
        </w:rPr>
        <w:fldChar w:fldCharType="begin"/>
      </w:r>
      <w:r>
        <w:rPr>
          <w:noProof/>
          <w:webHidden/>
        </w:rPr>
        <w:instrText xml:space="preserve"> PAGEREF _Toc56159071 \h </w:instrText>
      </w:r>
      <w:r>
        <w:rPr>
          <w:noProof/>
          <w:webHidden/>
        </w:rPr>
        <w:fldChar w:fldCharType="separate"/>
      </w:r>
      <w:r w:rsidR="00230E5B">
        <w:rPr>
          <w:noProof/>
          <w:webHidden/>
        </w:rPr>
        <w:t>49</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"_Toc56159072" </w:instrText>
      </w:r>
      <w:r>
        <w:fldChar w:fldCharType="separate"/>
      </w:r>
      <w:r w:rsidRPr="00B9239C">
        <w:rPr>
          <w:rStyle w:val="Hyperlink"/>
          <w:noProof/>
        </w:rPr>
        <w:t>8.14</w:t>
      </w:r>
      <w:r>
        <w:rPr>
          <w:rFonts w:asciiTheme="minorHAnsi" w:eastAsiaTheme="minorEastAsia" w:hAnsiTheme="minorHAnsi"/>
          <w:noProof/>
          <w:sz w:val="22"/>
          <w:szCs w:val="22"/>
        </w:rPr>
        <w:tab/>
      </w:r>
      <w:r w:rsidRPr="00B9239C">
        <w:rPr>
          <w:rStyle w:val="Hyperlink"/>
          <w:noProof/>
        </w:rPr>
        <w:t>Further Assurances</w:t>
      </w:r>
      <w:r>
        <w:rPr>
          <w:noProof/>
          <w:webHidden/>
        </w:rPr>
        <w:tab/>
      </w:r>
      <w:r>
        <w:rPr>
          <w:noProof/>
          <w:webHidden/>
        </w:rPr>
        <w:fldChar w:fldCharType="begin"/>
      </w:r>
      <w:r>
        <w:rPr>
          <w:noProof/>
          <w:webHidden/>
        </w:rPr>
        <w:instrText xml:space="preserve"> PAGEREF _Toc56159072 \h </w:instrText>
      </w:r>
      <w:r>
        <w:rPr>
          <w:noProof/>
          <w:webHidden/>
        </w:rPr>
        <w:fldChar w:fldCharType="separate"/>
      </w:r>
      <w:r w:rsidR="00230E5B">
        <w:rPr>
          <w:noProof/>
          <w:webHidden/>
        </w:rPr>
        <w:t>49</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"_Toc56159073" </w:instrText>
      </w:r>
      <w:r>
        <w:fldChar w:fldCharType="separate"/>
      </w:r>
      <w:r w:rsidRPr="00B9239C">
        <w:rPr>
          <w:rStyle w:val="Hyperlink"/>
          <w:noProof/>
        </w:rPr>
        <w:t>8.15</w:t>
      </w:r>
      <w:r>
        <w:rPr>
          <w:rFonts w:asciiTheme="minorHAnsi" w:eastAsiaTheme="minorEastAsia" w:hAnsiTheme="minorHAnsi"/>
          <w:noProof/>
          <w:sz w:val="22"/>
          <w:szCs w:val="22"/>
        </w:rPr>
        <w:tab/>
      </w:r>
      <w:r w:rsidRPr="00B9239C">
        <w:rPr>
          <w:rStyle w:val="Hyperlink"/>
          <w:noProof/>
        </w:rPr>
        <w:t>Dispute Resolution</w:t>
      </w:r>
      <w:r>
        <w:rPr>
          <w:noProof/>
          <w:webHidden/>
        </w:rPr>
        <w:tab/>
      </w:r>
      <w:r>
        <w:rPr>
          <w:noProof/>
          <w:webHidden/>
        </w:rPr>
        <w:fldChar w:fldCharType="begin"/>
      </w:r>
      <w:r>
        <w:rPr>
          <w:noProof/>
          <w:webHidden/>
        </w:rPr>
        <w:instrText xml:space="preserve"> PAGEREF _Toc56159073 \h </w:instrText>
      </w:r>
      <w:r>
        <w:rPr>
          <w:noProof/>
          <w:webHidden/>
        </w:rPr>
        <w:fldChar w:fldCharType="separate"/>
      </w:r>
      <w:r w:rsidR="00230E5B">
        <w:rPr>
          <w:noProof/>
          <w:webHidden/>
        </w:rPr>
        <w:t>49</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"_Toc56159074" </w:instrText>
      </w:r>
      <w:r>
        <w:fldChar w:fldCharType="separate"/>
      </w:r>
      <w:r w:rsidRPr="00B9239C">
        <w:rPr>
          <w:rStyle w:val="Hyperlink"/>
          <w:noProof/>
        </w:rPr>
        <w:t>8.16</w:t>
      </w:r>
      <w:r>
        <w:rPr>
          <w:rFonts w:asciiTheme="minorHAnsi" w:eastAsiaTheme="minorEastAsia" w:hAnsiTheme="minorHAnsi"/>
          <w:noProof/>
          <w:sz w:val="22"/>
          <w:szCs w:val="22"/>
        </w:rPr>
        <w:tab/>
      </w:r>
      <w:r w:rsidRPr="00B9239C">
        <w:rPr>
          <w:rStyle w:val="Hyperlink"/>
          <w:noProof/>
        </w:rPr>
        <w:t>[Costs of Enforcement</w:t>
      </w:r>
      <w:r>
        <w:rPr>
          <w:noProof/>
          <w:webHidden/>
        </w:rPr>
        <w:tab/>
      </w:r>
      <w:r>
        <w:rPr>
          <w:noProof/>
          <w:webHidden/>
        </w:rPr>
        <w:fldChar w:fldCharType="begin"/>
      </w:r>
      <w:r>
        <w:rPr>
          <w:noProof/>
          <w:webHidden/>
        </w:rPr>
        <w:instrText xml:space="preserve"> PAGEREF _Toc56159074 \h </w:instrText>
      </w:r>
      <w:r>
        <w:rPr>
          <w:noProof/>
          <w:webHidden/>
        </w:rPr>
        <w:fldChar w:fldCharType="separate"/>
      </w:r>
      <w:r w:rsidR="00230E5B">
        <w:rPr>
          <w:noProof/>
          <w:webHidden/>
        </w:rPr>
        <w:t>51</w:t>
      </w:r>
      <w:r>
        <w:rPr>
          <w:noProof/>
          <w:webHidden/>
        </w:rPr>
        <w:fldChar w:fldCharType="end"/>
      </w:r>
      <w:r>
        <w:fldChar w:fldCharType="end"/>
      </w:r>
    </w:p>
    <w:p w:rsidR="00B22DAD">
      <w:pPr>
        <w:pStyle w:val="TOC2"/>
        <w:tabs>
          <w:tab w:val="left" w:pos="1440"/>
        </w:tabs>
        <w:rPr>
          <w:rFonts w:asciiTheme="minorHAnsi" w:eastAsiaTheme="minorEastAsia" w:hAnsiTheme="minorHAnsi"/>
          <w:noProof/>
          <w:sz w:val="22"/>
          <w:szCs w:val="22"/>
        </w:rPr>
      </w:pPr>
      <w:r>
        <w:fldChar w:fldCharType="begin"/>
      </w:r>
      <w:r>
        <w:instrText xml:space="preserve"> HYPERLINK \l "_Toc56159075" </w:instrText>
      </w:r>
      <w:r>
        <w:fldChar w:fldCharType="separate"/>
      </w:r>
      <w:r w:rsidRPr="00B9239C">
        <w:rPr>
          <w:rStyle w:val="Hyperlink"/>
          <w:noProof/>
        </w:rPr>
        <w:t>8.17</w:t>
      </w:r>
      <w:r>
        <w:rPr>
          <w:rFonts w:asciiTheme="minorHAnsi" w:eastAsiaTheme="minorEastAsia" w:hAnsiTheme="minorHAnsi"/>
          <w:noProof/>
          <w:sz w:val="22"/>
          <w:szCs w:val="22"/>
        </w:rPr>
        <w:tab/>
      </w:r>
      <w:r w:rsidRPr="00B9239C">
        <w:rPr>
          <w:rStyle w:val="Hyperlink"/>
          <w:noProof/>
        </w:rPr>
        <w:t>Aggregation of Shares</w:t>
      </w:r>
      <w:r>
        <w:rPr>
          <w:noProof/>
          <w:webHidden/>
        </w:rPr>
        <w:tab/>
      </w:r>
      <w:r>
        <w:rPr>
          <w:noProof/>
          <w:webHidden/>
        </w:rPr>
        <w:fldChar w:fldCharType="begin"/>
      </w:r>
      <w:r>
        <w:rPr>
          <w:noProof/>
          <w:webHidden/>
        </w:rPr>
        <w:instrText xml:space="preserve"> PAGEREF _Toc56159075 \h </w:instrText>
      </w:r>
      <w:r>
        <w:rPr>
          <w:noProof/>
          <w:webHidden/>
        </w:rPr>
        <w:fldChar w:fldCharType="separate"/>
      </w:r>
      <w:r w:rsidR="00230E5B">
        <w:rPr>
          <w:noProof/>
          <w:webHidden/>
        </w:rPr>
        <w:t>51</w:t>
      </w:r>
      <w:r>
        <w:rPr>
          <w:noProof/>
          <w:webHidden/>
        </w:rPr>
        <w:fldChar w:fldCharType="end"/>
      </w:r>
      <w:r>
        <w:fldChar w:fldCharType="end"/>
      </w:r>
    </w:p>
    <w:p w:rsidR="008D486F" w:rsidP="008D486F">
      <w:r>
        <w:fldChar w:fldCharType="end"/>
      </w:r>
    </w:p>
    <w:p w:rsidR="008D486F">
      <w:pPr>
        <w:jc w:val="left"/>
      </w:pPr>
      <w:r>
        <w:br w:type="page"/>
      </w:r>
    </w:p>
    <w:p w:rsidR="00C20A1A" w:rsidP="008D486F">
      <w:pPr>
        <w:rPr>
          <w:b/>
        </w:rPr>
      </w:pPr>
      <w:r w:rsidRPr="008D486F">
        <w:rPr>
          <w:b/>
        </w:rPr>
        <w:t>SCHEDULES</w:t>
      </w:r>
    </w:p>
    <w:p w:rsidR="008D486F" w:rsidRPr="008D486F" w:rsidP="008D486F">
      <w:pPr>
        <w:rPr>
          <w:b/>
        </w:rPr>
      </w:pPr>
    </w:p>
    <w:p w:rsidR="00C20A1A">
      <w:pPr>
        <w:pStyle w:val="BodyText"/>
        <w:spacing w:after="0"/>
      </w:pPr>
      <w:r>
        <w:fldChar w:fldCharType="begin"/>
      </w:r>
      <w:r>
        <w:instrText xml:space="preserve"> REF _Ref448392755 \r \h </w:instrText>
      </w:r>
      <w:r>
        <w:fldChar w:fldCharType="separate"/>
      </w:r>
      <w:r w:rsidR="00230E5B">
        <w:t>Schedule A</w:t>
      </w:r>
      <w:r>
        <w:fldChar w:fldCharType="end"/>
      </w:r>
      <w:r>
        <w:t xml:space="preserve"> </w:t>
      </w:r>
      <w:r>
        <w:tab/>
        <w:t>-</w:t>
      </w:r>
      <w:r>
        <w:tab/>
        <w:t>Investors</w:t>
      </w:r>
    </w:p>
    <w:p w:rsidR="00C20A1A">
      <w:pPr>
        <w:pStyle w:val="BodyText"/>
        <w:spacing w:after="0"/>
      </w:pPr>
      <w:r>
        <w:fldChar w:fldCharType="begin"/>
      </w:r>
      <w:r>
        <w:instrText xml:space="preserve"> REF _Ref448392756 \r \h </w:instrText>
      </w:r>
      <w:r>
        <w:fldChar w:fldCharType="separate"/>
      </w:r>
      <w:r w:rsidR="00230E5B">
        <w:t>Schedule B</w:t>
      </w:r>
      <w:r>
        <w:fldChar w:fldCharType="end"/>
      </w:r>
      <w:r>
        <w:tab/>
        <w:t>-</w:t>
      </w:r>
      <w:r>
        <w:tab/>
        <w:t>Key Holders</w:t>
      </w:r>
    </w:p>
    <w:p w:rsidR="00C20A1A">
      <w:pPr>
        <w:pStyle w:val="BodyText"/>
        <w:spacing w:after="0"/>
      </w:pPr>
      <w:r>
        <w:fldChar w:fldCharType="begin"/>
      </w:r>
      <w:r>
        <w:instrText xml:space="preserve"> REF _Ref464467950 \r \h </w:instrText>
      </w:r>
      <w:r>
        <w:fldChar w:fldCharType="separate"/>
      </w:r>
      <w:r w:rsidR="00230E5B">
        <w:t>Schedule C</w:t>
      </w:r>
      <w:r>
        <w:fldChar w:fldCharType="end"/>
      </w:r>
      <w:r>
        <w:tab/>
        <w:t>-</w:t>
      </w:r>
      <w:r>
        <w:tab/>
        <w:t>Adoption Agreement</w:t>
      </w:r>
    </w:p>
    <w:p w:rsidR="00C20A1A" w:rsidP="00C968F6">
      <w:pPr>
        <w:pStyle w:val="BodyText"/>
        <w:spacing w:after="0"/>
      </w:pPr>
      <w:r>
        <w:fldChar w:fldCharType="begin"/>
      </w:r>
      <w:r>
        <w:instrText xml:space="preserve"> REF _Ref463459682 \r \h </w:instrText>
      </w:r>
      <w:r>
        <w:fldChar w:fldCharType="separate"/>
      </w:r>
      <w:r w:rsidR="00230E5B">
        <w:t>Schedule D</w:t>
      </w:r>
      <w:r>
        <w:fldChar w:fldCharType="end"/>
      </w:r>
      <w:r>
        <w:tab/>
        <w:t>-</w:t>
      </w:r>
      <w:r>
        <w:tab/>
        <w:t>Registration Rights</w:t>
      </w:r>
    </w:p>
    <w:p w:rsidR="00C20A1A">
      <w:pPr>
        <w:pStyle w:val="BodyText"/>
        <w:sectPr>
          <w:footerReference w:type="default" r:id="rId8"/>
          <w:footerReference w:type="first" r:id="rId9"/>
          <w:pgSz w:w="12240" w:h="15840"/>
          <w:pgMar w:top="1440" w:right="1440" w:bottom="1440" w:left="1440" w:header="720" w:footer="720" w:gutter="0"/>
          <w:pgNumType w:fmt="lowerRoman" w:start="1"/>
          <w:cols w:space="720"/>
          <w:titlePg/>
          <w:docGrid w:linePitch="360"/>
        </w:sectPr>
      </w:pPr>
      <w:r>
        <w:t xml:space="preserve"> </w:t>
      </w:r>
    </w:p>
    <w:p w:rsidR="00D206B0" w:rsidP="00D206B0">
      <w:pPr>
        <w:pStyle w:val="BodyTextBold"/>
      </w:pPr>
      <w:r>
        <w:t>CONFIDENTIAL</w:t>
      </w:r>
      <w:r>
        <w:rPr>
          <w:rStyle w:val="FootnoteReference"/>
        </w:rPr>
        <w:footnoteReference w:id="3"/>
      </w:r>
    </w:p>
    <w:p w:rsidR="00C20A1A" w:rsidP="00BC361D">
      <w:pPr>
        <w:pStyle w:val="CenteredBold"/>
      </w:pPr>
      <w:r>
        <w:t>[AMENDED AND RESTATED] [UNANIMOUS] SHAREHOLDERS AGREEMENT</w:t>
      </w:r>
      <w:r>
        <w:rPr>
          <w:rStyle w:val="FootnoteReference"/>
        </w:rPr>
        <w:footnoteReference w:id="4"/>
      </w:r>
    </w:p>
    <w:p w:rsidR="00C20A1A">
      <w:pPr>
        <w:pStyle w:val="BodyText"/>
      </w:pPr>
      <w:r>
        <w:rPr>
          <w:b/>
          <w:bCs/>
        </w:rPr>
        <w:t>THIS AGREEMENT</w:t>
      </w:r>
      <w:r>
        <w:t xml:space="preserve"> is made as of [</w:t>
      </w:r>
      <w:r>
        <w:rPr>
          <w:rFonts w:ascii="Symbol" w:hAnsi="Symbol"/>
          <w:b/>
          <w:bCs/>
        </w:rPr>
        <w:sym w:font="Symbol" w:char="F0B7"/>
      </w:r>
      <w:r>
        <w:t>], 20</w:t>
      </w:r>
      <w:r>
        <w:rPr>
          <w:rFonts w:ascii="Symbol" w:hAnsi="Symbol"/>
        </w:rPr>
        <w:sym w:font="Symbol" w:char="F0B7"/>
      </w:r>
    </w:p>
    <w:p w:rsidR="00C20A1A" w:rsidP="00BC361D">
      <w:pPr>
        <w:pStyle w:val="BodyTextBold"/>
      </w:pPr>
      <w:r>
        <w:t>B E T W E E N:</w:t>
      </w:r>
    </w:p>
    <w:p w:rsidR="00C20A1A">
      <w:pPr>
        <w:pStyle w:val="Parties"/>
      </w:pPr>
      <w:r>
        <w:rPr>
          <w:rFonts w:ascii="Symbol" w:hAnsi="Symbol"/>
          <w:b/>
          <w:bCs/>
        </w:rPr>
        <w:sym w:font="Symbol" w:char="F0B7"/>
      </w:r>
      <w:r>
        <w:rPr>
          <w:b/>
          <w:bCs/>
        </w:rPr>
        <w:t xml:space="preserve"> [NAME OF CORPORATION]</w:t>
      </w:r>
      <w:r>
        <w:t xml:space="preserve">, a corporation incorporated under </w:t>
      </w:r>
      <w:r>
        <w:rPr>
          <w:b/>
          <w:bCs/>
        </w:rPr>
        <w:t>[OBCA, CBCA, other]</w:t>
      </w:r>
      <w:r>
        <w:t xml:space="preserve"> (the "</w:t>
      </w:r>
      <w:r>
        <w:rPr>
          <w:b/>
          <w:bCs/>
        </w:rPr>
        <w:t>Company</w:t>
      </w:r>
      <w:r>
        <w:t>")</w:t>
      </w:r>
    </w:p>
    <w:p w:rsidR="00C20A1A">
      <w:pPr>
        <w:pStyle w:val="Parties"/>
      </w:pPr>
      <w:r>
        <w:t>- and -</w:t>
      </w:r>
    </w:p>
    <w:p w:rsidR="00C20A1A">
      <w:pPr>
        <w:pStyle w:val="Parties"/>
      </w:pPr>
      <w:r>
        <w:t xml:space="preserve">Each Person listed in </w:t>
      </w:r>
      <w:r>
        <w:fldChar w:fldCharType="begin"/>
      </w:r>
      <w:r>
        <w:instrText xml:space="preserve"> REF _Ref448392755 \w \h </w:instrText>
      </w:r>
      <w:r>
        <w:fldChar w:fldCharType="separate"/>
      </w:r>
      <w:r w:rsidR="00230E5B">
        <w:t>Schedule A</w:t>
      </w:r>
      <w:r>
        <w:fldChar w:fldCharType="end"/>
      </w:r>
      <w:r w:rsidR="00BE27A4">
        <w:t xml:space="preserve"> or </w:t>
      </w:r>
      <w:r w:rsidR="00BE27A4">
        <w:fldChar w:fldCharType="begin"/>
      </w:r>
      <w:r w:rsidR="00BE27A4">
        <w:instrText xml:space="preserve"> REF _Ref56325246 \r \h \t</w:instrText>
      </w:r>
      <w:r w:rsidR="00BE27A4">
        <w:fldChar w:fldCharType="separate"/>
      </w:r>
      <w:r w:rsidR="00230E5B">
        <w:t>B</w:t>
      </w:r>
      <w:r w:rsidR="00BE27A4">
        <w:fldChar w:fldCharType="end"/>
      </w:r>
      <w:r>
        <w:t xml:space="preserve"> and any Person who becomes a party to this Agreement in accordance with the terms of this Agreement (each a "</w:t>
      </w:r>
      <w:r>
        <w:rPr>
          <w:b/>
          <w:bCs/>
        </w:rPr>
        <w:t>Shareholder</w:t>
      </w:r>
      <w:r>
        <w:t>" and collectively the "</w:t>
      </w:r>
      <w:r>
        <w:rPr>
          <w:b/>
          <w:bCs/>
        </w:rPr>
        <w:t>Shareholders</w:t>
      </w:r>
      <w:r>
        <w:t>")</w:t>
      </w:r>
    </w:p>
    <w:p w:rsidR="00C20A1A" w:rsidP="00BC361D">
      <w:pPr>
        <w:pStyle w:val="BodyTextBold"/>
      </w:pPr>
      <w:r>
        <w:t>RECITAL[S]</w:t>
      </w:r>
    </w:p>
    <w:p w:rsidR="00C20A1A">
      <w:pPr>
        <w:pStyle w:val="RecitalsL1"/>
      </w:pPr>
      <w:r>
        <w:t>The parties have entered into this Agreement to record their agreement as to the manner in which the Company's affairs are to be conducted, and to grant certain rights and obligations with respect to the issuance and ownership of the securities of the Company.</w:t>
      </w:r>
    </w:p>
    <w:p w:rsidR="00C20A1A">
      <w:pPr>
        <w:pStyle w:val="RecitalsL1"/>
      </w:pPr>
      <w:r>
        <w:t xml:space="preserve">This Agreement </w:t>
      </w:r>
      <w:r>
        <w:rPr>
          <w:b/>
          <w:bCs/>
        </w:rPr>
        <w:t>[amends/replaces] [terminates]</w:t>
      </w:r>
      <w:r>
        <w:t xml:space="preserve"> and </w:t>
      </w:r>
      <w:r>
        <w:rPr>
          <w:b/>
          <w:bCs/>
        </w:rPr>
        <w:t>[restates/supersedes]</w:t>
      </w:r>
      <w:r>
        <w:t xml:space="preserve">, </w:t>
      </w:r>
      <w:r w:rsidRPr="00D8327F">
        <w:rPr>
          <w:b/>
        </w:rPr>
        <w:t>[in its entirety]</w:t>
      </w:r>
      <w:r>
        <w:t xml:space="preserve"> for all purposes and in all respects, the shareholders agreement between the Company, and </w:t>
      </w:r>
      <w:r>
        <w:rPr>
          <w:b/>
          <w:bCs/>
        </w:rPr>
        <w:t>[all/certain]</w:t>
      </w:r>
      <w:r>
        <w:t xml:space="preserve"> of its shareholders </w:t>
      </w:r>
      <w:r>
        <w:rPr>
          <w:b/>
          <w:bCs/>
        </w:rPr>
        <w:t>[and others]</w:t>
      </w:r>
      <w:r>
        <w:t xml:space="preserve"> dated </w:t>
      </w:r>
      <w:r>
        <w:rPr>
          <w:rFonts w:ascii="Symbol" w:hAnsi="Symbol"/>
          <w:b/>
          <w:bCs/>
        </w:rPr>
        <w:sym w:font="Symbol" w:char="F0B7"/>
      </w:r>
      <w:r>
        <w:t>.</w:t>
      </w:r>
    </w:p>
    <w:p w:rsidR="00C20A1A" w:rsidP="00BC361D">
      <w:pPr>
        <w:pStyle w:val="BodyText"/>
      </w:pPr>
    </w:p>
    <w:p w:rsidR="00C20A1A">
      <w:pPr>
        <w:pStyle w:val="BodyText"/>
      </w:pPr>
      <w:r>
        <w:rPr>
          <w:b/>
          <w:bCs/>
        </w:rPr>
        <w:t>NOW THEREFORE</w:t>
      </w:r>
      <w:r>
        <w:t xml:space="preserve"> the parties agree as follows:</w:t>
      </w:r>
    </w:p>
    <w:p w:rsidR="00C20A1A">
      <w:pPr>
        <w:pStyle w:val="ArticleBJL1"/>
      </w:pPr>
      <w:r>
        <w:br/>
      </w:r>
      <w:bookmarkStart w:id="5" w:name="_Toc463463863"/>
      <w:bookmarkStart w:id="6" w:name="_Toc56159004"/>
      <w:r>
        <w:t>Interpretation</w:t>
      </w:r>
      <w:bookmarkEnd w:id="5"/>
      <w:bookmarkEnd w:id="6"/>
    </w:p>
    <w:p w:rsidR="00C20A1A">
      <w:pPr>
        <w:pStyle w:val="ArticleBJL2"/>
      </w:pPr>
      <w:bookmarkStart w:id="7" w:name="_Toc463463864"/>
      <w:bookmarkStart w:id="8" w:name="_Toc481488812"/>
      <w:bookmarkStart w:id="9" w:name="_Toc56159005"/>
      <w:r>
        <w:t>Definitions</w:t>
      </w:r>
      <w:bookmarkEnd w:id="7"/>
      <w:bookmarkEnd w:id="8"/>
      <w:bookmarkEnd w:id="9"/>
    </w:p>
    <w:p w:rsidR="00C20A1A">
      <w:pPr>
        <w:pStyle w:val="ArticleBJCont2"/>
        <w:keepNext/>
      </w:pPr>
      <w:r>
        <w:t>In this Agreement:</w:t>
      </w:r>
    </w:p>
    <w:p w:rsidR="00C20A1A" w:rsidP="007A11CE">
      <w:pPr>
        <w:pStyle w:val="ArticleBJ2Cont2"/>
      </w:pPr>
      <w:r>
        <w:t>"</w:t>
      </w:r>
      <w:r w:rsidRPr="007A11CE">
        <w:rPr>
          <w:b/>
        </w:rPr>
        <w:t>Act</w:t>
      </w:r>
      <w:r>
        <w:t xml:space="preserve">" means </w:t>
      </w:r>
      <w:r w:rsidRPr="007A11CE">
        <w:rPr>
          <w:b/>
        </w:rPr>
        <w:t>[</w:t>
      </w:r>
      <w:r w:rsidRPr="007A11CE">
        <w:rPr>
          <w:b/>
          <w:i/>
        </w:rPr>
        <w:t>CBCA or OBCA or other business corporation statute</w:t>
      </w:r>
      <w:r w:rsidRPr="007A11CE">
        <w:rPr>
          <w:b/>
        </w:rPr>
        <w:t>]</w:t>
      </w:r>
      <w:r>
        <w:t>.</w:t>
      </w:r>
    </w:p>
    <w:p w:rsidR="00C20A1A" w:rsidP="001D3FDF">
      <w:pPr>
        <w:pStyle w:val="ArticleBJ2Cont2"/>
      </w:pPr>
      <w:r w:rsidRPr="00BE27A4">
        <w:t>"</w:t>
      </w:r>
      <w:r w:rsidRPr="00BE27A4">
        <w:rPr>
          <w:b/>
        </w:rPr>
        <w:t>Affiliate</w:t>
      </w:r>
      <w:r w:rsidRPr="00BE27A4">
        <w:t xml:space="preserve">" means, with respect to any Person, any other Person who directly or indirectly, controls, is controlled by or is under common control with such Person, including any general partner, managing member, officer or director of such Person, or any venture capital fund or other investment fund now or hereafter existing that is controlled by one or more general partners or </w:t>
      </w:r>
      <w:r w:rsidRPr="00BE27A4">
        <w:t>managing members or investment advisors of, or shares the same management company or investment adviser with, such Person.</w:t>
      </w:r>
      <w:r>
        <w:rPr>
          <w:rStyle w:val="FootnoteReference"/>
          <w:bCs/>
        </w:rPr>
        <w:footnoteReference w:id="5"/>
      </w:r>
    </w:p>
    <w:p w:rsidR="00C20A1A" w:rsidP="007A11CE">
      <w:pPr>
        <w:pStyle w:val="ArticleBJ2Cont2"/>
      </w:pPr>
      <w:r>
        <w:t>"</w:t>
      </w:r>
      <w:r w:rsidRPr="007A11CE">
        <w:rPr>
          <w:b/>
        </w:rPr>
        <w:t>Agreement</w:t>
      </w:r>
      <w:r>
        <w:t>" means this agreement and all schedules attached hereto and any and all amendments hereto from to time to time.</w:t>
      </w:r>
    </w:p>
    <w:p w:rsidR="00C20A1A" w:rsidP="007A11CE">
      <w:pPr>
        <w:pStyle w:val="ArticleBJ2Cont2"/>
      </w:pPr>
      <w:r>
        <w:t>"</w:t>
      </w:r>
      <w:r w:rsidRPr="007A11CE">
        <w:rPr>
          <w:b/>
        </w:rPr>
        <w:t>Articles</w:t>
      </w:r>
      <w:r>
        <w:t>" means the Company's articles of incorporation or amalgamation, and all amendments made to them from time to time.</w:t>
      </w:r>
    </w:p>
    <w:p w:rsidR="00C20A1A" w:rsidP="007A11CE">
      <w:pPr>
        <w:pStyle w:val="ArticleBJ2Cont2"/>
      </w:pPr>
      <w:r>
        <w:t>"</w:t>
      </w:r>
      <w:r w:rsidRPr="007A11CE">
        <w:rPr>
          <w:b/>
        </w:rPr>
        <w:t>Board</w:t>
      </w:r>
      <w:r>
        <w:t>" means the board of directors of the Company.</w:t>
      </w:r>
    </w:p>
    <w:p w:rsidR="00C20A1A" w:rsidP="007A11CE">
      <w:pPr>
        <w:pStyle w:val="ArticleBJ2Cont2"/>
      </w:pPr>
      <w:r>
        <w:t>"</w:t>
      </w:r>
      <w:r w:rsidRPr="007A11CE">
        <w:rPr>
          <w:b/>
        </w:rPr>
        <w:t>By-laws</w:t>
      </w:r>
      <w:r>
        <w:t>" means the Company's by-laws, and all amendments made to them from time to time.</w:t>
      </w:r>
    </w:p>
    <w:p w:rsidR="00C20A1A" w:rsidP="007A11CE">
      <w:pPr>
        <w:pStyle w:val="ArticleBJ2Cont2"/>
      </w:pPr>
      <w:r>
        <w:t>"</w:t>
      </w:r>
      <w:r w:rsidRPr="007A11CE">
        <w:rPr>
          <w:b/>
        </w:rPr>
        <w:t>Canadian Securities Laws</w:t>
      </w:r>
      <w:r>
        <w:t>" means the securities laws of each province and territory of Canada, and the rules, instruments, regulations notices and policies of each securities commission or other securities regulatory authority in each province or territory of Canada.</w:t>
      </w:r>
    </w:p>
    <w:p w:rsidR="00C20A1A">
      <w:pPr>
        <w:pStyle w:val="ArticleBJCont2"/>
      </w:pPr>
      <w:r>
        <w:t>"</w:t>
      </w:r>
      <w:r>
        <w:rPr>
          <w:b/>
          <w:bCs/>
        </w:rPr>
        <w:t>Class A Director</w:t>
      </w:r>
      <w:r>
        <w:t xml:space="preserve">" means any director of the Company that the holders of the Class A Preferred Shares are entitled to elect pursuant to </w:t>
      </w:r>
      <w:r>
        <w:rPr>
          <w:b/>
          <w:bCs/>
        </w:rPr>
        <w:t>[the Articles/this Agreement]</w:t>
      </w:r>
      <w:r>
        <w:t>.</w:t>
      </w:r>
    </w:p>
    <w:p w:rsidR="00C20A1A">
      <w:pPr>
        <w:pStyle w:val="ArticleBJCont2"/>
      </w:pPr>
      <w:r>
        <w:t>"</w:t>
      </w:r>
      <w:r>
        <w:rPr>
          <w:b/>
          <w:bCs/>
        </w:rPr>
        <w:t>Class A Preferred Shares</w:t>
      </w:r>
      <w:r>
        <w:t>" means the Class A Preferred Shares of the Company.</w:t>
      </w:r>
    </w:p>
    <w:p w:rsidR="00C20A1A">
      <w:pPr>
        <w:pStyle w:val="ArticleBJCont2"/>
      </w:pPr>
      <w:r>
        <w:t>"</w:t>
      </w:r>
      <w:r>
        <w:rPr>
          <w:b/>
          <w:bCs/>
        </w:rPr>
        <w:t>Common Shares</w:t>
      </w:r>
      <w:r>
        <w:t>" means Common Shares of the Company.</w:t>
      </w:r>
    </w:p>
    <w:p w:rsidR="00C20A1A">
      <w:pPr>
        <w:pStyle w:val="ArticleBJCont2"/>
      </w:pPr>
      <w:r>
        <w:t>"</w:t>
      </w:r>
      <w:r>
        <w:rPr>
          <w:b/>
          <w:bCs/>
        </w:rPr>
        <w:t>Company Notice</w:t>
      </w:r>
      <w:r>
        <w:t>" means written notice from the Company notifying the selling Key Holders that the Company intends to exercise its Right of First Refusal as to some or all of the Transfer Shares with respect to any Proposed Key Holder Transfer.</w:t>
      </w:r>
    </w:p>
    <w:p w:rsidR="00C20A1A" w:rsidP="001D3FDF">
      <w:pPr>
        <w:pStyle w:val="ArticleBJCont2"/>
        <w:rPr>
          <w:b/>
          <w:bCs/>
        </w:rPr>
      </w:pPr>
      <w:r w:rsidRPr="00BE27A4">
        <w:rPr>
          <w:bCs/>
        </w:rPr>
        <w:t>"</w:t>
      </w:r>
      <w:r w:rsidRPr="00BE27A4">
        <w:rPr>
          <w:b/>
          <w:bCs/>
        </w:rPr>
        <w:t>Competitor</w:t>
      </w:r>
      <w:r w:rsidRPr="00BE27A4">
        <w:rPr>
          <w:bCs/>
        </w:rPr>
        <w:t>" means a Person engaged, directly or indirectly (including through any partnership, limited liability company, corporation, joint venture or similar arrangement (whether now existing or formed hereafter)), in [</w:t>
      </w:r>
      <w:r w:rsidRPr="00BE27A4">
        <w:rPr>
          <w:bCs/>
          <w:i/>
          <w:iCs/>
        </w:rPr>
        <w:t>description of business</w:t>
      </w:r>
      <w:r w:rsidRPr="00BE27A4">
        <w:rPr>
          <w:bCs/>
        </w:rPr>
        <w:t>], but shall not include any financial investment firm or collective investment vehicle that, together with its Affiliates, holds less than 20% of the outstanding equity of any Competitor and does not, nor do any of its Affiliates, have a right to designate any members of the board of directors of any Competitor.</w:t>
      </w:r>
    </w:p>
    <w:p w:rsidR="00C20A1A" w:rsidP="008306AA">
      <w:pPr>
        <w:pStyle w:val="ArticleBJCont2"/>
        <w:rPr>
          <w:b/>
          <w:bCs/>
        </w:rPr>
      </w:pPr>
      <w:r>
        <w:t>"</w:t>
      </w:r>
      <w:r>
        <w:rPr>
          <w:b/>
          <w:bCs/>
        </w:rPr>
        <w:t>CPOA</w:t>
      </w:r>
      <w:r>
        <w:t xml:space="preserve">" means a continuing power of attorney within the meaning of and governed by the </w:t>
      </w:r>
      <w:r>
        <w:rPr>
          <w:b/>
          <w:bCs/>
        </w:rPr>
        <w:t>[</w:t>
      </w:r>
      <w:r>
        <w:rPr>
          <w:b/>
          <w:bCs/>
          <w:i/>
          <w:iCs/>
        </w:rPr>
        <w:t>Substitute Decisions Act</w:t>
      </w:r>
      <w:r>
        <w:rPr>
          <w:b/>
          <w:bCs/>
        </w:rPr>
        <w:t xml:space="preserve"> (Ontario), or any similar power of attorney under equivalent legislation in any other jurisdiction.]</w:t>
      </w:r>
    </w:p>
    <w:p w:rsidR="00C20A1A" w:rsidP="001D3FDF">
      <w:pPr>
        <w:pStyle w:val="ArticleBJCont2"/>
        <w:rPr>
          <w:b/>
          <w:bCs/>
        </w:rPr>
      </w:pPr>
      <w:r w:rsidRPr="0091655A">
        <w:rPr>
          <w:b/>
        </w:rPr>
        <w:t>["</w:t>
      </w:r>
      <w:r w:rsidRPr="0091655A">
        <w:rPr>
          <w:b/>
          <w:bCs/>
        </w:rPr>
        <w:t>Deemed Liquidation Event</w:t>
      </w:r>
      <w:r w:rsidRPr="0091655A">
        <w:rPr>
          <w:b/>
        </w:rPr>
        <w:t>"</w:t>
      </w:r>
      <w:r>
        <w:rPr>
          <w:rStyle w:val="FootnoteReference"/>
          <w:b/>
        </w:rPr>
        <w:footnoteReference w:id="6"/>
      </w:r>
      <w:r w:rsidRPr="0091655A">
        <w:rPr>
          <w:b/>
        </w:rPr>
        <w:t xml:space="preserve"> means each of the following events </w:t>
      </w:r>
      <w:r w:rsidRPr="0091655A">
        <w:rPr>
          <w:b/>
          <w:bCs/>
        </w:rPr>
        <w:t>[unless the holders of at least [</w:t>
      </w:r>
      <w:r w:rsidRPr="0091655A">
        <w:rPr>
          <w:b/>
          <w:bCs/>
          <w:i/>
          <w:iCs/>
        </w:rPr>
        <w:t>specify percentage</w:t>
      </w:r>
      <w:r w:rsidRPr="0091655A">
        <w:rPr>
          <w:b/>
          <w:bCs/>
        </w:rPr>
        <w:t>] of the outstanding Class [A] Preferred Shares elect otherwise by written notice sent to the Company at least [__] days before the effective date of any such event</w:t>
      </w:r>
      <w:r>
        <w:rPr>
          <w:b/>
          <w:bCs/>
        </w:rPr>
        <w:t>:</w:t>
      </w:r>
    </w:p>
    <w:p w:rsidR="00C20A1A" w:rsidRPr="002047E4" w:rsidP="002047E4">
      <w:pPr>
        <w:pStyle w:val="ArticleBJL3"/>
        <w:rPr>
          <w:b/>
        </w:rPr>
      </w:pPr>
      <w:r w:rsidRPr="002047E4">
        <w:rPr>
          <w:b/>
        </w:rPr>
        <w:t>an amalgamation or consolidation in which:</w:t>
      </w:r>
    </w:p>
    <w:p w:rsidR="00C20A1A" w:rsidRPr="002047E4" w:rsidP="002047E4">
      <w:pPr>
        <w:pStyle w:val="ArticleBJL4"/>
        <w:rPr>
          <w:b/>
        </w:rPr>
      </w:pPr>
      <w:r w:rsidRPr="002047E4">
        <w:rPr>
          <w:b/>
        </w:rPr>
        <w:t>the Company is a constituent party or</w:t>
      </w:r>
    </w:p>
    <w:p w:rsidR="00C20A1A" w:rsidRPr="002047E4" w:rsidP="002047E4">
      <w:pPr>
        <w:pStyle w:val="ArticleBJL4"/>
        <w:rPr>
          <w:b/>
        </w:rPr>
      </w:pPr>
      <w:r w:rsidRPr="002047E4">
        <w:rPr>
          <w:b/>
        </w:rPr>
        <w:t>a subsidiary of the Company is a constituent party and the Company issues shares under such amalgamation or consolidation,</w:t>
      </w:r>
    </w:p>
    <w:p w:rsidR="00C20A1A" w:rsidRPr="002047E4" w:rsidP="002047E4">
      <w:pPr>
        <w:pStyle w:val="ArticleBJCont3"/>
        <w:rPr>
          <w:b/>
        </w:rPr>
      </w:pPr>
      <w:r w:rsidRPr="002047E4">
        <w:rPr>
          <w:b/>
        </w:rPr>
        <w:t xml:space="preserve">except any such amalgamation or consolidation involving the Company or a subsidiary in which the shares of the Company outstanding immediately before such amalgamation or consolidation continue to represent, or are converted into or exchanged for shares that represent, immediately following such amalgamation or consolidation, at least a </w:t>
      </w:r>
      <w:r w:rsidRPr="002047E4">
        <w:rPr>
          <w:b/>
          <w:bCs/>
        </w:rPr>
        <w:t>[majority]</w:t>
      </w:r>
      <w:r w:rsidRPr="002047E4">
        <w:rPr>
          <w:b/>
        </w:rPr>
        <w:t>, by voting power, of the shares of (1) the surviving or resulting corporation; or (2) if the surviving or resulting corporation is a wholly owned subsidiary of another corporation immediately following such amalgamation or consolidation, the parent corporation of such surviving or resulting corporation; or</w:t>
      </w:r>
    </w:p>
    <w:p w:rsidR="00C20A1A" w:rsidRPr="002047E4" w:rsidP="002047E4">
      <w:pPr>
        <w:pStyle w:val="ArticleBJL3"/>
        <w:rPr>
          <w:b/>
        </w:rPr>
      </w:pPr>
      <w:r w:rsidRPr="002047E4">
        <w:rPr>
          <w:rFonts w:eastAsiaTheme="minorHAnsi"/>
          <w:b/>
        </w:rPr>
        <w:t xml:space="preserve">the sale, lease, transfer, exclusive license or other disposition, in a single transaction or series of related transactions, by the Company or any subsidiary of the Company of all or substantially all the assets of the Company and its subsidiaries taken as a whole (including </w:t>
      </w:r>
      <w:r w:rsidRPr="002047E4">
        <w:rPr>
          <w:rFonts w:eastAsiaTheme="minorHAnsi"/>
          <w:b/>
          <w:bCs/>
        </w:rPr>
        <w:t>[_____________]</w:t>
      </w:r>
      <w:r w:rsidRPr="002047E4">
        <w:rPr>
          <w:rFonts w:eastAsiaTheme="minorHAnsi"/>
          <w:b/>
        </w:rPr>
        <w:t>),</w:t>
      </w:r>
      <w:r>
        <w:rPr>
          <w:rFonts w:eastAsiaTheme="minorHAnsi"/>
          <w:b/>
          <w:vertAlign w:val="superscript"/>
        </w:rPr>
        <w:footnoteReference w:id="7"/>
      </w:r>
      <w:r w:rsidRPr="002047E4">
        <w:rPr>
          <w:rFonts w:eastAsiaTheme="minorHAnsi"/>
          <w:b/>
        </w:rPr>
        <w:t xml:space="preserve"> or the sale or disposition (whether by amalgamation, consolidation or otherwise) of one or more subsidiaries of the Company if substantially all of the assets of the Company and its subsidiaries taken as a whole are held by such subsidiary or subsidiaries, except where such sale, lease, transfer, exclusive license or other disposition is to a wholly owned subsidiary of the Company.</w:t>
      </w:r>
      <w:r w:rsidRPr="002047E4">
        <w:rPr>
          <w:b/>
          <w:bCs/>
        </w:rPr>
        <w:t>]</w:t>
      </w:r>
    </w:p>
    <w:p w:rsidR="00C20A1A">
      <w:pPr>
        <w:pStyle w:val="ArticleBJCont2"/>
      </w:pPr>
      <w:r>
        <w:t>"</w:t>
      </w:r>
      <w:r>
        <w:rPr>
          <w:b/>
        </w:rPr>
        <w:t>Derivative Securities</w:t>
      </w:r>
      <w:r>
        <w:t>" means any securities or rights convertible into, or exercisable or exchangeable for (in each case, directly or indirectly), Common Shares, including options and warrants.</w:t>
      </w:r>
    </w:p>
    <w:p w:rsidR="00C20A1A">
      <w:pPr>
        <w:pStyle w:val="ArticleBJCont2"/>
      </w:pPr>
      <w:r>
        <w:t>"</w:t>
      </w:r>
      <w:r>
        <w:rPr>
          <w:b/>
          <w:bCs/>
        </w:rPr>
        <w:t>Exchange Act</w:t>
      </w:r>
      <w:r>
        <w:t>" means the U</w:t>
      </w:r>
      <w:r w:rsidR="00091E57">
        <w:t>.</w:t>
      </w:r>
      <w:r>
        <w:t>S</w:t>
      </w:r>
      <w:r w:rsidR="00091E57">
        <w:t>.</w:t>
      </w:r>
      <w:r>
        <w:rPr>
          <w:i/>
          <w:iCs/>
        </w:rPr>
        <w:t xml:space="preserve"> </w:t>
      </w:r>
      <w:r w:rsidRPr="00091E57">
        <w:rPr>
          <w:iCs/>
        </w:rPr>
        <w:t>Securities Exchange Act of 1934</w:t>
      </w:r>
      <w:r>
        <w:t>, as amended, and the rules and regulations promulgated thereunder.</w:t>
      </w:r>
    </w:p>
    <w:p w:rsidR="00C20A1A" w:rsidP="001D3FDF">
      <w:pPr>
        <w:pStyle w:val="ArticleBJ2Cont2"/>
        <w:rPr>
          <w:b/>
          <w:bCs/>
        </w:rPr>
      </w:pPr>
      <w:r>
        <w:rPr>
          <w:b/>
          <w:bCs/>
        </w:rPr>
        <w:t xml:space="preserve">["FOIA Party" means a Person that, in the [reasonable] determination of the Board, may be subject to, and thereby required to disclose non-public information furnished by or relating to the Company under, the </w:t>
      </w:r>
      <w:r>
        <w:rPr>
          <w:b/>
          <w:bCs/>
          <w:i/>
          <w:iCs/>
        </w:rPr>
        <w:t>Access to Information Act</w:t>
      </w:r>
      <w:r>
        <w:rPr>
          <w:b/>
          <w:bCs/>
        </w:rPr>
        <w:t>, R.S.C., 1985, c. A-1 (the "AIA"), the Freedom of Information Act, 5 U.S.C. 552 ("FOIA"), any provincial, territorial or state public records access law, any provincial, territorial, state or other jurisdiction's laws similar in intent or effect to AIA or FOIA, or any other similar statutory or regulatory requirement.]</w:t>
      </w:r>
    </w:p>
    <w:p w:rsidR="00C20A1A">
      <w:pPr>
        <w:pStyle w:val="ArticleBJ2Cont2"/>
      </w:pPr>
      <w:r>
        <w:t>"</w:t>
      </w:r>
      <w:r>
        <w:rPr>
          <w:b/>
          <w:bCs/>
        </w:rPr>
        <w:t>Form S 1</w:t>
      </w:r>
      <w:r>
        <w:t>" or "</w:t>
      </w:r>
      <w:r>
        <w:rPr>
          <w:b/>
          <w:bCs/>
        </w:rPr>
        <w:t>Form F-1</w:t>
      </w:r>
      <w:r>
        <w:t>" means such form under the Securities Act as in effect on the date hereof or any successor registration form under the Securities Act subsequently adopted by the SEC.</w:t>
      </w:r>
    </w:p>
    <w:p w:rsidR="00C20A1A">
      <w:pPr>
        <w:pStyle w:val="ArticleBJCont2"/>
      </w:pPr>
      <w:r>
        <w:t>"</w:t>
      </w:r>
      <w:r>
        <w:rPr>
          <w:b/>
          <w:bCs/>
        </w:rPr>
        <w:t>GAAP</w:t>
      </w:r>
      <w:r>
        <w:t xml:space="preserve">" means generally accepted accounting principles </w:t>
      </w:r>
      <w:r>
        <w:rPr>
          <w:b/>
          <w:bCs/>
        </w:rPr>
        <w:t>[for private enterprises]</w:t>
      </w:r>
      <w:r>
        <w:t xml:space="preserve"> in </w:t>
      </w:r>
      <w:r>
        <w:rPr>
          <w:b/>
          <w:bCs/>
        </w:rPr>
        <w:t xml:space="preserve">[Canada / the </w:t>
      </w:r>
      <w:r w:rsidR="00091E57">
        <w:rPr>
          <w:b/>
          <w:bCs/>
        </w:rPr>
        <w:t>U.S.</w:t>
      </w:r>
      <w:r>
        <w:rPr>
          <w:b/>
          <w:bCs/>
        </w:rPr>
        <w:t>]</w:t>
      </w:r>
      <w:r>
        <w:t>.</w:t>
      </w:r>
    </w:p>
    <w:p w:rsidR="00C20A1A" w:rsidP="009A1EDD">
      <w:pPr>
        <w:pStyle w:val="ArticleBJ2Cont2"/>
      </w:pPr>
      <w:r>
        <w:t>"</w:t>
      </w:r>
      <w:r>
        <w:rPr>
          <w:b/>
          <w:bCs/>
        </w:rPr>
        <w:t>Immediate Family Member</w:t>
      </w:r>
      <w:r>
        <w:t>" means a child, stepchild, grandchild, parent, stepparent, grandparent, spouse, life partner or similar statutorily-recognized domestic partner, sibling, mother-in-law, father-in-law, son-in-law, daughter-in-law, brother-in-law, or sister-in-law, including adoptive relationships, of an individual referred to herein.</w:t>
      </w:r>
    </w:p>
    <w:p w:rsidR="00C20A1A">
      <w:pPr>
        <w:pStyle w:val="ArticleBJCont2"/>
      </w:pPr>
      <w:r>
        <w:t>"</w:t>
      </w:r>
      <w:r>
        <w:rPr>
          <w:b/>
          <w:bCs/>
        </w:rPr>
        <w:t>Investor Notice</w:t>
      </w:r>
      <w:r>
        <w:t>" means written notice from an Investor notifying the Company and the selling Key Holder that such Investor intends to exercise its Secondary Refusal Right as to a portion of the Transfer Shares with respect to any Proposed Key Holder Transfer.</w:t>
      </w:r>
    </w:p>
    <w:p w:rsidR="00C20A1A">
      <w:pPr>
        <w:pStyle w:val="ArticleBJCont2"/>
      </w:pPr>
      <w:r>
        <w:t>"</w:t>
      </w:r>
      <w:r>
        <w:rPr>
          <w:b/>
          <w:bCs/>
        </w:rPr>
        <w:t>Investors</w:t>
      </w:r>
      <w:r>
        <w:t xml:space="preserve">" means the Persons named on </w:t>
      </w:r>
      <w:r>
        <w:rPr>
          <w:cs/>
        </w:rPr>
        <w:t>‎</w:t>
      </w:r>
      <w:r>
        <w:rPr>
          <w:cs/>
        </w:rPr>
        <w:fldChar w:fldCharType="begin"/>
      </w:r>
      <w:r>
        <w:instrText xml:space="preserve"> REF _Ref448392755 \w \h </w:instrText>
      </w:r>
      <w:r>
        <w:rPr>
          <w:cs/>
        </w:rPr>
        <w:fldChar w:fldCharType="separate"/>
      </w:r>
      <w:r w:rsidR="00230E5B">
        <w:t>Schedule A</w:t>
      </w:r>
      <w:r>
        <w:rPr>
          <w:cs/>
        </w:rPr>
        <w:fldChar w:fldCharType="end"/>
      </w:r>
      <w:r>
        <w:t xml:space="preserve"> hereto, each Person to whom the rights of an Investor are assigned pursuant to </w:t>
      </w:r>
      <w:r>
        <w:rPr>
          <w:b/>
          <w:bCs/>
        </w:rPr>
        <w:t xml:space="preserve">[Section </w:t>
      </w:r>
      <w:r>
        <w:rPr>
          <w:b/>
          <w:bCs/>
        </w:rPr>
        <w:fldChar w:fldCharType="begin"/>
      </w:r>
      <w:r>
        <w:rPr>
          <w:b/>
          <w:bCs/>
        </w:rPr>
        <w:instrText xml:space="preserve"> REF _Ref468002070 \n \h </w:instrText>
      </w:r>
      <w:r>
        <w:rPr>
          <w:b/>
          <w:bCs/>
        </w:rPr>
        <w:fldChar w:fldCharType="separate"/>
      </w:r>
      <w:r w:rsidR="00230E5B">
        <w:rPr>
          <w:b/>
          <w:bCs/>
        </w:rPr>
        <w:t>8.5</w:t>
      </w:r>
      <w:r>
        <w:rPr>
          <w:b/>
          <w:bCs/>
        </w:rPr>
        <w:fldChar w:fldCharType="end"/>
      </w:r>
      <w:r>
        <w:rPr>
          <w:b/>
          <w:bCs/>
        </w:rPr>
        <w:t>]</w:t>
      </w:r>
      <w:r>
        <w:t xml:space="preserve">, each Person who hereafter becomes a signatory to this Agreement pursuant to </w:t>
      </w:r>
      <w:r>
        <w:rPr>
          <w:b/>
          <w:bCs/>
        </w:rPr>
        <w:t xml:space="preserve">[Section </w:t>
      </w:r>
      <w:r>
        <w:rPr>
          <w:b/>
          <w:bCs/>
        </w:rPr>
        <w:fldChar w:fldCharType="begin"/>
      </w:r>
      <w:r>
        <w:rPr>
          <w:b/>
          <w:bCs/>
        </w:rPr>
        <w:instrText xml:space="preserve"> REF _Ref464814708 \r \h </w:instrText>
      </w:r>
      <w:r>
        <w:rPr>
          <w:b/>
          <w:bCs/>
        </w:rPr>
        <w:fldChar w:fldCharType="separate"/>
      </w:r>
      <w:r w:rsidR="00230E5B">
        <w:rPr>
          <w:b/>
          <w:bCs/>
        </w:rPr>
        <w:t>6.2</w:t>
      </w:r>
      <w:r>
        <w:rPr>
          <w:b/>
          <w:bCs/>
        </w:rPr>
        <w:fldChar w:fldCharType="end"/>
      </w:r>
      <w:r>
        <w:rPr>
          <w:b/>
          <w:bCs/>
        </w:rPr>
        <w:t xml:space="preserve">] </w:t>
      </w:r>
      <w:r>
        <w:t>and any one of them, as the context may require</w:t>
      </w:r>
      <w:r>
        <w:rPr>
          <w:b/>
          <w:bCs/>
        </w:rPr>
        <w:t xml:space="preserve">[; provided, however, that any such Person shall cease to be considered an Investor for purposes of this Agreement at any time such Person and his, her or its Affiliates collectively hold fewer than [____________] Shares (as adjusted for any </w:t>
      </w:r>
      <w:r w:rsidR="00091E57">
        <w:rPr>
          <w:b/>
          <w:bCs/>
        </w:rPr>
        <w:t>stock</w:t>
      </w:r>
      <w:r>
        <w:rPr>
          <w:b/>
          <w:bCs/>
        </w:rPr>
        <w:t xml:space="preserve"> combination, </w:t>
      </w:r>
      <w:r w:rsidR="00D7148E">
        <w:rPr>
          <w:b/>
          <w:bCs/>
        </w:rPr>
        <w:t>stock</w:t>
      </w:r>
      <w:r>
        <w:rPr>
          <w:b/>
          <w:bCs/>
        </w:rPr>
        <w:t xml:space="preserve"> split, </w:t>
      </w:r>
      <w:r w:rsidR="00091E57">
        <w:rPr>
          <w:b/>
          <w:bCs/>
        </w:rPr>
        <w:t>stock</w:t>
      </w:r>
      <w:r>
        <w:rPr>
          <w:b/>
          <w:bCs/>
        </w:rPr>
        <w:t xml:space="preserve"> dividend, recapitalization or other similar transaction)]</w:t>
      </w:r>
      <w:r>
        <w:t>.</w:t>
      </w:r>
    </w:p>
    <w:p w:rsidR="00C20A1A">
      <w:pPr>
        <w:pStyle w:val="ArticleBJCont2"/>
      </w:pPr>
      <w:r>
        <w:t>"</w:t>
      </w:r>
      <w:r>
        <w:rPr>
          <w:b/>
          <w:bCs/>
        </w:rPr>
        <w:t>IPO</w:t>
      </w:r>
      <w:r>
        <w:t>" means the Company's first underwritten public offering of its Common Shares under the Securities Act or the Canadian Securities Laws of any province or territory.</w:t>
      </w:r>
    </w:p>
    <w:p w:rsidR="00C20A1A" w:rsidP="001D3FDF">
      <w:pPr>
        <w:pStyle w:val="ArticleBJCont2"/>
        <w:rPr>
          <w:b/>
          <w:bCs/>
        </w:rPr>
      </w:pPr>
      <w:r>
        <w:rPr>
          <w:b/>
          <w:bCs/>
        </w:rPr>
        <w:t>["Key Employee" means any executive-level employee (including division director and vice president-level positions) as well as any employee who, either alone or in concert with others, develops, invents, programs, or designs any intellectual property on the Company's behalf.</w:t>
      </w:r>
      <w:r>
        <w:rPr>
          <w:rStyle w:val="FootnoteReference"/>
          <w:b/>
          <w:bCs/>
        </w:rPr>
        <w:footnoteReference w:id="8"/>
      </w:r>
      <w:r>
        <w:rPr>
          <w:b/>
          <w:bCs/>
        </w:rPr>
        <w:t>]</w:t>
      </w:r>
    </w:p>
    <w:p w:rsidR="00C20A1A">
      <w:pPr>
        <w:pStyle w:val="ArticleBJCont2"/>
      </w:pPr>
      <w:r>
        <w:t>"</w:t>
      </w:r>
      <w:r>
        <w:rPr>
          <w:b/>
          <w:bCs/>
        </w:rPr>
        <w:t>Key Holders</w:t>
      </w:r>
      <w:r>
        <w:t xml:space="preserve">" means the Persons named on </w:t>
      </w:r>
      <w:r>
        <w:rPr>
          <w:cs/>
        </w:rPr>
        <w:t>‎</w:t>
      </w:r>
      <w:r>
        <w:rPr>
          <w:cs/>
        </w:rPr>
        <w:fldChar w:fldCharType="begin"/>
      </w:r>
      <w:r>
        <w:instrText xml:space="preserve"> REF _Ref448392756 \w \h </w:instrText>
      </w:r>
      <w:r>
        <w:rPr>
          <w:cs/>
        </w:rPr>
        <w:fldChar w:fldCharType="separate"/>
      </w:r>
      <w:r w:rsidR="00230E5B">
        <w:t>Schedule B</w:t>
      </w:r>
      <w:r>
        <w:rPr>
          <w:cs/>
        </w:rPr>
        <w:fldChar w:fldCharType="end"/>
      </w:r>
      <w:r>
        <w:t xml:space="preserve"> hereto, each Person to whom the rights of a Key Holder are assigned pursuant to </w:t>
      </w:r>
      <w:r>
        <w:rPr>
          <w:b/>
          <w:bCs/>
        </w:rPr>
        <w:t xml:space="preserve">[Section </w:t>
      </w:r>
      <w:r>
        <w:rPr>
          <w:b/>
          <w:bCs/>
        </w:rPr>
        <w:fldChar w:fldCharType="begin"/>
      </w:r>
      <w:r>
        <w:rPr>
          <w:b/>
          <w:bCs/>
        </w:rPr>
        <w:instrText xml:space="preserve"> REF _Ref468002085 \n \h </w:instrText>
      </w:r>
      <w:r>
        <w:rPr>
          <w:b/>
          <w:bCs/>
        </w:rPr>
        <w:fldChar w:fldCharType="separate"/>
      </w:r>
      <w:r w:rsidR="00230E5B">
        <w:rPr>
          <w:b/>
          <w:bCs/>
        </w:rPr>
        <w:t>8.5</w:t>
      </w:r>
      <w:r>
        <w:rPr>
          <w:b/>
          <w:bCs/>
        </w:rPr>
        <w:fldChar w:fldCharType="end"/>
      </w:r>
      <w:r>
        <w:rPr>
          <w:b/>
          <w:bCs/>
        </w:rPr>
        <w:t>]</w:t>
      </w:r>
      <w:r>
        <w:t>.</w:t>
      </w:r>
      <w:r>
        <w:rPr>
          <w:rStyle w:val="FootnoteReference"/>
        </w:rPr>
        <w:footnoteReference w:id="9"/>
      </w:r>
    </w:p>
    <w:p w:rsidR="00C20A1A">
      <w:pPr>
        <w:pStyle w:val="ArticleBJCont2"/>
      </w:pPr>
      <w:r>
        <w:t>"</w:t>
      </w:r>
      <w:r>
        <w:rPr>
          <w:b/>
          <w:bCs/>
        </w:rPr>
        <w:t>Major Investor</w:t>
      </w:r>
      <w:r>
        <w:t xml:space="preserve">" means any Investor that, individually or together with such Investor's Affiliates, holds at least </w:t>
      </w:r>
      <w:r w:rsidR="00A61A5D">
        <w:t>[●]</w:t>
      </w:r>
      <w:r w:rsidRPr="00A61A5D">
        <w:rPr>
          <w:bCs/>
        </w:rPr>
        <w:t>% of the</w:t>
      </w:r>
      <w:r>
        <w:t xml:space="preserve"> Common Shares (on an as converted basis and as adjusted for any </w:t>
      </w:r>
      <w:r w:rsidR="00A61A5D">
        <w:t>stock</w:t>
      </w:r>
      <w:r>
        <w:t xml:space="preserve"> split, </w:t>
      </w:r>
      <w:r w:rsidR="00A61A5D">
        <w:t xml:space="preserve">stock </w:t>
      </w:r>
      <w:r>
        <w:t xml:space="preserve">dividend, combination, or other recapitalization or reclassification effected after the date hereof). </w:t>
      </w:r>
    </w:p>
    <w:p w:rsidR="00C20A1A">
      <w:pPr>
        <w:pStyle w:val="ArticleBJ2Cont2"/>
      </w:pPr>
      <w:r>
        <w:t>"</w:t>
      </w:r>
      <w:r>
        <w:rPr>
          <w:b/>
          <w:bCs/>
        </w:rPr>
        <w:t>New Securities</w:t>
      </w:r>
      <w:r>
        <w:t>" means, collectively, equity securities of the Company, whether or not currently authorized, as well as rights, options, or warrants to purchase such equity securities, or securities of any type whatsoever that are, or may become, convertible or exchangeable into or exercisable for such equity securities.</w:t>
      </w:r>
    </w:p>
    <w:p w:rsidR="00C20A1A">
      <w:pPr>
        <w:pStyle w:val="ArticleBJCont2"/>
      </w:pPr>
      <w:r>
        <w:t>"</w:t>
      </w:r>
      <w:r>
        <w:rPr>
          <w:b/>
          <w:bCs/>
        </w:rPr>
        <w:t>Person</w:t>
      </w:r>
      <w:r>
        <w:t>" means any individual, corporation, partnership, trust, limited liability company, association or other entity.</w:t>
      </w:r>
    </w:p>
    <w:p w:rsidR="00C20A1A">
      <w:pPr>
        <w:pStyle w:val="ArticleBJCont2"/>
        <w:rPr>
          <w:szCs w:val="16"/>
        </w:rPr>
      </w:pPr>
      <w:r>
        <w:t>"</w:t>
      </w:r>
      <w:r>
        <w:rPr>
          <w:b/>
        </w:rPr>
        <w:t>Preferred Director</w:t>
      </w:r>
      <w:r>
        <w:t xml:space="preserve">" </w:t>
      </w:r>
      <w:r w:rsidRPr="00935809">
        <w:rPr>
          <w:szCs w:val="24"/>
        </w:rPr>
        <w:t xml:space="preserve">means any director of the Company that the </w:t>
      </w:r>
      <w:bookmarkStart w:id="10" w:name="_9kMIH5YVt46678GYMxnhw"/>
      <w:bookmarkStart w:id="11" w:name="_9kMIH5YVt46679BSMxnhw"/>
      <w:r w:rsidRPr="00935809">
        <w:rPr>
          <w:szCs w:val="24"/>
        </w:rPr>
        <w:t>holders</w:t>
      </w:r>
      <w:bookmarkEnd w:id="10"/>
      <w:bookmarkEnd w:id="11"/>
      <w:r w:rsidRPr="00935809">
        <w:rPr>
          <w:szCs w:val="24"/>
        </w:rPr>
        <w:t xml:space="preserve"> of record of </w:t>
      </w:r>
      <w:bookmarkStart w:id="12" w:name="_cp_text_1_6"/>
      <w:r w:rsidRPr="00935809">
        <w:rPr>
          <w:szCs w:val="24"/>
        </w:rPr>
        <w:t>[a class, classes or series of]</w:t>
      </w:r>
      <w:bookmarkEnd w:id="12"/>
      <w:r>
        <w:rPr>
          <w:szCs w:val="24"/>
        </w:rPr>
        <w:t xml:space="preserve"> </w:t>
      </w:r>
      <w:r w:rsidRPr="00935809">
        <w:rPr>
          <w:szCs w:val="24"/>
        </w:rPr>
        <w:t>[</w:t>
      </w:r>
      <w:bookmarkStart w:id="13" w:name="_9kR3WTr26648DdLrwkvS"/>
      <w:bookmarkStart w:id="14" w:name="_9kR3WTr26649IhLrwkvS"/>
      <w:r>
        <w:rPr>
          <w:szCs w:val="24"/>
        </w:rPr>
        <w:t>Class</w:t>
      </w:r>
      <w:r w:rsidRPr="00935809">
        <w:rPr>
          <w:szCs w:val="24"/>
        </w:rPr>
        <w:t xml:space="preserve"> A</w:t>
      </w:r>
      <w:bookmarkEnd w:id="13"/>
      <w:bookmarkEnd w:id="14"/>
      <w:r w:rsidRPr="00935809">
        <w:rPr>
          <w:szCs w:val="24"/>
        </w:rPr>
        <w:t>] Preferred</w:t>
      </w:r>
      <w:r>
        <w:rPr>
          <w:szCs w:val="24"/>
        </w:rPr>
        <w:t xml:space="preserve"> Shares</w:t>
      </w:r>
      <w:r w:rsidRPr="00935809">
        <w:rPr>
          <w:szCs w:val="24"/>
        </w:rPr>
        <w:t xml:space="preserve"> are entitled to elect</w:t>
      </w:r>
      <w:r>
        <w:rPr>
          <w:szCs w:val="24"/>
        </w:rPr>
        <w:t xml:space="preserve"> pursuant to the Articles</w:t>
      </w:r>
      <w:r>
        <w:rPr>
          <w:szCs w:val="16"/>
        </w:rPr>
        <w:t>.</w:t>
      </w:r>
      <w:r>
        <w:rPr>
          <w:rStyle w:val="FootnoteReference"/>
          <w:szCs w:val="16"/>
        </w:rPr>
        <w:footnoteReference w:id="10"/>
      </w:r>
    </w:p>
    <w:p w:rsidR="00C20A1A" w:rsidP="001D3FDF">
      <w:pPr>
        <w:pStyle w:val="ArticleBJCont2"/>
      </w:pPr>
      <w:r>
        <w:rPr>
          <w:b/>
          <w:bCs/>
        </w:rPr>
        <w:t>["Preferred Shares" means, collectively, the Company's Class A Preferred Shares and Class [_] Preferred Shares.]</w:t>
      </w:r>
      <w:r>
        <w:rPr>
          <w:rStyle w:val="FootnoteReference"/>
        </w:rPr>
        <w:footnoteReference w:id="11"/>
      </w:r>
    </w:p>
    <w:p w:rsidR="00C20A1A">
      <w:pPr>
        <w:pStyle w:val="ArticleBJCont2"/>
      </w:pPr>
      <w:r>
        <w:t>"</w:t>
      </w:r>
      <w:r>
        <w:rPr>
          <w:b/>
          <w:bCs/>
        </w:rPr>
        <w:t>Proposed Key Holder Transfer</w:t>
      </w:r>
      <w:r>
        <w:t>" means any assignment, sale, offer to sell, pledge, mortgage, hypothecation, encumbrance, disposition of or any other like transfer or encumbering of any Transfer Shares (or any interest therein) proposed by any of the Key Holders.</w:t>
      </w:r>
    </w:p>
    <w:p w:rsidR="00C20A1A">
      <w:pPr>
        <w:pStyle w:val="ArticleBJCont2"/>
      </w:pPr>
      <w:r>
        <w:t>"</w:t>
      </w:r>
      <w:r>
        <w:rPr>
          <w:b/>
          <w:bCs/>
        </w:rPr>
        <w:t>Proposed Transfer Notice</w:t>
      </w:r>
      <w:r>
        <w:t>" means written notice from a Key Holder setting forth the terms and conditions of a Proposed Key Holder Transfer.</w:t>
      </w:r>
    </w:p>
    <w:p w:rsidR="00C20A1A">
      <w:pPr>
        <w:pStyle w:val="ArticleBJCont2"/>
      </w:pPr>
      <w:r>
        <w:t>"</w:t>
      </w:r>
      <w:r>
        <w:rPr>
          <w:b/>
          <w:bCs/>
        </w:rPr>
        <w:t>Prospective Transferee</w:t>
      </w:r>
      <w:r>
        <w:t>" means any Person to whom a Key Holder proposes to make a Proposed Key Holder Transfer.</w:t>
      </w:r>
    </w:p>
    <w:p w:rsidR="007C26A1">
      <w:pPr>
        <w:pStyle w:val="ArticleBJCont2"/>
      </w:pPr>
      <w:r>
        <w:t>"</w:t>
      </w:r>
      <w:r w:rsidRPr="007C26A1">
        <w:rPr>
          <w:b/>
        </w:rPr>
        <w:t>Requisite Preferred Director Vote</w:t>
      </w:r>
      <w:r>
        <w:t xml:space="preserve">" means the </w:t>
      </w:r>
      <w:r w:rsidRPr="007C26A1">
        <w:t xml:space="preserve">vote of </w:t>
      </w:r>
      <w:r w:rsidRPr="007C26A1">
        <w:rPr>
          <w:b/>
        </w:rPr>
        <w:t>[one/each]</w:t>
      </w:r>
      <w:r w:rsidRPr="007C26A1">
        <w:t xml:space="preserve"> of the Preferred Directors then seated</w:t>
      </w:r>
      <w:r>
        <w:t>.</w:t>
      </w:r>
    </w:p>
    <w:p w:rsidR="00C20A1A">
      <w:pPr>
        <w:pStyle w:val="ArticleBJCont2"/>
      </w:pPr>
      <w:r>
        <w:t>"</w:t>
      </w:r>
      <w:r>
        <w:rPr>
          <w:b/>
          <w:bCs/>
        </w:rPr>
        <w:t>Right of Co-Sale</w:t>
      </w:r>
      <w:r>
        <w:t>" means the right, but not an obligation, of an Investor to participate in a Proposed Key Holder Transfer on the terms and conditions specified in the Proposed Transfer Notice.</w:t>
      </w:r>
    </w:p>
    <w:p w:rsidR="00C20A1A">
      <w:pPr>
        <w:pStyle w:val="ArticleBJCont2"/>
      </w:pPr>
      <w:r>
        <w:t>"</w:t>
      </w:r>
      <w:r>
        <w:rPr>
          <w:b/>
          <w:bCs/>
        </w:rPr>
        <w:t>Right of First Refusal</w:t>
      </w:r>
      <w:r>
        <w:t>" means the right, but not an obligation, of the Company, or its permitted transferees or assigns, to purchase some or all of the Transfer Shares with respect to a Proposed Key Holder Transfer, on the terms and conditions specified in the Proposed Transfer Notice.</w:t>
      </w:r>
    </w:p>
    <w:p w:rsidR="00C20A1A">
      <w:pPr>
        <w:pStyle w:val="ArticleBJCont2"/>
      </w:pPr>
      <w:r>
        <w:t>"</w:t>
      </w:r>
      <w:r>
        <w:rPr>
          <w:b/>
          <w:bCs/>
        </w:rPr>
        <w:t>Sale of the Company</w:t>
      </w:r>
      <w:r>
        <w:t>" shall mean either: (a) a Share Sale; or (b) a Deemed Liquidation Event.</w:t>
      </w:r>
    </w:p>
    <w:p w:rsidR="00C20A1A">
      <w:pPr>
        <w:pStyle w:val="ArticleBJCont2"/>
      </w:pPr>
      <w:r>
        <w:t>"</w:t>
      </w:r>
      <w:r>
        <w:rPr>
          <w:b/>
          <w:bCs/>
        </w:rPr>
        <w:t>SEC</w:t>
      </w:r>
      <w:r>
        <w:t>" means the U</w:t>
      </w:r>
      <w:r w:rsidR="007C26A1">
        <w:t>.</w:t>
      </w:r>
      <w:r>
        <w:t>S</w:t>
      </w:r>
      <w:r w:rsidR="007C26A1">
        <w:t>.</w:t>
      </w:r>
      <w:r>
        <w:t xml:space="preserve"> Securities and Exchange Commission.</w:t>
      </w:r>
    </w:p>
    <w:p w:rsidR="00C20A1A">
      <w:pPr>
        <w:pStyle w:val="ArticleBJCont2"/>
      </w:pPr>
      <w:r>
        <w:t>"</w:t>
      </w:r>
      <w:r>
        <w:rPr>
          <w:b/>
          <w:bCs/>
        </w:rPr>
        <w:t>Secondary Notice</w:t>
      </w:r>
      <w:r>
        <w:t>" means written notice from the Company notifying the Investors and the selling Key Holder that the Company does not intend to exercise its Right of First Refusal as to all Transfer Shares with respect to any Proposed Key Holder Transfer.</w:t>
      </w:r>
    </w:p>
    <w:p w:rsidR="00C20A1A">
      <w:pPr>
        <w:pStyle w:val="ArticleBJCont2"/>
      </w:pPr>
      <w:r>
        <w:t>"</w:t>
      </w:r>
      <w:r>
        <w:rPr>
          <w:b/>
          <w:bCs/>
        </w:rPr>
        <w:t>Secondary Refusal Right</w:t>
      </w:r>
      <w:r>
        <w:t>" means the right, but not an obligation, of each Investor to purchase up to its pro rata portion (based upon the total number of Shares then held by all Investors) of any Transfer Shares not purchased pursuant to the Right of First Refusal, on the terms and conditions specified in the Proposed Transfer Notice.</w:t>
      </w:r>
    </w:p>
    <w:p w:rsidR="00C20A1A">
      <w:pPr>
        <w:pStyle w:val="ArticleBJCont2"/>
      </w:pPr>
      <w:r>
        <w:t>"</w:t>
      </w:r>
      <w:r>
        <w:rPr>
          <w:b/>
          <w:bCs/>
        </w:rPr>
        <w:t>Securities Act</w:t>
      </w:r>
      <w:r>
        <w:t xml:space="preserve">" means the </w:t>
      </w:r>
      <w:r w:rsidR="007C26A1">
        <w:t>U.S.</w:t>
      </w:r>
      <w:r>
        <w:t xml:space="preserve"> </w:t>
      </w:r>
      <w:r w:rsidRPr="007C26A1">
        <w:rPr>
          <w:iCs/>
        </w:rPr>
        <w:t>Securities Act of 1933</w:t>
      </w:r>
      <w:r>
        <w:t>, as amended, and the rules and regulations promulgated thereunder.</w:t>
      </w:r>
    </w:p>
    <w:p w:rsidR="00C20A1A" w:rsidP="00D63169">
      <w:pPr>
        <w:pStyle w:val="ArticleBJCont2"/>
        <w:rPr>
          <w:b/>
          <w:bCs/>
        </w:rPr>
      </w:pPr>
      <w:r w:rsidRPr="007A11CE">
        <w:rPr>
          <w:bCs/>
        </w:rPr>
        <w:t>"</w:t>
      </w:r>
      <w:r>
        <w:rPr>
          <w:b/>
          <w:bCs/>
        </w:rPr>
        <w:t>Share Sale</w:t>
      </w:r>
      <w:r w:rsidRPr="007A11CE">
        <w:rPr>
          <w:bCs/>
        </w:rPr>
        <w:t>"</w:t>
      </w:r>
      <w:r>
        <w:rPr>
          <w:b/>
          <w:bCs/>
        </w:rPr>
        <w:t xml:space="preserve"> </w:t>
      </w:r>
      <w:r>
        <w:t>means a transaction or series of related transactions in which a Person, or a group of related Persons, acquires from holders of the Shares more than 50% of the outstanding voting power of the Company.</w:t>
      </w:r>
      <w:r>
        <w:rPr>
          <w:b/>
          <w:bCs/>
        </w:rPr>
        <w:t xml:space="preserve"> </w:t>
      </w:r>
    </w:p>
    <w:p w:rsidR="00C20A1A" w:rsidRPr="00997792">
      <w:pPr>
        <w:pStyle w:val="ArticleBJCont2"/>
        <w:rPr>
          <w:bCs/>
        </w:rPr>
      </w:pPr>
      <w:r w:rsidRPr="007C26A1">
        <w:rPr>
          <w:bCs/>
        </w:rPr>
        <w:t>"</w:t>
      </w:r>
      <w:r>
        <w:rPr>
          <w:b/>
          <w:bCs/>
        </w:rPr>
        <w:t>Shares</w:t>
      </w:r>
      <w:r w:rsidRPr="007C26A1">
        <w:rPr>
          <w:bCs/>
        </w:rPr>
        <w:t>"</w:t>
      </w:r>
      <w:r>
        <w:rPr>
          <w:b/>
          <w:bCs/>
        </w:rPr>
        <w:t xml:space="preserve"> </w:t>
      </w:r>
      <w:r>
        <w:t xml:space="preserve">means (a) Common Shares and Preferred Shares (whether now outstanding or hereafter issued in any context), (b) Common Shares issued or issuable upon conversion of Preferred Shares, (c) Common Shares issued or issuable upon exercise or conversion, as applicable, of </w:t>
      </w:r>
      <w:r w:rsidR="007C26A1">
        <w:t>stock</w:t>
      </w:r>
      <w:r>
        <w:t xml:space="preserve"> options, warrants or other convertible </w:t>
      </w:r>
      <w:r>
        <w:rPr>
          <w:b/>
          <w:bCs/>
        </w:rPr>
        <w:t xml:space="preserve">[or exchangeable] </w:t>
      </w:r>
      <w:r>
        <w:t>securities of the Company, in each case now owned or subsequently acquired by</w:t>
      </w:r>
      <w:r>
        <w:rPr>
          <w:b/>
          <w:bCs/>
        </w:rPr>
        <w:t xml:space="preserve"> [any Key Holder, any Investor, or their respective successors or permitted transferees or assigns]</w:t>
      </w:r>
      <w:r w:rsidRPr="007C26A1" w:rsidR="007C26A1">
        <w:rPr>
          <w:bCs/>
        </w:rPr>
        <w:t xml:space="preserve">, and </w:t>
      </w:r>
      <w:r w:rsidR="007C26A1">
        <w:rPr>
          <w:bCs/>
        </w:rPr>
        <w:t>(d) include</w:t>
      </w:r>
      <w:r w:rsidR="00B77C66">
        <w:rPr>
          <w:bCs/>
        </w:rPr>
        <w:t>s</w:t>
      </w:r>
      <w:r w:rsidR="007C26A1">
        <w:rPr>
          <w:bCs/>
        </w:rPr>
        <w:t xml:space="preserve"> the securities described in Section </w:t>
      </w:r>
      <w:r w:rsidR="007C26A1">
        <w:rPr>
          <w:bCs/>
        </w:rPr>
        <w:fldChar w:fldCharType="begin"/>
      </w:r>
      <w:r w:rsidR="007C26A1">
        <w:rPr>
          <w:bCs/>
        </w:rPr>
        <w:instrText xml:space="preserve"> REF _Ref56325924 \r \h </w:instrText>
      </w:r>
      <w:r w:rsidR="007C26A1">
        <w:rPr>
          <w:bCs/>
        </w:rPr>
        <w:fldChar w:fldCharType="separate"/>
      </w:r>
      <w:r w:rsidR="00230E5B">
        <w:rPr>
          <w:bCs/>
        </w:rPr>
        <w:t>3.1</w:t>
      </w:r>
      <w:r w:rsidR="007C26A1">
        <w:rPr>
          <w:bCs/>
        </w:rPr>
        <w:fldChar w:fldCharType="end"/>
      </w:r>
      <w:r w:rsidR="007C26A1">
        <w:rPr>
          <w:bCs/>
        </w:rPr>
        <w:t>.</w:t>
      </w:r>
      <w:r w:rsidRPr="00997792">
        <w:rPr>
          <w:bCs/>
        </w:rPr>
        <w:t xml:space="preserve"> </w:t>
      </w:r>
      <w:r>
        <w:t>For purposes of the number of Shares held by</w:t>
      </w:r>
      <w:r>
        <w:rPr>
          <w:b/>
          <w:bCs/>
        </w:rPr>
        <w:t xml:space="preserve"> [an Investor or Key Holder] </w:t>
      </w:r>
      <w:r>
        <w:t>(or any other calculation based thereon), all Preferred Shares shall be deemed to have been converted into Common Shares at the then applicable conversion ratio.</w:t>
      </w:r>
    </w:p>
    <w:p w:rsidR="00C20A1A" w:rsidP="002047E4">
      <w:pPr>
        <w:pStyle w:val="ArticleBJCont2"/>
        <w:rPr>
          <w:b/>
          <w:bCs/>
        </w:rPr>
      </w:pPr>
      <w:r>
        <w:rPr>
          <w:b/>
          <w:bCs/>
        </w:rPr>
        <w:t>["Subscription Agreement" means ●.]</w:t>
      </w:r>
    </w:p>
    <w:p w:rsidR="00C20A1A">
      <w:pPr>
        <w:pStyle w:val="ArticleBJCont2"/>
      </w:pPr>
      <w:r>
        <w:t>"</w:t>
      </w:r>
      <w:r>
        <w:rPr>
          <w:b/>
          <w:bCs/>
        </w:rPr>
        <w:t>Transfer Shares</w:t>
      </w:r>
      <w:r>
        <w:t xml:space="preserve">" means Shares owned by a </w:t>
      </w:r>
      <w:r>
        <w:rPr>
          <w:b/>
          <w:bCs/>
        </w:rPr>
        <w:t>[Key Holder]</w:t>
      </w:r>
      <w:r>
        <w:t xml:space="preserve">, or issued to a </w:t>
      </w:r>
      <w:r>
        <w:rPr>
          <w:b/>
          <w:bCs/>
        </w:rPr>
        <w:t>[Key Holder]</w:t>
      </w:r>
      <w:r>
        <w:t xml:space="preserve"> after the date hereof (including in connection with any </w:t>
      </w:r>
      <w:r w:rsidR="007C26A1">
        <w:t>stock</w:t>
      </w:r>
      <w:r>
        <w:t xml:space="preserve"> split, </w:t>
      </w:r>
      <w:r w:rsidR="007C26A1">
        <w:t xml:space="preserve">stock </w:t>
      </w:r>
      <w:r>
        <w:t xml:space="preserve">dividend, recapitalization, reorganization, or the like), </w:t>
      </w:r>
      <w:r>
        <w:rPr>
          <w:b/>
          <w:bCs/>
        </w:rPr>
        <w:t>[but does not include any Preferred Shares or Common Shares that are issued or issuable upon conversion of Preferred Shares]</w:t>
      </w:r>
      <w:r>
        <w:t>.</w:t>
      </w:r>
      <w:r>
        <w:rPr>
          <w:rStyle w:val="FootnoteReference"/>
        </w:rPr>
        <w:footnoteReference w:id="12"/>
      </w:r>
    </w:p>
    <w:p w:rsidR="00C20A1A">
      <w:pPr>
        <w:pStyle w:val="ArticleBJCont2"/>
      </w:pPr>
      <w:r>
        <w:t>"</w:t>
      </w:r>
      <w:r>
        <w:rPr>
          <w:b/>
          <w:bCs/>
        </w:rPr>
        <w:t>Undersubscription Notice</w:t>
      </w:r>
      <w:r>
        <w:t xml:space="preserve">" means written notice from an Investor notifying the Company and the selling </w:t>
      </w:r>
      <w:r>
        <w:rPr>
          <w:b/>
          <w:bCs/>
        </w:rPr>
        <w:t>[Key Holder]</w:t>
      </w:r>
      <w:r>
        <w:t xml:space="preserve"> that such </w:t>
      </w:r>
      <w:r>
        <w:rPr>
          <w:b/>
          <w:bCs/>
        </w:rPr>
        <w:t>[Investor]</w:t>
      </w:r>
      <w:r>
        <w:t xml:space="preserve"> intends to exercise its option to purchase all or any portion of the Transfer Shares not purchased pursuant to the Right of First Refusal or the Secondary Refusal Right.</w:t>
      </w:r>
    </w:p>
    <w:p w:rsidR="007C26A1">
      <w:pPr>
        <w:pStyle w:val="ArticleBJCont2"/>
      </w:pPr>
      <w:r>
        <w:t>"</w:t>
      </w:r>
      <w:r w:rsidRPr="007C26A1">
        <w:rPr>
          <w:b/>
        </w:rPr>
        <w:t>U.S.</w:t>
      </w:r>
      <w:r>
        <w:t>" means the United States of America.</w:t>
      </w:r>
    </w:p>
    <w:p w:rsidR="00C20A1A">
      <w:pPr>
        <w:pStyle w:val="ArticleBJL2"/>
      </w:pPr>
      <w:bookmarkStart w:id="15" w:name="_Toc481488814"/>
      <w:bookmarkStart w:id="16" w:name="_Toc56159006"/>
      <w:r>
        <w:t>[</w:t>
      </w:r>
      <w:r>
        <w:t>Certain Rules of Interpretation</w:t>
      </w:r>
      <w:bookmarkEnd w:id="15"/>
      <w:r>
        <w:rPr>
          <w:rStyle w:val="FootnoteReference"/>
        </w:rPr>
        <w:footnoteReference w:id="13"/>
      </w:r>
      <w:bookmarkEnd w:id="16"/>
    </w:p>
    <w:p w:rsidR="00C20A1A" w:rsidRPr="00D219CA">
      <w:pPr>
        <w:pStyle w:val="ArticleBJCont2"/>
        <w:keepNext/>
        <w:rPr>
          <w:b/>
        </w:rPr>
      </w:pPr>
      <w:r w:rsidRPr="00D219CA">
        <w:rPr>
          <w:b/>
        </w:rPr>
        <w:t>In this Agreement:</w:t>
      </w:r>
    </w:p>
    <w:p w:rsidR="00C20A1A" w:rsidRPr="00D219CA">
      <w:pPr>
        <w:pStyle w:val="ArticleBJL3"/>
        <w:rPr>
          <w:b/>
        </w:rPr>
      </w:pPr>
      <w:r w:rsidRPr="00D219CA">
        <w:rPr>
          <w:b/>
          <w:bCs/>
        </w:rPr>
        <w:t>Consent</w:t>
      </w:r>
      <w:r w:rsidRPr="00D219CA">
        <w:rPr>
          <w:b/>
        </w:rPr>
        <w:t xml:space="preserve"> – Whenever a provision of this Agreement requires an approval or consent and the approval or consent is not delivered within the applicable time limit, then, unless otherwise specified, the party whose consent or approval is required is conclusively deemed to have withheld its approval or consent.</w:t>
      </w:r>
    </w:p>
    <w:p w:rsidR="00C20A1A" w:rsidRPr="00D219CA">
      <w:pPr>
        <w:pStyle w:val="ArticleBJL3"/>
        <w:rPr>
          <w:b/>
          <w:bCs/>
        </w:rPr>
      </w:pPr>
      <w:r w:rsidRPr="00D219CA">
        <w:rPr>
          <w:b/>
          <w:bCs/>
        </w:rPr>
        <w:t>Headings</w:t>
      </w:r>
      <w:r w:rsidRPr="00D219CA">
        <w:rPr>
          <w:b/>
        </w:rPr>
        <w:t xml:space="preserve"> – Headings of Articles and Sections are inserted for convenience of reference only and do not affect the construction or interpretation of this Agreement.</w:t>
      </w:r>
    </w:p>
    <w:p w:rsidR="00C20A1A" w:rsidRPr="00D219CA">
      <w:pPr>
        <w:pStyle w:val="ArticleBJL3"/>
        <w:rPr>
          <w:b/>
          <w:bCs/>
        </w:rPr>
      </w:pPr>
      <w:r w:rsidRPr="00D219CA">
        <w:rPr>
          <w:b/>
          <w:bCs/>
        </w:rPr>
        <w:t>Including</w:t>
      </w:r>
      <w:r w:rsidRPr="00D219CA">
        <w:rPr>
          <w:b/>
        </w:rPr>
        <w:t xml:space="preserve"> – Where the word "including" or "includes" is used in this Agreement, it means "including (or includes) without limitation".</w:t>
      </w:r>
    </w:p>
    <w:p w:rsidR="00C20A1A" w:rsidRPr="00D219CA">
      <w:pPr>
        <w:pStyle w:val="ArticleBJL3"/>
        <w:rPr>
          <w:b/>
          <w:bCs/>
        </w:rPr>
      </w:pPr>
      <w:r w:rsidRPr="00D219CA">
        <w:rPr>
          <w:b/>
          <w:bCs/>
        </w:rPr>
        <w:t>Time Periods</w:t>
      </w:r>
      <w:r w:rsidRPr="00D219CA">
        <w:rPr>
          <w:b/>
        </w:rPr>
        <w:t xml:space="preserve"> – Unless otherwise specified, time periods within or following which any payment is to be made or act is to be done are calculated by excluding the day on which the period commences and including the day on which the period ends and by extending the period to the following business day if the last day of the period is not a business day.</w:t>
      </w:r>
      <w:r w:rsidRPr="00D219CA" w:rsidR="00D219CA">
        <w:rPr>
          <w:b/>
        </w:rPr>
        <w:t>]</w:t>
      </w:r>
    </w:p>
    <w:p w:rsidR="00C20A1A" w:rsidP="00FF733A">
      <w:pPr>
        <w:pStyle w:val="ArticleBJL2"/>
      </w:pPr>
      <w:bookmarkStart w:id="17" w:name="_Toc481488815"/>
      <w:bookmarkStart w:id="18" w:name="_Toc56159007"/>
      <w:r>
        <w:t>Entire Agreement</w:t>
      </w:r>
      <w:bookmarkEnd w:id="17"/>
      <w:r>
        <w:t xml:space="preserve"> / </w:t>
      </w:r>
      <w:r w:rsidRPr="00FF733A">
        <w:t>Amendment/Revocation of any Prior Shareholder Agreement</w:t>
      </w:r>
      <w:bookmarkEnd w:id="18"/>
    </w:p>
    <w:p w:rsidR="0024442C" w:rsidP="0024442C">
      <w:pPr>
        <w:pStyle w:val="ArticleBJL3"/>
      </w:pPr>
      <w:r>
        <w:t xml:space="preserve">This Agreement </w:t>
      </w:r>
      <w:r>
        <w:rPr>
          <w:b/>
        </w:rPr>
        <w:t>[together with the other Transaction Documents]</w:t>
      </w:r>
      <w:r>
        <w:rPr>
          <w:rStyle w:val="FootnoteReference"/>
          <w:b/>
        </w:rPr>
        <w:footnoteReference w:id="14"/>
      </w:r>
      <w:r>
        <w:rPr>
          <w:b/>
        </w:rPr>
        <w:t xml:space="preserve"> </w:t>
      </w:r>
      <w:r>
        <w:t xml:space="preserve">constitutes the entire agreement between the parties and sets out all the covenants, promises, warranties, representations, conditions, understandings and agreements between the parties concerning the subject matter of this Agreement and supersedes all prior agreements, understandings, negotiations and discussions, whether oral or written. There are no covenants, promises, warranties, representations, conditions, understandings or other agreements, oral or written, express, implied or collateral between the parties in connection with the subject matter of this Agreement except as specifically set forth in this Agreement </w:t>
      </w:r>
      <w:r>
        <w:rPr>
          <w:b/>
        </w:rPr>
        <w:t>[and the Transaction Documents]</w:t>
      </w:r>
      <w:r>
        <w:t xml:space="preserve">.  </w:t>
      </w:r>
    </w:p>
    <w:p w:rsidR="00C20A1A" w:rsidRPr="000C71DA" w:rsidP="0024442C">
      <w:pPr>
        <w:pStyle w:val="ArticleBJL3"/>
      </w:pPr>
      <w:r w:rsidRPr="00FF733A">
        <w:rPr>
          <w:bCs/>
        </w:rPr>
        <w:t xml:space="preserve">The shareholder agreement dated </w:t>
      </w:r>
      <w:r w:rsidR="007B0252">
        <w:rPr>
          <w:bCs/>
        </w:rPr>
        <w:t>[●]</w:t>
      </w:r>
      <w:r w:rsidRPr="00FF733A">
        <w:rPr>
          <w:bCs/>
        </w:rPr>
        <w:t xml:space="preserve"> (the "</w:t>
      </w:r>
      <w:r w:rsidRPr="009B2FF5">
        <w:rPr>
          <w:b/>
          <w:bCs/>
        </w:rPr>
        <w:t>Prior Shareholder Agreement</w:t>
      </w:r>
      <w:r w:rsidRPr="00FF733A">
        <w:rPr>
          <w:bCs/>
        </w:rPr>
        <w:t xml:space="preserve">") between the Company, </w:t>
      </w:r>
      <w:r w:rsidRPr="00C8154F">
        <w:rPr>
          <w:b/>
          <w:bCs/>
        </w:rPr>
        <w:t>[all/certain]</w:t>
      </w:r>
      <w:r w:rsidRPr="00FF733A">
        <w:rPr>
          <w:bCs/>
        </w:rPr>
        <w:t xml:space="preserve"> of its shareholders and certain other Persons is hereby </w:t>
      </w:r>
      <w:r w:rsidRPr="00C8154F">
        <w:rPr>
          <w:b/>
          <w:bCs/>
        </w:rPr>
        <w:t>[amended and restated]</w:t>
      </w:r>
      <w:r w:rsidRPr="00FF733A">
        <w:rPr>
          <w:bCs/>
        </w:rPr>
        <w:t>,</w:t>
      </w:r>
      <w:r w:rsidR="007B0252">
        <w:rPr>
          <w:bCs/>
        </w:rPr>
        <w:t xml:space="preserve"> </w:t>
      </w:r>
      <w:r w:rsidRPr="007B0252" w:rsidR="007B0252">
        <w:rPr>
          <w:b/>
          <w:bCs/>
        </w:rPr>
        <w:t>[terminated]</w:t>
      </w:r>
      <w:r w:rsidR="007B0252">
        <w:rPr>
          <w:bCs/>
        </w:rPr>
        <w:t>,</w:t>
      </w:r>
      <w:r w:rsidRPr="00FF733A">
        <w:rPr>
          <w:bCs/>
        </w:rPr>
        <w:t xml:space="preserve"> </w:t>
      </w:r>
      <w:r w:rsidRPr="00C8154F">
        <w:rPr>
          <w:b/>
          <w:bCs/>
        </w:rPr>
        <w:t>[replaced and superseded]</w:t>
      </w:r>
      <w:r w:rsidRPr="00FF733A">
        <w:rPr>
          <w:bCs/>
        </w:rPr>
        <w:t xml:space="preserve"> in its entirety by this Agreement. This Agreement is binding on each of the parties if it is executed by the Company and a </w:t>
      </w:r>
      <w:r w:rsidRPr="00C8154F">
        <w:rPr>
          <w:b/>
          <w:bCs/>
        </w:rPr>
        <w:t>[Shareholder Super-Majority]</w:t>
      </w:r>
      <w:r w:rsidRPr="00FF733A">
        <w:rPr>
          <w:bCs/>
        </w:rPr>
        <w:t xml:space="preserve"> (as defined in the Prior Shareholder Agreement), such execution constituting approval in accordance with Section </w:t>
      </w:r>
      <w:r w:rsidR="007B0252">
        <w:rPr>
          <w:bCs/>
        </w:rPr>
        <w:t>[●]</w:t>
      </w:r>
      <w:r w:rsidRPr="00FF733A">
        <w:rPr>
          <w:bCs/>
        </w:rPr>
        <w:t xml:space="preserve"> of the Prior Shareholder Agreement of the amendments to the Prior Shareholder Agreement contained in this Agreement.</w:t>
      </w:r>
      <w:r>
        <w:rPr>
          <w:rStyle w:val="FootnoteReference"/>
          <w:bCs/>
        </w:rPr>
        <w:footnoteReference w:id="15"/>
      </w:r>
    </w:p>
    <w:p w:rsidR="00C20A1A">
      <w:pPr>
        <w:pStyle w:val="ArticleBJL1"/>
      </w:pPr>
      <w:r>
        <w:br/>
      </w:r>
      <w:bookmarkStart w:id="19" w:name="_Toc56159008"/>
      <w:r>
        <w:t>Compliance with Agreement</w:t>
      </w:r>
      <w:bookmarkEnd w:id="19"/>
    </w:p>
    <w:p w:rsidR="00C20A1A">
      <w:pPr>
        <w:pStyle w:val="ArticleBJL2"/>
      </w:pPr>
      <w:bookmarkStart w:id="20" w:name="_Toc481488818"/>
      <w:bookmarkStart w:id="21" w:name="_Toc56159009"/>
      <w:r>
        <w:t>[Unanimous Shareholder Agreement</w:t>
      </w:r>
      <w:r>
        <w:rPr>
          <w:rStyle w:val="FootnoteReference"/>
        </w:rPr>
        <w:footnoteReference w:id="16"/>
      </w:r>
      <w:bookmarkEnd w:id="20"/>
      <w:bookmarkEnd w:id="21"/>
    </w:p>
    <w:p w:rsidR="00C20A1A">
      <w:pPr>
        <w:pStyle w:val="ArticleBJL3"/>
        <w:rPr>
          <w:b/>
          <w:bCs/>
        </w:rPr>
      </w:pPr>
      <w:r>
        <w:rPr>
          <w:b/>
          <w:bCs/>
        </w:rPr>
        <w:t>This Agreement is deemed to be a unanimous shareholder agreement within the meaning of the Act, and the power of the Board to manage or supervise the management of the business and affairs of the Company is restricted in accordance with the terms of this Agreement.</w:t>
      </w:r>
    </w:p>
    <w:p w:rsidR="00C20A1A">
      <w:pPr>
        <w:pStyle w:val="ArticleBJL3"/>
        <w:rPr>
          <w:b/>
          <w:bCs/>
        </w:rPr>
      </w:pPr>
      <w:r>
        <w:rPr>
          <w:b/>
          <w:bCs/>
        </w:rPr>
        <w:t xml:space="preserve">Where provided in this Agreement, a Shareholder has all the rights, powers and duties of the directors and all obligations and liabilities relating to such rights, powers and duties, whether arising under the Act or otherwise. To the extent that this Agreement restricts the discretion or powers of the directors to manage or supervise the management of the business and affairs of the </w:t>
      </w:r>
      <w:r>
        <w:rPr>
          <w:b/>
          <w:bCs/>
        </w:rPr>
        <w:t>Company, the directors are relieved of their duties and liabilities to the same extent.</w:t>
      </w:r>
    </w:p>
    <w:p w:rsidR="00C20A1A" w:rsidRPr="0024442C">
      <w:pPr>
        <w:pStyle w:val="ArticleBJL3"/>
      </w:pPr>
      <w:r>
        <w:rPr>
          <w:b/>
          <w:bCs/>
        </w:rPr>
        <w:t>No amendment to this Agreement that affects the rights, powers and duties of any of the directors is effective until the directors have been given notice of the proposed amendment and an opportunity to resign.</w:t>
      </w:r>
    </w:p>
    <w:p w:rsidR="0024442C" w:rsidRPr="0024442C">
      <w:pPr>
        <w:pStyle w:val="ArticleBJL3"/>
        <w:rPr>
          <w:b/>
        </w:rPr>
      </w:pPr>
      <w:r w:rsidRPr="0024442C">
        <w:rPr>
          <w:b/>
        </w:rPr>
        <w:t>If there is any inconsistency between the provisions of this Agreement and any provision in the Articles or the By-laws, the terms of this Agreement are paramount.</w:t>
      </w:r>
      <w:r>
        <w:rPr>
          <w:rStyle w:val="FootnoteReference"/>
          <w:b/>
        </w:rPr>
        <w:footnoteReference w:id="17"/>
      </w:r>
      <w:r w:rsidRPr="0024442C">
        <w:rPr>
          <w:b/>
          <w:bCs/>
        </w:rPr>
        <w:t xml:space="preserve"> ]</w:t>
      </w:r>
    </w:p>
    <w:p w:rsidR="00C20A1A">
      <w:pPr>
        <w:pStyle w:val="ArticleBJL2"/>
      </w:pPr>
      <w:bookmarkStart w:id="22" w:name="_Toc481488819"/>
      <w:bookmarkStart w:id="23" w:name="_Toc56159010"/>
      <w:r>
        <w:rPr>
          <w:rStyle w:val="BodyTextChar"/>
        </w:rPr>
        <w:t>Compliance by Company</w:t>
      </w:r>
      <w:r>
        <w:t xml:space="preserve"> and Shareholders</w:t>
      </w:r>
      <w:bookmarkEnd w:id="22"/>
      <w:bookmarkEnd w:id="23"/>
    </w:p>
    <w:p w:rsidR="00C20A1A">
      <w:pPr>
        <w:pStyle w:val="ArticleBJL3"/>
      </w:pPr>
      <w:r>
        <w:t>All Shareholders agree to execute any written resolutions required to perform the obligations of this Agreement.</w:t>
      </w:r>
    </w:p>
    <w:p w:rsidR="00C20A1A">
      <w:pPr>
        <w:pStyle w:val="ArticleBJL3"/>
      </w:pPr>
      <w:r>
        <w:t>The Shareholders and the Company waive their rights to enforce or require compliance with any provision of the Articles or the By-laws that are inconsistent with this Agreement. The Shareholders will use their reasonable best efforts to ensure that the Articles and By-laws reflect the terms of this Agreement and are not amended to include provisions that are or could be inconsistent with the provisions of this Agreement. The Shareholders will vote the Shares held by them so as to cause the Articles and the By-laws to be amended to resolve any conflict in favour of the terms of this Agreement.</w:t>
      </w:r>
    </w:p>
    <w:p w:rsidR="00C20A1A">
      <w:pPr>
        <w:pStyle w:val="ArticleBJL3"/>
      </w:pPr>
      <w:r>
        <w:t>The Company will carry out and be bound by the provisions of this Agreement to the extent that it has the capacity and power at law to do so. The Company will use its best efforts, within the requirements of applicable law, to ensure that the rights granted under this Agreement are effective and that the parties enjoy the benefits of this Agreement. Such actions include the use of the Company's best efforts to cause the nomination and election of the directors as provided in this Agreement.</w:t>
      </w:r>
    </w:p>
    <w:p w:rsidR="00C20A1A">
      <w:pPr>
        <w:pStyle w:val="ArticleBJL2"/>
      </w:pPr>
      <w:bookmarkStart w:id="24" w:name="_Toc481488820"/>
      <w:bookmarkStart w:id="25" w:name="_Toc56159011"/>
      <w:r>
        <w:t>[</w:t>
      </w:r>
      <w:r>
        <w:t>Deemed Consent to Transfer</w:t>
      </w:r>
      <w:bookmarkEnd w:id="24"/>
      <w:bookmarkEnd w:id="25"/>
    </w:p>
    <w:p w:rsidR="00C20A1A" w:rsidRPr="00CB3DDF">
      <w:pPr>
        <w:pStyle w:val="ArticleBJCont2"/>
        <w:rPr>
          <w:b/>
        </w:rPr>
      </w:pPr>
      <w:r w:rsidRPr="00CB3DDF">
        <w:rPr>
          <w:b/>
        </w:rPr>
        <w:t>For purposes of any provision in the Articles requiring consent of the shareholders of the Company to a transfer of Shares, each Shareholder is deemed to have consented to any transfer of Shares permitted or required under this Agreement.</w:t>
      </w:r>
      <w:r>
        <w:rPr>
          <w:rStyle w:val="FootnoteReference"/>
          <w:b/>
        </w:rPr>
        <w:footnoteReference w:id="18"/>
      </w:r>
      <w:r w:rsidRPr="00CB3DDF" w:rsidR="00CB3DDF">
        <w:rPr>
          <w:b/>
        </w:rPr>
        <w:t>]</w:t>
      </w:r>
    </w:p>
    <w:p w:rsidR="00C20A1A">
      <w:pPr>
        <w:pStyle w:val="ArticleBJL2"/>
      </w:pPr>
      <w:bookmarkStart w:id="26" w:name="_Ref463554675"/>
      <w:bookmarkStart w:id="27" w:name="_Ref463554857"/>
      <w:bookmarkStart w:id="28" w:name="_Ref463554991"/>
      <w:bookmarkStart w:id="29" w:name="_Toc481488821"/>
      <w:bookmarkStart w:id="30" w:name="_Toc56159012"/>
      <w:r>
        <w:t>Vote to Increase Authorized Common Shares</w:t>
      </w:r>
      <w:bookmarkEnd w:id="26"/>
      <w:bookmarkEnd w:id="27"/>
      <w:bookmarkEnd w:id="28"/>
      <w:bookmarkEnd w:id="29"/>
      <w:bookmarkEnd w:id="30"/>
    </w:p>
    <w:p w:rsidR="00C20A1A">
      <w:pPr>
        <w:pStyle w:val="ArticleBJCont2"/>
      </w:pPr>
      <w:r>
        <w:t xml:space="preserve">Unless the authorized number of Common Shares is unlimited, each Shareholder agrees to vote or cause to be voted all Shares owned by such Shareholder, or over which such Shareholder has </w:t>
      </w:r>
      <w:r>
        <w:t>voting control, from time to time and at all times, in whatever manner as shall be necessary to increase the number of authorized Common Shares from time to time to ensure that there will be sufficient Common Shares available for conversion of all of the Preferred Shares outstanding at any given time.</w:t>
      </w:r>
    </w:p>
    <w:p w:rsidR="00C20A1A">
      <w:pPr>
        <w:pStyle w:val="ArticleBJL1"/>
      </w:pPr>
      <w:bookmarkStart w:id="31" w:name="_Ref448392683"/>
      <w:r>
        <w:br/>
      </w:r>
      <w:bookmarkStart w:id="32" w:name="_Toc463463865"/>
      <w:bookmarkStart w:id="33" w:name="_Ref56081241"/>
      <w:bookmarkStart w:id="34" w:name="_Toc56159013"/>
      <w:bookmarkStart w:id="35" w:name="_Ref56326290"/>
      <w:r>
        <w:t>Voting Provisions Regarding Board of Directors</w:t>
      </w:r>
      <w:bookmarkEnd w:id="31"/>
      <w:r>
        <w:rPr>
          <w:rStyle w:val="FootnoteReference"/>
        </w:rPr>
        <w:footnoteReference w:id="19"/>
      </w:r>
      <w:bookmarkEnd w:id="32"/>
      <w:bookmarkEnd w:id="33"/>
      <w:bookmarkEnd w:id="34"/>
      <w:bookmarkEnd w:id="35"/>
    </w:p>
    <w:p w:rsidR="00C20A1A">
      <w:pPr>
        <w:pStyle w:val="ArticleBJL2"/>
      </w:pPr>
      <w:bookmarkStart w:id="36" w:name="_Toc56159014"/>
      <w:bookmarkStart w:id="37" w:name="_Ref56325924"/>
      <w:r>
        <w:t>Shares</w:t>
      </w:r>
      <w:bookmarkEnd w:id="36"/>
      <w:bookmarkEnd w:id="37"/>
    </w:p>
    <w:p w:rsidR="00C20A1A">
      <w:pPr>
        <w:pStyle w:val="ArticleBJCont2"/>
      </w:pPr>
      <w:r w:rsidRPr="0041670C">
        <w:t xml:space="preserve">For purposes of this Agreement, the term </w:t>
      </w:r>
      <w:r>
        <w:t>"</w:t>
      </w:r>
      <w:r w:rsidRPr="0041670C">
        <w:rPr>
          <w:b/>
        </w:rPr>
        <w:t>Shares</w:t>
      </w:r>
      <w:r>
        <w:t>"</w:t>
      </w:r>
      <w:r w:rsidRPr="0041670C">
        <w:t xml:space="preserve"> include</w:t>
      </w:r>
      <w:r w:rsidR="007B0252">
        <w:t>s</w:t>
      </w:r>
      <w:r w:rsidRPr="0041670C">
        <w:t xml:space="preserve"> any securities of the Company that the holders of which are entitled to vote for members of the Board, including all Common Shares and </w:t>
      </w:r>
      <w:r w:rsidRPr="0041670C">
        <w:rPr>
          <w:b/>
        </w:rPr>
        <w:t>[Class A]</w:t>
      </w:r>
      <w:r w:rsidRPr="0041670C">
        <w:t xml:space="preserve"> Preferred Shares, by whatever name called, now owned or subsequently acquired by a Shareholder, however acquired, whether through </w:t>
      </w:r>
      <w:r w:rsidR="007B0252">
        <w:t>stock splits, stock dividends</w:t>
      </w:r>
      <w:r w:rsidRPr="0041670C">
        <w:t>, reclassifications, recapitalizations, similar events or otherwise.</w:t>
      </w:r>
    </w:p>
    <w:p w:rsidR="00C20A1A">
      <w:pPr>
        <w:pStyle w:val="ArticleBJL2"/>
      </w:pPr>
      <w:bookmarkStart w:id="38" w:name="_Ref448392685"/>
      <w:bookmarkStart w:id="39" w:name="_Toc463463867"/>
      <w:bookmarkStart w:id="40" w:name="_Toc481488826"/>
      <w:bookmarkStart w:id="41" w:name="_Ref55405985"/>
      <w:bookmarkStart w:id="42" w:name="_Toc56159015"/>
      <w:r>
        <w:t>Board Composition</w:t>
      </w:r>
      <w:bookmarkEnd w:id="38"/>
      <w:bookmarkEnd w:id="39"/>
      <w:bookmarkEnd w:id="40"/>
      <w:r>
        <w:rPr>
          <w:rStyle w:val="FootnoteReference"/>
        </w:rPr>
        <w:footnoteReference w:id="20"/>
      </w:r>
      <w:bookmarkEnd w:id="41"/>
      <w:bookmarkEnd w:id="42"/>
    </w:p>
    <w:p w:rsidR="00C20A1A">
      <w:pPr>
        <w:pStyle w:val="ArticleBJCont2"/>
      </w:pPr>
      <w:r>
        <w:t>At each annual or special meeting of Shareholders at which an election of directors is held or pursuant to any written resolution of the Shareholders, subject to</w:t>
      </w:r>
      <w:r w:rsidR="00D219CA">
        <w:t xml:space="preserve"> </w:t>
      </w:r>
      <w:r w:rsidR="00D219CA">
        <w:fldChar w:fldCharType="begin"/>
      </w:r>
      <w:r w:rsidR="00D219CA">
        <w:instrText xml:space="preserve"> REF _Ref525892413 \w \h </w:instrText>
      </w:r>
      <w:r w:rsidR="00D219CA">
        <w:fldChar w:fldCharType="separate"/>
      </w:r>
      <w:r w:rsidR="00230E5B">
        <w:t>Article 7</w:t>
      </w:r>
      <w:r w:rsidR="00D219CA">
        <w:fldChar w:fldCharType="end"/>
      </w:r>
      <w:r>
        <w:t xml:space="preserve">, the following individuals </w:t>
      </w:r>
      <w:bookmarkStart w:id="43" w:name="_GoBack"/>
      <w:bookmarkEnd w:id="43"/>
      <w:r>
        <w:t xml:space="preserve">shall be elected to the Board: </w:t>
      </w:r>
      <w:r>
        <w:rPr>
          <w:rStyle w:val="FootnoteReference"/>
        </w:rPr>
        <w:footnoteReference w:id="21"/>
      </w:r>
    </w:p>
    <w:p w:rsidR="00C20A1A" w:rsidP="0041670C">
      <w:pPr>
        <w:pStyle w:val="ArticleBJL3"/>
      </w:pPr>
      <w:bookmarkStart w:id="44" w:name="_Ref448392686"/>
      <w:bookmarkStart w:id="45" w:name="_Ref525897271"/>
      <w:r w:rsidRPr="0041670C">
        <w:t xml:space="preserve">As the </w:t>
      </w:r>
      <w:r w:rsidRPr="0041670C">
        <w:rPr>
          <w:b/>
        </w:rPr>
        <w:t>[first Preferred] [Class A]</w:t>
      </w:r>
      <w:r w:rsidRPr="0041670C">
        <w:t xml:space="preserve"> Director, one</w:t>
      </w:r>
      <w:r>
        <w:t xml:space="preserve"> individual designated from time to time by </w:t>
      </w:r>
      <w:r>
        <w:rPr>
          <w:b/>
          <w:bCs/>
        </w:rPr>
        <w:t>[</w:t>
      </w:r>
      <w:r>
        <w:rPr>
          <w:b/>
          <w:bCs/>
          <w:i/>
          <w:iCs/>
        </w:rPr>
        <w:t>Name of Investor</w:t>
      </w:r>
      <w:r>
        <w:rPr>
          <w:b/>
          <w:bCs/>
        </w:rPr>
        <w:t>]</w:t>
      </w:r>
      <w:r>
        <w:t xml:space="preserve"> (the "</w:t>
      </w:r>
      <w:r>
        <w:rPr>
          <w:b/>
        </w:rPr>
        <w:t>[</w:t>
      </w:r>
      <w:r>
        <w:rPr>
          <w:b/>
          <w:bCs/>
          <w:i/>
          <w:iCs/>
        </w:rPr>
        <w:t>Name of Investor Designee</w:t>
      </w:r>
      <w:r>
        <w:rPr>
          <w:b/>
          <w:bCs/>
          <w:iCs/>
        </w:rPr>
        <w:t>]</w:t>
      </w:r>
      <w:r>
        <w:t xml:space="preserve">"), for so long as such Shareholder and its Affiliates continue to own beneficially an aggregate of at least </w:t>
      </w:r>
      <w:r>
        <w:rPr>
          <w:b/>
          <w:bCs/>
        </w:rPr>
        <w:t>[</w:t>
      </w:r>
      <w:r>
        <w:rPr>
          <w:rFonts w:ascii="Symbol" w:hAnsi="Symbol"/>
          <w:b/>
          <w:bCs/>
        </w:rPr>
        <w:sym w:font="Symbol" w:char="F0B7"/>
      </w:r>
      <w:r>
        <w:rPr>
          <w:b/>
          <w:bCs/>
        </w:rPr>
        <w:t>]</w:t>
      </w:r>
      <w:r>
        <w:t xml:space="preserve"> Common Shares (including Common Shares issued or issuable upon conversion of the Preferred Shares), which number is subject to appropriate adjustment for any </w:t>
      </w:r>
      <w:r w:rsidR="007B0252">
        <w:t>stock splits, stock dividends</w:t>
      </w:r>
      <w:r>
        <w:t>, combinations, recapitalizations and the like</w:t>
      </w:r>
      <w:bookmarkEnd w:id="44"/>
      <w:r>
        <w:t>,</w:t>
      </w:r>
      <w:r w:rsidRPr="00D63169">
        <w:t xml:space="preserve"> </w:t>
      </w:r>
      <w:r>
        <w:t xml:space="preserve">which individual shall initially be </w:t>
      </w:r>
      <w:r>
        <w:rPr>
          <w:b/>
          <w:bCs/>
        </w:rPr>
        <w:t>[</w:t>
      </w:r>
      <w:r>
        <w:rPr>
          <w:rFonts w:ascii="Symbol" w:hAnsi="Symbol"/>
          <w:b/>
          <w:bCs/>
        </w:rPr>
        <w:sym w:font="Symbol" w:char="F0B7"/>
      </w:r>
      <w:r>
        <w:rPr>
          <w:b/>
          <w:bCs/>
        </w:rPr>
        <w:t>]</w:t>
      </w:r>
      <w:r>
        <w:t>;</w:t>
      </w:r>
      <w:bookmarkEnd w:id="45"/>
    </w:p>
    <w:p w:rsidR="00C20A1A">
      <w:pPr>
        <w:pStyle w:val="ArticleBJL3"/>
      </w:pPr>
      <w:bookmarkStart w:id="46" w:name="_Ref448392687"/>
      <w:bookmarkStart w:id="47" w:name="_Ref525897281"/>
      <w:r w:rsidRPr="0041670C">
        <w:t xml:space="preserve">As the </w:t>
      </w:r>
      <w:r w:rsidRPr="0041670C">
        <w:rPr>
          <w:b/>
        </w:rPr>
        <w:t>[</w:t>
      </w:r>
      <w:r>
        <w:rPr>
          <w:b/>
        </w:rPr>
        <w:t>second</w:t>
      </w:r>
      <w:r w:rsidRPr="0041670C">
        <w:rPr>
          <w:b/>
        </w:rPr>
        <w:t xml:space="preserve"> Preferred] [Class </w:t>
      </w:r>
      <w:r>
        <w:rPr>
          <w:b/>
        </w:rPr>
        <w:t>B</w:t>
      </w:r>
      <w:r w:rsidRPr="0041670C">
        <w:rPr>
          <w:b/>
        </w:rPr>
        <w:t>]</w:t>
      </w:r>
      <w:r w:rsidRPr="0041670C">
        <w:t xml:space="preserve"> Director, one</w:t>
      </w:r>
      <w:r>
        <w:t xml:space="preserve"> individual designated from time to time by </w:t>
      </w:r>
      <w:r>
        <w:rPr>
          <w:b/>
          <w:bCs/>
        </w:rPr>
        <w:t>[</w:t>
      </w:r>
      <w:r>
        <w:rPr>
          <w:b/>
          <w:bCs/>
          <w:i/>
          <w:iCs/>
        </w:rPr>
        <w:t>Name of 2nd Investor</w:t>
      </w:r>
      <w:r>
        <w:rPr>
          <w:b/>
          <w:bCs/>
        </w:rPr>
        <w:t>]</w:t>
      </w:r>
      <w:r>
        <w:t xml:space="preserve"> (the "</w:t>
      </w:r>
      <w:r>
        <w:rPr>
          <w:b/>
        </w:rPr>
        <w:t>[</w:t>
      </w:r>
      <w:r>
        <w:rPr>
          <w:b/>
          <w:bCs/>
          <w:i/>
          <w:iCs/>
        </w:rPr>
        <w:t>Name of 2nd Investor Designee</w:t>
      </w:r>
      <w:r>
        <w:rPr>
          <w:b/>
          <w:bCs/>
          <w:iCs/>
        </w:rPr>
        <w:t>]</w:t>
      </w:r>
      <w:r>
        <w:t xml:space="preserve">"), for so long as such Shareholder and its Affiliates continue to own beneficially an aggregate of at least </w:t>
      </w:r>
      <w:r>
        <w:rPr>
          <w:b/>
          <w:bCs/>
        </w:rPr>
        <w:t>[</w:t>
      </w:r>
      <w:r>
        <w:rPr>
          <w:rFonts w:ascii="Symbol" w:hAnsi="Symbol"/>
          <w:b/>
          <w:bCs/>
        </w:rPr>
        <w:sym w:font="Symbol" w:char="F0B7"/>
      </w:r>
      <w:r>
        <w:rPr>
          <w:b/>
          <w:bCs/>
        </w:rPr>
        <w:t>]</w:t>
      </w:r>
      <w:r>
        <w:t xml:space="preserve"> Common Shares (including Common Shares issued or issuable upon conversion of the Preferred Shares), which number is subject to appropriate adjustment for all </w:t>
      </w:r>
      <w:r w:rsidR="007B0252">
        <w:t>stock splits, stock dividends</w:t>
      </w:r>
      <w:r>
        <w:t>, combinations, recapitalizations and the like</w:t>
      </w:r>
      <w:bookmarkEnd w:id="46"/>
      <w:r>
        <w:t xml:space="preserve">, which individual shall initially be </w:t>
      </w:r>
      <w:r>
        <w:rPr>
          <w:b/>
          <w:bCs/>
        </w:rPr>
        <w:t>[</w:t>
      </w:r>
      <w:r>
        <w:rPr>
          <w:rFonts w:ascii="Symbol" w:hAnsi="Symbol"/>
          <w:b/>
          <w:bCs/>
        </w:rPr>
        <w:sym w:font="Symbol" w:char="F0B7"/>
      </w:r>
      <w:r>
        <w:rPr>
          <w:b/>
          <w:bCs/>
        </w:rPr>
        <w:t>]</w:t>
      </w:r>
      <w:r>
        <w:t>;</w:t>
      </w:r>
      <w:bookmarkEnd w:id="47"/>
    </w:p>
    <w:p w:rsidR="00C20A1A" w:rsidP="0041670C">
      <w:pPr>
        <w:pStyle w:val="ArticleBJL3"/>
      </w:pPr>
      <w:bookmarkStart w:id="48" w:name="_Ref448392688"/>
      <w:bookmarkStart w:id="49" w:name="_Ref525897302"/>
      <w:r w:rsidRPr="0041670C">
        <w:rPr>
          <w:b/>
          <w:bCs/>
        </w:rPr>
        <w:t xml:space="preserve">[As one Common Director] </w:t>
      </w:r>
      <w:r>
        <w:t>[</w:t>
      </w:r>
      <w:r>
        <w:rPr>
          <w:i/>
          <w:iCs/>
        </w:rPr>
        <w:t>Alternative 1:</w:t>
      </w:r>
      <w:r>
        <w:t xml:space="preserve"> For so long as the Key Holders [who are then providing services to the Company as officers, employees or consultants] hold an aggregate of at least [</w:t>
      </w:r>
      <w:r>
        <w:rPr>
          <w:rFonts w:ascii="Symbol" w:hAnsi="Symbol"/>
        </w:rPr>
        <w:sym w:font="Symbol" w:char="F0B7"/>
      </w:r>
      <w:r>
        <w:t xml:space="preserve">] Common Shares (subject to appropriate adjustment </w:t>
      </w:r>
      <w:r>
        <w:t xml:space="preserve">for any </w:t>
      </w:r>
      <w:r w:rsidR="007B0252">
        <w:t>stock splits, stock dividends</w:t>
      </w:r>
      <w:r>
        <w:t xml:space="preserve">, combinations, recapitalizations and the like), one individual designated from time to time by the holders of a majority of </w:t>
      </w:r>
      <w:r w:rsidR="000A2EFF">
        <w:t xml:space="preserve">the </w:t>
      </w:r>
      <w:r>
        <w:t xml:space="preserve">Common Shares </w:t>
      </w:r>
      <w:r w:rsidRPr="00DF2D74">
        <w:rPr>
          <w:b/>
        </w:rPr>
        <w:t>[outstanding] [held by the Key Holders]</w:t>
      </w:r>
      <w:r>
        <w:rPr>
          <w:b/>
        </w:rPr>
        <w:t xml:space="preserve"> [who are then providing services to the Company as officers, employees or consultants]</w:t>
      </w:r>
      <w:r>
        <w:t>, which individual shall initially be [</w:t>
      </w:r>
      <w:r>
        <w:rPr>
          <w:rFonts w:ascii="Symbol" w:hAnsi="Symbol"/>
        </w:rPr>
        <w:sym w:font="Symbol" w:char="F0B7"/>
      </w:r>
      <w:r>
        <w:t>]</w:t>
      </w:r>
      <w:r w:rsidRPr="00682437">
        <w:t>;</w:t>
      </w:r>
      <w:bookmarkEnd w:id="48"/>
      <w:bookmarkEnd w:id="49"/>
    </w:p>
    <w:p w:rsidR="00C20A1A" w:rsidP="00C81BCC">
      <w:pPr>
        <w:pStyle w:val="ArticleBJL3"/>
        <w:numPr>
          <w:ilvl w:val="0"/>
          <w:numId w:val="0"/>
        </w:numPr>
        <w:ind w:left="1440"/>
      </w:pPr>
      <w:r>
        <w:rPr>
          <w:b/>
          <w:bCs/>
        </w:rPr>
        <w:t>[</w:t>
      </w:r>
      <w:r>
        <w:rPr>
          <w:b/>
          <w:bCs/>
          <w:i/>
          <w:iCs/>
        </w:rPr>
        <w:t>Alternative 2:</w:t>
      </w:r>
      <w:r>
        <w:rPr>
          <w:b/>
          <w:bCs/>
        </w:rPr>
        <w:t xml:space="preserve"> [</w:t>
      </w:r>
      <w:r>
        <w:rPr>
          <w:b/>
          <w:bCs/>
          <w:i/>
          <w:iCs/>
        </w:rPr>
        <w:t>Name of Key Holder</w:t>
      </w:r>
      <w:r>
        <w:rPr>
          <w:b/>
          <w:bCs/>
        </w:rPr>
        <w:t>]</w:t>
      </w:r>
      <w:r>
        <w:t xml:space="preserve">, for so long as </w:t>
      </w:r>
      <w:r>
        <w:rPr>
          <w:b/>
          <w:bCs/>
        </w:rPr>
        <w:t>[</w:t>
      </w:r>
      <w:r>
        <w:rPr>
          <w:b/>
          <w:bCs/>
          <w:i/>
          <w:iCs/>
        </w:rPr>
        <w:t>Name of Key Holder</w:t>
      </w:r>
      <w:r>
        <w:rPr>
          <w:b/>
          <w:bCs/>
        </w:rPr>
        <w:t>]</w:t>
      </w:r>
      <w:r>
        <w:t xml:space="preserve"> </w:t>
      </w:r>
      <w:r>
        <w:rPr>
          <w:b/>
          <w:bCs/>
        </w:rPr>
        <w:t>[remains an [officer] [employee] of the Company]</w:t>
      </w:r>
      <w:r>
        <w:t xml:space="preserve"> </w:t>
      </w:r>
      <w:r>
        <w:rPr>
          <w:b/>
          <w:bCs/>
        </w:rPr>
        <w:t>[holds at least [</w:t>
      </w:r>
      <w:r>
        <w:rPr>
          <w:rFonts w:ascii="Symbol" w:hAnsi="Symbol"/>
          <w:b/>
          <w:bCs/>
        </w:rPr>
        <w:sym w:font="Symbol" w:char="F0B7"/>
      </w:r>
      <w:r>
        <w:rPr>
          <w:b/>
          <w:bCs/>
        </w:rPr>
        <w:t xml:space="preserve">] Common Shares (subject to appropriate adjustment for any </w:t>
      </w:r>
      <w:r w:rsidR="007B0252">
        <w:rPr>
          <w:b/>
          <w:bCs/>
        </w:rPr>
        <w:t>stock splits, stock dividends</w:t>
      </w:r>
      <w:r>
        <w:rPr>
          <w:b/>
          <w:bCs/>
        </w:rPr>
        <w:t>, combinations, recapitalizations and the like)]</w:t>
      </w:r>
      <w:r>
        <w:t xml:space="preserve"> </w:t>
      </w:r>
      <w:r>
        <w:rPr>
          <w:b/>
          <w:bCs/>
        </w:rPr>
        <w:t>[holds at least [</w:t>
      </w:r>
      <w:r>
        <w:rPr>
          <w:rFonts w:ascii="Symbol" w:hAnsi="Symbol"/>
          <w:b/>
          <w:bCs/>
        </w:rPr>
        <w:sym w:font="Symbol" w:char="F0B7"/>
      </w:r>
      <w:r>
        <w:rPr>
          <w:b/>
          <w:bCs/>
        </w:rPr>
        <w:t>]% of the outstanding share capital of the Company on an as converted basis]</w:t>
      </w:r>
      <w:r>
        <w:t xml:space="preserve"> </w:t>
      </w:r>
      <w:r>
        <w:rPr>
          <w:b/>
          <w:bCs/>
        </w:rPr>
        <w:t>[, except that if [</w:t>
      </w:r>
      <w:r>
        <w:rPr>
          <w:b/>
          <w:bCs/>
          <w:i/>
          <w:iCs/>
        </w:rPr>
        <w:t>Name of Key Holder</w:t>
      </w:r>
      <w:r>
        <w:rPr>
          <w:b/>
          <w:bCs/>
        </w:rPr>
        <w:t>] declines or is unable to serve, his or her successor shall be designated by [</w:t>
      </w:r>
      <w:r>
        <w:rPr>
          <w:b/>
          <w:bCs/>
          <w:i/>
          <w:iCs/>
        </w:rPr>
        <w:t>Name of alternate Key Holder</w:t>
      </w:r>
      <w:r>
        <w:rPr>
          <w:b/>
          <w:bCs/>
        </w:rPr>
        <w:t>] [the holders of a majority of Common Shares outstanding]</w:t>
      </w:r>
      <w:r w:rsidRPr="00682437">
        <w:rPr>
          <w:b/>
        </w:rPr>
        <w:t>;]</w:t>
      </w:r>
      <w:r>
        <w:t xml:space="preserve"> </w:t>
      </w:r>
      <w:r>
        <w:rPr>
          <w:rStyle w:val="FootnoteReference"/>
        </w:rPr>
        <w:footnoteReference w:id="22"/>
      </w:r>
      <w:r>
        <w:t xml:space="preserve"> </w:t>
      </w:r>
    </w:p>
    <w:p w:rsidR="00C20A1A" w:rsidP="00DF2D74">
      <w:pPr>
        <w:pStyle w:val="ArticleBJL3"/>
      </w:pPr>
      <w:bookmarkStart w:id="50" w:name="_Ref448392689"/>
      <w:r w:rsidRPr="00DF2D74">
        <w:rPr>
          <w:b/>
        </w:rPr>
        <w:t>[As [the other] [the] Common Director] [T]</w:t>
      </w:r>
      <w:r w:rsidRPr="00DF2D74">
        <w:t>he</w:t>
      </w:r>
      <w:r>
        <w:t xml:space="preserve">Company's Chief Executive Officer, who as of the date of this Agreement is </w:t>
      </w:r>
      <w:r>
        <w:rPr>
          <w:b/>
        </w:rPr>
        <w:t>[</w:t>
      </w:r>
      <w:r w:rsidRPr="00DF2D74">
        <w:t>●</w:t>
      </w:r>
      <w:r>
        <w:rPr>
          <w:b/>
        </w:rPr>
        <w:t>]</w:t>
      </w:r>
      <w:r>
        <w:t xml:space="preserve"> (the "</w:t>
      </w:r>
      <w:r>
        <w:rPr>
          <w:b/>
          <w:bCs/>
        </w:rPr>
        <w:t>CEO Director</w:t>
      </w:r>
      <w:r>
        <w:t xml:space="preserve">"), provided that if for any reason the CEO Director shall cease to serve as the Chief Executive Officer of the Company, each of the Shareholders shall promptly vote their respective Shares </w:t>
      </w:r>
      <w:bookmarkStart w:id="51" w:name="DocXTextRef14"/>
      <w:r>
        <w:t>(i)</w:t>
      </w:r>
      <w:bookmarkEnd w:id="51"/>
      <w:r>
        <w:t xml:space="preserve"> to remove the former Chief Executive Officer of the Company from the Board if such individual has not resigned as a member of the Board; and </w:t>
      </w:r>
      <w:bookmarkStart w:id="52" w:name="DocXTextRef15"/>
      <w:r>
        <w:t>(ii)</w:t>
      </w:r>
      <w:bookmarkEnd w:id="52"/>
      <w:r>
        <w:t xml:space="preserve"> to elect such individual's replacement as Chief Executive Officer of the Company as the new CEO Director; </w:t>
      </w:r>
      <w:bookmarkEnd w:id="50"/>
      <w:r>
        <w:t>and</w:t>
      </w:r>
    </w:p>
    <w:p w:rsidR="00C20A1A" w:rsidP="00DF2D74">
      <w:pPr>
        <w:pStyle w:val="ArticleBJL3"/>
      </w:pPr>
      <w:bookmarkStart w:id="53" w:name="_Ref448392690"/>
      <w:r w:rsidRPr="00DF2D74">
        <w:rPr>
          <w:b/>
        </w:rPr>
        <w:t xml:space="preserve">[As the Mutual Director, one] </w:t>
      </w:r>
      <w:r>
        <w:t xml:space="preserve">individual not otherwise an Affiliate of the Company or of any Investor who is [mutually acceptable to </w:t>
      </w:r>
      <w:bookmarkStart w:id="54" w:name="DocXTextRef16"/>
      <w:r>
        <w:t>(i)</w:t>
      </w:r>
      <w:bookmarkEnd w:id="54"/>
      <w:r>
        <w:t xml:space="preserve"> the holders of a majority of the Shares held by the Key Holders who are then providing services to the Company as officers, employees or consultants; and </w:t>
      </w:r>
      <w:bookmarkStart w:id="55" w:name="DocXTextRef17"/>
      <w:r>
        <w:t>(ii)</w:t>
      </w:r>
      <w:bookmarkEnd w:id="55"/>
      <w:r>
        <w:t xml:space="preserve"> the holders of a majority of the Shares held by the Investors] [mutually acceptable to the other members of the Board]; </w:t>
      </w:r>
      <w:bookmarkEnd w:id="53"/>
      <w:r>
        <w:t>and</w:t>
      </w:r>
    </w:p>
    <w:p w:rsidR="00C20A1A" w:rsidRPr="0091655A">
      <w:pPr>
        <w:pStyle w:val="ArticleBJL3"/>
        <w:rPr>
          <w:b/>
        </w:rPr>
      </w:pPr>
      <w:r w:rsidRPr="0091655A">
        <w:rPr>
          <w:b/>
        </w:rPr>
        <w:t xml:space="preserve">[To the extent that any of clauses </w:t>
      </w:r>
      <w:bookmarkStart w:id="56" w:name="DocXTextRef18"/>
      <w:r w:rsidRPr="0091655A">
        <w:rPr>
          <w:b/>
        </w:rPr>
        <w:t>(a)</w:t>
      </w:r>
      <w:bookmarkEnd w:id="56"/>
      <w:r w:rsidRPr="0091655A">
        <w:rPr>
          <w:b/>
        </w:rPr>
        <w:t xml:space="preserve"> through </w:t>
      </w:r>
      <w:bookmarkStart w:id="57" w:name="DocXTextRef19"/>
      <w:r w:rsidRPr="0091655A">
        <w:rPr>
          <w:b/>
        </w:rPr>
        <w:t>(</w:t>
      </w:r>
      <w:r>
        <w:rPr>
          <w:b/>
        </w:rPr>
        <w:t>e</w:t>
      </w:r>
      <w:r w:rsidRPr="0091655A">
        <w:rPr>
          <w:b/>
        </w:rPr>
        <w:t>)</w:t>
      </w:r>
      <w:bookmarkEnd w:id="57"/>
      <w:r w:rsidRPr="0091655A">
        <w:rPr>
          <w:b/>
        </w:rPr>
        <w:t xml:space="preserve"> above shall not be applicable, any member of the Board who would otherwise have been designated in accordance with the terms thereof shall instead be voted upon by all the </w:t>
      </w:r>
      <w:r w:rsidR="000A2EFF">
        <w:rPr>
          <w:b/>
        </w:rPr>
        <w:t>s</w:t>
      </w:r>
      <w:r w:rsidRPr="0091655A">
        <w:rPr>
          <w:b/>
        </w:rPr>
        <w:t>hareholders of the Company entitled to vote thereon in accordance with, and pursuant to, the Articles.]</w:t>
      </w:r>
    </w:p>
    <w:p w:rsidR="00C20A1A">
      <w:pPr>
        <w:pStyle w:val="ArticleBJL2"/>
      </w:pPr>
      <w:bookmarkStart w:id="58" w:name="_Ref448392691"/>
      <w:bookmarkStart w:id="59" w:name="_Toc463463868"/>
      <w:bookmarkStart w:id="60" w:name="_Toc481488827"/>
      <w:bookmarkStart w:id="61" w:name="_Toc56159016"/>
      <w:r>
        <w:t>Failure to Designate a Board Member</w:t>
      </w:r>
      <w:bookmarkEnd w:id="58"/>
      <w:bookmarkEnd w:id="59"/>
      <w:bookmarkEnd w:id="60"/>
      <w:bookmarkEnd w:id="61"/>
    </w:p>
    <w:p w:rsidR="00C20A1A">
      <w:pPr>
        <w:pStyle w:val="ArticleBJCont2"/>
      </w:pPr>
      <w:r>
        <w:t xml:space="preserve">In the absence of any designation from the Persons or groups with the right to designate a director as specified above, the director previously designated by them and then serving shall be reelected </w:t>
      </w:r>
      <w:r>
        <w:t>if willing to serve unless such individual has been removed as provided herein, and otherwise, such Board seat shall remain vacant until otherwise filled as provided above.</w:t>
      </w:r>
    </w:p>
    <w:p w:rsidR="00C20A1A">
      <w:pPr>
        <w:pStyle w:val="ArticleBJL2"/>
      </w:pPr>
      <w:bookmarkStart w:id="62" w:name="_Ref448392692"/>
      <w:bookmarkStart w:id="63" w:name="_Toc463463869"/>
      <w:bookmarkStart w:id="64" w:name="_Toc481488828"/>
      <w:bookmarkStart w:id="65" w:name="_Ref525058526"/>
      <w:bookmarkStart w:id="66" w:name="_Toc56159017"/>
      <w:r>
        <w:t>Removal of Board Members</w:t>
      </w:r>
      <w:bookmarkEnd w:id="62"/>
      <w:bookmarkEnd w:id="63"/>
      <w:bookmarkEnd w:id="64"/>
      <w:r>
        <w:rPr>
          <w:rStyle w:val="FootnoteReference"/>
        </w:rPr>
        <w:footnoteReference w:id="23"/>
      </w:r>
      <w:bookmarkEnd w:id="65"/>
      <w:bookmarkEnd w:id="66"/>
    </w:p>
    <w:p w:rsidR="00C20A1A">
      <w:pPr>
        <w:pStyle w:val="ArticleBJL3"/>
      </w:pPr>
      <w:bookmarkStart w:id="67" w:name="_Ref448392693"/>
      <w:r>
        <w:t xml:space="preserve">No director elected pursuant to Section </w:t>
      </w:r>
      <w:r>
        <w:rPr>
          <w:cs/>
        </w:rPr>
        <w:fldChar w:fldCharType="begin"/>
      </w:r>
      <w:r>
        <w:instrText xml:space="preserve"> REF _Ref448392685 \r \h </w:instrText>
      </w:r>
      <w:r>
        <w:rPr>
          <w:cs/>
        </w:rPr>
        <w:fldChar w:fldCharType="separate"/>
      </w:r>
      <w:r w:rsidR="00230E5B">
        <w:t>3.2</w:t>
      </w:r>
      <w:r>
        <w:rPr>
          <w:cs/>
        </w:rPr>
        <w:fldChar w:fldCharType="end"/>
      </w:r>
      <w:r>
        <w:t xml:space="preserve"> of this Agreement may be removed from office </w:t>
      </w:r>
      <w:r>
        <w:rPr>
          <w:b/>
          <w:bCs/>
        </w:rPr>
        <w:t>[other than for cause]</w:t>
      </w:r>
      <w:r>
        <w:t xml:space="preserve"> unless </w:t>
      </w:r>
      <w:bookmarkStart w:id="68" w:name="DocXTextRef22"/>
      <w:r>
        <w:t>(i)</w:t>
      </w:r>
      <w:bookmarkEnd w:id="68"/>
      <w:r>
        <w:t xml:space="preserve"> such removal is directed or approved by the affirmative vote of the Person(s), or of the holders of at least </w:t>
      </w:r>
      <w:r>
        <w:rPr>
          <w:b/>
          <w:bCs/>
        </w:rPr>
        <w:t>[</w:t>
      </w:r>
      <w:r>
        <w:rPr>
          <w:b/>
          <w:bCs/>
          <w:i/>
          <w:iCs/>
        </w:rPr>
        <w:t>specify percentage</w:t>
      </w:r>
      <w:r>
        <w:rPr>
          <w:b/>
          <w:bCs/>
        </w:rPr>
        <w:t>]</w:t>
      </w:r>
      <w:r>
        <w:t xml:space="preserve"> of the Shares, entitled under Section </w:t>
      </w:r>
      <w:r>
        <w:fldChar w:fldCharType="begin"/>
      </w:r>
      <w:r>
        <w:instrText xml:space="preserve"> REF _Ref448392685 \r \h </w:instrText>
      </w:r>
      <w:r>
        <w:fldChar w:fldCharType="separate"/>
      </w:r>
      <w:r w:rsidR="00230E5B">
        <w:t>3.2</w:t>
      </w:r>
      <w:r>
        <w:fldChar w:fldCharType="end"/>
      </w:r>
      <w:r>
        <w:t xml:space="preserve"> to designate that director;</w:t>
      </w:r>
      <w:bookmarkStart w:id="69" w:name="_Ref448409800"/>
      <w:r>
        <w:rPr>
          <w:rStyle w:val="FootnoteReference"/>
        </w:rPr>
        <w:footnoteReference w:id="24"/>
      </w:r>
      <w:bookmarkEnd w:id="69"/>
      <w:r>
        <w:t xml:space="preserve"> or </w:t>
      </w:r>
      <w:bookmarkStart w:id="70" w:name="DocXTextRef24"/>
      <w:r>
        <w:t>(ii)</w:t>
      </w:r>
      <w:bookmarkEnd w:id="70"/>
      <w:r>
        <w:t xml:space="preserve"> the Person</w:t>
      </w:r>
      <w:bookmarkStart w:id="71" w:name="DocXTextRef25"/>
      <w:r>
        <w:t>(s)</w:t>
      </w:r>
      <w:bookmarkEnd w:id="71"/>
      <w:r>
        <w:t xml:space="preserve"> originally entitled to designate or approve such director </w:t>
      </w:r>
      <w:r>
        <w:rPr>
          <w:b/>
          <w:bCs/>
        </w:rPr>
        <w:t>[or occupy such Board seat]</w:t>
      </w:r>
      <w:r>
        <w:t xml:space="preserve"> pursuant to Section </w:t>
      </w:r>
      <w:r>
        <w:fldChar w:fldCharType="begin"/>
      </w:r>
      <w:r>
        <w:instrText xml:space="preserve"> REF _Ref448392685 \r \h </w:instrText>
      </w:r>
      <w:r>
        <w:fldChar w:fldCharType="separate"/>
      </w:r>
      <w:r w:rsidR="00230E5B">
        <w:t>3.2</w:t>
      </w:r>
      <w:r>
        <w:fldChar w:fldCharType="end"/>
      </w:r>
      <w:r>
        <w:t xml:space="preserve"> is no longer so entitled to designate or approve such director </w:t>
      </w:r>
      <w:r>
        <w:rPr>
          <w:b/>
          <w:bCs/>
        </w:rPr>
        <w:t>[or occupy such Board seat]</w:t>
      </w:r>
      <w:bookmarkEnd w:id="67"/>
      <w:r>
        <w:rPr>
          <w:bCs/>
        </w:rPr>
        <w:t>.</w:t>
      </w:r>
    </w:p>
    <w:p w:rsidR="00C20A1A">
      <w:pPr>
        <w:pStyle w:val="ArticleBJL3"/>
      </w:pPr>
      <w:bookmarkStart w:id="72" w:name="_Ref448392694"/>
      <w:r>
        <w:t xml:space="preserve">Any vacancies created by the resignation, removal or death of a director elected pursuant to Section </w:t>
      </w:r>
      <w:r>
        <w:rPr>
          <w:cs/>
        </w:rPr>
        <w:fldChar w:fldCharType="begin"/>
      </w:r>
      <w:r>
        <w:instrText xml:space="preserve"> REF _Ref448392685 \r \h </w:instrText>
      </w:r>
      <w:r>
        <w:rPr>
          <w:cs/>
        </w:rPr>
        <w:fldChar w:fldCharType="separate"/>
      </w:r>
      <w:r w:rsidR="00230E5B">
        <w:t>3.2</w:t>
      </w:r>
      <w:r>
        <w:rPr>
          <w:cs/>
        </w:rPr>
        <w:fldChar w:fldCharType="end"/>
      </w:r>
      <w:r>
        <w:t xml:space="preserve"> shall be filled pursuant to the provisions of this </w:t>
      </w:r>
      <w:r>
        <w:rPr>
          <w:cs/>
        </w:rPr>
        <w:t>‎</w:t>
      </w:r>
      <w:r>
        <w:fldChar w:fldCharType="begin"/>
      </w:r>
      <w:r>
        <w:instrText xml:space="preserve">  REF _Ref448392683 \w \h \* MERGEFORMAT </w:instrText>
      </w:r>
      <w:r>
        <w:fldChar w:fldCharType="separate"/>
      </w:r>
      <w:r w:rsidRPr="00230E5B" w:rsidR="00230E5B">
        <w:rPr>
          <w:color w:val="000000"/>
        </w:rPr>
        <w:t xml:space="preserve">Article </w:t>
      </w:r>
      <w:r w:rsidR="00230E5B">
        <w:t>3</w:t>
      </w:r>
      <w:r>
        <w:fldChar w:fldCharType="end"/>
      </w:r>
      <w:r>
        <w:t>.</w:t>
      </w:r>
      <w:r>
        <w:rPr>
          <w:rStyle w:val="FootnoteReference"/>
        </w:rPr>
        <w:footnoteReference w:id="25"/>
      </w:r>
      <w:bookmarkEnd w:id="72"/>
    </w:p>
    <w:p w:rsidR="00C20A1A">
      <w:pPr>
        <w:pStyle w:val="ArticleBJL3"/>
      </w:pPr>
      <w:bookmarkStart w:id="73" w:name="_Ref448392695"/>
      <w:r>
        <w:t xml:space="preserve">Upon the request of any party entitled to designate a director as provided in Section </w:t>
      </w:r>
      <w:r>
        <w:fldChar w:fldCharType="begin"/>
      </w:r>
      <w:r>
        <w:instrText xml:space="preserve"> REF _Ref448392685 \r \h </w:instrText>
      </w:r>
      <w:r>
        <w:fldChar w:fldCharType="separate"/>
      </w:r>
      <w:r w:rsidR="00230E5B">
        <w:t>3.2</w:t>
      </w:r>
      <w:r>
        <w:fldChar w:fldCharType="end"/>
      </w:r>
      <w:r>
        <w:t xml:space="preserve"> to remove such director, such director shall be removed.</w:t>
      </w:r>
      <w:bookmarkEnd w:id="73"/>
      <w:r>
        <w:rPr>
          <w:rStyle w:val="FootnoteReference"/>
        </w:rPr>
        <w:footnoteReference w:id="26"/>
      </w:r>
    </w:p>
    <w:p w:rsidR="00C20A1A">
      <w:pPr>
        <w:pStyle w:val="ArticleBJL3"/>
      </w:pPr>
      <w:r>
        <w:t xml:space="preserve">All Shareholders agree to execute any written consent resolution required to perform the obligations of </w:t>
      </w:r>
      <w:r w:rsidR="000A2EFF">
        <w:fldChar w:fldCharType="begin"/>
      </w:r>
      <w:r w:rsidR="000A2EFF">
        <w:instrText xml:space="preserve"> REF _Ref56326290 \r \h </w:instrText>
      </w:r>
      <w:r w:rsidR="000A2EFF">
        <w:fldChar w:fldCharType="separate"/>
      </w:r>
      <w:r w:rsidR="00230E5B">
        <w:t>Article 3</w:t>
      </w:r>
      <w:r w:rsidR="000A2EFF">
        <w:fldChar w:fldCharType="end"/>
      </w:r>
      <w:r>
        <w:t>.</w:t>
      </w:r>
    </w:p>
    <w:p w:rsidR="00C20A1A">
      <w:pPr>
        <w:pStyle w:val="ArticleBJL3"/>
      </w:pPr>
      <w:r>
        <w:t>The Company agrees, at the request of any Person or group entitled to designate directors to call a special meeting of shareholders for the purpose of electing directors.</w:t>
      </w:r>
    </w:p>
    <w:p w:rsidR="00C20A1A">
      <w:pPr>
        <w:pStyle w:val="ArticleBJL2"/>
      </w:pPr>
      <w:bookmarkStart w:id="74" w:name="_Ref448392696"/>
      <w:bookmarkStart w:id="75" w:name="_Toc463463870"/>
      <w:bookmarkStart w:id="76" w:name="_Toc481488829"/>
      <w:bookmarkStart w:id="77" w:name="_Toc56159018"/>
      <w:r>
        <w:t>No Liability for Election of Recommended Directors</w:t>
      </w:r>
      <w:bookmarkEnd w:id="74"/>
      <w:bookmarkEnd w:id="75"/>
      <w:bookmarkEnd w:id="76"/>
      <w:bookmarkEnd w:id="77"/>
    </w:p>
    <w:p w:rsidR="00C20A1A">
      <w:pPr>
        <w:pStyle w:val="ArticleBJCont2"/>
      </w:pPr>
      <w:r>
        <w:t>No Shareholder, nor any Affiliate of any Shareholder, shall have any liability as a result of designating an individual for election as a director for any act or omission by such designated individual in his or her capacity as a director of the Company, nor shall any Shareholder have any liability as a result of voting for any such designee in accordance with the provisions of this Agreement.</w:t>
      </w:r>
    </w:p>
    <w:p w:rsidR="00C20A1A">
      <w:pPr>
        <w:pStyle w:val="ArticleBJL2"/>
      </w:pPr>
      <w:bookmarkStart w:id="78" w:name="_Toc481488833"/>
      <w:bookmarkStart w:id="79" w:name="_Toc56159019"/>
      <w:r>
        <w:t>Committees</w:t>
      </w:r>
      <w:bookmarkEnd w:id="78"/>
      <w:bookmarkEnd w:id="79"/>
    </w:p>
    <w:p w:rsidR="00C20A1A">
      <w:pPr>
        <w:pStyle w:val="ArticleBJCont2"/>
      </w:pPr>
      <w:r>
        <w:rPr>
          <w:b/>
          <w:bCs/>
        </w:rPr>
        <w:t xml:space="preserve">[The Company shall cause to be established, as soon as practicable after such request, and will maintain, an audit and compensation committee, each of which shall consist solely of </w:t>
      </w:r>
      <w:r>
        <w:rPr>
          <w:b/>
          <w:bCs/>
        </w:rPr>
        <w:t>non-management directors. Each non-employee director shall be entitled in such individual's di</w:t>
      </w:r>
      <w:r w:rsidR="00606E4A">
        <w:rPr>
          <w:b/>
          <w:bCs/>
        </w:rPr>
        <w:t>scretion to be a member of [all]</w:t>
      </w:r>
      <w:r>
        <w:rPr>
          <w:b/>
          <w:bCs/>
        </w:rPr>
        <w:t xml:space="preserve"> [the audit and compensation] committees of the Board.]</w:t>
      </w:r>
      <w:r>
        <w:rPr>
          <w:rStyle w:val="FootnoteReference"/>
          <w:b/>
          <w:bCs/>
        </w:rPr>
        <w:footnoteReference w:id="27"/>
      </w:r>
    </w:p>
    <w:p w:rsidR="00C20A1A">
      <w:pPr>
        <w:pStyle w:val="ArticleBJL2"/>
      </w:pPr>
      <w:bookmarkStart w:id="80" w:name="_Toc481488834"/>
      <w:bookmarkStart w:id="81" w:name="_Toc56159020"/>
      <w:r>
        <w:t>Compensation and Expenses of Directors</w:t>
      </w:r>
      <w:bookmarkEnd w:id="80"/>
      <w:bookmarkEnd w:id="81"/>
    </w:p>
    <w:p w:rsidR="00C20A1A" w:rsidP="00583182">
      <w:pPr>
        <w:pStyle w:val="ArticleBJCont2"/>
      </w:pPr>
      <w:r>
        <w:t xml:space="preserve">The Board will from time to time determine the compensation paid to the </w:t>
      </w:r>
      <w:r>
        <w:rPr>
          <w:b/>
          <w:bCs/>
        </w:rPr>
        <w:t xml:space="preserve">[non-employee] </w:t>
      </w:r>
      <w:r>
        <w:t xml:space="preserve">directors (whether equity and/or cash compensation) for serving as a director of the Company. The Company will reimburse the </w:t>
      </w:r>
      <w:r>
        <w:rPr>
          <w:b/>
        </w:rPr>
        <w:t>[non-employee]</w:t>
      </w:r>
      <w:r>
        <w:t xml:space="preserve"> directors for all reasonable out-of-pocket travel expenses incurred (consistent with the Company's travel policy) in connection with attending meetings of the Board.</w:t>
      </w:r>
    </w:p>
    <w:p w:rsidR="00C20A1A">
      <w:pPr>
        <w:pStyle w:val="ArticleBJL2"/>
      </w:pPr>
      <w:bookmarkStart w:id="82" w:name="_Ref464809997"/>
      <w:bookmarkStart w:id="83" w:name="_Toc481488836"/>
      <w:bookmarkStart w:id="84" w:name="_Toc56159021"/>
      <w:r>
        <w:t>Matters Requiring Preferred Director Approval</w:t>
      </w:r>
      <w:r>
        <w:rPr>
          <w:rStyle w:val="FootnoteReference"/>
        </w:rPr>
        <w:footnoteReference w:id="28"/>
      </w:r>
      <w:bookmarkEnd w:id="82"/>
      <w:bookmarkEnd w:id="83"/>
      <w:bookmarkEnd w:id="84"/>
    </w:p>
    <w:p w:rsidR="00C20A1A">
      <w:pPr>
        <w:pStyle w:val="ArticleBJCont2"/>
      </w:pPr>
      <w:r>
        <w:t>During such time or times as the holders of [Class A] Preferred Shares are entitled to elect a Preferred Director and such seat is filled, the Company hereby covenants and agrees with each of the Investors that it shall not, without approval of the Board, which approval must include the Requisite Preferred Director Vote:</w:t>
      </w:r>
    </w:p>
    <w:p w:rsidR="00C20A1A">
      <w:pPr>
        <w:pStyle w:val="ArticleBJL3"/>
      </w:pPr>
      <w:r>
        <w:t>make, or permit any subsidiary to make, any loan or advance to, or own any shares or other securities of, any subsidiary or other corporation, partnership, or other entity unless it is wholly owned by the Company;</w:t>
      </w:r>
    </w:p>
    <w:p w:rsidR="00C20A1A">
      <w:pPr>
        <w:pStyle w:val="ArticleBJL3"/>
      </w:pPr>
      <w:r>
        <w:t xml:space="preserve">make, or permit any subsidiary to make, any loan or advance to any Person, including any employee or director of the Company or any subsidiary, except advances and similar expenditures in the ordinary course of business [or under the terms of an employee </w:t>
      </w:r>
      <w:r w:rsidR="000A2EFF">
        <w:t>stock</w:t>
      </w:r>
      <w:r>
        <w:t xml:space="preserve"> or option plan approved by the Board];</w:t>
      </w:r>
    </w:p>
    <w:p w:rsidR="00C20A1A">
      <w:pPr>
        <w:pStyle w:val="ArticleBJL3"/>
      </w:pPr>
      <w:r>
        <w:t>guarantee, directly or indirectly, or permit any subsidiary to guarantee, directly or indirectly, any indebtedness except for trade accounts of the Company or any subsidiary arising in the ordinary course of business;</w:t>
      </w:r>
    </w:p>
    <w:p w:rsidR="00C20A1A">
      <w:pPr>
        <w:pStyle w:val="ArticleBJL3"/>
      </w:pPr>
      <w:r>
        <w:t>[make any investment inconsistent with any investment policy approved by the Board];</w:t>
      </w:r>
    </w:p>
    <w:p w:rsidR="00C20A1A">
      <w:pPr>
        <w:pStyle w:val="ArticleBJL3"/>
      </w:pPr>
      <w:r>
        <w:t xml:space="preserve">incur any aggregate indebtedness in excess of </w:t>
      </w:r>
      <w:r>
        <w:rPr>
          <w:b/>
          <w:bCs/>
        </w:rPr>
        <w:t>[CDN$ / US$][_____]</w:t>
      </w:r>
      <w:r>
        <w:t xml:space="preserve"> that is not already included in the Budget (as defined </w:t>
      </w:r>
      <w:r w:rsidRPr="00D64B89">
        <w:t xml:space="preserve">in </w:t>
      </w:r>
      <w:r w:rsidRPr="00D64B89">
        <w:rPr>
          <w:bCs/>
        </w:rPr>
        <w:t xml:space="preserve">Section </w:t>
      </w:r>
      <w:r w:rsidRPr="00D64B89">
        <w:rPr>
          <w:bCs/>
          <w:cs/>
        </w:rPr>
        <w:t>‎</w:t>
      </w:r>
      <w:r w:rsidRPr="00D64B89">
        <w:rPr>
          <w:bCs/>
        </w:rPr>
        <w:fldChar w:fldCharType="begin"/>
      </w:r>
      <w:r w:rsidRPr="00D64B89">
        <w:rPr>
          <w:bCs/>
        </w:rPr>
        <w:instrText xml:space="preserve"> REF _Ref463446353 \w \h  \* MERGEFORMAT </w:instrText>
      </w:r>
      <w:r w:rsidRPr="00D64B89">
        <w:rPr>
          <w:bCs/>
        </w:rPr>
        <w:fldChar w:fldCharType="separate"/>
      </w:r>
      <w:r w:rsidR="00230E5B">
        <w:rPr>
          <w:bCs/>
        </w:rPr>
        <w:t>4.1(e)</w:t>
      </w:r>
      <w:r w:rsidRPr="00D64B89">
        <w:rPr>
          <w:bCs/>
        </w:rPr>
        <w:fldChar w:fldCharType="end"/>
      </w:r>
      <w:r>
        <w:t>), other than trade credit incurred in the ordinary course of business;</w:t>
      </w:r>
    </w:p>
    <w:p w:rsidR="00C20A1A">
      <w:pPr>
        <w:pStyle w:val="ArticleBJL3"/>
      </w:pPr>
      <w:r>
        <w:t xml:space="preserve">hire, terminate, or change the compensation of the executive officers, including approving any option grants or </w:t>
      </w:r>
      <w:r w:rsidR="000A2EFF">
        <w:t>stock</w:t>
      </w:r>
      <w:r>
        <w:t xml:space="preserve"> awards to executive officers;</w:t>
      </w:r>
    </w:p>
    <w:p w:rsidR="00C20A1A">
      <w:pPr>
        <w:pStyle w:val="ArticleBJL3"/>
      </w:pPr>
      <w:r>
        <w:t>change the principal business of the Company, enter new lines of business, or exit the current line of business;</w:t>
      </w:r>
    </w:p>
    <w:p w:rsidR="00C20A1A">
      <w:pPr>
        <w:pStyle w:val="ArticleBJL3"/>
      </w:pPr>
      <w:r>
        <w:t>sell, assign, license, pledge, or encumber material technology or intellectual property, other than licenses granted in the ordinary course of business; or</w:t>
      </w:r>
    </w:p>
    <w:p w:rsidR="00C20A1A">
      <w:pPr>
        <w:pStyle w:val="ArticleBJL3"/>
      </w:pPr>
      <w:r>
        <w:t xml:space="preserve">enter into any corporate strategic relationship involving the payment, contribution, or assignment by the Company or to the Company of money or assets greater than </w:t>
      </w:r>
      <w:r>
        <w:rPr>
          <w:b/>
          <w:bCs/>
        </w:rPr>
        <w:t>[CDN$ / US$][$500,000-$1,000,000])</w:t>
      </w:r>
      <w:r>
        <w:t>.</w:t>
      </w:r>
    </w:p>
    <w:p w:rsidR="00C20A1A">
      <w:pPr>
        <w:pStyle w:val="ArticleBJL2"/>
      </w:pPr>
      <w:bookmarkStart w:id="85" w:name="_Toc463463872"/>
      <w:bookmarkStart w:id="86" w:name="_Toc481488837"/>
      <w:bookmarkStart w:id="87" w:name="_Ref483918538"/>
      <w:bookmarkStart w:id="88" w:name="_Toc56159022"/>
      <w:r>
        <w:t>Class A Preferred Share Protective Provisions</w:t>
      </w:r>
      <w:bookmarkEnd w:id="85"/>
      <w:r>
        <w:rPr>
          <w:rStyle w:val="FootnoteReference"/>
        </w:rPr>
        <w:footnoteReference w:id="29"/>
      </w:r>
      <w:bookmarkEnd w:id="86"/>
      <w:bookmarkEnd w:id="87"/>
      <w:bookmarkEnd w:id="88"/>
    </w:p>
    <w:p w:rsidR="00C20A1A">
      <w:pPr>
        <w:pStyle w:val="ArticleBJCont2"/>
      </w:pPr>
      <w:r>
        <w:t xml:space="preserve">At any time when </w:t>
      </w:r>
      <w:r>
        <w:rPr>
          <w:b/>
          <w:bCs/>
        </w:rPr>
        <w:t>[Class A Preferred Shares]</w:t>
      </w:r>
      <w:r>
        <w:t xml:space="preserve"> </w:t>
      </w:r>
      <w:r>
        <w:rPr>
          <w:b/>
          <w:bCs/>
        </w:rPr>
        <w:t xml:space="preserve">[at least [____] Class A Preferred Shares (subject to appropriate adjustment in the event of any </w:t>
      </w:r>
      <w:r w:rsidR="000A2EFF">
        <w:rPr>
          <w:b/>
          <w:bCs/>
        </w:rPr>
        <w:t>stock</w:t>
      </w:r>
      <w:r>
        <w:rPr>
          <w:b/>
          <w:bCs/>
        </w:rPr>
        <w:t xml:space="preserve"> dividend, </w:t>
      </w:r>
      <w:r w:rsidR="000A2EFF">
        <w:rPr>
          <w:b/>
          <w:bCs/>
        </w:rPr>
        <w:t xml:space="preserve">stock </w:t>
      </w:r>
      <w:r>
        <w:rPr>
          <w:b/>
          <w:bCs/>
        </w:rPr>
        <w:t>split, combination or other similar recapitalization with respect to the Class A Preferred Shares)]</w:t>
      </w:r>
      <w:r>
        <w:t xml:space="preserve"> are outstanding, the Company shall not, either directly or indirectly by amendment, amal</w:t>
      </w:r>
      <w:r w:rsidR="008A51AC">
        <w:t xml:space="preserve">gamation, merger, consolidation, recapitalization, reclassification </w:t>
      </w:r>
      <w:r>
        <w:t>or otherwise, do any of the following without (in addition to any other vote required by law or the Articles) the written consent or affirmative vote of the holders of at least [</w:t>
      </w:r>
      <w:r>
        <w:rPr>
          <w:i/>
          <w:iCs/>
        </w:rPr>
        <w:t>specify percentage</w:t>
      </w:r>
      <w:r>
        <w:t>] of the then outstanding Class A Preferred Shares, given in writing or by vote at a meeting, consenting or voting (as the case may be) separately as a class, and any such act or transaction entered into without such consent or vote is null and of no force or effect:</w:t>
      </w:r>
    </w:p>
    <w:p w:rsidR="00C20A1A">
      <w:pPr>
        <w:pStyle w:val="ArticleBJL3"/>
      </w:pPr>
      <w:r>
        <w:t>liquidate, dissolve or wind-up the business and affairs of the Company, effect any amalgamation or consolidation or any other Deemed Liquidation Event</w:t>
      </w:r>
      <w:r>
        <w:rPr>
          <w:rStyle w:val="FootnoteReference"/>
        </w:rPr>
        <w:footnoteReference w:id="30"/>
      </w:r>
      <w:r>
        <w:t>, or consent to any of the foregoing;</w:t>
      </w:r>
    </w:p>
    <w:p w:rsidR="00C20A1A">
      <w:pPr>
        <w:pStyle w:val="ArticleBJL3"/>
      </w:pPr>
      <w:r>
        <w:t xml:space="preserve">amend, alter or repeal any provision of the Articles or the By-laws </w:t>
      </w:r>
      <w:r>
        <w:rPr>
          <w:b/>
          <w:bCs/>
        </w:rPr>
        <w:t>[in a manner that adversely affects the powers, preferences or rights of the Class A Preferred Shares]</w:t>
      </w:r>
      <w:r w:rsidR="008A51AC">
        <w:rPr>
          <w:b/>
          <w:bCs/>
        </w:rPr>
        <w:t>[or</w:t>
      </w:r>
      <w:r w:rsidR="0024442C">
        <w:rPr>
          <w:b/>
          <w:bCs/>
        </w:rPr>
        <w:t xml:space="preserve"> any</w:t>
      </w:r>
      <w:r w:rsidR="008A51AC">
        <w:rPr>
          <w:b/>
          <w:bCs/>
        </w:rPr>
        <w:t xml:space="preserve"> series thereof]</w:t>
      </w:r>
      <w:r>
        <w:t xml:space="preserve">; </w:t>
      </w:r>
    </w:p>
    <w:p w:rsidR="00C20A1A" w:rsidRPr="008A51AC">
      <w:pPr>
        <w:pStyle w:val="ArticleBJL3"/>
      </w:pPr>
      <w:r>
        <w:t xml:space="preserve">(i) </w:t>
      </w:r>
      <w:r>
        <w:t xml:space="preserve">create, or authorize the creation of, </w:t>
      </w:r>
      <w:r>
        <w:rPr>
          <w:b/>
          <w:bCs/>
        </w:rPr>
        <w:t>[or issue or obligate itself to issue shares of,]</w:t>
      </w:r>
      <w:r>
        <w:t xml:space="preserve"> </w:t>
      </w:r>
      <w:r>
        <w:t xml:space="preserve">or reclassify, </w:t>
      </w:r>
      <w:r>
        <w:t xml:space="preserve">shares </w:t>
      </w:r>
      <w:r>
        <w:t xml:space="preserve">of the Company </w:t>
      </w:r>
      <w:r w:rsidRPr="008A51AC">
        <w:t xml:space="preserve">unless the same ranks junior to the Class A Preferred Shares with respect to </w:t>
      </w:r>
      <w:r>
        <w:t>its rights, preferences and privileges, (ii)</w:t>
      </w:r>
      <w:r w:rsidRPr="008A51AC">
        <w:t xml:space="preserve"> or i</w:t>
      </w:r>
      <w:r>
        <w:t xml:space="preserve">ncrease the authorized number of Class A Preferred Shares or any additional class or series of shares of the Company </w:t>
      </w:r>
      <w:r w:rsidRPr="008A51AC">
        <w:rPr>
          <w:bCs/>
        </w:rPr>
        <w:t xml:space="preserve">unless the same ranks junior to the Class A Preferred Shares with respect to </w:t>
      </w:r>
      <w:r>
        <w:rPr>
          <w:bCs/>
        </w:rPr>
        <w:t>its rights, preferences and privileges</w:t>
      </w:r>
      <w:r w:rsidRPr="008A51AC">
        <w:t>;</w:t>
      </w:r>
    </w:p>
    <w:p w:rsidR="00C20A1A" w:rsidRPr="00EE3553" w:rsidP="0068780E">
      <w:pPr>
        <w:pStyle w:val="ArticleBJL3"/>
        <w:rPr>
          <w:b/>
        </w:rPr>
      </w:pPr>
      <w:r w:rsidRPr="00EE3553">
        <w:rPr>
          <w:b/>
        </w:rPr>
        <w:t>[</w:t>
      </w:r>
      <w:r w:rsidRPr="00EE3553">
        <w:rPr>
          <w:b/>
        </w:rPr>
        <w:t xml:space="preserve">cause or permit any of its subsidiaries to, without approval of the [Board, including the </w:t>
      </w:r>
      <w:r w:rsidRPr="00EE3553" w:rsidR="00D01351">
        <w:rPr>
          <w:b/>
        </w:rPr>
        <w:t>Preferred</w:t>
      </w:r>
      <w:r w:rsidRPr="00EE3553">
        <w:rPr>
          <w:b/>
        </w:rPr>
        <w:t xml:space="preserve"> Director], sell, issue, sponsor, create or distribute any digital tokens, cryptocurrency or other blockchain-based assets (collectively, "Tokens"), including through a pre-sale, initial coin offering, token distribution event or crowdfunding, or through the issuance of any instrument convertible into or exchangeable for Tokens;</w:t>
      </w:r>
      <w:r w:rsidRPr="00EE3553">
        <w:rPr>
          <w:b/>
        </w:rPr>
        <w:t>]</w:t>
      </w:r>
    </w:p>
    <w:p w:rsidR="00C20A1A" w:rsidRPr="00D01351">
      <w:pPr>
        <w:pStyle w:val="ArticleBJL3"/>
      </w:pPr>
      <w:r>
        <w:t xml:space="preserve">purchase or redeem (or permit any subsidiary to purchase or redeem) or pay or declare any dividend or make any distribution on, any shares of the Company other than (i) redemptions of or dividends or distributions on the Class A Preferred Shares as expressly authorized in the Articles, (ii) dividends or other distributions payable on the Common Shares solely in the form of additional Common Shares and (iii) repurchases of shares from former employees, officers, directors, consultants or other Persons who performed services for the Company or any subsidiary in connection with the cessation of such employment or service at </w:t>
      </w:r>
      <w:r w:rsidRPr="00D01351">
        <w:t>no great</w:t>
      </w:r>
      <w:r w:rsidR="00D01351">
        <w:t>er</w:t>
      </w:r>
      <w:r w:rsidRPr="00D01351">
        <w:t xml:space="preserve"> than the original purchase price</w:t>
      </w:r>
      <w:r w:rsidR="00D01351">
        <w:t xml:space="preserve"> thereof</w:t>
      </w:r>
      <w:r w:rsidRPr="00D01351">
        <w:t xml:space="preserve"> </w:t>
      </w:r>
      <w:r w:rsidRPr="00D01351">
        <w:rPr>
          <w:b/>
        </w:rPr>
        <w:t xml:space="preserve">[or (iv) as approved by the Board [, including the approval of [at least one] </w:t>
      </w:r>
      <w:r w:rsidR="00D01351">
        <w:rPr>
          <w:b/>
        </w:rPr>
        <w:t xml:space="preserve">Preferred </w:t>
      </w:r>
      <w:r w:rsidRPr="00D01351">
        <w:rPr>
          <w:b/>
        </w:rPr>
        <w:t>Director]]</w:t>
      </w:r>
      <w:r>
        <w:rPr>
          <w:rStyle w:val="FootnoteReference"/>
          <w:b/>
        </w:rPr>
        <w:footnoteReference w:id="31"/>
      </w:r>
      <w:r w:rsidRPr="00D01351">
        <w:t>;</w:t>
      </w:r>
    </w:p>
    <w:p w:rsidR="00D01351">
      <w:pPr>
        <w:pStyle w:val="ArticleBJL3"/>
      </w:pPr>
      <w:r>
        <w:rPr>
          <w:b/>
        </w:rPr>
        <w:t>[create, adopt, amend, terminate or repeal any equity (or equity-linked) compensation plan or amend or waive any of the terms of any option or other grant pursuant to any such plan;]</w:t>
      </w:r>
      <w:r>
        <w:rPr>
          <w:rStyle w:val="FootnoteReference"/>
          <w:b/>
        </w:rPr>
        <w:footnoteReference w:id="32"/>
      </w:r>
    </w:p>
    <w:p w:rsidR="00C20A1A">
      <w:pPr>
        <w:pStyle w:val="ArticleBJL3"/>
      </w:pPr>
      <w:r>
        <w:t xml:space="preserve">create, or authorize the creation of, or issue, or authorize the issuance of any debt security, or create any lien or security interest (except for purchase money liens or statutory liens of landlords, mechanics, materialmen, workmen, warehousemen and other similar Persons arising or incurred in the ordinary course of business) or incur other indebtedness for borrowed money, including obligations and contingent obligations under guarantees, or permit any subsidiary to take any such action with respect to any debt security, lien, security interest or other indebtedness for borrowed money[, if the aggregate indebtedness of the Company and its subsidiaries for borrowed money following such action would exceed $______] [other than equipment leases, bank lines of credit or trade payables incurred in the ordinary course] [unless such debt security has received the prior approval of the Board, including the approval of [at least one] </w:t>
      </w:r>
      <w:r w:rsidR="00D01351">
        <w:t xml:space="preserve">Preferred </w:t>
      </w:r>
      <w:r>
        <w:t xml:space="preserve">Director]; </w:t>
      </w:r>
      <w:r w:rsidRPr="0068780E">
        <w:rPr>
          <w:b/>
        </w:rPr>
        <w:t>[or]</w:t>
      </w:r>
    </w:p>
    <w:p w:rsidR="00C20A1A">
      <w:pPr>
        <w:pStyle w:val="ArticleBJL3"/>
      </w:pPr>
      <w:r>
        <w:t>create, or hold share capital in, any subsidiary that is not wholly owned (either directly or through one or more other subsidiaries) by the Company, or permit any subsidiary to create, or authorize the creation of, or issue or obligate itself to issue, any shares of any class or series of share capital, or sell, transfer or otherwise dispose of any share capital of any direct or indirect subsidiary of the Company, or permit any direct or indirect subsidiary to sell, lease, transfer, exclusively license or otherwise dispose (in a single transaction or series of related transactions) of all or substantially all of the assets of such subsidiary</w:t>
      </w:r>
      <w:r>
        <w:rPr>
          <w:bCs/>
        </w:rPr>
        <w:t xml:space="preserve"> [.]</w:t>
      </w:r>
      <w:r>
        <w:rPr>
          <w:b/>
          <w:bCs/>
        </w:rPr>
        <w:t>[;or]</w:t>
      </w:r>
    </w:p>
    <w:p w:rsidR="00C20A1A">
      <w:pPr>
        <w:pStyle w:val="ArticleBJL3"/>
      </w:pPr>
      <w:r>
        <w:rPr>
          <w:b/>
          <w:bCs/>
        </w:rPr>
        <w:t>[increase or decrease the authorized number of d</w:t>
      </w:r>
      <w:r w:rsidR="00FB0CDA">
        <w:rPr>
          <w:b/>
          <w:bCs/>
        </w:rPr>
        <w:t xml:space="preserve">irectors constituting the Board, change the number of votes entitled to be cast by any director or directors on any matter, or adopt any provision inconsistent with </w:t>
      </w:r>
      <w:r w:rsidR="000A2EFF">
        <w:rPr>
          <w:b/>
          <w:bCs/>
        </w:rPr>
        <w:fldChar w:fldCharType="begin"/>
      </w:r>
      <w:r w:rsidR="000A2EFF">
        <w:rPr>
          <w:b/>
          <w:bCs/>
        </w:rPr>
        <w:instrText xml:space="preserve"> REF _Ref56326387 \r \h </w:instrText>
      </w:r>
      <w:r w:rsidR="000A2EFF">
        <w:rPr>
          <w:b/>
          <w:bCs/>
        </w:rPr>
        <w:fldChar w:fldCharType="separate"/>
      </w:r>
      <w:r w:rsidR="00230E5B">
        <w:rPr>
          <w:b/>
          <w:bCs/>
        </w:rPr>
        <w:t>Article 6</w:t>
      </w:r>
      <w:r w:rsidR="000A2EFF">
        <w:rPr>
          <w:b/>
          <w:bCs/>
        </w:rPr>
        <w:fldChar w:fldCharType="end"/>
      </w:r>
      <w:r w:rsidR="00FB0CDA">
        <w:rPr>
          <w:b/>
          <w:bCs/>
        </w:rPr>
        <w:t>]</w:t>
      </w:r>
      <w:r>
        <w:t>.</w:t>
      </w:r>
      <w:r>
        <w:rPr>
          <w:rStyle w:val="FootnoteReference"/>
        </w:rPr>
        <w:footnoteReference w:id="33"/>
      </w:r>
    </w:p>
    <w:p w:rsidR="00C20A1A">
      <w:pPr>
        <w:pStyle w:val="ArticleBJL1"/>
      </w:pPr>
      <w:bookmarkStart w:id="89" w:name="_Toc463463873"/>
      <w:r>
        <w:br/>
      </w:r>
      <w:bookmarkStart w:id="90" w:name="_Toc56159023"/>
      <w:r>
        <w:t>Information and Observer Rights</w:t>
      </w:r>
      <w:bookmarkEnd w:id="89"/>
      <w:r>
        <w:t>, Confidentiality</w:t>
      </w:r>
      <w:bookmarkEnd w:id="90"/>
    </w:p>
    <w:p w:rsidR="00C20A1A">
      <w:pPr>
        <w:pStyle w:val="ArticleBJL2"/>
      </w:pPr>
      <w:bookmarkStart w:id="91" w:name="_Ref463446396"/>
      <w:bookmarkStart w:id="92" w:name="_Toc463463874"/>
      <w:bookmarkStart w:id="93" w:name="_Toc481488838"/>
      <w:bookmarkStart w:id="94" w:name="_Toc56159024"/>
      <w:r>
        <w:t>Delivery of Financial Statements</w:t>
      </w:r>
      <w:bookmarkEnd w:id="91"/>
      <w:bookmarkEnd w:id="92"/>
      <w:bookmarkEnd w:id="93"/>
      <w:bookmarkEnd w:id="94"/>
    </w:p>
    <w:p w:rsidR="00C20A1A">
      <w:pPr>
        <w:pStyle w:val="ArticleBJCont2"/>
      </w:pPr>
      <w:r>
        <w:t xml:space="preserve">The Company shall deliver to each </w:t>
      </w:r>
      <w:r>
        <w:rPr>
          <w:b/>
          <w:bCs/>
        </w:rPr>
        <w:t>[Major Investor]</w:t>
      </w:r>
      <w:r>
        <w:rPr>
          <w:rStyle w:val="FootnoteReference"/>
        </w:rPr>
        <w:footnoteReference w:id="34"/>
      </w:r>
      <w:r>
        <w:t xml:space="preserve"> </w:t>
      </w:r>
      <w:r>
        <w:rPr>
          <w:b/>
          <w:bCs/>
        </w:rPr>
        <w:t>[, provided that the Board has not reasonably determined that such Major Investor is a Competitor</w:t>
      </w:r>
      <w:r>
        <w:rPr>
          <w:rStyle w:val="FootnoteReference"/>
          <w:b/>
          <w:bCs/>
        </w:rPr>
        <w:footnoteReference w:id="35"/>
      </w:r>
      <w:r>
        <w:rPr>
          <w:b/>
          <w:bCs/>
        </w:rPr>
        <w:t>]</w:t>
      </w:r>
      <w:r>
        <w:t>:</w:t>
      </w:r>
    </w:p>
    <w:p w:rsidR="00C20A1A">
      <w:pPr>
        <w:pStyle w:val="ArticleBJL3"/>
      </w:pPr>
      <w:bookmarkStart w:id="95" w:name="_Ref463446361"/>
      <w:r>
        <w:t xml:space="preserve">as soon as practicable, but in any event within </w:t>
      </w:r>
      <w:r>
        <w:rPr>
          <w:b/>
          <w:bCs/>
        </w:rPr>
        <w:t>[90-120]</w:t>
      </w:r>
      <w:r>
        <w:t xml:space="preserve"> days after the end of each fiscal year of the Company (i) a balance sheet as of the end of such year, (ii) statements of income and of cash flows for such year</w:t>
      </w:r>
      <w:r>
        <w:rPr>
          <w:b/>
          <w:bCs/>
        </w:rPr>
        <w:t xml:space="preserve">[, and a comparison between (x) the actual amounts as of and for such fiscal year and (y) the comparable amounts for the prior year and as included in the Budget (as defined in Section </w:t>
      </w:r>
      <w:r>
        <w:rPr>
          <w:b/>
          <w:bCs/>
          <w:cs/>
        </w:rPr>
        <w:t>‎</w:t>
      </w:r>
      <w:r>
        <w:rPr>
          <w:b/>
          <w:bCs/>
        </w:rPr>
        <w:fldChar w:fldCharType="begin"/>
      </w:r>
      <w:r>
        <w:rPr>
          <w:b/>
          <w:bCs/>
        </w:rPr>
        <w:instrText xml:space="preserve"> REF _Ref463446353 \w \h  \* MERGEFORMAT </w:instrText>
      </w:r>
      <w:r>
        <w:rPr>
          <w:b/>
          <w:bCs/>
        </w:rPr>
        <w:fldChar w:fldCharType="separate"/>
      </w:r>
      <w:r w:rsidR="00230E5B">
        <w:rPr>
          <w:b/>
          <w:bCs/>
        </w:rPr>
        <w:t>4.1(e)</w:t>
      </w:r>
      <w:r>
        <w:rPr>
          <w:b/>
          <w:bCs/>
        </w:rPr>
        <w:fldChar w:fldCharType="end"/>
      </w:r>
      <w:r>
        <w:rPr>
          <w:b/>
          <w:bCs/>
        </w:rPr>
        <w:t>) for such year, with an explanation of any material differences between such amounts and a schedule as to the sources and applications of funds for such year]</w:t>
      </w:r>
      <w:r>
        <w:t>, and (iii) a statement of shareholders' equity as of the end of such year</w:t>
      </w:r>
      <w:r>
        <w:rPr>
          <w:b/>
          <w:bCs/>
        </w:rPr>
        <w:t>[, all such financial statements audited and accompanied by a report of independent auditors of [nationally][regionally] recognized standing selected by the Company]</w:t>
      </w:r>
      <w:r>
        <w:t>;</w:t>
      </w:r>
      <w:r>
        <w:rPr>
          <w:rStyle w:val="FootnoteReference"/>
        </w:rPr>
        <w:footnoteReference w:id="36"/>
      </w:r>
      <w:bookmarkEnd w:id="95"/>
      <w:r>
        <w:rPr>
          <w:vertAlign w:val="superscript"/>
        </w:rPr>
        <w:t>,</w:t>
      </w:r>
      <w:r>
        <w:rPr>
          <w:rStyle w:val="FootnoteReference"/>
        </w:rPr>
        <w:footnoteReference w:id="37"/>
      </w:r>
    </w:p>
    <w:p w:rsidR="00C20A1A">
      <w:pPr>
        <w:pStyle w:val="ArticleBJL3"/>
      </w:pPr>
      <w:bookmarkStart w:id="96" w:name="_Ref463446368"/>
      <w:r>
        <w:t xml:space="preserve">as soon as practicable, but in any event within </w:t>
      </w:r>
      <w:r>
        <w:rPr>
          <w:b/>
          <w:bCs/>
        </w:rPr>
        <w:t>[45]</w:t>
      </w:r>
      <w:r>
        <w:t xml:space="preserve"> days after the end of each quarter of each fiscal year of the Company, unaudited statements of income and cash flows for such fiscal quarter, and an unaudited balance sheet </w:t>
      </w:r>
      <w:r>
        <w:rPr>
          <w:b/>
          <w:bCs/>
        </w:rPr>
        <w:t>[and a statement of shareholders' equity]</w:t>
      </w:r>
      <w:r>
        <w:t xml:space="preserve"> as of the end of such fiscal quarter, all prepared in accordance with GAAP (except that such financial statements may (i) be subject to normal year-end audit adjustments; and (ii) not contain all notes thereto that may be required in accordance with GAAP);</w:t>
      </w:r>
      <w:bookmarkEnd w:id="96"/>
    </w:p>
    <w:p w:rsidR="00C20A1A">
      <w:pPr>
        <w:pStyle w:val="ArticleBJL3"/>
        <w:rPr>
          <w:b/>
          <w:bCs/>
        </w:rPr>
      </w:pPr>
      <w:r>
        <w:rPr>
          <w:b/>
          <w:bCs/>
        </w:rPr>
        <w:t>[as soon as practicable, but in any event within [45] days after the end of each quarter of each fiscal year of the Company, a statement showing the number of shares of each class and series of capital shares and securities convertible into or exercisable for shares of capital share outstanding at the end of the period, the Common Shares issuable upon conversion or exercise of any outstanding securities convertible or exercisable for Common Shares and the exchange ratio or exercise price applicable thereto, and the number of issued share options and share options not yet issued but reserved for issuance, if any, all in sufficient detail as to permit the Major Investors to calculate their respective percentage equity ownership in the Company, and certified by the chief financial officer or chief executive officer of the Company as being true, complete, and correct;]</w:t>
      </w:r>
    </w:p>
    <w:p w:rsidR="00C20A1A">
      <w:pPr>
        <w:pStyle w:val="ArticleBJL3"/>
        <w:rPr>
          <w:b/>
          <w:bCs/>
        </w:rPr>
      </w:pPr>
      <w:bookmarkStart w:id="97" w:name="_Ref463446375"/>
      <w:r>
        <w:rPr>
          <w:b/>
          <w:bCs/>
        </w:rPr>
        <w:t>[as soon as practicable, but in any event within [30] days after the end of each month, an unaudited income statement [and statement of cash flows] for such month, and an unaudited balance sheet [and statement of shareholders' equity] as of the end of such month, all prepared in accordance with GAAP (except that such financial statements may (i) be subject to normal year-end audit adjustments and (ii) not contain all notes thereto that may be required in accordance with GAAP);]</w:t>
      </w:r>
      <w:bookmarkEnd w:id="97"/>
    </w:p>
    <w:p w:rsidR="00C20A1A">
      <w:pPr>
        <w:pStyle w:val="ArticleBJL3"/>
      </w:pPr>
      <w:bookmarkStart w:id="98" w:name="_Ref463446353"/>
      <w:r>
        <w:t xml:space="preserve">as soon as practicable, but in any event </w:t>
      </w:r>
      <w:r>
        <w:rPr>
          <w:b/>
          <w:bCs/>
        </w:rPr>
        <w:t>[30]</w:t>
      </w:r>
      <w:r>
        <w:t xml:space="preserve"> days before the end of each fiscal year, a budget and business plan for the next fiscal year prepared on a monthly basis, including balance sheets, income statements, and statements of cash flow for such months and, promptly after prepared, any other budgets or revised budgets prepared by the Company (such budget and business plan that is approved by the Board </w:t>
      </w:r>
      <w:r w:rsidRPr="007C26A1" w:rsidR="007C26A1">
        <w:rPr>
          <w:b/>
        </w:rPr>
        <w:t>[</w:t>
      </w:r>
      <w:r w:rsidRPr="007C26A1">
        <w:rPr>
          <w:b/>
        </w:rPr>
        <w:t xml:space="preserve">(including the </w:t>
      </w:r>
      <w:r w:rsidRPr="007C26A1" w:rsidR="007C26A1">
        <w:rPr>
          <w:b/>
        </w:rPr>
        <w:t>Requisite Preferred Director Vote)]</w:t>
      </w:r>
      <w:r>
        <w:t xml:space="preserve"> is collectively referred to herein as the "</w:t>
      </w:r>
      <w:r>
        <w:rPr>
          <w:b/>
        </w:rPr>
        <w:t>Budget</w:t>
      </w:r>
      <w:r>
        <w:t>");</w:t>
      </w:r>
      <w:bookmarkEnd w:id="98"/>
      <w:r w:rsidR="00726E7C">
        <w:t xml:space="preserve"> and </w:t>
      </w:r>
    </w:p>
    <w:p w:rsidR="00C20A1A">
      <w:pPr>
        <w:pStyle w:val="ArticleBJL3"/>
        <w:rPr>
          <w:b/>
          <w:bCs/>
        </w:rPr>
      </w:pPr>
      <w:r>
        <w:rPr>
          <w:b/>
          <w:bCs/>
        </w:rPr>
        <w:t>[such other information</w:t>
      </w:r>
      <w:r>
        <w:rPr>
          <w:rStyle w:val="FootnoteReference"/>
          <w:b/>
          <w:bCs/>
        </w:rPr>
        <w:footnoteReference w:id="38"/>
      </w:r>
      <w:r>
        <w:rPr>
          <w:b/>
          <w:bCs/>
        </w:rPr>
        <w:t xml:space="preserve"> relating to the financial condition, business, prospects, or corporate affairs of the Company as any Major Investor may from time to time reasonably request; provided, however, that the Company shall not be obligated under this Section </w:t>
      </w:r>
      <w:r>
        <w:rPr>
          <w:b/>
          <w:bCs/>
          <w:cs/>
        </w:rPr>
        <w:fldChar w:fldCharType="begin"/>
      </w:r>
      <w:r>
        <w:rPr>
          <w:b/>
          <w:bCs/>
        </w:rPr>
        <w:instrText xml:space="preserve"> REF _Ref463446396 \w \h  \* MERGEFORMAT </w:instrText>
      </w:r>
      <w:r>
        <w:rPr>
          <w:b/>
          <w:bCs/>
          <w:cs/>
        </w:rPr>
        <w:fldChar w:fldCharType="separate"/>
      </w:r>
      <w:r w:rsidR="00230E5B">
        <w:rPr>
          <w:b/>
          <w:bCs/>
        </w:rPr>
        <w:t>4.1</w:t>
      </w:r>
      <w:r>
        <w:rPr>
          <w:b/>
          <w:bCs/>
          <w:cs/>
        </w:rPr>
        <w:fldChar w:fldCharType="end"/>
      </w:r>
      <w:r>
        <w:rPr>
          <w:b/>
          <w:bCs/>
        </w:rPr>
        <w:t xml:space="preserve"> to provide information (i) that the Company reasonably determines in good faith to be a trade secret or confidential information (unless covered by an enforceable confidentiality agreement, in a form acceptable to the Company); or (ii) the disclosure of which would adversely affect the attorney-client privilege between the Company and its counsel.]</w:t>
      </w:r>
    </w:p>
    <w:p w:rsidR="00C20A1A">
      <w:pPr>
        <w:pStyle w:val="ArticleBJCont2"/>
      </w:pPr>
      <w:r>
        <w:t>If, for any period, the Company has any subsidiary whose accounts are consolidated with those of the Company, then in respect of such period the financial statements delivered pursuant to the foregoing sections shall be the consolidated and consolidating financial statements of the Company and all such consolidated subsidiaries.</w:t>
      </w:r>
    </w:p>
    <w:p w:rsidR="00C20A1A">
      <w:pPr>
        <w:pStyle w:val="ArticleBJCont2"/>
      </w:pPr>
      <w:r>
        <w:t xml:space="preserve">Notwithstanding anything else in this Section </w:t>
      </w:r>
      <w:r>
        <w:rPr>
          <w:cs/>
        </w:rPr>
        <w:fldChar w:fldCharType="begin"/>
      </w:r>
      <w:r>
        <w:instrText xml:space="preserve"> REF _Ref463446396 \w \h </w:instrText>
      </w:r>
      <w:r>
        <w:rPr>
          <w:cs/>
        </w:rPr>
        <w:fldChar w:fldCharType="separate"/>
      </w:r>
      <w:r w:rsidR="00230E5B">
        <w:t>4.1</w:t>
      </w:r>
      <w:r>
        <w:rPr>
          <w:cs/>
        </w:rPr>
        <w:fldChar w:fldCharType="end"/>
      </w:r>
      <w:r>
        <w:t xml:space="preserve"> to the contrary, the Company may cease providing some or all of the information set forth in this Section </w:t>
      </w:r>
      <w:r>
        <w:rPr>
          <w:cs/>
        </w:rPr>
        <w:t>‎</w:t>
      </w:r>
      <w:r>
        <w:fldChar w:fldCharType="begin"/>
      </w:r>
      <w:r>
        <w:instrText xml:space="preserve"> REF _Ref463446396 \w \h </w:instrText>
      </w:r>
      <w:r>
        <w:fldChar w:fldCharType="separate"/>
      </w:r>
      <w:r w:rsidR="00230E5B">
        <w:t>4.1</w:t>
      </w:r>
      <w:r>
        <w:fldChar w:fldCharType="end"/>
      </w:r>
      <w:r>
        <w:t xml:space="preserve"> during the period starting with the date </w:t>
      </w:r>
      <w:r>
        <w:rPr>
          <w:b/>
          <w:bCs/>
        </w:rPr>
        <w:t>[30 – 60]</w:t>
      </w:r>
      <w:r>
        <w:t xml:space="preserve"> days before the Company's good-faith estimate of the date of filing of a registration statement or prospectus if it reasonably concludes it must do so to comply with the SEC rules or Canadian Securities Laws applicable to such document and related offering; provided that the Company's covenants under this Section </w:t>
      </w:r>
      <w:r>
        <w:rPr>
          <w:cs/>
        </w:rPr>
        <w:t>‎</w:t>
      </w:r>
      <w:r>
        <w:fldChar w:fldCharType="begin"/>
      </w:r>
      <w:r>
        <w:instrText xml:space="preserve"> REF _Ref463446396 \w \h </w:instrText>
      </w:r>
      <w:r>
        <w:fldChar w:fldCharType="separate"/>
      </w:r>
      <w:r w:rsidR="00230E5B">
        <w:t>4.1</w:t>
      </w:r>
      <w:r>
        <w:fldChar w:fldCharType="end"/>
      </w:r>
      <w:r>
        <w:t xml:space="preserve"> shall be reinstated at such time as the Company is no longer actively employing its commercially reasonable efforts to cause such registration statement or prospectus to become effective.</w:t>
      </w:r>
    </w:p>
    <w:p w:rsidR="00C20A1A">
      <w:pPr>
        <w:pStyle w:val="ArticleBJL2"/>
      </w:pPr>
      <w:bookmarkStart w:id="99" w:name="_Ref464465646"/>
      <w:bookmarkStart w:id="100" w:name="_Ref467828245"/>
      <w:bookmarkStart w:id="101" w:name="_Toc481488839"/>
      <w:bookmarkStart w:id="102" w:name="_Toc56159025"/>
      <w:bookmarkStart w:id="103" w:name="_Ref463446427"/>
      <w:bookmarkStart w:id="104" w:name="_Toc463463875"/>
      <w:r>
        <w:t>[Waiver of Audit Rights</w:t>
      </w:r>
      <w:bookmarkEnd w:id="99"/>
      <w:r>
        <w:rPr>
          <w:rStyle w:val="FootnoteReference"/>
        </w:rPr>
        <w:footnoteReference w:id="39"/>
      </w:r>
      <w:bookmarkEnd w:id="100"/>
      <w:bookmarkEnd w:id="101"/>
      <w:bookmarkEnd w:id="102"/>
    </w:p>
    <w:p w:rsidR="00C20A1A" w:rsidRPr="00FF733A">
      <w:pPr>
        <w:pStyle w:val="ArticleBJCont2"/>
        <w:rPr>
          <w:b/>
        </w:rPr>
      </w:pPr>
      <w:r w:rsidRPr="00FF733A">
        <w:rPr>
          <w:b/>
          <w:szCs w:val="24"/>
        </w:rPr>
        <w:t xml:space="preserve">The Company will not have the obligation to have its financial statements audited until such time as the Board requires the financial statements to be audited. The Shareholders hereby consent to exemption of the Company from the requirements of the </w:t>
      </w:r>
      <w:r w:rsidRPr="00FF733A">
        <w:rPr>
          <w:b/>
          <w:iCs/>
          <w:szCs w:val="24"/>
        </w:rPr>
        <w:t>Act</w:t>
      </w:r>
      <w:r w:rsidRPr="00FF733A">
        <w:rPr>
          <w:b/>
          <w:szCs w:val="24"/>
        </w:rPr>
        <w:t xml:space="preserve"> regarding the appointment and duties of an auditor in respect of each year during the whole of which the Company is not an offering corporation (as defined in the Act). Each Shareholder hereby authorizes the Chief Executive Officer of the Company to sign an annual waiver of the audit requirement on behalf of the Shareholder to implement the intention of this Section </w:t>
      </w:r>
      <w:r w:rsidRPr="00FF733A">
        <w:rPr>
          <w:b/>
          <w:szCs w:val="24"/>
        </w:rPr>
        <w:fldChar w:fldCharType="begin"/>
      </w:r>
      <w:r w:rsidRPr="00FF733A">
        <w:rPr>
          <w:b/>
          <w:szCs w:val="24"/>
        </w:rPr>
        <w:instrText xml:space="preserve"> REF _Ref464465646 \r \h </w:instrText>
      </w:r>
      <w:r>
        <w:rPr>
          <w:b/>
          <w:szCs w:val="24"/>
        </w:rPr>
        <w:instrText xml:space="preserve"> \* MERGEFORMAT </w:instrText>
      </w:r>
      <w:r w:rsidRPr="00FF733A">
        <w:rPr>
          <w:b/>
          <w:szCs w:val="24"/>
        </w:rPr>
        <w:fldChar w:fldCharType="separate"/>
      </w:r>
      <w:r w:rsidR="00230E5B">
        <w:rPr>
          <w:b/>
          <w:szCs w:val="24"/>
        </w:rPr>
        <w:t>4.2</w:t>
      </w:r>
      <w:r w:rsidRPr="00FF733A">
        <w:rPr>
          <w:b/>
          <w:szCs w:val="24"/>
        </w:rPr>
        <w:fldChar w:fldCharType="end"/>
      </w:r>
      <w:r w:rsidRPr="00FF733A">
        <w:rPr>
          <w:b/>
          <w:szCs w:val="24"/>
        </w:rPr>
        <w:t>.]</w:t>
      </w:r>
    </w:p>
    <w:p w:rsidR="00C20A1A">
      <w:pPr>
        <w:pStyle w:val="ArticleBJL2"/>
      </w:pPr>
      <w:bookmarkStart w:id="105" w:name="_Ref464810401"/>
      <w:bookmarkStart w:id="106" w:name="_Ref464810432"/>
      <w:bookmarkStart w:id="107" w:name="_Toc481488840"/>
      <w:bookmarkStart w:id="108" w:name="_Toc56159026"/>
      <w:r>
        <w:t>Inspection</w:t>
      </w:r>
      <w:bookmarkEnd w:id="103"/>
      <w:bookmarkEnd w:id="104"/>
      <w:bookmarkEnd w:id="105"/>
      <w:bookmarkEnd w:id="106"/>
      <w:bookmarkEnd w:id="107"/>
      <w:bookmarkEnd w:id="108"/>
    </w:p>
    <w:p w:rsidR="00C20A1A">
      <w:pPr>
        <w:pStyle w:val="ArticleBJCont2"/>
      </w:pPr>
      <w:r>
        <w:t xml:space="preserve">The Company shall permit each Major Investor </w:t>
      </w:r>
      <w:r>
        <w:rPr>
          <w:b/>
          <w:bCs/>
        </w:rPr>
        <w:t>[(provided that the Board has not reasonably determined that such Major Investor is a Competitor)]</w:t>
      </w:r>
      <w:r>
        <w:t xml:space="preserve">, at such Major Investor's expense, to visit and inspect the Company's properties; examine its books of account and records; and discuss the Company's affairs, finances, and accounts with its officers, during normal business hours of the Company as may be reasonably requested by the Major Investor; provided, however, that the Company shall not be obligated pursuant to this Section </w:t>
      </w:r>
      <w:r>
        <w:fldChar w:fldCharType="begin"/>
      </w:r>
      <w:r>
        <w:instrText xml:space="preserve"> REF _Ref464810401 \r \h </w:instrText>
      </w:r>
      <w:r>
        <w:fldChar w:fldCharType="separate"/>
      </w:r>
      <w:r w:rsidR="00230E5B">
        <w:t>4.3</w:t>
      </w:r>
      <w:r>
        <w:fldChar w:fldCharType="end"/>
      </w:r>
      <w:r>
        <w:t xml:space="preserve"> to provide access to any information that it reasonably and in good faith considers to be a trade secret or confidential information (unless covered by an enforceable confidentiality agreement, in form acceptable to the Company) or the disclosure of which would adversely affect the attorney-client privilege between the Company and its counsel.</w:t>
      </w:r>
    </w:p>
    <w:p w:rsidR="00C20A1A">
      <w:pPr>
        <w:pStyle w:val="ArticleBJL2"/>
      </w:pPr>
      <w:bookmarkStart w:id="109" w:name="_Ref463446449"/>
      <w:bookmarkStart w:id="110" w:name="_Toc463463876"/>
      <w:bookmarkStart w:id="111" w:name="_Toc481488841"/>
      <w:bookmarkStart w:id="112" w:name="_Toc56159027"/>
      <w:r>
        <w:t>[Observer Rights</w:t>
      </w:r>
      <w:bookmarkEnd w:id="109"/>
      <w:bookmarkEnd w:id="110"/>
      <w:bookmarkEnd w:id="111"/>
      <w:bookmarkEnd w:id="112"/>
    </w:p>
    <w:p w:rsidR="00C20A1A">
      <w:pPr>
        <w:pStyle w:val="ArticleBJCont2"/>
      </w:pPr>
      <w:r>
        <w:rPr>
          <w:b/>
          <w:bCs/>
        </w:rPr>
        <w:t xml:space="preserve">As long as </w:t>
      </w:r>
      <w:r w:rsidR="000A2EFF">
        <w:rPr>
          <w:b/>
          <w:bCs/>
        </w:rPr>
        <w:t>[●]</w:t>
      </w:r>
      <w:r>
        <w:rPr>
          <w:b/>
          <w:bCs/>
        </w:rPr>
        <w:t xml:space="preserve"> owns not less than </w:t>
      </w:r>
      <w:r w:rsidR="000A2EFF">
        <w:rPr>
          <w:b/>
          <w:bCs/>
        </w:rPr>
        <w:t>[●]</w:t>
      </w:r>
      <w:r>
        <w:rPr>
          <w:b/>
          <w:bCs/>
        </w:rPr>
        <w:t xml:space="preserve">% of the [Class A] Preferred Shares it is purchasing under the Subscription Agreement (or an equivalent amount of Common Shares issued upon conversion thereof), the Company shall invite a representative of </w:t>
      </w:r>
      <w:r w:rsidR="000A2EFF">
        <w:rPr>
          <w:b/>
          <w:bCs/>
        </w:rPr>
        <w:t>[●]</w:t>
      </w:r>
      <w:r>
        <w:rPr>
          <w:b/>
          <w:bCs/>
        </w:rPr>
        <w:t xml:space="preserve"> to attend all meetings of the Board in a nonvoting observer capacity and, in this respect, shall give such representative copies of all notices, minutes, consents, and other materials that it provides to its directors [at the same time and in the same manner as provided to such directors]; provided, however, that such representative shall agree to hold in confidence all information so provided; and provided further, that the Company reserves the right to withhold any information and to exclude such representative from any meeting or portion thereof if access to such information or attendance at such meeting could adversely affect the attorney-client privilege between the Company and its counsel or result in disclosure of trade secrets or a conflict of interest, or if such Investor or its representative is a Competitor.]</w:t>
      </w:r>
      <w:r>
        <w:rPr>
          <w:rStyle w:val="FootnoteReference"/>
        </w:rPr>
        <w:footnoteReference w:id="40"/>
      </w:r>
    </w:p>
    <w:p w:rsidR="00C20A1A">
      <w:pPr>
        <w:pStyle w:val="ArticleBJL2"/>
      </w:pPr>
      <w:bookmarkStart w:id="113" w:name="_Toc463463877"/>
      <w:bookmarkStart w:id="114" w:name="_Ref463468189"/>
      <w:bookmarkStart w:id="115" w:name="_Toc481488842"/>
      <w:bookmarkStart w:id="116" w:name="_Toc56159028"/>
      <w:r>
        <w:t>[Termination of Information [and Observer Rights]</w:t>
      </w:r>
      <w:bookmarkEnd w:id="113"/>
      <w:bookmarkEnd w:id="114"/>
      <w:bookmarkEnd w:id="115"/>
      <w:bookmarkEnd w:id="116"/>
    </w:p>
    <w:p w:rsidR="00C20A1A">
      <w:pPr>
        <w:pStyle w:val="ArticleBJCont2"/>
        <w:rPr>
          <w:b/>
          <w:bCs/>
          <w:szCs w:val="24"/>
        </w:rPr>
      </w:pPr>
      <w:r>
        <w:rPr>
          <w:b/>
          <w:bCs/>
          <w:szCs w:val="24"/>
        </w:rPr>
        <w:t xml:space="preserve">The covenants set forth in Section </w:t>
      </w:r>
      <w:r>
        <w:rPr>
          <w:b/>
          <w:bCs/>
          <w:szCs w:val="24"/>
        </w:rPr>
        <w:fldChar w:fldCharType="begin"/>
      </w:r>
      <w:r>
        <w:rPr>
          <w:b/>
          <w:bCs/>
          <w:szCs w:val="24"/>
        </w:rPr>
        <w:instrText xml:space="preserve"> REF _Ref463446396 \r \h </w:instrText>
      </w:r>
      <w:r>
        <w:rPr>
          <w:b/>
          <w:bCs/>
          <w:szCs w:val="24"/>
        </w:rPr>
        <w:fldChar w:fldCharType="separate"/>
      </w:r>
      <w:r w:rsidR="00230E5B">
        <w:rPr>
          <w:b/>
          <w:bCs/>
          <w:szCs w:val="24"/>
        </w:rPr>
        <w:t>4.1</w:t>
      </w:r>
      <w:r>
        <w:rPr>
          <w:b/>
          <w:bCs/>
          <w:szCs w:val="24"/>
        </w:rPr>
        <w:fldChar w:fldCharType="end"/>
      </w:r>
      <w:r>
        <w:rPr>
          <w:b/>
          <w:bCs/>
          <w:szCs w:val="24"/>
        </w:rPr>
        <w:t xml:space="preserve">, Section </w:t>
      </w:r>
      <w:r>
        <w:rPr>
          <w:b/>
          <w:bCs/>
          <w:szCs w:val="24"/>
        </w:rPr>
        <w:fldChar w:fldCharType="begin"/>
      </w:r>
      <w:r>
        <w:rPr>
          <w:b/>
          <w:bCs/>
          <w:szCs w:val="24"/>
        </w:rPr>
        <w:instrText xml:space="preserve"> REF _Ref467828245 \r \h </w:instrText>
      </w:r>
      <w:r>
        <w:rPr>
          <w:b/>
          <w:bCs/>
          <w:szCs w:val="24"/>
        </w:rPr>
        <w:fldChar w:fldCharType="separate"/>
      </w:r>
      <w:r w:rsidR="00230E5B">
        <w:rPr>
          <w:b/>
          <w:bCs/>
          <w:szCs w:val="24"/>
        </w:rPr>
        <w:t>4.2</w:t>
      </w:r>
      <w:r>
        <w:rPr>
          <w:b/>
          <w:bCs/>
          <w:szCs w:val="24"/>
        </w:rPr>
        <w:fldChar w:fldCharType="end"/>
      </w:r>
      <w:r>
        <w:rPr>
          <w:b/>
          <w:bCs/>
          <w:szCs w:val="24"/>
        </w:rPr>
        <w:t xml:space="preserve">, Section </w:t>
      </w:r>
      <w:r>
        <w:rPr>
          <w:b/>
          <w:bCs/>
          <w:szCs w:val="24"/>
        </w:rPr>
        <w:fldChar w:fldCharType="begin"/>
      </w:r>
      <w:r>
        <w:rPr>
          <w:b/>
          <w:bCs/>
          <w:szCs w:val="24"/>
        </w:rPr>
        <w:instrText xml:space="preserve"> REF _Ref464810401 \r \h </w:instrText>
      </w:r>
      <w:r>
        <w:rPr>
          <w:b/>
          <w:bCs/>
          <w:szCs w:val="24"/>
        </w:rPr>
        <w:fldChar w:fldCharType="separate"/>
      </w:r>
      <w:r w:rsidR="00230E5B">
        <w:rPr>
          <w:b/>
          <w:bCs/>
          <w:szCs w:val="24"/>
        </w:rPr>
        <w:t>4.3</w:t>
      </w:r>
      <w:r>
        <w:rPr>
          <w:b/>
          <w:bCs/>
          <w:szCs w:val="24"/>
        </w:rPr>
        <w:fldChar w:fldCharType="end"/>
      </w:r>
      <w:r>
        <w:rPr>
          <w:b/>
          <w:bCs/>
          <w:szCs w:val="24"/>
        </w:rPr>
        <w:t xml:space="preserve"> and Section </w:t>
      </w:r>
      <w:r>
        <w:rPr>
          <w:b/>
          <w:bCs/>
          <w:szCs w:val="24"/>
        </w:rPr>
        <w:fldChar w:fldCharType="begin"/>
      </w:r>
      <w:r>
        <w:rPr>
          <w:b/>
          <w:bCs/>
          <w:szCs w:val="24"/>
        </w:rPr>
        <w:instrText xml:space="preserve"> REF _Ref463446449 \r \h </w:instrText>
      </w:r>
      <w:r>
        <w:rPr>
          <w:b/>
          <w:bCs/>
          <w:szCs w:val="24"/>
        </w:rPr>
        <w:fldChar w:fldCharType="separate"/>
      </w:r>
      <w:r w:rsidR="00230E5B">
        <w:rPr>
          <w:b/>
          <w:bCs/>
          <w:szCs w:val="24"/>
        </w:rPr>
        <w:t>4.4</w:t>
      </w:r>
      <w:r>
        <w:rPr>
          <w:b/>
          <w:bCs/>
          <w:szCs w:val="24"/>
        </w:rPr>
        <w:fldChar w:fldCharType="end"/>
      </w:r>
      <w:r>
        <w:rPr>
          <w:b/>
          <w:bCs/>
          <w:szCs w:val="24"/>
        </w:rPr>
        <w:t xml:space="preserve"> shall terminate and be of no further force or effect (i) immediately before the consummation of the IPO,</w:t>
      </w:r>
      <w:r>
        <w:rPr>
          <w:rStyle w:val="FootnoteReference"/>
          <w:b/>
          <w:bCs/>
          <w:szCs w:val="24"/>
        </w:rPr>
        <w:footnoteReference w:id="41"/>
      </w:r>
      <w:r>
        <w:rPr>
          <w:b/>
          <w:bCs/>
          <w:szCs w:val="24"/>
        </w:rPr>
        <w:t xml:space="preserve"> [or] (ii) when the Company first becomes subject to the periodic public reporting </w:t>
      </w:r>
      <w:r>
        <w:rPr>
          <w:b/>
          <w:bCs/>
          <w:szCs w:val="24"/>
        </w:rPr>
        <w:t xml:space="preserve">requirements of [Section 12(g) or 15(d) of the Exchange Act and/or applicable Canadian Securities Laws], [or (iii) upon closing of a Deemed Liquidation Event], whichever event occurs first[; provided, that, with respect to clause (iii), the covenants set forth in Section </w:t>
      </w:r>
      <w:r>
        <w:rPr>
          <w:b/>
          <w:bCs/>
          <w:szCs w:val="24"/>
        </w:rPr>
        <w:fldChar w:fldCharType="begin"/>
      </w:r>
      <w:r>
        <w:rPr>
          <w:b/>
          <w:bCs/>
          <w:szCs w:val="24"/>
        </w:rPr>
        <w:instrText xml:space="preserve"> REF _Ref463446396 \r \h </w:instrText>
      </w:r>
      <w:r>
        <w:rPr>
          <w:b/>
          <w:bCs/>
          <w:szCs w:val="24"/>
        </w:rPr>
        <w:fldChar w:fldCharType="separate"/>
      </w:r>
      <w:r w:rsidR="00230E5B">
        <w:rPr>
          <w:b/>
          <w:bCs/>
          <w:szCs w:val="24"/>
        </w:rPr>
        <w:t>4.1</w:t>
      </w:r>
      <w:r>
        <w:rPr>
          <w:b/>
          <w:bCs/>
          <w:szCs w:val="24"/>
        </w:rPr>
        <w:fldChar w:fldCharType="end"/>
      </w:r>
      <w:r>
        <w:rPr>
          <w:b/>
          <w:bCs/>
          <w:szCs w:val="24"/>
        </w:rPr>
        <w:t xml:space="preserve"> shall only terminate if the consideration received by the Investors in such Deemed Liquidation Event is in the form of cash and/or publicly traded securities or if the Investors receive financial information from the acquiring company or other successor to the Company comparable to those set forth in Section </w:t>
      </w:r>
      <w:r>
        <w:rPr>
          <w:b/>
          <w:bCs/>
          <w:szCs w:val="24"/>
        </w:rPr>
        <w:fldChar w:fldCharType="begin"/>
      </w:r>
      <w:r>
        <w:rPr>
          <w:b/>
          <w:bCs/>
          <w:szCs w:val="24"/>
        </w:rPr>
        <w:instrText xml:space="preserve"> REF _Ref463446396 \r \h </w:instrText>
      </w:r>
      <w:r>
        <w:rPr>
          <w:b/>
          <w:bCs/>
          <w:szCs w:val="24"/>
        </w:rPr>
        <w:fldChar w:fldCharType="separate"/>
      </w:r>
      <w:r w:rsidR="00230E5B">
        <w:rPr>
          <w:b/>
          <w:bCs/>
          <w:szCs w:val="24"/>
        </w:rPr>
        <w:t>4.1</w:t>
      </w:r>
      <w:r>
        <w:rPr>
          <w:b/>
          <w:bCs/>
          <w:szCs w:val="24"/>
        </w:rPr>
        <w:fldChar w:fldCharType="end"/>
      </w:r>
      <w:r>
        <w:rPr>
          <w:b/>
          <w:bCs/>
          <w:szCs w:val="24"/>
        </w:rPr>
        <w:t>].</w:t>
      </w:r>
    </w:p>
    <w:p w:rsidR="00C20A1A">
      <w:pPr>
        <w:pStyle w:val="ArticleBJL2"/>
      </w:pPr>
      <w:bookmarkStart w:id="117" w:name="_Ref463446465"/>
      <w:bookmarkStart w:id="118" w:name="_Toc463463878"/>
      <w:bookmarkStart w:id="119" w:name="_Toc481488843"/>
      <w:bookmarkStart w:id="120" w:name="_Toc56159029"/>
      <w:r>
        <w:t>Confidentiality</w:t>
      </w:r>
      <w:bookmarkEnd w:id="117"/>
      <w:bookmarkEnd w:id="118"/>
      <w:bookmarkEnd w:id="119"/>
      <w:bookmarkEnd w:id="120"/>
    </w:p>
    <w:p w:rsidR="00C20A1A">
      <w:pPr>
        <w:pStyle w:val="ArticleBJCont2"/>
      </w:pPr>
      <w:r>
        <w:rPr>
          <w:b/>
          <w:bCs/>
        </w:rPr>
        <w:t>[Except as otherwise permitted by the Board,]</w:t>
      </w:r>
      <w:r>
        <w:t xml:space="preserve"> each Shareholder agrees that such Shareholder will keep confidential and will not disclose, divulge, or use for any purpose (other than to monitor or make decisions with respect to its investment in the Company) any confidential information obtained from the Company pursuant to the terms of this Agreement (including notice of the Company's intention to file a registration statement), unless such confidential information (a) is known or becomes known to the public in general (other than as a result of a breach of this Section </w:t>
      </w:r>
      <w:r>
        <w:rPr>
          <w:cs/>
        </w:rPr>
        <w:fldChar w:fldCharType="begin"/>
      </w:r>
      <w:r>
        <w:instrText xml:space="preserve"> REF _Ref463446465 \w \h </w:instrText>
      </w:r>
      <w:r>
        <w:rPr>
          <w:cs/>
        </w:rPr>
        <w:fldChar w:fldCharType="separate"/>
      </w:r>
      <w:r w:rsidR="00230E5B">
        <w:t>4.6</w:t>
      </w:r>
      <w:r>
        <w:rPr>
          <w:cs/>
        </w:rPr>
        <w:fldChar w:fldCharType="end"/>
      </w:r>
      <w:r>
        <w:t xml:space="preserve"> by such Shareholder), (b) is or has been independently developed or conceived by such Shareholder without use of the Company's confidential information, or (c) is or has been made known or disclosed to the Shareholder by a third party without a breach of any obligation of confidentiality such third party may have to the Company; provided, however, that a Shareholder may disclose confidential information (i) to its attorneys, accountants, consultants, and other professionals to the extent reasonably necessary to obtain their services in connection with monitoring its investment in the Company; (ii) to any prospective purchaser of any Shares from such Shareholder, if such prospective purchaser agrees to be bound by the provisions of this Section </w:t>
      </w:r>
      <w:r>
        <w:rPr>
          <w:cs/>
        </w:rPr>
        <w:fldChar w:fldCharType="begin"/>
      </w:r>
      <w:r>
        <w:instrText xml:space="preserve"> REF _Ref463446465 \w \h </w:instrText>
      </w:r>
      <w:r>
        <w:rPr>
          <w:cs/>
        </w:rPr>
        <w:fldChar w:fldCharType="separate"/>
      </w:r>
      <w:r w:rsidR="00230E5B">
        <w:t>4.6</w:t>
      </w:r>
      <w:r>
        <w:rPr>
          <w:cs/>
        </w:rPr>
        <w:fldChar w:fldCharType="end"/>
      </w:r>
      <w:r>
        <w:t>;</w:t>
      </w:r>
      <w:r>
        <w:rPr>
          <w:rStyle w:val="FootnoteReference"/>
        </w:rPr>
        <w:footnoteReference w:id="42"/>
      </w:r>
      <w:r>
        <w:t xml:space="preserve"> (iii) to any </w:t>
      </w:r>
      <w:r>
        <w:rPr>
          <w:b/>
          <w:bCs/>
        </w:rPr>
        <w:t>[existing or prospective]</w:t>
      </w:r>
      <w:r>
        <w:rPr>
          <w:rStyle w:val="FootnoteReference"/>
        </w:rPr>
        <w:footnoteReference w:id="43"/>
      </w:r>
      <w:r>
        <w:t xml:space="preserve"> Affiliate, partner, member, shareholder, or wholly owned subsidiary of such Shareholder in the ordinary course of business, provided that such Shareholder informs such Person that such information is confidential and directs such Person to maintain the confidentiality of such information; or (iv) as may otherwise be required by law, regulation, rule, court order or subpoena, provided that such Shareholder promptly notifies the Company of such disclosure and takes reasonable steps to minimize the extent of any such required disclosure. This covenant will survive termination of this Agreement and will continue to apply to a Shareholder after he or she otherwise ceases to be bound by this Agreement.</w:t>
      </w:r>
    </w:p>
    <w:p w:rsidR="00C20A1A">
      <w:pPr>
        <w:pStyle w:val="ArticleBJL1"/>
      </w:pPr>
      <w:r>
        <w:br/>
      </w:r>
      <w:bookmarkStart w:id="121" w:name="_Ref463552698"/>
      <w:bookmarkStart w:id="122" w:name="_Toc56159030"/>
      <w:r>
        <w:t>Additional Covenants</w:t>
      </w:r>
      <w:bookmarkEnd w:id="121"/>
      <w:bookmarkEnd w:id="122"/>
    </w:p>
    <w:p w:rsidR="00C20A1A">
      <w:pPr>
        <w:pStyle w:val="ArticleBJL2"/>
      </w:pPr>
      <w:bookmarkStart w:id="123" w:name="_Toc481488844"/>
      <w:bookmarkStart w:id="124" w:name="_Toc56159031"/>
      <w:r>
        <w:t>Registration Rights</w:t>
      </w:r>
      <w:bookmarkEnd w:id="123"/>
      <w:bookmarkEnd w:id="124"/>
    </w:p>
    <w:p w:rsidR="00C20A1A">
      <w:pPr>
        <w:pStyle w:val="ArticleBJCont2"/>
      </w:pPr>
      <w:r>
        <w:t xml:space="preserve">The </w:t>
      </w:r>
      <w:r>
        <w:rPr>
          <w:b/>
          <w:bCs/>
        </w:rPr>
        <w:t>[Shareholders/Investors]</w:t>
      </w:r>
      <w:r>
        <w:t xml:space="preserve"> will be entitled to exercise the rights to register their Shares in accordance with </w:t>
      </w:r>
      <w:r>
        <w:fldChar w:fldCharType="begin"/>
      </w:r>
      <w:r>
        <w:instrText xml:space="preserve"> REF _Ref463459682 \w \h </w:instrText>
      </w:r>
      <w:r>
        <w:fldChar w:fldCharType="separate"/>
      </w:r>
      <w:r w:rsidR="00230E5B">
        <w:t>Schedule D</w:t>
      </w:r>
      <w:r>
        <w:fldChar w:fldCharType="end"/>
      </w:r>
      <w:r>
        <w:t>.</w:t>
      </w:r>
    </w:p>
    <w:p w:rsidR="00C20A1A">
      <w:pPr>
        <w:pStyle w:val="ArticleBJL2"/>
      </w:pPr>
      <w:bookmarkStart w:id="125" w:name="_Ref464810501"/>
      <w:bookmarkStart w:id="126" w:name="_Toc481488845"/>
      <w:bookmarkStart w:id="127" w:name="_Toc56159032"/>
      <w:r>
        <w:t>Insurance</w:t>
      </w:r>
      <w:bookmarkEnd w:id="125"/>
      <w:bookmarkEnd w:id="126"/>
      <w:bookmarkEnd w:id="127"/>
    </w:p>
    <w:p w:rsidR="00C20A1A">
      <w:pPr>
        <w:pStyle w:val="ArticleBJCont2"/>
      </w:pPr>
      <w:r>
        <w:t xml:space="preserve">The Company shall obtain, within </w:t>
      </w:r>
      <w:r>
        <w:rPr>
          <w:bCs/>
        </w:rPr>
        <w:t>90</w:t>
      </w:r>
      <w:r>
        <w:t xml:space="preserve"> days of the date hereof, from financially sound and reputable insurers Directors and Officers liability insurance and term "key-person" insurance on </w:t>
      </w:r>
      <w:r>
        <w:rPr>
          <w:b/>
          <w:bCs/>
        </w:rPr>
        <w:t>[_____]</w:t>
      </w:r>
      <w:r>
        <w:t xml:space="preserve">, each in an amount and on terms and conditions satisfactory to the Board, and will use commercially reasonable efforts to cause such insurance policies to be maintained until such time as the Board determines that such insurance should be discontinued. The key person policy shall name the Company as loss payee, and neither policy shall be cancelable by the Company without prior approval by the Board </w:t>
      </w:r>
      <w:r>
        <w:rPr>
          <w:b/>
          <w:bCs/>
        </w:rPr>
        <w:t>[including the Requisite Preferred Director Vote][and holders of a [majority] of the Preferred Shares]</w:t>
      </w:r>
      <w:r>
        <w:t xml:space="preserve">. </w:t>
      </w:r>
      <w:r>
        <w:rPr>
          <w:b/>
          <w:bCs/>
        </w:rPr>
        <w:t xml:space="preserve">[Notwithstanding any other provision of this Section </w:t>
      </w:r>
      <w:r>
        <w:rPr>
          <w:b/>
          <w:bCs/>
          <w:cs/>
        </w:rPr>
        <w:t>‎</w:t>
      </w:r>
      <w:r>
        <w:rPr>
          <w:b/>
          <w:bCs/>
        </w:rPr>
        <w:fldChar w:fldCharType="begin"/>
      </w:r>
      <w:r>
        <w:rPr>
          <w:b/>
          <w:bCs/>
        </w:rPr>
        <w:instrText xml:space="preserve"> REF _Ref464810501 \r \h </w:instrText>
      </w:r>
      <w:r>
        <w:rPr>
          <w:b/>
          <w:bCs/>
        </w:rPr>
        <w:fldChar w:fldCharType="separate"/>
      </w:r>
      <w:r w:rsidR="00230E5B">
        <w:rPr>
          <w:b/>
          <w:bCs/>
        </w:rPr>
        <w:t>5.2</w:t>
      </w:r>
      <w:r>
        <w:rPr>
          <w:b/>
          <w:bCs/>
        </w:rPr>
        <w:fldChar w:fldCharType="end"/>
      </w:r>
      <w:r>
        <w:rPr>
          <w:b/>
          <w:bCs/>
        </w:rPr>
        <w:t xml:space="preserve"> to the contrary, for so long as a Preferred Director is serving on the Board, the Company shall not cease to maintain a Directors and Officers liability insurance policy in an amount of at least [CDN$ / US$] [3] million unless approved by such Preferred Director, [shall include the Investor[s] entitled to designate the Preferred Director pursuant to this Agreement as additional insureds in such policy,]</w:t>
      </w:r>
      <w:r>
        <w:rPr>
          <w:rStyle w:val="FootnoteReference"/>
          <w:b/>
          <w:bCs/>
        </w:rPr>
        <w:footnoteReference w:id="44"/>
      </w:r>
      <w:r>
        <w:rPr>
          <w:b/>
          <w:bCs/>
        </w:rPr>
        <w:t xml:space="preserve"> and shall annually, within 120 days after the end of each fiscal year of the Company, deliver to the Investors a certification that such a Directors and Officers liability insurance policy remains in effect.] [Each Key Holder hereby covenants and agrees that, to the extent such Key Holder is named under such key-person policy, such Key Holder will execute and deliver to the Company, as reasonably requested, a written notice and consent form with respect to such policy.]</w:t>
      </w:r>
      <w:r>
        <w:rPr>
          <w:rStyle w:val="FootnoteReference"/>
        </w:rPr>
        <w:footnoteReference w:id="45"/>
      </w:r>
    </w:p>
    <w:p w:rsidR="00C20A1A">
      <w:pPr>
        <w:pStyle w:val="ArticleBJL2"/>
      </w:pPr>
      <w:bookmarkStart w:id="128" w:name="_Toc481488846"/>
      <w:bookmarkStart w:id="129" w:name="_Toc56159033"/>
      <w:r>
        <w:t>Employee Agreements</w:t>
      </w:r>
      <w:bookmarkEnd w:id="128"/>
      <w:bookmarkEnd w:id="129"/>
    </w:p>
    <w:p w:rsidR="00C20A1A">
      <w:pPr>
        <w:pStyle w:val="ArticleBJCont2"/>
      </w:pPr>
      <w:r>
        <w:t>Unless otherwise approved by the Board, [including the Requisite Preferred Director Vote,] the Company will cause (i) each individual now or hereafter employed by it or by any subsidiary (or engaged by the Company or any subsidiary as a consultant/independent contractor) with access to confidential information and/or trade secrets to enter into a nondisclosure, proprietary rights assignment and non-solicitation agreement; and (ii) each Key Employee to enter into a</w:t>
      </w:r>
      <w:r>
        <w:rPr>
          <w:b/>
          <w:bCs/>
        </w:rPr>
        <w:t xml:space="preserve"> </w:t>
      </w:r>
      <w:r w:rsidRPr="00CD738E">
        <w:rPr>
          <w:bCs/>
        </w:rPr>
        <w:t>non-competition a</w:t>
      </w:r>
      <w:r>
        <w:t>greement designed with the advice of counsel.</w:t>
      </w:r>
      <w:r>
        <w:rPr>
          <w:rStyle w:val="FootnoteReference"/>
        </w:rPr>
        <w:footnoteReference w:id="46"/>
      </w:r>
      <w:r>
        <w:t xml:space="preserve"> In addition, the Company shall not amend, modify, terminate, waive, or otherwise alter, in whole or in part, any of the above-referenced agreements or any </w:t>
      </w:r>
      <w:r w:rsidRPr="00E25A0B" w:rsidR="00E25A0B">
        <w:rPr>
          <w:b/>
        </w:rPr>
        <w:t>[</w:t>
      </w:r>
      <w:r w:rsidRPr="00E25A0B">
        <w:rPr>
          <w:b/>
        </w:rPr>
        <w:t>restricted</w:t>
      </w:r>
      <w:r w:rsidRPr="00E25A0B" w:rsidR="00E25A0B">
        <w:rPr>
          <w:b/>
        </w:rPr>
        <w:t>]</w:t>
      </w:r>
      <w:r>
        <w:t xml:space="preserve"> </w:t>
      </w:r>
      <w:r w:rsidR="000A2EFF">
        <w:t>stock</w:t>
      </w:r>
      <w:r>
        <w:t xml:space="preserve"> agreement between the Company and any employee, without the consent of the Board</w:t>
      </w:r>
      <w:r w:rsidRPr="000A2EFF">
        <w:rPr>
          <w:b/>
        </w:rPr>
        <w:t>[, including the Requisite Preferred Director Vote]</w:t>
      </w:r>
      <w:r>
        <w:t>.</w:t>
      </w:r>
    </w:p>
    <w:p w:rsidR="00C20A1A">
      <w:pPr>
        <w:pStyle w:val="ArticleBJL2"/>
      </w:pPr>
      <w:bookmarkStart w:id="130" w:name="_Toc481488847"/>
      <w:bookmarkStart w:id="131" w:name="_Ref525893703"/>
      <w:bookmarkStart w:id="132" w:name="_Toc56159034"/>
      <w:r>
        <w:t>Employee Shares</w:t>
      </w:r>
      <w:bookmarkEnd w:id="130"/>
      <w:bookmarkEnd w:id="131"/>
      <w:bookmarkEnd w:id="132"/>
    </w:p>
    <w:p w:rsidR="00C20A1A">
      <w:pPr>
        <w:pStyle w:val="ArticleBJCont2"/>
      </w:pPr>
      <w:r>
        <w:t xml:space="preserve">Unless otherwise approved by the Board, </w:t>
      </w:r>
      <w:r>
        <w:rPr>
          <w:b/>
          <w:bCs/>
        </w:rPr>
        <w:t>[including the Requisite Preferred Director Vote,]</w:t>
      </w:r>
      <w:r>
        <w:t xml:space="preserve"> all [future]</w:t>
      </w:r>
      <w:r>
        <w:rPr>
          <w:rStyle w:val="FootnoteReference"/>
        </w:rPr>
        <w:footnoteReference w:id="47"/>
      </w:r>
      <w:r>
        <w:t xml:space="preserve"> employees of the Company who purchase, receive options to purchase, or receive awards of shares in the capital of the Company after the date hereof shall be required to execute restricted </w:t>
      </w:r>
      <w:r w:rsidR="000A2EFF">
        <w:t>stock</w:t>
      </w:r>
      <w:r>
        <w:t xml:space="preserve"> or option agreements, as applicable, providing for (i) vesting of shares over a </w:t>
      </w:r>
      <w:r>
        <w:rPr>
          <w:b/>
          <w:bCs/>
        </w:rPr>
        <w:t>[4]</w:t>
      </w:r>
      <w:r>
        <w:t xml:space="preserve"> year period, with the first </w:t>
      </w:r>
      <w:r>
        <w:rPr>
          <w:b/>
          <w:bCs/>
        </w:rPr>
        <w:t>[25%]</w:t>
      </w:r>
      <w:r>
        <w:t xml:space="preserve"> of such shares vesting following </w:t>
      </w:r>
      <w:r>
        <w:rPr>
          <w:b/>
          <w:bCs/>
        </w:rPr>
        <w:t>[12]</w:t>
      </w:r>
      <w:r>
        <w:t xml:space="preserve"> months of continued employment or service, and the remaining shares vesting in equal </w:t>
      </w:r>
      <w:r>
        <w:rPr>
          <w:b/>
          <w:bCs/>
        </w:rPr>
        <w:t>[monthly]</w:t>
      </w:r>
      <w:r>
        <w:t xml:space="preserve"> installments over the following </w:t>
      </w:r>
      <w:r>
        <w:rPr>
          <w:b/>
          <w:bCs/>
        </w:rPr>
        <w:t>[36 months]</w:t>
      </w:r>
      <w:r>
        <w:t xml:space="preserve">, and (ii) a market stand-off provision substantially similar to that in Section </w:t>
      </w:r>
      <w:r>
        <w:rPr>
          <w:cs/>
        </w:rPr>
        <w:t>‎</w:t>
      </w:r>
      <w:r>
        <w:fldChar w:fldCharType="begin"/>
      </w:r>
      <w:r>
        <w:instrText xml:space="preserve"> REF _Ref464810533 \r \h </w:instrText>
      </w:r>
      <w:r>
        <w:fldChar w:fldCharType="separate"/>
      </w:r>
      <w:r w:rsidR="00230E5B">
        <w:t>5.10</w:t>
      </w:r>
      <w:r>
        <w:fldChar w:fldCharType="end"/>
      </w:r>
      <w:r>
        <w:t xml:space="preserve">. </w:t>
      </w:r>
      <w:r>
        <w:rPr>
          <w:color w:val="000000"/>
          <w:szCs w:val="16"/>
        </w:rPr>
        <w:t xml:space="preserve">Without the prior approval by the Board, </w:t>
      </w:r>
      <w:r w:rsidRPr="00997792">
        <w:rPr>
          <w:b/>
          <w:color w:val="000000"/>
          <w:szCs w:val="16"/>
        </w:rPr>
        <w:t xml:space="preserve">[including the </w:t>
      </w:r>
      <w:r>
        <w:rPr>
          <w:b/>
          <w:color w:val="000000"/>
          <w:szCs w:val="16"/>
        </w:rPr>
        <w:t>Requisite</w:t>
      </w:r>
      <w:r w:rsidRPr="00997792">
        <w:rPr>
          <w:b/>
          <w:color w:val="000000"/>
          <w:szCs w:val="16"/>
        </w:rPr>
        <w:t xml:space="preserve"> </w:t>
      </w:r>
      <w:r>
        <w:rPr>
          <w:b/>
          <w:color w:val="000000"/>
          <w:szCs w:val="16"/>
        </w:rPr>
        <w:t xml:space="preserve">Preferred </w:t>
      </w:r>
      <w:r w:rsidRPr="00997792">
        <w:rPr>
          <w:b/>
          <w:color w:val="000000"/>
          <w:szCs w:val="16"/>
        </w:rPr>
        <w:t>Director</w:t>
      </w:r>
      <w:r>
        <w:rPr>
          <w:b/>
          <w:color w:val="000000"/>
          <w:szCs w:val="16"/>
        </w:rPr>
        <w:t xml:space="preserve"> Vote</w:t>
      </w:r>
      <w:r w:rsidRPr="00997792">
        <w:rPr>
          <w:b/>
          <w:color w:val="000000"/>
          <w:szCs w:val="16"/>
        </w:rPr>
        <w:t>,]</w:t>
      </w:r>
      <w:r>
        <w:t xml:space="preserve"> </w:t>
      </w:r>
      <w:r>
        <w:rPr>
          <w:color w:val="000000"/>
          <w:szCs w:val="16"/>
        </w:rPr>
        <w:t xml:space="preserve">the Company shall not amend, modify, terminate, waive or otherwise alter, in whole or in part, any share purchase, share restriction or option agreement with any existing employee or service provider if such amendment would cause it to be inconsistent with this Section </w:t>
      </w:r>
      <w:r>
        <w:rPr>
          <w:color w:val="000000"/>
          <w:szCs w:val="16"/>
        </w:rPr>
        <w:fldChar w:fldCharType="begin"/>
      </w:r>
      <w:r>
        <w:rPr>
          <w:color w:val="000000"/>
          <w:szCs w:val="16"/>
        </w:rPr>
        <w:instrText xml:space="preserve"> REF _Ref525893703 \r \h </w:instrText>
      </w:r>
      <w:r>
        <w:rPr>
          <w:color w:val="000000"/>
          <w:szCs w:val="16"/>
        </w:rPr>
        <w:fldChar w:fldCharType="separate"/>
      </w:r>
      <w:r w:rsidR="00230E5B">
        <w:rPr>
          <w:color w:val="000000"/>
          <w:szCs w:val="16"/>
        </w:rPr>
        <w:t>5.4</w:t>
      </w:r>
      <w:r>
        <w:rPr>
          <w:color w:val="000000"/>
          <w:szCs w:val="16"/>
        </w:rPr>
        <w:fldChar w:fldCharType="end"/>
      </w:r>
      <w:r>
        <w:rPr>
          <w:color w:val="000000"/>
          <w:szCs w:val="16"/>
        </w:rPr>
        <w:t>.</w:t>
      </w:r>
      <w:r>
        <w:t xml:space="preserve"> In addition, unless otherwise approved by the Board, </w:t>
      </w:r>
      <w:r>
        <w:rPr>
          <w:b/>
          <w:bCs/>
        </w:rPr>
        <w:t xml:space="preserve">[including the </w:t>
      </w:r>
      <w:r>
        <w:rPr>
          <w:b/>
          <w:color w:val="000000"/>
          <w:szCs w:val="16"/>
        </w:rPr>
        <w:t>Requisite</w:t>
      </w:r>
      <w:r w:rsidRPr="00997792">
        <w:rPr>
          <w:b/>
          <w:color w:val="000000"/>
          <w:szCs w:val="16"/>
        </w:rPr>
        <w:t xml:space="preserve"> </w:t>
      </w:r>
      <w:r>
        <w:rPr>
          <w:b/>
          <w:color w:val="000000"/>
          <w:szCs w:val="16"/>
        </w:rPr>
        <w:t xml:space="preserve">Preferred </w:t>
      </w:r>
      <w:r w:rsidRPr="00997792">
        <w:rPr>
          <w:b/>
          <w:color w:val="000000"/>
          <w:szCs w:val="16"/>
        </w:rPr>
        <w:t>Director</w:t>
      </w:r>
      <w:r>
        <w:rPr>
          <w:b/>
          <w:color w:val="000000"/>
          <w:szCs w:val="16"/>
        </w:rPr>
        <w:t xml:space="preserve"> Vote</w:t>
      </w:r>
      <w:r>
        <w:rPr>
          <w:b/>
          <w:bCs/>
        </w:rPr>
        <w:t>,]</w:t>
      </w:r>
      <w:r>
        <w:t xml:space="preserve"> the Company [(x) shall not offer or allow any acceleration of vesting, and (y)]</w:t>
      </w:r>
      <w:r>
        <w:rPr>
          <w:rStyle w:val="FootnoteReference"/>
        </w:rPr>
        <w:footnoteReference w:id="48"/>
      </w:r>
      <w:r>
        <w:t xml:space="preserve"> shall retain (and not waive) a "right of first refusal" on employee transfers until the Company's IPO and shall have the right to repurchase unvested shares at cost upon termination of employment of a holder of </w:t>
      </w:r>
      <w:r w:rsidRPr="000A2EFF" w:rsidR="000A2EFF">
        <w:rPr>
          <w:b/>
        </w:rPr>
        <w:t>[</w:t>
      </w:r>
      <w:r w:rsidRPr="000A2EFF">
        <w:rPr>
          <w:b/>
        </w:rPr>
        <w:t>restricted</w:t>
      </w:r>
      <w:r w:rsidRPr="000A2EFF" w:rsidR="000A2EFF">
        <w:rPr>
          <w:b/>
        </w:rPr>
        <w:t>]</w:t>
      </w:r>
      <w:r>
        <w:t xml:space="preserve"> shares.</w:t>
      </w:r>
    </w:p>
    <w:p w:rsidR="00C20A1A">
      <w:pPr>
        <w:pStyle w:val="ArticleBJL2"/>
      </w:pPr>
      <w:bookmarkStart w:id="133" w:name="_Toc481488848"/>
      <w:bookmarkStart w:id="134" w:name="_Toc56159035"/>
      <w:r>
        <w:t>[Expenses of Counsel</w:t>
      </w:r>
      <w:bookmarkEnd w:id="133"/>
      <w:bookmarkEnd w:id="134"/>
    </w:p>
    <w:p w:rsidR="00C20A1A">
      <w:pPr>
        <w:pStyle w:val="ArticleBJCont2"/>
        <w:rPr>
          <w:b/>
          <w:bCs/>
        </w:rPr>
      </w:pPr>
      <w:r>
        <w:rPr>
          <w:b/>
          <w:bCs/>
        </w:rPr>
        <w:t xml:space="preserve">In the event of a transaction which is a Sale of the Company, the reasonable fees and disbursements[, not to exceed [CDN$ / US$]_____,] of one counsel for the [Major] Investors ("Investor Counsel"), in their capacities as shareholders, shall be borne and paid by the Company. At the outset of considering a transaction which, if consummated would constitute a Sale of the Company, the Company shall obtain the ability to share with the Investor Counsel (and such counsel's clients) and shall share the confidential information (including the initial and all subsequent drafts of memoranda of understanding, letters of intent and other transaction documents and related non-compete, employment, consulting and other compensation agreements and plans) pertaining to and memorializing any of the transactions which, individually or when aggregated with others would constitute the Sale of the Company. The Company shall be obligated to share (and cause the Company's counsel and investment bankers to share) such materials when distributed to the Company's executives and/or any </w:t>
      </w:r>
      <w:r w:rsidR="000A2EFF">
        <w:rPr>
          <w:b/>
          <w:bCs/>
        </w:rPr>
        <w:t>one</w:t>
      </w:r>
      <w:r>
        <w:rPr>
          <w:b/>
          <w:bCs/>
        </w:rPr>
        <w:t xml:space="preserve"> or more of the other parties to such transaction(s). If Investor Counsel deems it appropriate, in its reasonable discretion, to enter into a joint defense (or common interest) agreement or other arrangement to enhance the ability of the parties to protect their communications and other reviewed materials under the solicitor client privilege, the Company shall, and shall direct its counsel to, execute and deliver to Investor Counsel and its clients such an agreement in form and substance reasonably acceptable to Investor Counsel and the Company's counsel. If </w:t>
      </w:r>
      <w:r w:rsidR="000A2EFF">
        <w:rPr>
          <w:b/>
          <w:bCs/>
        </w:rPr>
        <w:t>one</w:t>
      </w:r>
      <w:r>
        <w:rPr>
          <w:b/>
          <w:bCs/>
        </w:rPr>
        <w:t xml:space="preserve"> or more of the other party or parties to such transactions require the clients of Investor Counsel to enter into a confidentiality agreement and/or joint defense (or common interest) agreement in order to receive such </w:t>
      </w:r>
      <w:r>
        <w:rPr>
          <w:b/>
          <w:bCs/>
        </w:rPr>
        <w:t>information, then the Company shall share whatever information can be shared without entry into such agreement and shall, at the same time, in good faith work expeditiously to enable Investor Counsel and its clients to negotiate and enter into the appropriate agreement(s) without undue burden to the clients of Investor Counsel.]</w:t>
      </w:r>
      <w:r>
        <w:rPr>
          <w:rStyle w:val="FootnoteReference"/>
        </w:rPr>
        <w:footnoteReference w:id="49"/>
      </w:r>
      <w:r>
        <w:t xml:space="preserve"> </w:t>
      </w:r>
      <w:r>
        <w:rPr>
          <w:b/>
          <w:bCs/>
        </w:rPr>
        <w:t>[This covenant will survive termination of this Agreement.]</w:t>
      </w:r>
    </w:p>
    <w:p w:rsidR="00C20A1A">
      <w:pPr>
        <w:pStyle w:val="ArticleBJL2"/>
      </w:pPr>
      <w:bookmarkStart w:id="135" w:name="_Toc481488849"/>
      <w:bookmarkStart w:id="136" w:name="_Ref525132924"/>
      <w:bookmarkStart w:id="137" w:name="_Ref525132932"/>
      <w:bookmarkStart w:id="138" w:name="_Toc56159036"/>
      <w:r>
        <w:t>[Indemnification Matters</w:t>
      </w:r>
      <w:bookmarkEnd w:id="135"/>
      <w:bookmarkEnd w:id="136"/>
      <w:bookmarkEnd w:id="137"/>
      <w:bookmarkEnd w:id="138"/>
    </w:p>
    <w:p w:rsidR="00C20A1A">
      <w:pPr>
        <w:pStyle w:val="ArticleBJCont2"/>
        <w:rPr>
          <w:b/>
          <w:bCs/>
        </w:rPr>
      </w:pPr>
      <w:r>
        <w:rPr>
          <w:b/>
          <w:bCs/>
        </w:rPr>
        <w:t xml:space="preserve">The Company hereby acknowledges that </w:t>
      </w:r>
      <w:r w:rsidR="000A2EFF">
        <w:rPr>
          <w:b/>
          <w:bCs/>
        </w:rPr>
        <w:t xml:space="preserve">one or more </w:t>
      </w:r>
      <w:r>
        <w:rPr>
          <w:b/>
          <w:bCs/>
        </w:rPr>
        <w:t xml:space="preserve">of the Preferred Directors nominated to serve on the Board by </w:t>
      </w:r>
      <w:r w:rsidR="000A2EFF">
        <w:rPr>
          <w:b/>
          <w:bCs/>
        </w:rPr>
        <w:t xml:space="preserve">one or more </w:t>
      </w:r>
      <w:r>
        <w:rPr>
          <w:b/>
          <w:bCs/>
        </w:rPr>
        <w:t xml:space="preserve">Investors may have certain rights to indemnification, advancement of expenses and/or insurance provided by </w:t>
      </w:r>
      <w:r w:rsidR="000A2EFF">
        <w:rPr>
          <w:b/>
          <w:bCs/>
        </w:rPr>
        <w:t xml:space="preserve">one or more </w:t>
      </w:r>
      <w:r>
        <w:rPr>
          <w:b/>
          <w:bCs/>
        </w:rPr>
        <w:t>of the Investors and certain of their Affiliates (collectively, the "Investor Indemnitors"). The Company hereby agrees (a) that it is the indemnitor of first resort (</w:t>
      </w:r>
      <w:r>
        <w:rPr>
          <w:b/>
          <w:bCs/>
          <w:i/>
          <w:iCs/>
        </w:rPr>
        <w:t>i.e.</w:t>
      </w:r>
      <w:r>
        <w:rPr>
          <w:b/>
          <w:bCs/>
        </w:rPr>
        <w:t>, its obligations to any such Preferred Director are primary and any obligation of the Investor Indemnitors to advance expenses or to provide indemnification for the same expenses or liabilities incurred by such Preferred Director are secondary), (b) that it shall be required to advance the full amount of expenses incurred by such Preferred Director and shall be liable for the full amount of all expenses, judgments, penalties, fines and amounts paid in settlement by or on behalf of any such Preferred Director to the extent legally permitted and as required by the Articles or By-laws (or any agreement between the Company and such Preferred Director), without regard to any rights such Preferred Director may have against the Investor Indemnitors, and, (c) that it irrevocably waives, relinquishes and releases the Investor Indemnitors from any and all claims against the Investor Indemnitors for contribution, subrogation or any other recovery of any kind in respect thereof. The Company further agrees that no advancement or payment by the Investor Indemnitors on behalf of any such Preferred Director with respect to any claim for which such Preferred Director has sought indemnification from the Company shall affect the foregoing and the Investor Indemnitors shall have a right of contribution and/or be subrogated to the extent of such advancement or payment to all of the rights of recovery of such Preferred Director against the Company.</w:t>
      </w:r>
      <w:r>
        <w:t xml:space="preserve"> </w:t>
      </w:r>
      <w:r>
        <w:rPr>
          <w:b/>
        </w:rPr>
        <w:t xml:space="preserve">The </w:t>
      </w:r>
      <w:r>
        <w:rPr>
          <w:b/>
          <w:bCs/>
        </w:rPr>
        <w:t xml:space="preserve">Preferred </w:t>
      </w:r>
      <w:r>
        <w:rPr>
          <w:b/>
        </w:rPr>
        <w:t xml:space="preserve">Directors and the Investor Indemnitors are intended third-party beneficiaries of this section </w:t>
      </w:r>
      <w:r>
        <w:rPr>
          <w:b/>
        </w:rPr>
        <w:fldChar w:fldCharType="begin"/>
      </w:r>
      <w:r>
        <w:rPr>
          <w:b/>
        </w:rPr>
        <w:instrText xml:space="preserve"> REF _Ref525132924 \r \h </w:instrText>
      </w:r>
      <w:r>
        <w:rPr>
          <w:b/>
        </w:rPr>
        <w:fldChar w:fldCharType="separate"/>
      </w:r>
      <w:r w:rsidR="00230E5B">
        <w:rPr>
          <w:b/>
        </w:rPr>
        <w:t>5.6</w:t>
      </w:r>
      <w:r>
        <w:rPr>
          <w:b/>
        </w:rPr>
        <w:fldChar w:fldCharType="end"/>
      </w:r>
      <w:r>
        <w:rPr>
          <w:b/>
        </w:rPr>
        <w:t xml:space="preserve"> and shall have the right, [and each Investor holds the benefit of this provision in trust and as agent for, and has the] power and authority to enforce the provisions of this section </w:t>
      </w:r>
      <w:r>
        <w:rPr>
          <w:b/>
        </w:rPr>
        <w:fldChar w:fldCharType="begin"/>
      </w:r>
      <w:r>
        <w:rPr>
          <w:b/>
        </w:rPr>
        <w:instrText xml:space="preserve"> REF _Ref525132932 \r \h </w:instrText>
      </w:r>
      <w:r>
        <w:rPr>
          <w:b/>
        </w:rPr>
        <w:fldChar w:fldCharType="separate"/>
      </w:r>
      <w:r w:rsidR="00230E5B">
        <w:rPr>
          <w:b/>
        </w:rPr>
        <w:t>5.6</w:t>
      </w:r>
      <w:r>
        <w:rPr>
          <w:b/>
        </w:rPr>
        <w:fldChar w:fldCharType="end"/>
      </w:r>
      <w:r>
        <w:rPr>
          <w:b/>
        </w:rPr>
        <w:t xml:space="preserve"> [on behalf of their respective Investor Directors and Investor Indemnitors] as though they were a party to this Agreement.]</w:t>
      </w:r>
      <w:r w:rsidRPr="005B340A">
        <w:rPr>
          <w:rStyle w:val="FootnoteReference"/>
        </w:rPr>
        <w:t xml:space="preserve"> </w:t>
      </w:r>
      <w:r>
        <w:rPr>
          <w:rStyle w:val="FootnoteReference"/>
        </w:rPr>
        <w:footnoteReference w:id="50"/>
      </w:r>
      <w:r>
        <w:t xml:space="preserve"> If the Company or any of its successors or assignees consolidates with or merges into any other Person and is not the continuing or surviving corporation or entity of such consolidation or merger, then to the extent necessary, proper provision shall be made so that the successors and assignees of the Company assume the obligations of the Company with respect to indemnification of members of the Board in effect immediately before such transaction, whether such obligations are contained in the Articles, By-laws or elsewhere, as the case may be. </w:t>
      </w:r>
      <w:r>
        <w:rPr>
          <w:b/>
          <w:bCs/>
        </w:rPr>
        <w:t>[This covenant will survive termination of this Agreement.]</w:t>
      </w:r>
    </w:p>
    <w:p w:rsidR="00C20A1A">
      <w:pPr>
        <w:pStyle w:val="ArticleBJL2"/>
      </w:pPr>
      <w:bookmarkStart w:id="139" w:name="_Toc481488850"/>
      <w:bookmarkStart w:id="140" w:name="_Ref516751781"/>
      <w:bookmarkStart w:id="141" w:name="_Ref516751804"/>
      <w:bookmarkStart w:id="142" w:name="_Toc56159037"/>
      <w:r>
        <w:t>[Right to Conduct Activities</w:t>
      </w:r>
      <w:bookmarkEnd w:id="139"/>
      <w:bookmarkEnd w:id="140"/>
      <w:bookmarkEnd w:id="141"/>
      <w:bookmarkEnd w:id="142"/>
    </w:p>
    <w:p w:rsidR="00C20A1A" w:rsidRPr="005457A8">
      <w:pPr>
        <w:pStyle w:val="ArticleBJCont2"/>
        <w:rPr>
          <w:bCs/>
        </w:rPr>
      </w:pPr>
      <w:r>
        <w:rPr>
          <w:b/>
          <w:bCs/>
        </w:rPr>
        <w:t>The Company hereby agrees and acknowledges that [</w:t>
      </w:r>
      <w:r>
        <w:rPr>
          <w:b/>
          <w:bCs/>
          <w:i/>
        </w:rPr>
        <w:t>insert VC organization entity name</w:t>
      </w:r>
      <w:r>
        <w:rPr>
          <w:b/>
          <w:bCs/>
        </w:rPr>
        <w:t>]</w:t>
      </w:r>
      <w:r>
        <w:rPr>
          <w:rStyle w:val="FootnoteReference"/>
          <w:b/>
          <w:bCs/>
        </w:rPr>
        <w:footnoteReference w:id="51"/>
      </w:r>
      <w:r>
        <w:rPr>
          <w:b/>
          <w:bCs/>
        </w:rPr>
        <w:t xml:space="preserve"> (together with its Affiliates) is a professional investment organization, and as such reviews the business plans and related proprietary information of many enterprises, some of which may compete directly or indirectly with the Company's business (as currently conducted or as currently proposed to be conducted). </w:t>
      </w:r>
      <w:r w:rsidRPr="0081118D">
        <w:rPr>
          <w:b/>
          <w:bCs/>
        </w:rPr>
        <w:t xml:space="preserve">[Nothing in this Agreement shall preclude or in any way restrict the Investors from evaluating or purchasing securities, including publicly traded securities, of a particular enterprise, or investing or participating in any particular enterprise whether or not such enterprise has products or services which compete with those of the Company; and] </w:t>
      </w:r>
      <w:r>
        <w:rPr>
          <w:b/>
          <w:bCs/>
        </w:rPr>
        <w:t>the Company hereby agrees that, to the extent permitted under applicable law, [</w:t>
      </w:r>
      <w:r>
        <w:rPr>
          <w:b/>
          <w:bCs/>
          <w:i/>
        </w:rPr>
        <w:t>VC organization</w:t>
      </w:r>
      <w:r>
        <w:rPr>
          <w:b/>
          <w:bCs/>
        </w:rPr>
        <w:t>] (and its Affiliates) shall not be liable to the Company for any claim arising out of, or based upon, (i) the investment by [</w:t>
      </w:r>
      <w:r>
        <w:rPr>
          <w:b/>
          <w:bCs/>
          <w:i/>
        </w:rPr>
        <w:t>VC organization</w:t>
      </w:r>
      <w:r>
        <w:rPr>
          <w:b/>
          <w:bCs/>
        </w:rPr>
        <w:t>] (or its Affiliates) in any entity competitive with the Company, or (ii) actions taken by any partner, officer or other representative of [</w:t>
      </w:r>
      <w:r>
        <w:rPr>
          <w:b/>
          <w:bCs/>
          <w:i/>
        </w:rPr>
        <w:t>VC organization</w:t>
      </w:r>
      <w:r>
        <w:rPr>
          <w:b/>
          <w:bCs/>
        </w:rPr>
        <w:t>] (or its Affiliates) to assist any such competitive company, whether or not such action was taken as a member of the board of directors of such competitive company or otherwise, and whether or not such action has a detrimental effect on the Company; provided, however, that the foregoing shall not relieve (x) any of the Investors from liability associated with the unauthorized disclosure of the Company's confidential information obtained pursuant to this Agreement, or (y) any director or officer of the Company from any liability associated with his or her fiduciary duties to the Company.]</w:t>
      </w:r>
    </w:p>
    <w:p w:rsidR="00C20A1A">
      <w:pPr>
        <w:pStyle w:val="ArticleBJL2"/>
      </w:pPr>
      <w:bookmarkStart w:id="143" w:name="_Toc56159038"/>
      <w:bookmarkStart w:id="144" w:name="_Toc481488851"/>
      <w:r>
        <w:t>[Anti-Harassment Policy</w:t>
      </w:r>
      <w:bookmarkEnd w:id="143"/>
      <w:r>
        <w:t xml:space="preserve"> </w:t>
      </w:r>
    </w:p>
    <w:p w:rsidR="00C20A1A" w:rsidP="00221470">
      <w:pPr>
        <w:pStyle w:val="ArticleBJCont2"/>
        <w:rPr>
          <w:b/>
        </w:rPr>
      </w:pPr>
      <w:bookmarkStart w:id="145" w:name="_Toc516667278"/>
      <w:bookmarkStart w:id="146" w:name="_Toc516736569"/>
      <w:bookmarkStart w:id="147" w:name="_Toc516752218"/>
      <w:r w:rsidRPr="00221470">
        <w:rPr>
          <w:b/>
        </w:rPr>
        <w:t xml:space="preserve">The Company shall, within </w:t>
      </w:r>
      <w:r>
        <w:rPr>
          <w:b/>
        </w:rPr>
        <w:t>6</w:t>
      </w:r>
      <w:r w:rsidRPr="00221470">
        <w:rPr>
          <w:b/>
        </w:rPr>
        <w:t>0 days following the Closing</w:t>
      </w:r>
      <w:r>
        <w:rPr>
          <w:b/>
        </w:rPr>
        <w:t xml:space="preserve"> (as defined in the Subscription Agreement)</w:t>
      </w:r>
      <w:r w:rsidRPr="00221470">
        <w:rPr>
          <w:b/>
        </w:rPr>
        <w:t>, adopt and thereafter maintain in effect (i) a Code of Conduct governing appropriate work</w:t>
      </w:r>
      <w:r>
        <w:rPr>
          <w:b/>
        </w:rPr>
        <w:t>place behavior and (ii) an Anti-</w:t>
      </w:r>
      <w:r w:rsidRPr="00221470">
        <w:rPr>
          <w:b/>
        </w:rPr>
        <w:t>Harassment and Discrimination Policy prohibiting discrimination and harassment at the Company. Such policy shall be reviewed and approved by the Board]</w:t>
      </w:r>
      <w:bookmarkEnd w:id="145"/>
      <w:bookmarkEnd w:id="146"/>
      <w:bookmarkEnd w:id="147"/>
    </w:p>
    <w:p w:rsidR="00C20A1A" w:rsidP="0080509D">
      <w:pPr>
        <w:pStyle w:val="ArticleBJL2"/>
      </w:pPr>
      <w:bookmarkStart w:id="148" w:name="_Toc56159039"/>
      <w:r>
        <w:t>Foreign Corrupt Practices</w:t>
      </w:r>
      <w:bookmarkEnd w:id="148"/>
    </w:p>
    <w:p w:rsidR="00C20A1A" w:rsidP="00E61482">
      <w:pPr>
        <w:pStyle w:val="BodyText"/>
      </w:pPr>
      <w:r w:rsidRPr="00E61482">
        <w:t xml:space="preserve">The Company covenants that it shall not (and shall not permit any of its subsidiaries or Affiliates or any of its or their respective directors, officers, managers, employees. independent contractors,  representatives or agents to) promise authorize or make any payment to, or otherwise contribute any item of value to, directly or indirectly, to any third party, including any Non-U.S. Official (as such tennis defined in the </w:t>
      </w:r>
      <w:r w:rsidR="007C26A1">
        <w:t>U.S.</w:t>
      </w:r>
      <w:r w:rsidRPr="00E61482">
        <w:t xml:space="preserve"> Foreign Corrupt Practices Act of 1977, as amended (the "</w:t>
      </w:r>
      <w:r w:rsidRPr="0080509D">
        <w:rPr>
          <w:b/>
        </w:rPr>
        <w:t>FCPA</w:t>
      </w:r>
      <w:r w:rsidRPr="00E61482">
        <w:t xml:space="preserve">")), in each case, in violation of the </w:t>
      </w:r>
      <w:r w:rsidRPr="0080509D">
        <w:rPr>
          <w:i/>
        </w:rPr>
        <w:t xml:space="preserve">Corruption of Foreign Public Officials Act </w:t>
      </w:r>
      <w:r w:rsidRPr="00E61482">
        <w:t xml:space="preserve">(Canada), as amended (the </w:t>
      </w:r>
      <w:r w:rsidR="000A2EFF">
        <w:t>"</w:t>
      </w:r>
      <w:r w:rsidRPr="0080509D">
        <w:rPr>
          <w:b/>
        </w:rPr>
        <w:t>CFPO</w:t>
      </w:r>
      <w:r w:rsidRPr="00E61482">
        <w:t xml:space="preserve">"), the FCPA, the UK Bribery Act, or any other applicable anti-bribery or anti­corruption law. The Company further covenants that it shall (and shall cause each of its subsidiaries and Affiliates to) cease all of its or their respective activities as well as remediate any actions taken by the Company, its subsidiaries or Affiliates, or any of their respective directors, officers, managers, employees, independent contractors, representatives or agents in violation of the CFPO, the FCPA, the U.K. Bribery Act, or any other applicable anti-bribery or anti-corruption law. </w:t>
      </w:r>
      <w:r w:rsidRPr="000A2EFF">
        <w:rPr>
          <w:b/>
        </w:rPr>
        <w:t>[The</w:t>
      </w:r>
      <w:r w:rsidR="000A2EFF">
        <w:rPr>
          <w:b/>
        </w:rPr>
        <w:t xml:space="preserve"> Company further covenants that it shall (and shall cause each of its subsidiaries </w:t>
      </w:r>
      <w:r w:rsidR="000A2EFF">
        <w:rPr>
          <w:b/>
        </w:rPr>
        <w:t>and Affiliates to)</w:t>
      </w:r>
      <w:r w:rsidRPr="000A2EFF">
        <w:rPr>
          <w:b/>
        </w:rPr>
        <w:t xml:space="preserve"> maintain systems of internal controls (including</w:t>
      </w:r>
      <w:r w:rsidR="000A2EFF">
        <w:rPr>
          <w:b/>
        </w:rPr>
        <w:t xml:space="preserve"> </w:t>
      </w:r>
      <w:r w:rsidRPr="000A2EFF">
        <w:rPr>
          <w:b/>
        </w:rPr>
        <w:t>accounting systems, purchasing systems and billing systems) to ensure compliance with the CPFO, the FCPA, the U.K. Bribery Act, or any other applicable anti-bribery or anti-corruption law]. Upon request, the Company agrees to provide responsive information and/or certifications concerning its compliance with applicable anti-corruption laws. The Company shall promptly notify each Investor if the Company becomes aware of any [Enforcement Action (as defined in the Purchase Agreement)]</w:t>
      </w:r>
      <w:r w:rsidRPr="00E61482">
        <w:t xml:space="preserve">. The Company shall, and shall cause any direct or indirect subsidiary or entity controlled by it, whether now in existence or formed in the future, to comply with the </w:t>
      </w:r>
      <w:r w:rsidR="000A2EFF">
        <w:t>FCPA and CFPO</w:t>
      </w:r>
      <w:r w:rsidRPr="00E61482">
        <w:t xml:space="preserve">. The Company shall use its </w:t>
      </w:r>
      <w:r w:rsidRPr="00E25A0B">
        <w:rPr>
          <w:b/>
        </w:rPr>
        <w:t>[best efforts]</w:t>
      </w:r>
      <w:r w:rsidRPr="00E61482">
        <w:t xml:space="preserve"> to cause any direct or indirect subsidiary, whether now in existence or formed in the future, to comply in all material respects with </w:t>
      </w:r>
      <w:r w:rsidR="000A2EFF">
        <w:t>all</w:t>
      </w:r>
      <w:r w:rsidRPr="00E61482">
        <w:t xml:space="preserve"> applicable laws.</w:t>
      </w:r>
    </w:p>
    <w:p w:rsidR="00C20A1A">
      <w:pPr>
        <w:pStyle w:val="ArticleBJL2"/>
      </w:pPr>
      <w:bookmarkStart w:id="149" w:name="_Toc463463894"/>
      <w:bookmarkStart w:id="150" w:name="_Ref463545406"/>
      <w:bookmarkStart w:id="151" w:name="_Ref464810533"/>
      <w:bookmarkStart w:id="152" w:name="_Ref467998965"/>
      <w:bookmarkStart w:id="153" w:name="_Ref468000662"/>
      <w:bookmarkStart w:id="154" w:name="_Ref468260686"/>
      <w:bookmarkStart w:id="155" w:name="_Toc481488852"/>
      <w:bookmarkStart w:id="156" w:name="_Toc56159040"/>
      <w:bookmarkEnd w:id="144"/>
      <w:r>
        <w:t>Agreement to Lock-Up</w:t>
      </w:r>
      <w:bookmarkEnd w:id="149"/>
      <w:bookmarkEnd w:id="150"/>
      <w:bookmarkEnd w:id="151"/>
      <w:bookmarkEnd w:id="152"/>
      <w:bookmarkEnd w:id="153"/>
      <w:r>
        <w:t xml:space="preserve"> (Market Stand-off)</w:t>
      </w:r>
      <w:r>
        <w:rPr>
          <w:rStyle w:val="FootnoteReference"/>
        </w:rPr>
        <w:footnoteReference w:id="52"/>
      </w:r>
      <w:bookmarkEnd w:id="154"/>
      <w:bookmarkEnd w:id="155"/>
      <w:bookmarkEnd w:id="156"/>
    </w:p>
    <w:p w:rsidR="00C20A1A">
      <w:pPr>
        <w:pStyle w:val="ArticleBJCont2"/>
      </w:pPr>
      <w:r>
        <w:t xml:space="preserve">Each Shareholder hereby agrees that it will not, without the prior written consent of the managing underwriter, during the period commencing on the date of the final prospectus relating to the Company's IPO and ending on the date specified by the Company and the managing underwriter </w:t>
      </w:r>
      <w:r>
        <w:rPr>
          <w:b/>
          <w:bCs/>
        </w:rPr>
        <w:t xml:space="preserve"> </w:t>
      </w:r>
      <w:r w:rsidRPr="00C760E3">
        <w:rPr>
          <w:bCs/>
        </w:rPr>
        <w:t>(such period not to exceed 180 day</w:t>
      </w:r>
      <w:r>
        <w:rPr>
          <w:bCs/>
        </w:rPr>
        <w:t>s in the case of the IPO</w:t>
      </w:r>
      <w:r w:rsidRPr="00C760E3">
        <w:rPr>
          <w:bCs/>
        </w:rPr>
        <w:t>)</w:t>
      </w:r>
      <w:r>
        <w:rPr>
          <w:b/>
          <w:bCs/>
        </w:rPr>
        <w:t xml:space="preserve"> </w:t>
      </w:r>
      <w:r w:rsidRPr="00F758D3">
        <w:rPr>
          <w:b/>
          <w:bCs/>
        </w:rPr>
        <w:t>[or 90 days in the case of any registration other than the IPO]</w:t>
      </w:r>
      <w:r>
        <w:rPr>
          <w:rStyle w:val="FootnoteReference"/>
        </w:rPr>
        <w:footnoteReference w:id="53"/>
      </w:r>
      <w:r>
        <w:t xml:space="preserve"> </w:t>
      </w:r>
      <w:r>
        <w:rPr>
          <w:b/>
          <w:bCs/>
        </w:rPr>
        <w:t>[, or such other period as may be requested by the Company or an underwriter to accommodate regulatory restrictions on (1) the publication or other distribution of research reports; and (2) analyst recommendations and opinions, including the restrictions contained in applicable FINRA rules, or any successor provisions or amendments thereto,]</w:t>
      </w:r>
      <w:r>
        <w:rPr>
          <w:rStyle w:val="FootnoteReference"/>
          <w:bCs/>
        </w:rPr>
        <w:footnoteReference w:id="54"/>
      </w:r>
      <w:r>
        <w:t xml:space="preserve"> (a) lend, offer, pledge, sell, contract to sell, sell any option or contract to purchase, purchase any option or contract to sell, grant any option, right or warrant to purchase, or otherwise transfer or dispose of, directly or indirectly, any Shares or any securities convertible into or exercisable or exchangeable (directly or indirectly) for Shares held immediately prior to the effectiveness of the registration statement for such offering;</w:t>
      </w:r>
      <w:r>
        <w:rPr>
          <w:rStyle w:val="FootnoteReference"/>
        </w:rPr>
        <w:footnoteReference w:id="55"/>
      </w:r>
      <w:r>
        <w:t xml:space="preserve"> or (b) enter into any swap or other arrangement that transfers to another, in whole or in part, any of the economic consequences of ownership of  such securities, whether any such transaction described in clause (a) or (b) above is to be settled by delivery of Shares or other securities, in cash or otherwise. The foregoing provisions of this Section </w:t>
      </w:r>
      <w:r>
        <w:fldChar w:fldCharType="begin"/>
      </w:r>
      <w:r>
        <w:instrText xml:space="preserve"> REF _Ref467998965 \r \h </w:instrText>
      </w:r>
      <w:r>
        <w:fldChar w:fldCharType="separate"/>
      </w:r>
      <w:r w:rsidR="00230E5B">
        <w:t>5.10</w:t>
      </w:r>
      <w:r>
        <w:fldChar w:fldCharType="end"/>
      </w:r>
      <w:r>
        <w:t xml:space="preserve"> </w:t>
      </w:r>
      <w:r w:rsidRPr="00F758D3">
        <w:rPr>
          <w:b/>
        </w:rPr>
        <w:t>[shall apply only to the IPO,]</w:t>
      </w:r>
      <w:r>
        <w:t xml:space="preserve"> shall not apply to the sale of any shares to an underwriter pursuant to an underwriting agreement </w:t>
      </w:r>
      <w:r w:rsidRPr="00F758D3">
        <w:rPr>
          <w:b/>
        </w:rPr>
        <w:t xml:space="preserve">[or to the establishment of a </w:t>
      </w:r>
      <w:r w:rsidRPr="00F758D3">
        <w:rPr>
          <w:b/>
        </w:rPr>
        <w:t>trading plan pursuant to Rule 10b5-1</w:t>
      </w:r>
      <w:r w:rsidR="000A2EFF">
        <w:rPr>
          <w:b/>
        </w:rPr>
        <w:t xml:space="preserve"> (or similar trading plan under applicable Canadian Securities Laws)</w:t>
      </w:r>
      <w:r w:rsidRPr="00F758D3">
        <w:rPr>
          <w:b/>
        </w:rPr>
        <w:t>, provided that such plan does not permit transfers during the restricted period]</w:t>
      </w:r>
      <w:r>
        <w:t>,</w:t>
      </w:r>
      <w:r w:rsidRPr="00F758D3">
        <w:t xml:space="preserve"> </w:t>
      </w:r>
      <w:r w:rsidRPr="00F758D3">
        <w:rPr>
          <w:b/>
        </w:rPr>
        <w:t xml:space="preserve">[or the transfer of any shares to any trust for the direct or indirect benefit of the </w:t>
      </w:r>
      <w:r>
        <w:rPr>
          <w:b/>
        </w:rPr>
        <w:t>Shareholder</w:t>
      </w:r>
      <w:r w:rsidRPr="00F758D3">
        <w:rPr>
          <w:b/>
        </w:rPr>
        <w:t xml:space="preserve"> or the immediate family of the </w:t>
      </w:r>
      <w:r>
        <w:rPr>
          <w:b/>
        </w:rPr>
        <w:t>Shareholder</w:t>
      </w:r>
      <w:r w:rsidRPr="00F758D3">
        <w:rPr>
          <w:b/>
        </w:rPr>
        <w:t>, provided that the trustee of the trust agrees to be bound in writing by the restrictions set forth herein, and provided further that any such transfer shall not involve a disposition for value,]</w:t>
      </w:r>
      <w:r w:rsidRPr="00F758D3">
        <w:t xml:space="preserve"> </w:t>
      </w:r>
      <w:r>
        <w:t xml:space="preserve"> and shall only be applicable to the Shareholders only if all officers, directors and holders of more than </w:t>
      </w:r>
      <w:r w:rsidRPr="00F758D3">
        <w:rPr>
          <w:b/>
        </w:rPr>
        <w:t>[one – five]</w:t>
      </w:r>
      <w:r>
        <w:t xml:space="preserve"> percent (</w:t>
      </w:r>
      <w:r w:rsidRPr="00F758D3">
        <w:rPr>
          <w:b/>
        </w:rPr>
        <w:t>[1-5]</w:t>
      </w:r>
      <w:r>
        <w:t xml:space="preserve">%) of the outstanding Common Shares (after giving effect to the conversion into Common Shares of all outstanding </w:t>
      </w:r>
      <w:r>
        <w:rPr>
          <w:b/>
          <w:bCs/>
        </w:rPr>
        <w:t>[Class A]</w:t>
      </w:r>
      <w:r>
        <w:t xml:space="preserve"> Preferred Shares) enter into similar agreements.</w:t>
      </w:r>
      <w:r>
        <w:rPr>
          <w:rStyle w:val="FootnoteReference"/>
        </w:rPr>
        <w:footnoteReference w:id="56"/>
      </w:r>
      <w:r>
        <w:t xml:space="preserve"> The underwriters in connection with such registration are intentional third-party beneficiaries of this </w:t>
      </w:r>
      <w:r w:rsidR="004076C2">
        <w:t xml:space="preserve">Section </w:t>
      </w:r>
      <w:r w:rsidR="004076C2">
        <w:fldChar w:fldCharType="begin"/>
      </w:r>
      <w:r w:rsidR="004076C2">
        <w:instrText xml:space="preserve"> REF _Ref463545406 \n \h </w:instrText>
      </w:r>
      <w:r w:rsidR="004076C2">
        <w:fldChar w:fldCharType="separate"/>
      </w:r>
      <w:r w:rsidR="00230E5B">
        <w:t>5.10</w:t>
      </w:r>
      <w:r w:rsidR="004076C2">
        <w:fldChar w:fldCharType="end"/>
      </w:r>
      <w:r w:rsidR="004076C2">
        <w:t xml:space="preserve"> </w:t>
      </w:r>
      <w:r>
        <w:t xml:space="preserve">and shall have the right, power and authority to enforce provisions hereof as though they were a party hereto. Each Shareholder further agrees to execute such agreements as may be reasonably requested by the underwriters in the IPO that are consistent with this Section </w:t>
      </w:r>
      <w:r>
        <w:fldChar w:fldCharType="begin"/>
      </w:r>
      <w:r>
        <w:instrText xml:space="preserve"> REF _Ref463545406 \n \h </w:instrText>
      </w:r>
      <w:r>
        <w:fldChar w:fldCharType="separate"/>
      </w:r>
      <w:r w:rsidR="00230E5B">
        <w:t>5.10</w:t>
      </w:r>
      <w:r>
        <w:fldChar w:fldCharType="end"/>
      </w:r>
      <w:r>
        <w:t xml:space="preserve"> or that are necessary to give further effect thereto. In order to enforce the foregoing, the Company may impose stop-transfer instructions with respect to the Shares of each Shareholder (and transferees and assignees thereof) until the end of such restricted period. </w:t>
      </w:r>
      <w:r w:rsidRPr="00F1321E">
        <w:t>Any discretionary waiver or  termination of the restrictions of any or all such agreements by the Company or the underwriters shall apply pro rata  to all Shareholders that are subject to such agreements, based on the number of Shares subject to such agreements[, except that, notwithstanding the foregoing, the  Company and the underwriters may, in their sole discretion, waive or terminate these restrictions with respect up to [_________] Common Shares].</w:t>
      </w:r>
      <w:r>
        <w:rPr>
          <w:rStyle w:val="FootnoteReference"/>
        </w:rPr>
        <w:footnoteReference w:id="57"/>
      </w:r>
      <w:r>
        <w:t xml:space="preserve"> This covenant will survive termination of this Agreement.</w:t>
      </w:r>
    </w:p>
    <w:p w:rsidR="00C20A1A">
      <w:pPr>
        <w:pStyle w:val="ArticleBJL1"/>
      </w:pPr>
      <w:r>
        <w:br/>
      </w:r>
      <w:bookmarkStart w:id="157" w:name="_Toc463463882"/>
      <w:bookmarkStart w:id="158" w:name="_Ref463553699"/>
      <w:bookmarkStart w:id="159" w:name="_Ref463554003"/>
      <w:bookmarkStart w:id="160" w:name="_Ref463554146"/>
      <w:bookmarkStart w:id="161" w:name="_Ref463554165"/>
      <w:bookmarkStart w:id="162" w:name="_Ref463555873"/>
      <w:bookmarkStart w:id="163" w:name="_Ref464466461"/>
      <w:bookmarkStart w:id="164" w:name="_Ref464810666"/>
      <w:bookmarkStart w:id="165" w:name="_Ref468000088"/>
      <w:bookmarkStart w:id="166" w:name="_Ref56081273"/>
      <w:bookmarkStart w:id="167" w:name="_Toc56159041"/>
      <w:bookmarkStart w:id="168" w:name="_Ref56326387"/>
      <w:r>
        <w:t>Dealing with Securities</w:t>
      </w:r>
      <w:bookmarkEnd w:id="157"/>
      <w:bookmarkEnd w:id="158"/>
      <w:bookmarkEnd w:id="159"/>
      <w:bookmarkEnd w:id="160"/>
      <w:bookmarkEnd w:id="161"/>
      <w:bookmarkEnd w:id="162"/>
      <w:bookmarkEnd w:id="163"/>
      <w:bookmarkEnd w:id="164"/>
      <w:bookmarkEnd w:id="165"/>
      <w:bookmarkEnd w:id="166"/>
      <w:bookmarkEnd w:id="167"/>
      <w:bookmarkEnd w:id="168"/>
    </w:p>
    <w:p w:rsidR="00C20A1A">
      <w:pPr>
        <w:pStyle w:val="ArticleBJL2"/>
      </w:pPr>
      <w:bookmarkStart w:id="169" w:name="_Ref463461142"/>
      <w:bookmarkStart w:id="170" w:name="_Toc463463902"/>
      <w:bookmarkStart w:id="171" w:name="_Toc481488854"/>
      <w:bookmarkStart w:id="172" w:name="_Toc56159042"/>
      <w:bookmarkStart w:id="173" w:name="_Ref463553038"/>
      <w:bookmarkStart w:id="174" w:name="_Ref463553121"/>
      <w:bookmarkStart w:id="175" w:name="_Ref463553204"/>
      <w:bookmarkStart w:id="176" w:name="_Ref463553233"/>
      <w:bookmarkStart w:id="177" w:name="_Ref463553264"/>
      <w:bookmarkStart w:id="178" w:name="_Ref463553287"/>
      <w:bookmarkStart w:id="179" w:name="_Ref463553304"/>
      <w:bookmarkStart w:id="180" w:name="_Ref463553345"/>
      <w:bookmarkStart w:id="181" w:name="_Ref463553392"/>
      <w:bookmarkStart w:id="182" w:name="_Ref463555698"/>
      <w:bookmarkStart w:id="183" w:name="_Ref448392733"/>
      <w:bookmarkStart w:id="184" w:name="_Toc463463924"/>
      <w:bookmarkStart w:id="185" w:name="_Toc463463885"/>
      <w:bookmarkStart w:id="186" w:name="_Ref463450064"/>
      <w:r>
        <w:t>Restrictions on Transfer</w:t>
      </w:r>
      <w:r>
        <w:rPr>
          <w:rStyle w:val="FootnoteReference"/>
        </w:rPr>
        <w:footnoteReference w:id="58"/>
      </w:r>
      <w:bookmarkEnd w:id="169"/>
      <w:bookmarkEnd w:id="170"/>
      <w:bookmarkEnd w:id="171"/>
      <w:bookmarkEnd w:id="172"/>
    </w:p>
    <w:p w:rsidR="00C20A1A" w:rsidP="000D4586">
      <w:pPr>
        <w:pStyle w:val="ArticleBJL3"/>
      </w:pPr>
      <w:r>
        <w:t xml:space="preserve">The Shares shall not be sold, pledged, or otherwise transferred, and the Company shall not recognize and shall issue stop-transfer instructions to its transfer agent with respect to any such sale, pledge, or transfer, except upon the conditions specified in this Agreement, which conditions in the case of Preferred Shares are intended solely to ensure compliance with the provisions of the Securities Act and applicable Canadian Securities Laws and compliance with Section </w:t>
      </w:r>
      <w:r>
        <w:fldChar w:fldCharType="begin"/>
      </w:r>
      <w:r>
        <w:instrText xml:space="preserve"> REF _Ref464814708 \r \h </w:instrText>
      </w:r>
      <w:r>
        <w:fldChar w:fldCharType="separate"/>
      </w:r>
      <w:r w:rsidR="00230E5B">
        <w:t>6.2</w:t>
      </w:r>
      <w:r>
        <w:fldChar w:fldCharType="end"/>
      </w:r>
      <w:r>
        <w:t xml:space="preserve"> of this Agreement. A transferring Shareholder will cause any proposed purchaser, pledgee, or transferee of the </w:t>
      </w:r>
      <w:r>
        <w:rPr>
          <w:b/>
        </w:rPr>
        <w:t>[Class A]</w:t>
      </w:r>
      <w:r>
        <w:t xml:space="preserve"> Preferred Shares and the Registrable Securities held by such Shareholder to agree to take and hold such securities subject to the provisions and upon the conditions specified in this Agreement. </w:t>
      </w:r>
      <w:r w:rsidRPr="000D4586">
        <w:rPr>
          <w:b/>
        </w:rPr>
        <w:t xml:space="preserve">[Notwithstanding </w:t>
      </w:r>
      <w:r w:rsidRPr="000D4586">
        <w:rPr>
          <w:b/>
        </w:rPr>
        <w:t>the foregoing, the Company shall not require any transferee of shares pursuant to an effective registration statement or, following the IPO, SEC Rule 144 or NI 45-102, in each case, to be bound by the terms of this Agreement.]</w:t>
      </w:r>
      <w:r>
        <w:t xml:space="preserve"> </w:t>
      </w:r>
      <w:r>
        <w:rPr>
          <w:b/>
          <w:bCs/>
        </w:rPr>
        <w:t>[Note: Consider adding restriction on any transfer that would result in Company ceasing to be a CCPC unless the Board approves.]</w:t>
      </w:r>
    </w:p>
    <w:p w:rsidR="00C20A1A">
      <w:pPr>
        <w:pStyle w:val="ArticleBJL3"/>
      </w:pPr>
      <w:bookmarkStart w:id="187" w:name="_Ref463461207"/>
      <w:r>
        <w:t xml:space="preserve">Each certificate, instrument, or book entry representing (i) the </w:t>
      </w:r>
      <w:r>
        <w:rPr>
          <w:b/>
          <w:bCs/>
        </w:rPr>
        <w:t>[Class A]</w:t>
      </w:r>
      <w:r>
        <w:t xml:space="preserve"> Preferred Shares, (ii) the Common Shares, and (iii) any other securities issued in respect of the securities referenced in clauses (i) and (ii), upon any </w:t>
      </w:r>
      <w:r w:rsidR="000A2EFF">
        <w:t>stock split, stock dividend</w:t>
      </w:r>
      <w:r>
        <w:t xml:space="preserve">, recapitalization, merger, consolidation, or similar event, shall (unless otherwise permitted by the provisions of Section </w:t>
      </w:r>
      <w:r>
        <w:fldChar w:fldCharType="begin"/>
      </w:r>
      <w:r>
        <w:instrText xml:space="preserve"> REF _Ref463461110 \w \h </w:instrText>
      </w:r>
      <w:r>
        <w:fldChar w:fldCharType="separate"/>
      </w:r>
      <w:r w:rsidR="00230E5B">
        <w:t>6.1(c)</w:t>
      </w:r>
      <w:r>
        <w:fldChar w:fldCharType="end"/>
      </w:r>
      <w:r>
        <w:rPr>
          <w:cs/>
        </w:rPr>
        <w:t>‎</w:t>
      </w:r>
      <w:r>
        <w:t xml:space="preserve">) be </w:t>
      </w:r>
      <w:r w:rsidR="009F4E0D">
        <w:t>marked</w:t>
      </w:r>
      <w:r>
        <w:t xml:space="preserve"> with a legend substantially in the following form:</w:t>
      </w:r>
      <w:bookmarkEnd w:id="187"/>
    </w:p>
    <w:p w:rsidR="00C20A1A" w:rsidP="009461F3">
      <w:pPr>
        <w:pStyle w:val="QuoteIndent15"/>
        <w:keepNext/>
        <w:keepLines/>
      </w:pPr>
      <w:r>
        <w:t xml:space="preserve">UNLESS PERMITTED UNDER SECURITIES LEGISLATION, THE HOLDER OF THIS SECURITY MUST NOT TRADE THE SECURITY BEFORE THE DATE THAT IS 4 MONTHS AND A DAY AFTER THE LATER OF (i) </w:t>
      </w:r>
      <w:r>
        <w:rPr>
          <w:b/>
          <w:bCs/>
        </w:rPr>
        <w:t>[</w:t>
      </w:r>
      <w:r>
        <w:rPr>
          <w:b/>
          <w:bCs/>
          <w:i/>
          <w:iCs/>
        </w:rPr>
        <w:t>insert the distribution date</w:t>
      </w:r>
      <w:r>
        <w:rPr>
          <w:b/>
          <w:bCs/>
        </w:rPr>
        <w:t>]</w:t>
      </w:r>
      <w:r>
        <w:rPr>
          <w:rStyle w:val="FootnoteReference"/>
        </w:rPr>
        <w:footnoteReference w:id="59"/>
      </w:r>
      <w:r>
        <w:t xml:space="preserve"> AND (ii) THE DATE THE COMPANY BECAME A REPORTING ISSUER IN ANY PROVINCE OR TERRITORY.</w:t>
      </w:r>
    </w:p>
    <w:p w:rsidR="00C20A1A">
      <w:pPr>
        <w:pStyle w:val="QuoteIndent15"/>
      </w:pPr>
      <w:r>
        <w:t>THE SECURITIES REPRESENTED HEREBY HAVE BEEN ACQUIRED FOR INVESTMENT AND HAVE NOT BEEN REGISTERED UNDER THE SECURITIES ACT. SUCH SHARES MAY NOT BE SOLD, PLEDGED, OR TRANSFERRED IN THE ABSENCE OF SUCH REGISTRATION OR A VALID EXEMPTION FROM THE REGISTRATION AND PROSPECTUS DELIVERY REQUIREMENTS OF SAID ACT.</w:t>
      </w:r>
    </w:p>
    <w:p w:rsidR="00C20A1A">
      <w:pPr>
        <w:pStyle w:val="QuoteIndent15"/>
      </w:pPr>
      <w:r>
        <w:t xml:space="preserve">THE SECURITIES REPRESENTED HEREBY MAY BE TRANSFERRED ONLY IN ACCORDANCE WITH THE TERMS OF A </w:t>
      </w:r>
      <w:r>
        <w:rPr>
          <w:b/>
          <w:bCs/>
        </w:rPr>
        <w:t>[UNANIMOUS]</w:t>
      </w:r>
      <w:r>
        <w:t xml:space="preserve"> SHAREHOLDERS AGREEMENT BETWEEN THE COMPANY AND THE SHAREHOLDER, A COPY OF WHICH IS ON FILE WITH THE COMPANY.</w:t>
      </w:r>
    </w:p>
    <w:p w:rsidR="00C20A1A">
      <w:pPr>
        <w:pStyle w:val="ArticleBJCont3"/>
      </w:pPr>
      <w:r>
        <w:t xml:space="preserve">The Shareholders consent to the Company making a notation in its records and giving instructions to any transfer agent of the Common Shares in order to implement the restrictions on transfer set forth in this Section </w:t>
      </w:r>
      <w:r>
        <w:fldChar w:fldCharType="begin"/>
      </w:r>
      <w:r>
        <w:instrText xml:space="preserve"> REF _Ref463461142 \w \h </w:instrText>
      </w:r>
      <w:r>
        <w:fldChar w:fldCharType="separate"/>
      </w:r>
      <w:r w:rsidR="00230E5B">
        <w:t>6.1</w:t>
      </w:r>
      <w:r>
        <w:fldChar w:fldCharType="end"/>
      </w:r>
      <w:r>
        <w:rPr>
          <w:cs/>
        </w:rPr>
        <w:t>‎</w:t>
      </w:r>
      <w:r>
        <w:t>.</w:t>
      </w:r>
    </w:p>
    <w:p w:rsidR="00C20A1A">
      <w:pPr>
        <w:pStyle w:val="ArticleBJL3"/>
      </w:pPr>
      <w:bookmarkStart w:id="188" w:name="_Ref463461110"/>
      <w:r>
        <w:t xml:space="preserve">Before any proposed sale, pledge, or transfer of any Shares, unless there is in effect a registration statement under the Securities Act or Canadian Securities Laws covering the proposed transaction </w:t>
      </w:r>
      <w:r w:rsidRPr="000D4586">
        <w:rPr>
          <w:b/>
        </w:rPr>
        <w:t>[or following the IPO, the transfer is made pursuant to SEC Rule 144 or NI 45-102]</w:t>
      </w:r>
      <w:r>
        <w:t xml:space="preserve">, the Shareholder thereof shall give notice to the Company of such Shareholder's intention to effect such sale, pledge, or transfer </w:t>
      </w:r>
      <w:r w:rsidRPr="000D4586">
        <w:rPr>
          <w:b/>
        </w:rPr>
        <w:t>[, provided</w:t>
      </w:r>
      <w:r>
        <w:rPr>
          <w:b/>
        </w:rPr>
        <w:t xml:space="preserve"> that no such notice shall be required in connection </w:t>
      </w:r>
      <w:r w:rsidR="009F4E0D">
        <w:rPr>
          <w:b/>
        </w:rPr>
        <w:t xml:space="preserve">therewith </w:t>
      </w:r>
      <w:r>
        <w:rPr>
          <w:b/>
        </w:rPr>
        <w:t>if the intended sale, pledge or transfer complies with SEC Rule 144 or NI 45-102]</w:t>
      </w:r>
      <w:r>
        <w:t xml:space="preserve">. Each such notice shall describe the manner and circumstances of </w:t>
      </w:r>
      <w:r>
        <w:t xml:space="preserve">the proposed sale, pledge, or transfer in sufficient detail and, if reasonably requested by the Company in respect of any Shareholder to whom </w:t>
      </w:r>
      <w:r w:rsidR="007C26A1">
        <w:t>U.S.</w:t>
      </w:r>
      <w:r>
        <w:t xml:space="preserve"> securities laws apply, shall be accompanied at such Shareholder's expense by either (i) a written opinion of legal counsel who shall, and whose legal opinion shall, be reasonably satisfactory to the Company, addressed to the Company, to the effect that the proposed transaction may be effected without registration under the Securities Act; (ii) a "no action" letter from the SEC to the effect that the proposed sale, pledge, or transfer of such Common Shares without registration will not result in a recommendation by the staff of the SEC that action be taken with respect thereto; or (iii) any other evidence reasonably satisfactory to counsel to the Company to the effect that the proposed sale, pledge, or transfer of the Shares may be effected without registration under the Securities Act</w:t>
      </w:r>
      <w:r w:rsidR="009F4E0D">
        <w:t xml:space="preserve"> and applicable Canadian Securities Laws</w:t>
      </w:r>
      <w:r>
        <w:t xml:space="preserve">, whereupon the Shareholder of such Shares shall be entitled to sell, pledge, or transfer such Shares in accordance with the terms of the notice given by the Shareholder to the Company. The Company will not require such a notice, legal opinion or "no action" letter (x) in any transaction in compliance with SEC Rule 144 or NI 45-102; or (y) in any transaction in which such Shareholder distributes Shares to an Affiliate of such Shareholder for no consideration; provided that </w:t>
      </w:r>
      <w:r w:rsidRPr="000D4586">
        <w:rPr>
          <w:b/>
        </w:rPr>
        <w:t>[with respect to transfers under</w:t>
      </w:r>
      <w:r>
        <w:rPr>
          <w:b/>
        </w:rPr>
        <w:t xml:space="preserve"> the foregoing clause (y),]</w:t>
      </w:r>
      <w:r>
        <w:t xml:space="preserve"> each transferee agrees in writing to be subject to the terms of this Section </w:t>
      </w:r>
      <w:r>
        <w:fldChar w:fldCharType="begin"/>
      </w:r>
      <w:r>
        <w:instrText xml:space="preserve"> REF _Ref463461142 \w \h </w:instrText>
      </w:r>
      <w:r>
        <w:fldChar w:fldCharType="separate"/>
      </w:r>
      <w:r w:rsidR="00230E5B">
        <w:t>6.1</w:t>
      </w:r>
      <w:r>
        <w:fldChar w:fldCharType="end"/>
      </w:r>
      <w:r>
        <w:rPr>
          <w:cs/>
        </w:rPr>
        <w:t>‎</w:t>
      </w:r>
      <w:r>
        <w:t xml:space="preserve">. Each certificate, instrument, or book entry representing the Shares transferred as above provided shall be </w:t>
      </w:r>
      <w:r w:rsidR="009F4E0D">
        <w:t xml:space="preserve">marked </w:t>
      </w:r>
      <w:r>
        <w:t xml:space="preserve">with, except if such transfer is made pursuant to SEC Rule 144, the appropriate restrictive legend set forth in Section </w:t>
      </w:r>
      <w:r>
        <w:fldChar w:fldCharType="begin"/>
      </w:r>
      <w:r>
        <w:instrText xml:space="preserve"> REF _Ref463461207 \w \h </w:instrText>
      </w:r>
      <w:r>
        <w:fldChar w:fldCharType="separate"/>
      </w:r>
      <w:r w:rsidR="00230E5B">
        <w:t>6.1(b)</w:t>
      </w:r>
      <w:r>
        <w:fldChar w:fldCharType="end"/>
      </w:r>
      <w:r>
        <w:rPr>
          <w:cs/>
        </w:rPr>
        <w:t>‎</w:t>
      </w:r>
      <w:r>
        <w:t xml:space="preserve">, except that such certificate, instrument, or book entry shall not be </w:t>
      </w:r>
      <w:r w:rsidR="009F4E0D">
        <w:t xml:space="preserve">marked </w:t>
      </w:r>
      <w:r>
        <w:t>with such restrictive legend if, in the opinion of counsel for such Shareholder and the Company, such legend is not required in order to establish compliance with any provisions of the Securities Act.</w:t>
      </w:r>
      <w:bookmarkEnd w:id="188"/>
    </w:p>
    <w:p w:rsidR="00C20A1A">
      <w:pPr>
        <w:pStyle w:val="ArticleBJL2"/>
      </w:pPr>
      <w:bookmarkStart w:id="189" w:name="_Ref464814708"/>
      <w:bookmarkStart w:id="190" w:name="_Ref464814814"/>
      <w:bookmarkStart w:id="191" w:name="_Toc481488855"/>
      <w:bookmarkStart w:id="192" w:name="_Toc56159043"/>
      <w:r>
        <w:t>Additional Parties to be Bound</w:t>
      </w:r>
      <w:bookmarkEnd w:id="189"/>
      <w:bookmarkEnd w:id="190"/>
      <w:bookmarkEnd w:id="191"/>
      <w:bookmarkEnd w:id="192"/>
    </w:p>
    <w:p w:rsidR="00C20A1A">
      <w:pPr>
        <w:pStyle w:val="ArticleBJL3"/>
      </w:pPr>
      <w:bookmarkStart w:id="193" w:name="_Ref466989556"/>
      <w:r>
        <w:t xml:space="preserve">Each transferee or assignee of any Shares subject to this Agreement who is not already a party to this Agreement shall, as a condition precedent to the Company's recognizing such transfer, agree in writing to be subject to each of the terms of this Agreement by executing and delivering an Adoption Agreement substantially in the form attached hereto as </w:t>
      </w:r>
      <w:r>
        <w:fldChar w:fldCharType="begin"/>
      </w:r>
      <w:r>
        <w:instrText xml:space="preserve">  REF _Ref448392757 \w \h \* MERGEFORMAT </w:instrText>
      </w:r>
      <w:r>
        <w:fldChar w:fldCharType="separate"/>
      </w:r>
      <w:r w:rsidRPr="00230E5B" w:rsidR="00230E5B">
        <w:rPr>
          <w:color w:val="000000"/>
        </w:rPr>
        <w:t>Schedule C</w:t>
      </w:r>
      <w:r>
        <w:fldChar w:fldCharType="end"/>
      </w:r>
      <w:r>
        <w:t xml:space="preserve">. Upon the execution and delivery of an Adoption Agreement by any transferee, such transferee shall be deemed to be a party hereto as if such transferee were the transferor and such transferee's signature appeared on the signature pages of this Agreement and shall be deemed to be an </w:t>
      </w:r>
      <w:r>
        <w:rPr>
          <w:b/>
          <w:bCs/>
        </w:rPr>
        <w:t>[Investor and Shareholder, or Key Holder and Shareholder, as applicable.]</w:t>
      </w:r>
      <w:r>
        <w:t xml:space="preserve"> The Company shall not permit the transfer of the Shares subject to this Agreement on its books or issue a new certificate representing any such Shares unless and until such transferee shall have complied with the terms of this Section </w:t>
      </w:r>
      <w:r>
        <w:fldChar w:fldCharType="begin"/>
      </w:r>
      <w:r>
        <w:instrText xml:space="preserve"> REF _Ref464814708 \r \h </w:instrText>
      </w:r>
      <w:r>
        <w:fldChar w:fldCharType="separate"/>
      </w:r>
      <w:r w:rsidR="00230E5B">
        <w:t>6.2</w:t>
      </w:r>
      <w:r>
        <w:fldChar w:fldCharType="end"/>
      </w:r>
      <w:r>
        <w:fldChar w:fldCharType="begin"/>
      </w:r>
      <w:r>
        <w:instrText xml:space="preserve"> REF _Ref466989556 \r \h </w:instrText>
      </w:r>
      <w:r>
        <w:fldChar w:fldCharType="separate"/>
      </w:r>
      <w:r w:rsidR="00230E5B">
        <w:t>(a)</w:t>
      </w:r>
      <w:r>
        <w:fldChar w:fldCharType="end"/>
      </w:r>
      <w:r>
        <w:t xml:space="preserve">. Each certificate instrument, or book entry representing the Shares subject to this Agreement if issued on or after the date of this Agreement shall be marked by the Company with the legend set forth in Section </w:t>
      </w:r>
      <w:r>
        <w:rPr>
          <w:cs/>
        </w:rPr>
        <w:t>‎</w:t>
      </w:r>
      <w:r>
        <w:rPr>
          <w:cs/>
        </w:rPr>
        <w:fldChar w:fldCharType="begin"/>
      </w:r>
      <w:r>
        <w:instrText xml:space="preserve"> REF _Ref463461207 \r \h </w:instrText>
      </w:r>
      <w:r>
        <w:rPr>
          <w:cs/>
        </w:rPr>
        <w:fldChar w:fldCharType="separate"/>
      </w:r>
      <w:r w:rsidR="00230E5B">
        <w:t>6.1(b)</w:t>
      </w:r>
      <w:r>
        <w:rPr>
          <w:cs/>
        </w:rPr>
        <w:fldChar w:fldCharType="end"/>
      </w:r>
      <w:r>
        <w:t>.</w:t>
      </w:r>
      <w:bookmarkEnd w:id="193"/>
    </w:p>
    <w:p w:rsidR="00C20A1A">
      <w:pPr>
        <w:pStyle w:val="ArticleBJL3"/>
      </w:pPr>
      <w:r>
        <w:t xml:space="preserve">If the Company issues shares in the capital of the Company to any Person after the date hereof, the Company will, as a condition of such issuance, cause the Person to </w:t>
      </w:r>
      <w:r>
        <w:t xml:space="preserve">execute a joinder or counterpart signature page to become a party to all of the applicable terms and conditions of this Agreement as a "Shareholder" and, if applicable, as determined by the Board, an </w:t>
      </w:r>
      <w:r w:rsidRPr="009F4E0D" w:rsidR="009F4E0D">
        <w:rPr>
          <w:b/>
        </w:rPr>
        <w:t>[</w:t>
      </w:r>
      <w:r w:rsidRPr="009F4E0D">
        <w:rPr>
          <w:b/>
        </w:rPr>
        <w:t>"Inve</w:t>
      </w:r>
      <w:r w:rsidRPr="009F4E0D" w:rsidR="00D219CA">
        <w:rPr>
          <w:b/>
        </w:rPr>
        <w:t>stor" or "Key Holder"</w:t>
      </w:r>
      <w:r w:rsidRPr="009F4E0D" w:rsidR="009F4E0D">
        <w:rPr>
          <w:b/>
        </w:rPr>
        <w:t>]</w:t>
      </w:r>
      <w:r w:rsidR="00D219CA">
        <w:t>.</w:t>
      </w:r>
    </w:p>
    <w:p w:rsidR="00C20A1A">
      <w:pPr>
        <w:pStyle w:val="ArticleBJL3"/>
      </w:pPr>
      <w:r>
        <w:t xml:space="preserve">Notwithstanding anything to the contrary contained herein, if the Company issues additional Preferred Shares after the date hereof, </w:t>
      </w:r>
      <w:r w:rsidRPr="00A9450C">
        <w:rPr>
          <w:b/>
        </w:rPr>
        <w:t>[pursuant to the Subscription Agreement,]</w:t>
      </w:r>
      <w:r>
        <w:rPr>
          <w:rStyle w:val="FootnoteReference"/>
          <w:b/>
        </w:rPr>
        <w:footnoteReference w:id="60"/>
      </w:r>
      <w:r>
        <w:t xml:space="preserve"> any purchaser of such Class [_] Preferred Shares may become a party to this Agreement by executing and delivering an additional counterpart signature page to this Agreement, and thereafter shall be deemed an </w:t>
      </w:r>
      <w:r w:rsidRPr="009F4E0D" w:rsidR="009F4E0D">
        <w:rPr>
          <w:b/>
        </w:rPr>
        <w:t>[</w:t>
      </w:r>
      <w:r w:rsidRPr="009F4E0D">
        <w:rPr>
          <w:b/>
        </w:rPr>
        <w:t>"Investor" and "Shareholder"</w:t>
      </w:r>
      <w:r w:rsidRPr="009F4E0D" w:rsidR="009F4E0D">
        <w:rPr>
          <w:b/>
        </w:rPr>
        <w:t>]</w:t>
      </w:r>
      <w:r>
        <w:t xml:space="preserve"> for all purposes hereunder. No action or consent by the Shareholders shall be required for such joinder to this Agreement by such additional Investor, so long as such additional Investor has agreed in writing to be bound by all of the obligations as an </w:t>
      </w:r>
      <w:r w:rsidRPr="009F4E0D" w:rsidR="009F4E0D">
        <w:rPr>
          <w:b/>
        </w:rPr>
        <w:t>[</w:t>
      </w:r>
      <w:r w:rsidRPr="009F4E0D">
        <w:rPr>
          <w:b/>
        </w:rPr>
        <w:t>"Investor" and "Shareholder"</w:t>
      </w:r>
      <w:r w:rsidRPr="009F4E0D" w:rsidR="009F4E0D">
        <w:rPr>
          <w:b/>
        </w:rPr>
        <w:t>]</w:t>
      </w:r>
      <w:r>
        <w:t xml:space="preserve"> hereunder.</w:t>
      </w:r>
    </w:p>
    <w:p w:rsidR="00C20A1A">
      <w:pPr>
        <w:pStyle w:val="ArticleBJL2"/>
      </w:pPr>
      <w:bookmarkStart w:id="194" w:name="_Ref466989721"/>
      <w:bookmarkStart w:id="195" w:name="_Ref466989768"/>
      <w:bookmarkStart w:id="196" w:name="_Toc481488856"/>
      <w:bookmarkStart w:id="197" w:name="_Ref55401148"/>
      <w:bookmarkStart w:id="198" w:name="_Toc56159044"/>
      <w:r>
        <w:t>Pre-emptive Right</w:t>
      </w:r>
      <w:bookmarkEnd w:id="173"/>
      <w:bookmarkEnd w:id="174"/>
      <w:bookmarkEnd w:id="175"/>
      <w:bookmarkEnd w:id="176"/>
      <w:bookmarkEnd w:id="177"/>
      <w:bookmarkEnd w:id="178"/>
      <w:bookmarkEnd w:id="179"/>
      <w:bookmarkEnd w:id="180"/>
      <w:bookmarkEnd w:id="181"/>
      <w:bookmarkEnd w:id="182"/>
      <w:bookmarkEnd w:id="194"/>
      <w:bookmarkEnd w:id="195"/>
      <w:bookmarkEnd w:id="196"/>
      <w:r>
        <w:t xml:space="preserve"> (Right of First Offer)</w:t>
      </w:r>
      <w:bookmarkEnd w:id="197"/>
      <w:bookmarkEnd w:id="198"/>
    </w:p>
    <w:p w:rsidR="00C20A1A">
      <w:pPr>
        <w:pStyle w:val="ArticleBJCont2"/>
      </w:pPr>
      <w:r>
        <w:t xml:space="preserve">Subject to the terms and conditions of this Section </w:t>
      </w:r>
      <w:r>
        <w:fldChar w:fldCharType="begin"/>
      </w:r>
      <w:r>
        <w:instrText xml:space="preserve"> REF _Ref466989721 \r \h </w:instrText>
      </w:r>
      <w:r>
        <w:fldChar w:fldCharType="separate"/>
      </w:r>
      <w:r w:rsidR="00230E5B">
        <w:t>6.3</w:t>
      </w:r>
      <w:r>
        <w:fldChar w:fldCharType="end"/>
      </w:r>
      <w:r>
        <w:t xml:space="preserve"> and applicable securities laws, if the Company proposes to offer or sell any New Securities, the Company shall first offer such New Securities to each </w:t>
      </w:r>
      <w:r w:rsidRPr="00DC3024">
        <w:t>Major Investor</w:t>
      </w:r>
      <w:r>
        <w:t>.</w:t>
      </w:r>
      <w:r>
        <w:rPr>
          <w:rStyle w:val="FootnoteReference"/>
        </w:rPr>
        <w:footnoteReference w:id="61"/>
      </w:r>
      <w:r>
        <w:t xml:space="preserve"> A Major Investor shall be entitled to apportion the right of first offer hereby granted to it, in such proportions as it deems appropriate, among (i) itself, (ii) its Affiliates </w:t>
      </w:r>
      <w:r>
        <w:rPr>
          <w:b/>
          <w:bCs/>
        </w:rPr>
        <w:t xml:space="preserve">[and (iii) its beneficial interest holders, such as limited partners, members or any other Person having "beneficial ownership," as such term is defined in Rule 13d-3 promulgated under the Exchange Act, of such Major Investor ("Investor Beneficial Owners"); provided that each such Affiliate or Investor Beneficial Owner (x) is not a Competitor or FOIA Party, unless such party's purchase of New Securities is otherwise consented to by the Board, (y) agrees to enter into this Agreement as a "Shareholder" and an "Investor" under each such agreement (provided that any Competitor or FOIA Party shall not be entitled to any rights as a Major Investor under Sections </w:t>
      </w:r>
      <w:r>
        <w:rPr>
          <w:b/>
          <w:bCs/>
        </w:rPr>
        <w:fldChar w:fldCharType="begin"/>
      </w:r>
      <w:r>
        <w:rPr>
          <w:b/>
          <w:bCs/>
        </w:rPr>
        <w:instrText xml:space="preserve"> REF _Ref463446396 \w \h </w:instrText>
      </w:r>
      <w:r>
        <w:rPr>
          <w:b/>
          <w:bCs/>
        </w:rPr>
        <w:fldChar w:fldCharType="separate"/>
      </w:r>
      <w:r w:rsidR="00230E5B">
        <w:rPr>
          <w:b/>
          <w:bCs/>
        </w:rPr>
        <w:t>4.1</w:t>
      </w:r>
      <w:r>
        <w:rPr>
          <w:b/>
          <w:bCs/>
        </w:rPr>
        <w:fldChar w:fldCharType="end"/>
      </w:r>
      <w:r>
        <w:rPr>
          <w:b/>
          <w:bCs/>
        </w:rPr>
        <w:t xml:space="preserve">, </w:t>
      </w:r>
      <w:r>
        <w:rPr>
          <w:b/>
          <w:bCs/>
        </w:rPr>
        <w:fldChar w:fldCharType="begin"/>
      </w:r>
      <w:r>
        <w:rPr>
          <w:b/>
          <w:bCs/>
        </w:rPr>
        <w:instrText xml:space="preserve"> REF _Ref464810401 \w \h </w:instrText>
      </w:r>
      <w:r>
        <w:rPr>
          <w:b/>
          <w:bCs/>
        </w:rPr>
        <w:fldChar w:fldCharType="separate"/>
      </w:r>
      <w:r w:rsidR="00230E5B">
        <w:rPr>
          <w:b/>
          <w:bCs/>
        </w:rPr>
        <w:t>4.3</w:t>
      </w:r>
      <w:r>
        <w:rPr>
          <w:b/>
          <w:bCs/>
        </w:rPr>
        <w:fldChar w:fldCharType="end"/>
      </w:r>
      <w:r>
        <w:rPr>
          <w:b/>
          <w:bCs/>
        </w:rPr>
        <w:t xml:space="preserve"> and </w:t>
      </w:r>
      <w:r>
        <w:rPr>
          <w:b/>
          <w:bCs/>
        </w:rPr>
        <w:fldChar w:fldCharType="begin"/>
      </w:r>
      <w:r>
        <w:rPr>
          <w:b/>
          <w:bCs/>
        </w:rPr>
        <w:instrText xml:space="preserve"> REF _Ref466989721 \w \h </w:instrText>
      </w:r>
      <w:r>
        <w:rPr>
          <w:b/>
          <w:bCs/>
        </w:rPr>
        <w:fldChar w:fldCharType="separate"/>
      </w:r>
      <w:r w:rsidR="00230E5B">
        <w:rPr>
          <w:b/>
          <w:bCs/>
        </w:rPr>
        <w:t>6.3</w:t>
      </w:r>
      <w:r>
        <w:rPr>
          <w:b/>
          <w:bCs/>
        </w:rPr>
        <w:fldChar w:fldCharType="end"/>
      </w:r>
      <w:r>
        <w:rPr>
          <w:b/>
          <w:bCs/>
        </w:rPr>
        <w:t xml:space="preserve"> hereof), and (z) agrees to purchase at least such number of New Securities as are allocable hereunder to the Major Investor holding the fewest number of [Class A] Preferred Shares and any other Derivative Securities]</w:t>
      </w:r>
      <w:r>
        <w:t>.</w:t>
      </w:r>
    </w:p>
    <w:p w:rsidR="00C20A1A">
      <w:pPr>
        <w:pStyle w:val="ArticleBJL3"/>
      </w:pPr>
      <w:r>
        <w:t>The Company shall give notice (the "</w:t>
      </w:r>
      <w:r>
        <w:rPr>
          <w:b/>
          <w:bCs/>
        </w:rPr>
        <w:t>Offer Notice</w:t>
      </w:r>
      <w:r>
        <w:t>") to each Major Investor, stating (i) its bona fide intention to offer such New Securities, (ii) the number of such New Securities to be offered, and (iii) the price and terms, if any, upon which it proposes to offer such New Securities.</w:t>
      </w:r>
    </w:p>
    <w:p w:rsidR="00C20A1A">
      <w:pPr>
        <w:pStyle w:val="ArticleBJL3"/>
      </w:pPr>
      <w:bookmarkStart w:id="199" w:name="_Ref463461452"/>
      <w:r>
        <w:t>By notification to the Company within 20 days after the Offer Notice is given, each Major Investor may elect to purchase or otherwise acquire, at the price and on the terms specified in the Offer Notice, up to that portion of such New Securities</w:t>
      </w:r>
      <w:bookmarkStart w:id="200" w:name="_Ref467999400"/>
      <w:r>
        <w:rPr>
          <w:rStyle w:val="FootnoteReference"/>
        </w:rPr>
        <w:footnoteReference w:id="62"/>
      </w:r>
      <w:bookmarkEnd w:id="200"/>
      <w:r>
        <w:t xml:space="preserve"> </w:t>
      </w:r>
      <w:r>
        <w:t xml:space="preserve">which equals the proportion that the Common Shares then held by such Major Investor (including all Common Shares then issuable (directly or indirectly) upon conversion and/or exercise, as applicable, of the </w:t>
      </w:r>
      <w:r>
        <w:rPr>
          <w:b/>
          <w:bCs/>
        </w:rPr>
        <w:t>[Class A]</w:t>
      </w:r>
      <w:r>
        <w:t xml:space="preserve"> Preferred Shares and any other Derivative Securities then held by such Major Investor) bears to the total Common Shares of the Company </w:t>
      </w:r>
      <w:r>
        <w:rPr>
          <w:b/>
          <w:bCs/>
        </w:rPr>
        <w:t>[then outstanding (assuming full conversion and/or exercise, as applicable, of all [Class A] Preferred Shares and other Derivative Securities then outstanding)][</w:t>
      </w:r>
      <w:r>
        <w:rPr>
          <w:b/>
          <w:bCs/>
          <w:i/>
          <w:iCs/>
        </w:rPr>
        <w:t>Alternative:</w:t>
      </w:r>
      <w:r>
        <w:rPr>
          <w:b/>
          <w:bCs/>
        </w:rPr>
        <w:t xml:space="preserve"> then held by all the Major Investors (including all Common Shares issuable (directly or indirectly) upon conversion and/or exercise, as applicable, of the [Class A] Preferred Shares and any other Derivative Securities then held by the Major Investors)]</w:t>
      </w:r>
      <w:r>
        <w:t>.</w:t>
      </w:r>
      <w:r>
        <w:rPr>
          <w:rStyle w:val="FootnoteReference"/>
        </w:rPr>
        <w:footnoteReference w:id="63"/>
      </w:r>
      <w:r>
        <w:t xml:space="preserve"> At the expiration of such 20 day period, the Company shall promptly notify each Major Investor that elects to purchase or acquire all the shares available to it (each, a "</w:t>
      </w:r>
      <w:r>
        <w:rPr>
          <w:b/>
          <w:bCs/>
        </w:rPr>
        <w:t>Fully Exercising Investor</w:t>
      </w:r>
      <w:r>
        <w:t xml:space="preserve">") of any other Major Investor's failure to do likewise. During the 10 day period commencing after the Company has given such notice, each Fully Exercising Investor may, by giving notice to the Company, elect to purchase or acquire, in addition to the number of shares specified above, up to that portion of the New Securities for which Major Investors were entitled to subscribe but that were not subscribed for by the Major Investors which is equal to the proportion that the Common Shares issued and held, or issuable (directly or indirectly) upon conversion and/or exercise, as applicable, of </w:t>
      </w:r>
      <w:r>
        <w:rPr>
          <w:b/>
          <w:bCs/>
        </w:rPr>
        <w:t>[Class A]</w:t>
      </w:r>
      <w:r>
        <w:t xml:space="preserve"> Preferred Shares and any other Derivative Securities then held, by such Fully Exercising Investor bears to the Common Shares issued and held, or issuable (directly or indirectly) upon conversion and/or exercise, as applicable, of the </w:t>
      </w:r>
      <w:r>
        <w:rPr>
          <w:b/>
          <w:bCs/>
        </w:rPr>
        <w:t>[Class A]</w:t>
      </w:r>
      <w:r>
        <w:t xml:space="preserve"> Preferred Shares and any other Derivative Securities then held, by all Fully Exercising Investors who wish to purchase such unsubscribed shares.</w:t>
      </w:r>
      <w:r>
        <w:rPr>
          <w:rStyle w:val="FootnoteReference"/>
        </w:rPr>
        <w:footnoteReference w:id="64"/>
      </w:r>
      <w:r>
        <w:t xml:space="preserve"> The closing of any sale pursuant to this Section </w:t>
      </w:r>
      <w:r>
        <w:fldChar w:fldCharType="begin"/>
      </w:r>
      <w:r>
        <w:instrText xml:space="preserve"> REF _Ref463461452 \w \h </w:instrText>
      </w:r>
      <w:r>
        <w:fldChar w:fldCharType="separate"/>
      </w:r>
      <w:r w:rsidR="00230E5B">
        <w:t>6.3(b)</w:t>
      </w:r>
      <w:r>
        <w:fldChar w:fldCharType="end"/>
      </w:r>
      <w:r>
        <w:rPr>
          <w:cs/>
        </w:rPr>
        <w:t>‎</w:t>
      </w:r>
      <w:r>
        <w:t xml:space="preserve"> shall occur within the later of </w:t>
      </w:r>
      <w:r>
        <w:rPr>
          <w:b/>
        </w:rPr>
        <w:t>[</w:t>
      </w:r>
      <w:r>
        <w:rPr>
          <w:b/>
          <w:bCs/>
        </w:rPr>
        <w:t>90/120]</w:t>
      </w:r>
      <w:r>
        <w:t xml:space="preserve"> days of the date that the Offer Notice is given and the date of initial sale of New Securities pursuant to Section </w:t>
      </w:r>
      <w:r>
        <w:rPr>
          <w:cs/>
        </w:rPr>
        <w:t>‎</w:t>
      </w:r>
      <w:r>
        <w:rPr>
          <w:cs/>
        </w:rPr>
        <w:fldChar w:fldCharType="begin"/>
      </w:r>
      <w:r>
        <w:instrText xml:space="preserve"> REF _Ref463461492 \w \h </w:instrText>
      </w:r>
      <w:r>
        <w:rPr>
          <w:cs/>
        </w:rPr>
        <w:fldChar w:fldCharType="separate"/>
      </w:r>
      <w:r w:rsidR="00230E5B">
        <w:t>6.3(c)</w:t>
      </w:r>
      <w:r>
        <w:rPr>
          <w:cs/>
        </w:rPr>
        <w:fldChar w:fldCharType="end"/>
      </w:r>
      <w:r>
        <w:t>.</w:t>
      </w:r>
      <w:bookmarkEnd w:id="199"/>
    </w:p>
    <w:p w:rsidR="00C20A1A">
      <w:pPr>
        <w:pStyle w:val="ArticleBJL3"/>
      </w:pPr>
      <w:bookmarkStart w:id="201" w:name="_Ref463461492"/>
      <w:r>
        <w:t xml:space="preserve">If all New Securities referred to in the Offer Notice are not elected to be purchased or acquired as provided in Section </w:t>
      </w:r>
      <w:r>
        <w:fldChar w:fldCharType="begin"/>
      </w:r>
      <w:r>
        <w:instrText xml:space="preserve"> REF _Ref463461452 \w \h </w:instrText>
      </w:r>
      <w:r>
        <w:fldChar w:fldCharType="separate"/>
      </w:r>
      <w:r w:rsidR="00230E5B">
        <w:t>6.3(b)</w:t>
      </w:r>
      <w:r>
        <w:fldChar w:fldCharType="end"/>
      </w:r>
      <w:r>
        <w:rPr>
          <w:cs/>
        </w:rPr>
        <w:t>‎</w:t>
      </w:r>
      <w:r>
        <w:t xml:space="preserve">, the Company may, during the </w:t>
      </w:r>
      <w:r>
        <w:rPr>
          <w:b/>
          <w:bCs/>
        </w:rPr>
        <w:t>[90]</w:t>
      </w:r>
      <w:r>
        <w:t xml:space="preserve"> day period following the expiration of the periods provided in Section </w:t>
      </w:r>
      <w:r>
        <w:fldChar w:fldCharType="begin"/>
      </w:r>
      <w:r>
        <w:instrText xml:space="preserve"> REF _Ref463461452 \w \h </w:instrText>
      </w:r>
      <w:r>
        <w:fldChar w:fldCharType="separate"/>
      </w:r>
      <w:r w:rsidR="00230E5B">
        <w:t>6.3(b)</w:t>
      </w:r>
      <w:r>
        <w:fldChar w:fldCharType="end"/>
      </w:r>
      <w:r>
        <w:rPr>
          <w:cs/>
        </w:rPr>
        <w:t>‎</w:t>
      </w:r>
      <w:r>
        <w:t xml:space="preserve">, offer and sell the remaining unsubscribed portion of such New Securities to any Person or Persons at a price not less than, and upon terms no more favorable to the offeree than, those specified in the Offer Notice. If the Company does not enter into an agreement for the sale of the New Securities within such period, or if such agreement is not consummated within </w:t>
      </w:r>
      <w:r>
        <w:rPr>
          <w:b/>
          <w:bCs/>
        </w:rPr>
        <w:t>[30]</w:t>
      </w:r>
      <w:r>
        <w:t xml:space="preserve"> days of the execution thereof, the right provided hereunder shall be deemed to be revived and such New Securities shall </w:t>
      </w:r>
      <w:r>
        <w:t xml:space="preserve">not be offered unless first reoffered to the Major Investors in accordance with this Section </w:t>
      </w:r>
      <w:r>
        <w:fldChar w:fldCharType="begin"/>
      </w:r>
      <w:r>
        <w:instrText xml:space="preserve"> REF _Ref466989721 \r \h </w:instrText>
      </w:r>
      <w:r>
        <w:fldChar w:fldCharType="separate"/>
      </w:r>
      <w:r w:rsidR="00230E5B">
        <w:t>6.3</w:t>
      </w:r>
      <w:r>
        <w:fldChar w:fldCharType="end"/>
      </w:r>
      <w:r>
        <w:t>.</w:t>
      </w:r>
      <w:bookmarkEnd w:id="201"/>
    </w:p>
    <w:p w:rsidR="00C20A1A">
      <w:pPr>
        <w:pStyle w:val="ArticleBJL3"/>
      </w:pPr>
      <w:r>
        <w:rPr>
          <w:szCs w:val="24"/>
        </w:rPr>
        <w:t xml:space="preserve">The right of first offer in this Section </w:t>
      </w:r>
      <w:r>
        <w:rPr>
          <w:szCs w:val="24"/>
        </w:rPr>
        <w:fldChar w:fldCharType="begin"/>
      </w:r>
      <w:r>
        <w:rPr>
          <w:szCs w:val="24"/>
        </w:rPr>
        <w:instrText xml:space="preserve"> REF _Ref466989721 \r \h  \* MERGEFORMAT </w:instrText>
      </w:r>
      <w:r>
        <w:rPr>
          <w:szCs w:val="24"/>
        </w:rPr>
        <w:fldChar w:fldCharType="separate"/>
      </w:r>
      <w:r w:rsidR="00230E5B">
        <w:rPr>
          <w:szCs w:val="24"/>
        </w:rPr>
        <w:t>6.3</w:t>
      </w:r>
      <w:r>
        <w:rPr>
          <w:szCs w:val="24"/>
        </w:rPr>
        <w:fldChar w:fldCharType="end"/>
      </w:r>
      <w:r>
        <w:rPr>
          <w:szCs w:val="24"/>
        </w:rPr>
        <w:t xml:space="preserve"> shall not be applicable to</w:t>
      </w:r>
      <w:r>
        <w:rPr>
          <w:rStyle w:val="FootnoteReference"/>
          <w:szCs w:val="24"/>
        </w:rPr>
        <w:footnoteReference w:id="65"/>
      </w:r>
      <w:r>
        <w:rPr>
          <w:szCs w:val="24"/>
        </w:rPr>
        <w:t xml:space="preserve"> (i) Exempted Securities (as defined in the Articles); </w:t>
      </w:r>
      <w:r>
        <w:rPr>
          <w:b/>
          <w:bCs/>
          <w:szCs w:val="24"/>
        </w:rPr>
        <w:t>[and]</w:t>
      </w:r>
      <w:r>
        <w:rPr>
          <w:szCs w:val="24"/>
        </w:rPr>
        <w:t xml:space="preserve"> (ii) Common Shares issued in the IPO</w:t>
      </w:r>
      <w:r>
        <w:rPr>
          <w:b/>
          <w:bCs/>
          <w:szCs w:val="24"/>
        </w:rPr>
        <w:t>[; and (iii) the issuance of [Class A] Preferred Shares to Additional Purchasers pursuant to Section [</w:t>
      </w:r>
      <w:r>
        <w:rPr>
          <w:rFonts w:ascii="Symbol" w:hAnsi="Symbol"/>
          <w:b/>
          <w:bCs/>
          <w:szCs w:val="24"/>
        </w:rPr>
        <w:sym w:font="Symbol" w:char="F0B7"/>
      </w:r>
      <w:r>
        <w:rPr>
          <w:b/>
          <w:bCs/>
          <w:szCs w:val="24"/>
        </w:rPr>
        <w:t>] of the Subscription Agreement</w:t>
      </w:r>
      <w:r>
        <w:rPr>
          <w:b/>
          <w:bCs/>
        </w:rPr>
        <w:t>.]</w:t>
      </w:r>
    </w:p>
    <w:p w:rsidR="00C20A1A">
      <w:pPr>
        <w:pStyle w:val="ArticleBJL3"/>
        <w:rPr>
          <w:b/>
          <w:bCs/>
        </w:rPr>
      </w:pPr>
      <w:bookmarkStart w:id="202" w:name="_Ref463460740"/>
      <w:r>
        <w:rPr>
          <w:b/>
          <w:bCs/>
        </w:rPr>
        <w:t>[</w:t>
      </w:r>
      <w:r>
        <w:rPr>
          <w:b/>
          <w:bCs/>
          <w:szCs w:val="24"/>
        </w:rPr>
        <w:t xml:space="preserve">The right of first offer set forth in this Section </w:t>
      </w:r>
      <w:r>
        <w:rPr>
          <w:b/>
          <w:bCs/>
          <w:szCs w:val="24"/>
        </w:rPr>
        <w:fldChar w:fldCharType="begin"/>
      </w:r>
      <w:r>
        <w:rPr>
          <w:b/>
          <w:bCs/>
          <w:szCs w:val="24"/>
        </w:rPr>
        <w:instrText xml:space="preserve"> REF _Ref466989721 \r \h  \* MERGEFORMAT </w:instrText>
      </w:r>
      <w:r>
        <w:rPr>
          <w:b/>
          <w:bCs/>
          <w:szCs w:val="24"/>
        </w:rPr>
        <w:fldChar w:fldCharType="separate"/>
      </w:r>
      <w:r w:rsidR="00230E5B">
        <w:rPr>
          <w:b/>
          <w:bCs/>
          <w:szCs w:val="24"/>
        </w:rPr>
        <w:t>6.3</w:t>
      </w:r>
      <w:r>
        <w:rPr>
          <w:b/>
          <w:bCs/>
          <w:szCs w:val="24"/>
        </w:rPr>
        <w:fldChar w:fldCharType="end"/>
      </w:r>
      <w:r>
        <w:rPr>
          <w:b/>
          <w:bCs/>
          <w:szCs w:val="24"/>
        </w:rPr>
        <w:t xml:space="preserve"> shall terminate with respect to any Major Investor who fails to purchase, in any transaction subject to this Section </w:t>
      </w:r>
      <w:r>
        <w:rPr>
          <w:b/>
          <w:bCs/>
          <w:szCs w:val="24"/>
        </w:rPr>
        <w:fldChar w:fldCharType="begin"/>
      </w:r>
      <w:r>
        <w:rPr>
          <w:b/>
          <w:bCs/>
          <w:szCs w:val="24"/>
        </w:rPr>
        <w:instrText xml:space="preserve"> REF _Ref466989721 \r \h  \* MERGEFORMAT </w:instrText>
      </w:r>
      <w:r>
        <w:rPr>
          <w:b/>
          <w:bCs/>
          <w:szCs w:val="24"/>
        </w:rPr>
        <w:fldChar w:fldCharType="separate"/>
      </w:r>
      <w:r w:rsidR="00230E5B">
        <w:rPr>
          <w:b/>
          <w:bCs/>
          <w:szCs w:val="24"/>
        </w:rPr>
        <w:t>6.3</w:t>
      </w:r>
      <w:r>
        <w:rPr>
          <w:b/>
          <w:bCs/>
          <w:szCs w:val="24"/>
        </w:rPr>
        <w:fldChar w:fldCharType="end"/>
      </w:r>
      <w:r>
        <w:rPr>
          <w:b/>
          <w:bCs/>
          <w:szCs w:val="24"/>
        </w:rPr>
        <w:t xml:space="preserve">, all of such Major Investor's pro rata amount of the New Securities allocated (or, if less than such Major Investor's pro rata amount is offered by the Company, such lesser amount so offered) to such Major Investor pursuant to this Section </w:t>
      </w:r>
      <w:r>
        <w:rPr>
          <w:b/>
          <w:bCs/>
          <w:szCs w:val="24"/>
        </w:rPr>
        <w:fldChar w:fldCharType="begin"/>
      </w:r>
      <w:r>
        <w:rPr>
          <w:b/>
          <w:bCs/>
          <w:szCs w:val="24"/>
        </w:rPr>
        <w:instrText xml:space="preserve"> REF _Ref466989721 \r \h  \* MERGEFORMAT </w:instrText>
      </w:r>
      <w:r>
        <w:rPr>
          <w:b/>
          <w:bCs/>
          <w:szCs w:val="24"/>
        </w:rPr>
        <w:fldChar w:fldCharType="separate"/>
      </w:r>
      <w:r w:rsidR="00230E5B">
        <w:rPr>
          <w:b/>
          <w:bCs/>
          <w:szCs w:val="24"/>
        </w:rPr>
        <w:t>6.3</w:t>
      </w:r>
      <w:r>
        <w:rPr>
          <w:b/>
          <w:bCs/>
          <w:szCs w:val="24"/>
        </w:rPr>
        <w:fldChar w:fldCharType="end"/>
      </w:r>
      <w:r>
        <w:rPr>
          <w:b/>
          <w:bCs/>
          <w:szCs w:val="24"/>
        </w:rPr>
        <w:t xml:space="preserve">. Following any such termination, such Investor shall no longer be deemed a "Major Investor" for any purpose of this Section </w:t>
      </w:r>
      <w:bookmarkEnd w:id="202"/>
      <w:r>
        <w:rPr>
          <w:b/>
          <w:bCs/>
          <w:szCs w:val="24"/>
        </w:rPr>
        <w:fldChar w:fldCharType="begin"/>
      </w:r>
      <w:r>
        <w:rPr>
          <w:b/>
          <w:bCs/>
          <w:szCs w:val="24"/>
        </w:rPr>
        <w:instrText xml:space="preserve"> REF _Ref466989721 \r \h  \* MERGEFORMAT </w:instrText>
      </w:r>
      <w:r>
        <w:rPr>
          <w:b/>
          <w:bCs/>
          <w:szCs w:val="24"/>
        </w:rPr>
        <w:fldChar w:fldCharType="separate"/>
      </w:r>
      <w:r w:rsidR="00230E5B">
        <w:rPr>
          <w:b/>
          <w:bCs/>
          <w:szCs w:val="24"/>
        </w:rPr>
        <w:t>6.3</w:t>
      </w:r>
      <w:r>
        <w:rPr>
          <w:b/>
          <w:bCs/>
          <w:szCs w:val="24"/>
        </w:rPr>
        <w:fldChar w:fldCharType="end"/>
      </w:r>
      <w:r>
        <w:rPr>
          <w:b/>
          <w:bCs/>
        </w:rPr>
        <w:t>.]</w:t>
      </w:r>
    </w:p>
    <w:p w:rsidR="00C20A1A">
      <w:pPr>
        <w:pStyle w:val="ArticleBJL3"/>
        <w:rPr>
          <w:b/>
          <w:bCs/>
        </w:rPr>
      </w:pPr>
      <w:r>
        <w:rPr>
          <w:b/>
          <w:bCs/>
        </w:rPr>
        <w:t xml:space="preserve">[Notwithstanding any provision hereof to the contrary, in lieu of complying with the provisions of this Section </w:t>
      </w:r>
      <w:r>
        <w:rPr>
          <w:b/>
          <w:bCs/>
        </w:rPr>
        <w:fldChar w:fldCharType="begin"/>
      </w:r>
      <w:r>
        <w:rPr>
          <w:b/>
          <w:bCs/>
        </w:rPr>
        <w:instrText xml:space="preserve"> REF _Ref466989721 \r \h </w:instrText>
      </w:r>
      <w:r>
        <w:rPr>
          <w:b/>
          <w:bCs/>
        </w:rPr>
        <w:fldChar w:fldCharType="separate"/>
      </w:r>
      <w:r w:rsidR="00230E5B">
        <w:rPr>
          <w:b/>
          <w:bCs/>
        </w:rPr>
        <w:t>6.3</w:t>
      </w:r>
      <w:r>
        <w:rPr>
          <w:b/>
          <w:bCs/>
        </w:rPr>
        <w:fldChar w:fldCharType="end"/>
      </w:r>
      <w:r>
        <w:rPr>
          <w:b/>
          <w:bCs/>
        </w:rPr>
        <w:t xml:space="preserve">, the Company may elect to give notice to the Major Investors within 30 days after the issuance of New Securities. Such notice shall describe the type, price, and terms of the New Securities. Each Major Investor shall have 20 days from the date notice is given to elect to purchase up to the number of New Securities that would, if purchased by such Major Investor, maintain such Major Investor's percentage-ownership position, calculated as set forth in Section </w:t>
      </w:r>
      <w:r>
        <w:rPr>
          <w:b/>
          <w:bCs/>
        </w:rPr>
        <w:fldChar w:fldCharType="begin"/>
      </w:r>
      <w:r>
        <w:rPr>
          <w:b/>
          <w:bCs/>
        </w:rPr>
        <w:instrText xml:space="preserve"> REF _Ref463461452 \w \h  \* MERGEFORMAT </w:instrText>
      </w:r>
      <w:r>
        <w:rPr>
          <w:b/>
          <w:bCs/>
        </w:rPr>
        <w:fldChar w:fldCharType="separate"/>
      </w:r>
      <w:r w:rsidR="00230E5B">
        <w:rPr>
          <w:b/>
          <w:bCs/>
        </w:rPr>
        <w:t>6.3(b)</w:t>
      </w:r>
      <w:r>
        <w:rPr>
          <w:b/>
          <w:bCs/>
        </w:rPr>
        <w:fldChar w:fldCharType="end"/>
      </w:r>
      <w:r>
        <w:rPr>
          <w:b/>
          <w:bCs/>
          <w:cs/>
        </w:rPr>
        <w:t>‎</w:t>
      </w:r>
      <w:r>
        <w:rPr>
          <w:b/>
          <w:bCs/>
        </w:rPr>
        <w:t xml:space="preserve"> before giving effect to the issuance of such New Securities.</w:t>
      </w:r>
      <w:bookmarkStart w:id="203" w:name="_Ref55397696"/>
      <w:r>
        <w:rPr>
          <w:rStyle w:val="FootnoteReference"/>
          <w:b/>
          <w:bCs/>
        </w:rPr>
        <w:footnoteReference w:id="66"/>
      </w:r>
      <w:bookmarkEnd w:id="203"/>
      <w:r>
        <w:rPr>
          <w:b/>
          <w:bCs/>
        </w:rPr>
        <w:t xml:space="preserve"> The closing of such sale shall occur within [60] days of the date notice is given to the Major Investors.]</w:t>
      </w:r>
    </w:p>
    <w:p w:rsidR="00C20A1A">
      <w:pPr>
        <w:pStyle w:val="ArticleBJL2"/>
      </w:pPr>
      <w:bookmarkStart w:id="204" w:name="_Ref466990165"/>
      <w:bookmarkStart w:id="205" w:name="_Toc481488857"/>
      <w:bookmarkStart w:id="206" w:name="_Toc56159045"/>
      <w:bookmarkEnd w:id="183"/>
      <w:bookmarkEnd w:id="184"/>
      <w:r>
        <w:t>Right of First Refusal</w:t>
      </w:r>
      <w:r>
        <w:rPr>
          <w:rStyle w:val="FootnoteReference"/>
        </w:rPr>
        <w:footnoteReference w:id="67"/>
      </w:r>
      <w:bookmarkEnd w:id="185"/>
      <w:bookmarkEnd w:id="186"/>
      <w:bookmarkEnd w:id="204"/>
      <w:bookmarkEnd w:id="205"/>
      <w:bookmarkEnd w:id="206"/>
    </w:p>
    <w:p w:rsidR="00C20A1A">
      <w:pPr>
        <w:pStyle w:val="ArticleBJL3"/>
      </w:pPr>
      <w:bookmarkStart w:id="207" w:name="_Ref463449967"/>
      <w:r>
        <w:rPr>
          <w:b/>
          <w:bCs/>
        </w:rPr>
        <w:t>Grant</w:t>
      </w:r>
      <w:r>
        <w:t xml:space="preserve">. Subject to the terms of Section </w:t>
      </w:r>
      <w:r>
        <w:fldChar w:fldCharType="begin"/>
      </w:r>
      <w:r>
        <w:instrText xml:space="preserve"> REF _Ref463450642 \w \h </w:instrText>
      </w:r>
      <w:r>
        <w:fldChar w:fldCharType="separate"/>
      </w:r>
      <w:r w:rsidR="00230E5B">
        <w:t>6.7</w:t>
      </w:r>
      <w:r>
        <w:fldChar w:fldCharType="end"/>
      </w:r>
      <w:r>
        <w:t xml:space="preserve"> below, each Key Holder</w:t>
      </w:r>
      <w:bookmarkStart w:id="208" w:name="_Ref56149522"/>
      <w:r>
        <w:rPr>
          <w:rStyle w:val="FootnoteReference"/>
        </w:rPr>
        <w:footnoteReference w:id="68"/>
      </w:r>
      <w:bookmarkEnd w:id="208"/>
      <w:r>
        <w:t xml:space="preserve"> hereby unconditionally and irrevocably grants to the Company a Right of First Refusal to purchase all or any portion of Transfer Shares that such Key Holder may propose </w:t>
      </w:r>
      <w:r>
        <w:t>to transfer in a Proposed Key Holder Transfer, at the same price and on the same terms and conditions as those offered to the Prospective Transferee.</w:t>
      </w:r>
      <w:bookmarkEnd w:id="207"/>
    </w:p>
    <w:p w:rsidR="00C20A1A">
      <w:pPr>
        <w:pStyle w:val="ArticleBJL3"/>
      </w:pPr>
      <w:bookmarkStart w:id="209" w:name="_Ref463449983"/>
      <w:r>
        <w:rPr>
          <w:b/>
          <w:bCs/>
        </w:rPr>
        <w:t>Notice</w:t>
      </w:r>
      <w:r>
        <w:t xml:space="preserve">. Each Key Holder proposing to make a Proposed Key Holder Transfer must deliver a Proposed Transfer Notice to the Company and each Investor not later than </w:t>
      </w:r>
      <w:r>
        <w:rPr>
          <w:b/>
          <w:bCs/>
        </w:rPr>
        <w:t>[45]</w:t>
      </w:r>
      <w:r>
        <w:t xml:space="preserve"> days prior to the consummation of such Proposed Key Holder Transfer. Such Proposed Transfer Notice shall contain the material terms and conditions (including price and form of consideration) of the Proposed Key Holder Transfer, the identity of the Prospective Transferee and the intended date of the Proposed Key Holder Transfer. To exercise its Right of First Refusal under this Section </w:t>
      </w:r>
      <w:r>
        <w:fldChar w:fldCharType="begin"/>
      </w:r>
      <w:r>
        <w:instrText xml:space="preserve"> REF _Ref466990165 \r \h </w:instrText>
      </w:r>
      <w:r>
        <w:fldChar w:fldCharType="separate"/>
      </w:r>
      <w:r w:rsidR="00230E5B">
        <w:t>6.4</w:t>
      </w:r>
      <w:r>
        <w:fldChar w:fldCharType="end"/>
      </w:r>
      <w:r>
        <w:t xml:space="preserve">, the Company must deliver a Company Notice to the selling Key Holder and the Investors within 15 days after delivery of the Proposed Transfer Notice specifying the number of Transfer Shares to be purchased by the Company. </w:t>
      </w:r>
      <w:r>
        <w:rPr>
          <w:b/>
          <w:bCs/>
        </w:rPr>
        <w:t xml:space="preserve">[In the event of a conflict between this Agreement and any other agreement that may have been entered into by a Key Holder with the Company that contains a preexisting right of first refusal, the Company and the Key Holder acknowledge and agree that the terms of this Agreement shall control and the preexisting right of first refusal shall be deemed satisfied by compliance with Section </w:t>
      </w:r>
      <w:r>
        <w:rPr>
          <w:b/>
          <w:bCs/>
          <w:cs/>
        </w:rPr>
        <w:fldChar w:fldCharType="begin"/>
      </w:r>
      <w:r>
        <w:rPr>
          <w:b/>
          <w:bCs/>
        </w:rPr>
        <w:instrText xml:space="preserve"> REF _Ref463449967 \w \h  \* MERGEFORMAT </w:instrText>
      </w:r>
      <w:r>
        <w:rPr>
          <w:b/>
          <w:bCs/>
          <w:cs/>
        </w:rPr>
        <w:fldChar w:fldCharType="separate"/>
      </w:r>
      <w:r w:rsidR="00230E5B">
        <w:rPr>
          <w:b/>
          <w:bCs/>
        </w:rPr>
        <w:t>6.4(a)</w:t>
      </w:r>
      <w:r>
        <w:rPr>
          <w:b/>
          <w:bCs/>
          <w:cs/>
        </w:rPr>
        <w:fldChar w:fldCharType="end"/>
      </w:r>
      <w:r>
        <w:rPr>
          <w:b/>
          <w:bCs/>
        </w:rPr>
        <w:t xml:space="preserve"> and this Section </w:t>
      </w:r>
      <w:r>
        <w:rPr>
          <w:b/>
          <w:bCs/>
          <w:cs/>
        </w:rPr>
        <w:fldChar w:fldCharType="begin"/>
      </w:r>
      <w:r>
        <w:rPr>
          <w:b/>
          <w:bCs/>
        </w:rPr>
        <w:instrText xml:space="preserve"> REF _Ref463449983 \w \h  \* MERGEFORMAT </w:instrText>
      </w:r>
      <w:r>
        <w:rPr>
          <w:b/>
          <w:bCs/>
          <w:cs/>
        </w:rPr>
        <w:fldChar w:fldCharType="separate"/>
      </w:r>
      <w:r w:rsidR="00230E5B">
        <w:rPr>
          <w:b/>
          <w:bCs/>
        </w:rPr>
        <w:t>6.4(b)</w:t>
      </w:r>
      <w:r>
        <w:rPr>
          <w:b/>
          <w:bCs/>
          <w:cs/>
        </w:rPr>
        <w:fldChar w:fldCharType="end"/>
      </w:r>
      <w:r>
        <w:rPr>
          <w:b/>
          <w:bCs/>
        </w:rPr>
        <w:t>.]</w:t>
      </w:r>
      <w:r>
        <w:t xml:space="preserve"> </w:t>
      </w:r>
      <w:r>
        <w:rPr>
          <w:b/>
          <w:bCs/>
        </w:rPr>
        <w:t xml:space="preserve">[In the event of a conflict between this Agreement and the Company's By-laws containing a preexisting right of first refusal, the terms of the By-laws will control and compliance with the By-laws shall be deemed compliance with Sections </w:t>
      </w:r>
      <w:r>
        <w:rPr>
          <w:b/>
          <w:bCs/>
          <w:cs/>
        </w:rPr>
        <w:fldChar w:fldCharType="begin"/>
      </w:r>
      <w:r>
        <w:rPr>
          <w:b/>
          <w:bCs/>
        </w:rPr>
        <w:instrText xml:space="preserve"> REF _Ref463449967 \w \h  \* MERGEFORMAT </w:instrText>
      </w:r>
      <w:r>
        <w:rPr>
          <w:b/>
          <w:bCs/>
          <w:cs/>
        </w:rPr>
        <w:fldChar w:fldCharType="separate"/>
      </w:r>
      <w:r w:rsidR="00230E5B">
        <w:rPr>
          <w:b/>
          <w:bCs/>
        </w:rPr>
        <w:t>6.4(a)</w:t>
      </w:r>
      <w:r>
        <w:rPr>
          <w:b/>
          <w:bCs/>
          <w:cs/>
        </w:rPr>
        <w:fldChar w:fldCharType="end"/>
      </w:r>
      <w:r>
        <w:rPr>
          <w:b/>
          <w:bCs/>
        </w:rPr>
        <w:t xml:space="preserve"> and </w:t>
      </w:r>
      <w:r>
        <w:rPr>
          <w:b/>
          <w:bCs/>
          <w:cs/>
        </w:rPr>
        <w:fldChar w:fldCharType="begin"/>
      </w:r>
      <w:r>
        <w:rPr>
          <w:b/>
          <w:bCs/>
        </w:rPr>
        <w:instrText xml:space="preserve"> REF _Ref463449983 \n \h  \* MERGEFORMAT </w:instrText>
      </w:r>
      <w:r>
        <w:rPr>
          <w:b/>
          <w:bCs/>
          <w:cs/>
        </w:rPr>
        <w:fldChar w:fldCharType="separate"/>
      </w:r>
      <w:r w:rsidR="00230E5B">
        <w:rPr>
          <w:b/>
          <w:bCs/>
        </w:rPr>
        <w:t>(b)</w:t>
      </w:r>
      <w:r>
        <w:rPr>
          <w:b/>
          <w:bCs/>
          <w:cs/>
        </w:rPr>
        <w:fldChar w:fldCharType="end"/>
      </w:r>
      <w:r>
        <w:rPr>
          <w:b/>
          <w:bCs/>
        </w:rPr>
        <w:t xml:space="preserve"> in full.]</w:t>
      </w:r>
      <w:bookmarkEnd w:id="209"/>
    </w:p>
    <w:p w:rsidR="00C20A1A">
      <w:pPr>
        <w:pStyle w:val="ArticleBJL3"/>
      </w:pPr>
      <w:bookmarkStart w:id="210" w:name="_Ref463450014"/>
      <w:r>
        <w:rPr>
          <w:b/>
          <w:bCs/>
        </w:rPr>
        <w:t>Grant of Secondary Refusal Right to the Investors</w:t>
      </w:r>
      <w:r>
        <w:t xml:space="preserve">. Subject to the terms of Section </w:t>
      </w:r>
      <w:r>
        <w:fldChar w:fldCharType="begin"/>
      </w:r>
      <w:r>
        <w:instrText xml:space="preserve"> REF _Ref463450642 \r \h </w:instrText>
      </w:r>
      <w:r>
        <w:fldChar w:fldCharType="separate"/>
      </w:r>
      <w:r w:rsidR="00230E5B">
        <w:t>6.7</w:t>
      </w:r>
      <w:r>
        <w:fldChar w:fldCharType="end"/>
      </w:r>
      <w:r>
        <w:t xml:space="preserve"> below, each Key Holder hereby unconditionally and irrevocably grants to the Investors a Secondary Refusal Right to purchase all or any portion of the Transfer Shares not purchased by the Company pursuant to the Right of First Refusal, as provided in this Section </w:t>
      </w:r>
      <w:r>
        <w:rPr>
          <w:cs/>
        </w:rPr>
        <w:t>‎</w:t>
      </w:r>
      <w:r>
        <w:fldChar w:fldCharType="begin"/>
      </w:r>
      <w:r>
        <w:instrText xml:space="preserve"> REF _Ref463450014 \w \h </w:instrText>
      </w:r>
      <w:r>
        <w:fldChar w:fldCharType="separate"/>
      </w:r>
      <w:r w:rsidR="00230E5B">
        <w:t>6.4(c)</w:t>
      </w:r>
      <w:r>
        <w:fldChar w:fldCharType="end"/>
      </w:r>
      <w:r>
        <w:t>. If the Company does not provide the Company Notice exercising its Right of First Refusal with respect to all Transfer Shares subject to a Proposed Key Holder Transfer, the Company must deliver a Secondary Notice to the selling Key Holder and to each Investor to that effect no later than 15 days after the selling Key Holder delivers the Proposed Transfer Notice to the Company. To exercise its Secondary Refusal Right, an Investor must deliver an Investor Notice to the selling Key Holder and the Company within 10 days after the Company's deadline for its delivery of the Secondary Notice as provided in the preceding sentence.</w:t>
      </w:r>
      <w:bookmarkEnd w:id="210"/>
    </w:p>
    <w:p w:rsidR="00C20A1A">
      <w:pPr>
        <w:pStyle w:val="ArticleBJL3"/>
      </w:pPr>
      <w:bookmarkStart w:id="211" w:name="_Ref463450032"/>
      <w:r>
        <w:rPr>
          <w:b/>
          <w:bCs/>
        </w:rPr>
        <w:t>Undersubscription of Transfer Shares</w:t>
      </w:r>
      <w:r>
        <w:t xml:space="preserve">. If options to purchase have been exercised by the Company and the Investors pursuant to Sections </w:t>
      </w:r>
      <w:r>
        <w:fldChar w:fldCharType="begin"/>
      </w:r>
      <w:r>
        <w:instrText xml:space="preserve"> REF _Ref466990165 \r \h </w:instrText>
      </w:r>
      <w:r>
        <w:fldChar w:fldCharType="separate"/>
      </w:r>
      <w:r w:rsidR="00230E5B">
        <w:t>6.4</w:t>
      </w:r>
      <w:r>
        <w:fldChar w:fldCharType="end"/>
      </w:r>
      <w:r>
        <w:fldChar w:fldCharType="begin"/>
      </w:r>
      <w:r>
        <w:instrText xml:space="preserve"> REF _Ref463449983 \r \h </w:instrText>
      </w:r>
      <w:r>
        <w:fldChar w:fldCharType="separate"/>
      </w:r>
      <w:r w:rsidR="00230E5B">
        <w:t>(b)</w:t>
      </w:r>
      <w:r>
        <w:fldChar w:fldCharType="end"/>
      </w:r>
      <w:r>
        <w:t xml:space="preserve"> and </w:t>
      </w:r>
      <w:r>
        <w:fldChar w:fldCharType="begin"/>
      </w:r>
      <w:r>
        <w:instrText xml:space="preserve"> REF _Ref463450014 \r \h </w:instrText>
      </w:r>
      <w:r>
        <w:fldChar w:fldCharType="separate"/>
      </w:r>
      <w:r w:rsidR="00230E5B">
        <w:t>(c)</w:t>
      </w:r>
      <w:r>
        <w:fldChar w:fldCharType="end"/>
      </w:r>
      <w:r>
        <w:t xml:space="preserve"> with respect to some but not all of the Transfer Shares by the end of the 10 day period specified in the last sentence of Section </w:t>
      </w:r>
      <w:r>
        <w:rPr>
          <w:cs/>
        </w:rPr>
        <w:fldChar w:fldCharType="begin"/>
      </w:r>
      <w:r>
        <w:instrText xml:space="preserve"> REF _Ref463450014 \w \h </w:instrText>
      </w:r>
      <w:r>
        <w:rPr>
          <w:cs/>
        </w:rPr>
        <w:fldChar w:fldCharType="separate"/>
      </w:r>
      <w:r w:rsidR="00230E5B">
        <w:t>6.4(c)</w:t>
      </w:r>
      <w:r>
        <w:rPr>
          <w:cs/>
        </w:rPr>
        <w:fldChar w:fldCharType="end"/>
      </w:r>
      <w:r>
        <w:t xml:space="preserve"> (the "</w:t>
      </w:r>
      <w:r>
        <w:rPr>
          <w:b/>
          <w:bCs/>
        </w:rPr>
        <w:t>Investor Notice Period</w:t>
      </w:r>
      <w:r>
        <w:t>"), then the Company shall, within 5 days after the expiration of the Investor Notice Period, send written notice (the "</w:t>
      </w:r>
      <w:r>
        <w:rPr>
          <w:b/>
          <w:bCs/>
        </w:rPr>
        <w:t>Company Undersubscription Notice</w:t>
      </w:r>
      <w:r>
        <w:t>") to those Investors who fully exercised their Secondary Refusal Right within the Investor Notice Period (the "</w:t>
      </w:r>
      <w:r>
        <w:rPr>
          <w:b/>
          <w:bCs/>
        </w:rPr>
        <w:t>Exercising Investors</w:t>
      </w:r>
      <w:r>
        <w:t xml:space="preserve">"). Each Exercising Investor shall, subject to the provisions of this Section </w:t>
      </w:r>
      <w:r>
        <w:rPr>
          <w:cs/>
        </w:rPr>
        <w:fldChar w:fldCharType="begin"/>
      </w:r>
      <w:r>
        <w:instrText xml:space="preserve"> REF _Ref463450032 \w \h </w:instrText>
      </w:r>
      <w:r>
        <w:rPr>
          <w:cs/>
        </w:rPr>
        <w:fldChar w:fldCharType="separate"/>
      </w:r>
      <w:r w:rsidR="00230E5B">
        <w:t>6.4(d)</w:t>
      </w:r>
      <w:r>
        <w:rPr>
          <w:cs/>
        </w:rPr>
        <w:fldChar w:fldCharType="end"/>
      </w:r>
      <w:r>
        <w:t xml:space="preserve">, have an additional option to purchase all or any part of the balance of any such remaining unsubscribed Transfer </w:t>
      </w:r>
      <w:r>
        <w:t xml:space="preserve">Shares on the terms and conditions set forth in the Proposed Transfer Notice. To exercise such option, an Exercising Investor must deliver an Undersubscription Notice to the selling Key Holder and the Company within 10 days after the expiration of the Investor Notice Period. In the event there are 2 or more such Exercising Investors that choose to exercise the last-mentioned option for a total number of remaining shares in excess of the number available, the remaining shares available for purchase under this Section </w:t>
      </w:r>
      <w:r>
        <w:rPr>
          <w:cs/>
        </w:rPr>
        <w:fldChar w:fldCharType="begin"/>
      </w:r>
      <w:r>
        <w:instrText xml:space="preserve"> REF _Ref463450032 \w \h </w:instrText>
      </w:r>
      <w:r>
        <w:rPr>
          <w:cs/>
        </w:rPr>
        <w:fldChar w:fldCharType="separate"/>
      </w:r>
      <w:r w:rsidR="00230E5B">
        <w:t>6.4(d)</w:t>
      </w:r>
      <w:r>
        <w:rPr>
          <w:cs/>
        </w:rPr>
        <w:fldChar w:fldCharType="end"/>
      </w:r>
      <w:r>
        <w:t xml:space="preserve"> shall be allocated to such Exercising Investors pro rata based on the number of Transfer Shares such Exercising Investors have elected to purchase pursuant to the Secondary Refusal Right (without giving effect to any Transfer Shares that any such Exercising Investor has elected to purchase pursuant to the Company Undersubscription Notice). If the options to purchase the remaining shares are exercised in full by the Exercising Investors, the Company shall immediately notify all of the Exercising Investors and the selling Key Holder of that fact.</w:t>
      </w:r>
      <w:bookmarkEnd w:id="211"/>
    </w:p>
    <w:p w:rsidR="00C20A1A">
      <w:pPr>
        <w:pStyle w:val="ArticleBJL3"/>
      </w:pPr>
      <w:r>
        <w:rPr>
          <w:b/>
          <w:bCs/>
        </w:rPr>
        <w:t xml:space="preserve">[Forfeiture of Rights. Notwithstanding the foregoing, if the total number of Transfer Shares that the Company and the Investors have agreed to purchase in the Company Notice, Investor Notices and Undersubscription Notices is less than the total number of Transfer Shares, then the Company and the Investors shall be deemed to have forfeited any right to purchase such Transfer Shares, and the selling Key Holder shall be free to sell all, but not less than all, of the Transfer Shares to the Prospective Transferee on terms and conditions substantially similar to (and in no event more favorable </w:t>
      </w:r>
      <w:r w:rsidR="009F4E0D">
        <w:rPr>
          <w:b/>
          <w:bCs/>
        </w:rPr>
        <w:t xml:space="preserve">[to the Prospective Transferee] </w:t>
      </w:r>
      <w:r>
        <w:rPr>
          <w:b/>
          <w:bCs/>
        </w:rPr>
        <w:t xml:space="preserve">than) the terms and conditions set forth in the Proposed Transfer Notice, it being understood and agreed that (i) any such sale or transfer shall be subject to the other terms and restrictions of this Agreement, including the terms and restrictions set forth in Sections </w:t>
      </w:r>
      <w:r>
        <w:rPr>
          <w:b/>
          <w:bCs/>
        </w:rPr>
        <w:fldChar w:fldCharType="begin"/>
      </w:r>
      <w:r>
        <w:rPr>
          <w:b/>
          <w:bCs/>
        </w:rPr>
        <w:instrText xml:space="preserve"> REF _Ref466989556 \r \h </w:instrText>
      </w:r>
      <w:r>
        <w:rPr>
          <w:b/>
          <w:bCs/>
        </w:rPr>
        <w:fldChar w:fldCharType="separate"/>
      </w:r>
      <w:r w:rsidR="00230E5B">
        <w:rPr>
          <w:b/>
          <w:bCs/>
        </w:rPr>
        <w:t>6.2(a)</w:t>
      </w:r>
      <w:r>
        <w:rPr>
          <w:b/>
          <w:bCs/>
        </w:rPr>
        <w:fldChar w:fldCharType="end"/>
      </w:r>
      <w:r>
        <w:rPr>
          <w:b/>
          <w:bCs/>
        </w:rPr>
        <w:t xml:space="preserve"> and </w:t>
      </w:r>
      <w:r>
        <w:rPr>
          <w:b/>
          <w:bCs/>
        </w:rPr>
        <w:fldChar w:fldCharType="begin"/>
      </w:r>
      <w:r>
        <w:rPr>
          <w:b/>
          <w:bCs/>
        </w:rPr>
        <w:instrText xml:space="preserve"> REF _Ref466990184 \r \h </w:instrText>
      </w:r>
      <w:r>
        <w:rPr>
          <w:b/>
          <w:bCs/>
        </w:rPr>
        <w:fldChar w:fldCharType="separate"/>
      </w:r>
      <w:r w:rsidR="00230E5B">
        <w:rPr>
          <w:b/>
          <w:bCs/>
        </w:rPr>
        <w:t>6.5</w:t>
      </w:r>
      <w:r>
        <w:rPr>
          <w:b/>
          <w:bCs/>
        </w:rPr>
        <w:fldChar w:fldCharType="end"/>
      </w:r>
      <w:r>
        <w:rPr>
          <w:b/>
          <w:bCs/>
        </w:rPr>
        <w:t xml:space="preserve">; (ii) any future Proposed Key Holder Transfer shall remain subject to the terms and conditions of this Agreement, including this </w:t>
      </w:r>
      <w:r>
        <w:rPr>
          <w:b/>
          <w:bCs/>
        </w:rPr>
        <w:fldChar w:fldCharType="begin"/>
      </w:r>
      <w:r>
        <w:rPr>
          <w:b/>
          <w:bCs/>
        </w:rPr>
        <w:instrText xml:space="preserve"> REF _Ref463554003 \w \h  \* MERGEFORMAT </w:instrText>
      </w:r>
      <w:r>
        <w:rPr>
          <w:b/>
          <w:bCs/>
        </w:rPr>
        <w:fldChar w:fldCharType="separate"/>
      </w:r>
      <w:r w:rsidR="00230E5B">
        <w:rPr>
          <w:b/>
          <w:bCs/>
        </w:rPr>
        <w:t>Article 6</w:t>
      </w:r>
      <w:r>
        <w:rPr>
          <w:b/>
          <w:bCs/>
        </w:rPr>
        <w:fldChar w:fldCharType="end"/>
      </w:r>
      <w:r>
        <w:rPr>
          <w:b/>
          <w:bCs/>
        </w:rPr>
        <w:t>; and (iii) such sale shall be consummated within 45 days after receipt of the Proposed Transfer Notice by the Company and, if such sale is not consummated within such 45 day period, such sale shall again become subject to the Right of First Refusal and Secondary Refusal Right on the terms set forth herein.]</w:t>
      </w:r>
      <w:r>
        <w:rPr>
          <w:rStyle w:val="FootnoteReference"/>
        </w:rPr>
        <w:footnoteReference w:id="69"/>
      </w:r>
    </w:p>
    <w:p w:rsidR="00C20A1A">
      <w:pPr>
        <w:pStyle w:val="ArticleBJL3"/>
      </w:pPr>
      <w:r>
        <w:rPr>
          <w:b/>
          <w:bCs/>
        </w:rPr>
        <w:t>Consideration; Closing</w:t>
      </w:r>
      <w:r>
        <w:t xml:space="preserve">. If the consideration proposed to be paid for the Transfer Shares is in property, services or other non-cash consideration, the fair market value of the consideration shall be as determined in good faith by the Board and as set forth in the Company Notice. If the Company or any Investor cannot for any reason pay for the Transfer Shares in the same form of non-cash consideration, the Company or such Investor may pay the cash value equivalent thereof, as determined in good faith by the Board and as set forth in the Company Notice. The closing of </w:t>
      </w:r>
      <w:r>
        <w:t xml:space="preserve">the purchase of Transfer Shares by the Company and the Investors shall take place, and all payments from the Company and the Investors shall have been delivered to the selling Key Holder, by the later of (i) the date specified in the Proposed Transfer Notice as the intended date of the Proposed Key Holder Transfer; and (ii) </w:t>
      </w:r>
      <w:r>
        <w:rPr>
          <w:b/>
          <w:bCs/>
        </w:rPr>
        <w:t>[45]</w:t>
      </w:r>
      <w:r>
        <w:t xml:space="preserve"> days after delivery of the Proposed Transfer Notice.</w:t>
      </w:r>
    </w:p>
    <w:p w:rsidR="00C20A1A">
      <w:pPr>
        <w:pStyle w:val="ArticleBJL3"/>
      </w:pPr>
      <w:r>
        <w:t xml:space="preserve">The Right of First Refusal and related rights under Sections </w:t>
      </w:r>
      <w:r>
        <w:fldChar w:fldCharType="begin"/>
      </w:r>
      <w:r>
        <w:instrText xml:space="preserve"> REF _Ref466990165 \r \h </w:instrText>
      </w:r>
      <w:r>
        <w:fldChar w:fldCharType="separate"/>
      </w:r>
      <w:r w:rsidR="00230E5B">
        <w:t>6.4</w:t>
      </w:r>
      <w:r>
        <w:fldChar w:fldCharType="end"/>
      </w:r>
      <w:r>
        <w:t xml:space="preserve"> and </w:t>
      </w:r>
      <w:r>
        <w:fldChar w:fldCharType="begin"/>
      </w:r>
      <w:r>
        <w:instrText xml:space="preserve"> REF _Ref466990184 \r \h </w:instrText>
      </w:r>
      <w:r>
        <w:fldChar w:fldCharType="separate"/>
      </w:r>
      <w:r w:rsidR="00230E5B">
        <w:t>6.5</w:t>
      </w:r>
      <w:r>
        <w:fldChar w:fldCharType="end"/>
      </w:r>
      <w:r>
        <w:t xml:space="preserve"> may not be exercised while a Drag Along Sale is in process and any exercise of the Right of First Refusal and related rights under Sections </w:t>
      </w:r>
      <w:r>
        <w:fldChar w:fldCharType="begin"/>
      </w:r>
      <w:r>
        <w:instrText xml:space="preserve"> REF _Ref466990165 \r \h </w:instrText>
      </w:r>
      <w:r>
        <w:fldChar w:fldCharType="separate"/>
      </w:r>
      <w:r w:rsidR="00230E5B">
        <w:t>6.4</w:t>
      </w:r>
      <w:r>
        <w:fldChar w:fldCharType="end"/>
      </w:r>
      <w:r>
        <w:t xml:space="preserve"> and </w:t>
      </w:r>
      <w:r>
        <w:fldChar w:fldCharType="begin"/>
      </w:r>
      <w:r>
        <w:instrText xml:space="preserve"> REF _Ref466990184 \r \h </w:instrText>
      </w:r>
      <w:r>
        <w:fldChar w:fldCharType="separate"/>
      </w:r>
      <w:r w:rsidR="00230E5B">
        <w:t>6.5</w:t>
      </w:r>
      <w:r>
        <w:fldChar w:fldCharType="end"/>
      </w:r>
      <w:r>
        <w:t xml:space="preserve"> underway at the time a Drag Along Sale commences will be automatically terminated.]</w:t>
      </w:r>
    </w:p>
    <w:p w:rsidR="00C20A1A">
      <w:pPr>
        <w:pStyle w:val="ArticleBJL2"/>
      </w:pPr>
      <w:bookmarkStart w:id="212" w:name="_Ref463450047"/>
      <w:bookmarkStart w:id="213" w:name="_Ref463450091"/>
      <w:bookmarkStart w:id="214" w:name="_Ref463450098"/>
      <w:bookmarkStart w:id="215" w:name="_Ref463450163"/>
      <w:bookmarkStart w:id="216" w:name="_Ref463450183"/>
      <w:bookmarkStart w:id="217" w:name="_Ref463450356"/>
      <w:bookmarkStart w:id="218" w:name="_Ref463450362"/>
      <w:bookmarkStart w:id="219" w:name="_Ref463450373"/>
      <w:bookmarkStart w:id="220" w:name="_Ref463450397"/>
      <w:bookmarkStart w:id="221" w:name="_Ref463450407"/>
      <w:bookmarkStart w:id="222" w:name="_Ref463450426"/>
      <w:bookmarkStart w:id="223" w:name="_Toc463463886"/>
      <w:bookmarkStart w:id="224" w:name="_Ref466990184"/>
      <w:bookmarkStart w:id="225" w:name="_Toc481488858"/>
      <w:bookmarkStart w:id="226" w:name="_Toc56159046"/>
      <w:r>
        <w:t>Right of Co-Sale</w:t>
      </w:r>
      <w:bookmarkEnd w:id="212"/>
      <w:bookmarkEnd w:id="213"/>
      <w:bookmarkEnd w:id="214"/>
      <w:bookmarkEnd w:id="215"/>
      <w:bookmarkEnd w:id="216"/>
      <w:bookmarkEnd w:id="217"/>
      <w:bookmarkEnd w:id="218"/>
      <w:bookmarkEnd w:id="219"/>
      <w:bookmarkEnd w:id="220"/>
      <w:bookmarkEnd w:id="221"/>
      <w:bookmarkEnd w:id="222"/>
      <w:bookmarkEnd w:id="223"/>
      <w:r>
        <w:t>/Piggyback Right</w:t>
      </w:r>
      <w:bookmarkEnd w:id="224"/>
      <w:bookmarkEnd w:id="225"/>
      <w:bookmarkEnd w:id="226"/>
    </w:p>
    <w:p w:rsidR="00C20A1A">
      <w:pPr>
        <w:pStyle w:val="ArticleBJL3"/>
      </w:pPr>
      <w:r>
        <w:rPr>
          <w:b/>
          <w:bCs/>
        </w:rPr>
        <w:t>Exercise of Right</w:t>
      </w:r>
      <w:r>
        <w:t xml:space="preserve">. If any Transfer Shares subject to a Proposed Key Holder Transfer is not purchased pursuant to Section </w:t>
      </w:r>
      <w:r>
        <w:fldChar w:fldCharType="begin"/>
      </w:r>
      <w:r>
        <w:instrText xml:space="preserve"> REF _Ref466990165 \n \h </w:instrText>
      </w:r>
      <w:r>
        <w:fldChar w:fldCharType="separate"/>
      </w:r>
      <w:r w:rsidR="00230E5B">
        <w:t>6.4</w:t>
      </w:r>
      <w:r>
        <w:fldChar w:fldCharType="end"/>
      </w:r>
      <w:r>
        <w:t xml:space="preserve"> above and thereafter is to be sold to a Prospective Transferee, each respective Investor may elect to exercise its Right of Co-Sale and participate on a pro rata basis in the Proposed Key Holder Transfer as set forth in Section </w:t>
      </w:r>
      <w:r w:rsidRPr="0091655A">
        <w:rPr>
          <w:szCs w:val="24"/>
          <w:cs/>
        </w:rPr>
        <w:fldChar w:fldCharType="begin"/>
      </w:r>
      <w:r w:rsidRPr="0091655A">
        <w:rPr>
          <w:szCs w:val="24"/>
        </w:rPr>
        <w:instrText xml:space="preserve"> REF _Ref463450076 \w \h </w:instrText>
      </w:r>
      <w:r>
        <w:rPr>
          <w:szCs w:val="24"/>
        </w:rPr>
        <w:instrText xml:space="preserve"> \* MERGEFORMAT </w:instrText>
      </w:r>
      <w:r w:rsidRPr="0091655A">
        <w:rPr>
          <w:szCs w:val="24"/>
          <w:cs/>
        </w:rPr>
        <w:fldChar w:fldCharType="separate"/>
      </w:r>
      <w:r w:rsidR="00230E5B">
        <w:rPr>
          <w:szCs w:val="24"/>
        </w:rPr>
        <w:t>6.5(b)</w:t>
      </w:r>
      <w:r w:rsidRPr="0091655A">
        <w:rPr>
          <w:szCs w:val="24"/>
          <w:cs/>
        </w:rPr>
        <w:fldChar w:fldCharType="end"/>
      </w:r>
      <w:r w:rsidRPr="0091655A">
        <w:rPr>
          <w:rFonts w:hint="cs"/>
          <w:szCs w:val="24"/>
          <w:cs/>
        </w:rPr>
        <w:t xml:space="preserve"> below</w:t>
      </w:r>
      <w:r>
        <w:rPr>
          <w:rFonts w:hint="cs"/>
          <w:cs/>
        </w:rPr>
        <w:t xml:space="preserve"> </w:t>
      </w:r>
      <w:r>
        <w:t xml:space="preserve">and, subject to Section </w:t>
      </w:r>
      <w:r>
        <w:rPr>
          <w:cs/>
        </w:rPr>
        <w:fldChar w:fldCharType="begin"/>
      </w:r>
      <w:r>
        <w:instrText xml:space="preserve"> REF _Ref463450084 \w \h </w:instrText>
      </w:r>
      <w:r>
        <w:rPr>
          <w:cs/>
        </w:rPr>
        <w:fldChar w:fldCharType="separate"/>
      </w:r>
      <w:r w:rsidR="00230E5B">
        <w:t>6.5(d)</w:t>
      </w:r>
      <w:r>
        <w:rPr>
          <w:cs/>
        </w:rPr>
        <w:fldChar w:fldCharType="end"/>
      </w:r>
      <w:r>
        <w:t>, otherwise on the same terms and conditions specified in the Proposed Transfer Notice. Each Investor who desires to exercise its Right of Co-Sale (each, a "</w:t>
      </w:r>
      <w:r>
        <w:rPr>
          <w:b/>
          <w:bCs/>
        </w:rPr>
        <w:t>Participating Investor</w:t>
      </w:r>
      <w:r>
        <w:t>") must give the selling Key Holder written notice to that effect within 15 days after the deadline for delivery of the Secondary Notice described above, and upon giving such notice such Participating Investor shall be deemed to have effectively exercised the Right of Co-Sale.</w:t>
      </w:r>
    </w:p>
    <w:p w:rsidR="00C20A1A">
      <w:pPr>
        <w:pStyle w:val="ArticleBJL3"/>
      </w:pPr>
      <w:bookmarkStart w:id="227" w:name="_Ref463450076"/>
      <w:r>
        <w:rPr>
          <w:b/>
          <w:bCs/>
        </w:rPr>
        <w:t>Shares Includable</w:t>
      </w:r>
      <w:r>
        <w:t xml:space="preserve">. Each Participating Investor may include in the Proposed Key Holder Transfer all or any part of such Participating Investor's Shares equal to the product obtained by multiplying (i) the aggregate number of Transfer Shares subject to the Proposed Key Holder Transfer (excluding shares purchased by the Company or the Participating Investors pursuant to the Right of First Refusal or the Secondary Refusal Right) by (ii) a fraction, the numerator of which is the number of Shares owned by such Participating Investor immediately before consummation of the Proposed Key Holder Transfer </w:t>
      </w:r>
      <w:r>
        <w:rPr>
          <w:b/>
          <w:bCs/>
        </w:rPr>
        <w:t>[(including any shares that such Participating Investor has agreed to purchase pursuant to the Secondary Refusal Right)]</w:t>
      </w:r>
      <w:r>
        <w:t xml:space="preserve"> and the denominator of which is the total number of Shares owned, in the aggregate, by all Participating Investors immediately prior to the consummation of the Proposed Key Holder Transfer </w:t>
      </w:r>
      <w:r>
        <w:rPr>
          <w:b/>
          <w:bCs/>
        </w:rPr>
        <w:t>[(including any shares that all Participating Investors have collectively agreed to purchase pursuant to the Secondary Refusal Right)]</w:t>
      </w:r>
      <w:r>
        <w:t xml:space="preserve">, plus the number of Transfer Shares held by the </w:t>
      </w:r>
      <w:r>
        <w:rPr>
          <w:b/>
          <w:bCs/>
        </w:rPr>
        <w:t>[selling Key Holder][Key Holders]</w:t>
      </w:r>
      <w:r>
        <w:t xml:space="preserve">. </w:t>
      </w:r>
      <w:r>
        <w:rPr>
          <w:b/>
          <w:bCs/>
        </w:rPr>
        <w:t>[To the extent one or more of the Participating Investors exercise such right of participation in accordance with the terms and conditions set forth herein, the number of Transfer Shares that the selling Key Holder may sell in the Proposed Key Holder Transfer shall be correspondingly reduced.]</w:t>
      </w:r>
      <w:bookmarkEnd w:id="227"/>
    </w:p>
    <w:p w:rsidR="00C20A1A">
      <w:pPr>
        <w:pStyle w:val="ArticleBJL3"/>
      </w:pPr>
      <w:bookmarkStart w:id="228" w:name="_Ref463450253"/>
      <w:r>
        <w:rPr>
          <w:b/>
          <w:bCs/>
        </w:rPr>
        <w:t>Purchase and Sale Agreement</w:t>
      </w:r>
      <w:r>
        <w:t xml:space="preserve">. The Participating Investors and the selling Key Holder agree that the terms and conditions of any Proposed Key Holder Transfer in </w:t>
      </w:r>
      <w:r>
        <w:t xml:space="preserve">accordance with this Section </w:t>
      </w:r>
      <w:r>
        <w:rPr>
          <w:cs/>
        </w:rPr>
        <w:fldChar w:fldCharType="begin"/>
      </w:r>
      <w:r>
        <w:instrText xml:space="preserve"> REF _Ref463450091 \w \h </w:instrText>
      </w:r>
      <w:r>
        <w:rPr>
          <w:cs/>
        </w:rPr>
        <w:fldChar w:fldCharType="separate"/>
      </w:r>
      <w:r w:rsidR="00230E5B">
        <w:t>6.5</w:t>
      </w:r>
      <w:r>
        <w:rPr>
          <w:cs/>
        </w:rPr>
        <w:fldChar w:fldCharType="end"/>
      </w:r>
      <w:r>
        <w:rPr>
          <w:cs/>
        </w:rPr>
        <w:t>‎</w:t>
      </w:r>
      <w:r>
        <w:t xml:space="preserve"> will be memorialized in, and governed by, a written purchase and sale agreement with the Prospective Transferee (the "</w:t>
      </w:r>
      <w:r>
        <w:rPr>
          <w:b/>
          <w:bCs/>
        </w:rPr>
        <w:t>Purchase and Sale Agreement</w:t>
      </w:r>
      <w:r>
        <w:t xml:space="preserve">") with customary terms and provisions for such a transaction, and the Participating Investors and the selling Key Holder further covenant and agree to enter into such Purchase and Sale Agreement as a condition precedent to any sale or other transfer in accordance with this Section </w:t>
      </w:r>
      <w:r>
        <w:fldChar w:fldCharType="begin"/>
      </w:r>
      <w:r>
        <w:instrText xml:space="preserve"> REF _Ref463450098 \w \h </w:instrText>
      </w:r>
      <w:r>
        <w:fldChar w:fldCharType="separate"/>
      </w:r>
      <w:r w:rsidR="00230E5B">
        <w:t>6.5</w:t>
      </w:r>
      <w:r>
        <w:fldChar w:fldCharType="end"/>
      </w:r>
      <w:r>
        <w:t>.</w:t>
      </w:r>
      <w:bookmarkEnd w:id="228"/>
    </w:p>
    <w:p w:rsidR="00C20A1A">
      <w:pPr>
        <w:pStyle w:val="ArticleBJL3"/>
        <w:keepNext/>
      </w:pPr>
      <w:bookmarkStart w:id="229" w:name="_Ref463450084"/>
      <w:r>
        <w:rPr>
          <w:b/>
          <w:bCs/>
        </w:rPr>
        <w:t>Allocation of Consideration</w:t>
      </w:r>
      <w:r>
        <w:t>.</w:t>
      </w:r>
      <w:bookmarkEnd w:id="229"/>
    </w:p>
    <w:p w:rsidR="00C20A1A" w:rsidP="008361C5">
      <w:pPr>
        <w:pStyle w:val="ArticleBJL4"/>
        <w:keepNext/>
        <w:keepLines/>
      </w:pPr>
      <w:bookmarkStart w:id="230" w:name="_Ref463450263"/>
      <w:r>
        <w:t xml:space="preserve">Subject to Section </w:t>
      </w:r>
      <w:r>
        <w:rPr>
          <w:cs/>
        </w:rPr>
        <w:fldChar w:fldCharType="begin"/>
      </w:r>
      <w:r>
        <w:instrText xml:space="preserve"> REF _Ref463450106 \w \h </w:instrText>
      </w:r>
      <w:r>
        <w:rPr>
          <w:cs/>
        </w:rPr>
        <w:fldChar w:fldCharType="separate"/>
      </w:r>
      <w:r w:rsidR="00230E5B">
        <w:t>6.5(d)(ii)</w:t>
      </w:r>
      <w:r>
        <w:rPr>
          <w:cs/>
        </w:rPr>
        <w:fldChar w:fldCharType="end"/>
      </w:r>
      <w:r>
        <w:t xml:space="preserve">, the aggregate consideration payable to the Participating Investors and the selling Key Holder shall be allocated based on the number of Shares sold to the Prospective Transferee by each Participating Investor and the selling Key Holder as provided in Section </w:t>
      </w:r>
      <w:r>
        <w:rPr>
          <w:cs/>
        </w:rPr>
        <w:fldChar w:fldCharType="begin"/>
      </w:r>
      <w:r>
        <w:instrText xml:space="preserve"> REF _Ref463450076 \w \h </w:instrText>
      </w:r>
      <w:r>
        <w:rPr>
          <w:cs/>
        </w:rPr>
        <w:fldChar w:fldCharType="separate"/>
      </w:r>
      <w:r w:rsidR="00230E5B">
        <w:t>6.5(b)</w:t>
      </w:r>
      <w:r>
        <w:rPr>
          <w:cs/>
        </w:rPr>
        <w:fldChar w:fldCharType="end"/>
      </w:r>
      <w:r>
        <w:t>, provided that if a Participating Investor wishes to sell Preferred Shares, the price set forth in the Proposed Transfer Notice shall be appropriately adjusted based on the conversion ratio of the Preferred Shares into Common Shares.</w:t>
      </w:r>
      <w:bookmarkEnd w:id="230"/>
    </w:p>
    <w:p w:rsidR="00C20A1A">
      <w:pPr>
        <w:pStyle w:val="ArticleBJL4"/>
      </w:pPr>
      <w:bookmarkStart w:id="231" w:name="_Ref463450106"/>
      <w:r>
        <w:t xml:space="preserve">If the Proposed Key Holder Transfer constitutes a Share Sale, the terms of the Purchase and Sale Agreement shall provide that the aggregate consideration from such transfer shall be allocated to the Participating Investors and the selling Key Holder in accordance with Sections </w:t>
      </w:r>
      <w:r>
        <w:rPr>
          <w:rFonts w:hint="cs"/>
          <w:rtl/>
          <w:cs/>
        </w:rPr>
        <w:t>[</w:t>
      </w:r>
      <w:r>
        <w:rPr>
          <w:rFonts w:ascii="Symbol" w:hAnsi="Symbol"/>
        </w:rPr>
        <w:sym w:font="Symbol" w:char="F0B7"/>
      </w:r>
      <w:r>
        <w:rPr>
          <w:rtl/>
          <w:cs/>
        </w:rPr>
        <w:t>]</w:t>
      </w:r>
      <w:r>
        <w:t xml:space="preserve"> and </w:t>
      </w:r>
      <w:r>
        <w:rPr>
          <w:rFonts w:hint="cs"/>
          <w:rtl/>
          <w:cs/>
        </w:rPr>
        <w:t>[</w:t>
      </w:r>
      <w:r>
        <w:rPr>
          <w:rFonts w:ascii="Symbol" w:hAnsi="Symbol"/>
        </w:rPr>
        <w:sym w:font="Symbol" w:char="F0B7"/>
      </w:r>
      <w:r>
        <w:rPr>
          <w:rtl/>
          <w:cs/>
        </w:rPr>
        <w:t>]</w:t>
      </w:r>
      <w:r>
        <w:t xml:space="preserve"> of Article [</w:t>
      </w:r>
      <w:r>
        <w:rPr>
          <w:rFonts w:ascii="Symbol" w:hAnsi="Symbol"/>
        </w:rPr>
        <w:sym w:font="Symbol" w:char="F0B7"/>
      </w:r>
      <w:r>
        <w:t xml:space="preserve">] of the Articles </w:t>
      </w:r>
      <w:r>
        <w:rPr>
          <w:b/>
        </w:rPr>
        <w:t>[and, if applicable, the next sentence]</w:t>
      </w:r>
      <w:r>
        <w:t xml:space="preserve"> as if (A) such transfer were a Deemed Liquidation Event, and (B) the Shares sold in accordance with the Purchase and Sale Agreement were the only Shares outstanding.</w:t>
      </w:r>
      <w:r>
        <w:rPr>
          <w:rStyle w:val="FootnoteReference"/>
        </w:rPr>
        <w:footnoteReference w:id="70"/>
      </w:r>
      <w:r>
        <w:t xml:space="preserve"> </w:t>
      </w:r>
      <w:r>
        <w:rPr>
          <w:b/>
          <w:bCs/>
        </w:rPr>
        <w:t xml:space="preserve">[If a portion of the aggregate consideration payable to the Participating Investor(s) and selling Key Holder is placed into escrow and/or is payable only upon satisfaction of contingencies, the Purchase and Sale Agreement shall provide that (x) the portion of such consideration that is not placed in escrow and is not subject to contingencies (the "Initial Consideration") shall be allocated in accordance with Sections </w:t>
      </w:r>
      <w:r>
        <w:rPr>
          <w:b/>
          <w:bCs/>
          <w:cs/>
        </w:rPr>
        <w:t>‎</w:t>
      </w:r>
      <w:r>
        <w:rPr>
          <w:b/>
          <w:bCs/>
        </w:rPr>
        <w:t>[</w:t>
      </w:r>
      <w:r>
        <w:rPr>
          <w:rFonts w:ascii="Symbol" w:hAnsi="Symbol"/>
          <w:b/>
          <w:bCs/>
        </w:rPr>
        <w:sym w:font="Symbol" w:char="F0B7"/>
      </w:r>
      <w:r>
        <w:rPr>
          <w:b/>
          <w:bCs/>
        </w:rPr>
        <w:t xml:space="preserve">] and </w:t>
      </w:r>
      <w:r>
        <w:rPr>
          <w:rFonts w:hint="cs"/>
          <w:b/>
          <w:bCs/>
          <w:rtl/>
          <w:cs/>
        </w:rPr>
        <w:t>[</w:t>
      </w:r>
      <w:r>
        <w:rPr>
          <w:rFonts w:ascii="Symbol" w:hAnsi="Symbol"/>
          <w:b/>
          <w:bCs/>
        </w:rPr>
        <w:sym w:font="Symbol" w:char="F0B7"/>
      </w:r>
      <w:r>
        <w:rPr>
          <w:b/>
          <w:bCs/>
          <w:rtl/>
          <w:cs/>
        </w:rPr>
        <w:t>]</w:t>
      </w:r>
      <w:r>
        <w:rPr>
          <w:b/>
          <w:bCs/>
        </w:rPr>
        <w:t xml:space="preserve"> of Article [</w:t>
      </w:r>
      <w:r>
        <w:rPr>
          <w:rFonts w:ascii="Symbol" w:hAnsi="Symbol"/>
          <w:b/>
          <w:bCs/>
        </w:rPr>
        <w:sym w:font="Symbol" w:char="F0B7"/>
      </w:r>
      <w:r>
        <w:rPr>
          <w:b/>
          <w:bCs/>
        </w:rPr>
        <w:t xml:space="preserve">] of the Articles as if the Initial Consideration were the only consideration payable in connection with such transfer, and (y) any additional consideration which becomes payable to the Participating Investor(s) and selling Key Holder upon release from escrow or satisfaction of such contingencies shall be allocated in accordance with Sections </w:t>
      </w:r>
      <w:r>
        <w:rPr>
          <w:rFonts w:hint="cs"/>
          <w:b/>
          <w:bCs/>
          <w:rtl/>
          <w:cs/>
        </w:rPr>
        <w:t>[</w:t>
      </w:r>
      <w:r>
        <w:rPr>
          <w:rFonts w:ascii="Symbol" w:hAnsi="Symbol"/>
          <w:b/>
          <w:bCs/>
        </w:rPr>
        <w:sym w:font="Symbol" w:char="F0B7"/>
      </w:r>
      <w:r>
        <w:rPr>
          <w:b/>
          <w:bCs/>
          <w:rtl/>
          <w:cs/>
        </w:rPr>
        <w:t>]</w:t>
      </w:r>
      <w:r>
        <w:rPr>
          <w:b/>
          <w:bCs/>
        </w:rPr>
        <w:t xml:space="preserve"> and </w:t>
      </w:r>
      <w:r>
        <w:rPr>
          <w:rFonts w:hint="cs"/>
          <w:b/>
          <w:bCs/>
          <w:rtl/>
          <w:cs/>
        </w:rPr>
        <w:t>[</w:t>
      </w:r>
      <w:r>
        <w:rPr>
          <w:rFonts w:ascii="Symbol" w:hAnsi="Symbol"/>
          <w:b/>
          <w:bCs/>
        </w:rPr>
        <w:sym w:font="Symbol" w:char="F0B7"/>
      </w:r>
      <w:r>
        <w:rPr>
          <w:b/>
          <w:bCs/>
          <w:rtl/>
          <w:cs/>
        </w:rPr>
        <w:t>]</w:t>
      </w:r>
      <w:r>
        <w:rPr>
          <w:b/>
          <w:bCs/>
        </w:rPr>
        <w:t xml:space="preserve"> of Article [</w:t>
      </w:r>
      <w:r>
        <w:rPr>
          <w:rFonts w:ascii="Symbol" w:hAnsi="Symbol"/>
          <w:b/>
          <w:bCs/>
        </w:rPr>
        <w:sym w:font="Symbol" w:char="F0B7"/>
      </w:r>
      <w:r>
        <w:rPr>
          <w:b/>
          <w:bCs/>
        </w:rPr>
        <w:t>] of the Articles after taking into account the previous payment of the Initial Consideration as part of the same transfer.]</w:t>
      </w:r>
      <w:r>
        <w:rPr>
          <w:rStyle w:val="FootnoteReference"/>
        </w:rPr>
        <w:footnoteReference w:id="71"/>
      </w:r>
      <w:bookmarkEnd w:id="231"/>
    </w:p>
    <w:p w:rsidR="00C20A1A">
      <w:pPr>
        <w:pStyle w:val="ArticleBJL3"/>
      </w:pPr>
      <w:bookmarkStart w:id="232" w:name="_Ref463450291"/>
      <w:r>
        <w:rPr>
          <w:b/>
          <w:bCs/>
        </w:rPr>
        <w:t>Purchase by Selling Key Holder; Deliveries</w:t>
      </w:r>
      <w:r>
        <w:t xml:space="preserve">. Notwithstanding Section </w:t>
      </w:r>
      <w:r>
        <w:fldChar w:fldCharType="begin"/>
      </w:r>
      <w:r>
        <w:instrText xml:space="preserve"> REF _Ref463450253 \w \h </w:instrText>
      </w:r>
      <w:r>
        <w:fldChar w:fldCharType="separate"/>
      </w:r>
      <w:r w:rsidR="00230E5B">
        <w:t>6.5(c)</w:t>
      </w:r>
      <w:r>
        <w:fldChar w:fldCharType="end"/>
      </w:r>
      <w:r>
        <w:t xml:space="preserve">, if any Prospective Transferee(s) refuse(s) to purchase securities subject to the Right of Co-Sale from any Participating Investor or Investors or upon the failure to negotiate </w:t>
      </w:r>
      <w:r>
        <w:rPr>
          <w:b/>
          <w:bCs/>
        </w:rPr>
        <w:t>[in good faith]</w:t>
      </w:r>
      <w:r>
        <w:t xml:space="preserve"> a Purchase and Sale Agreement </w:t>
      </w:r>
      <w:r>
        <w:rPr>
          <w:b/>
          <w:bCs/>
        </w:rPr>
        <w:t>[reasonably]</w:t>
      </w:r>
      <w:r>
        <w:t xml:space="preserve"> satisfactory </w:t>
      </w:r>
      <w:r>
        <w:t xml:space="preserve">to the Participating Investors, no Key Holder may sell any Transfer Shares to such Prospective Transferee(s) unless and until, simultaneously with such sale, such Key Holder purchases all securities subject to the Right of Co-Sale from such Participating Investor or Investors on the same terms and conditions (including the proposed purchase price) as set forth in the Proposed Transfer Notice and as provided in Section </w:t>
      </w:r>
      <w:r>
        <w:rPr>
          <w:cs/>
        </w:rPr>
        <w:fldChar w:fldCharType="begin"/>
      </w:r>
      <w:r>
        <w:instrText xml:space="preserve"> REF _Ref463450263 \w \h </w:instrText>
      </w:r>
      <w:r>
        <w:rPr>
          <w:cs/>
        </w:rPr>
        <w:fldChar w:fldCharType="separate"/>
      </w:r>
      <w:r w:rsidR="00230E5B">
        <w:t>6.5(d)(i)</w:t>
      </w:r>
      <w:r>
        <w:rPr>
          <w:cs/>
        </w:rPr>
        <w:fldChar w:fldCharType="end"/>
      </w:r>
      <w:r>
        <w:t xml:space="preserve">; provided, however, if such sale constitutes a Share Sale, the portion of the aggregate consideration paid by the selling Key Holder to such Participating Investor or Investors shall be made in accordance with the first sentence of Section </w:t>
      </w:r>
      <w:r>
        <w:rPr>
          <w:cs/>
        </w:rPr>
        <w:fldChar w:fldCharType="begin"/>
      </w:r>
      <w:r>
        <w:instrText xml:space="preserve"> REF _Ref463450106 \w \h </w:instrText>
      </w:r>
      <w:r>
        <w:rPr>
          <w:cs/>
        </w:rPr>
        <w:fldChar w:fldCharType="separate"/>
      </w:r>
      <w:r w:rsidR="00230E5B">
        <w:t>6.5(d)(ii)</w:t>
      </w:r>
      <w:r>
        <w:rPr>
          <w:cs/>
        </w:rPr>
        <w:fldChar w:fldCharType="end"/>
      </w:r>
      <w:r>
        <w:t xml:space="preserve">. In connection with such purchase by the selling Key Holder, such Participating Investor or Investors shall deliver to the selling Key Holder any share certificate or certificates, properly endorsed for transfer, representing the Shares being purchased by the selling Key Holder (or request that the Company effect such transfer in the name of the selling Key Holder). Any such shares transferred to the selling Key Holder will be transferred to the Prospective Transferee against payment therefor in consummation of the sale of the Transfer Shares pursuant to the terms and conditions specified in the Proposed Transfer Notice, and the selling Key Holder shall concurrently therewith remit or direct payment to each such Participating Investor the portion of the aggregate consideration to which each such Participating Investor is entitled by reason of its participation in such sale as provided in this Section </w:t>
      </w:r>
      <w:r>
        <w:rPr>
          <w:cs/>
        </w:rPr>
        <w:fldChar w:fldCharType="begin"/>
      </w:r>
      <w:r>
        <w:instrText xml:space="preserve"> REF _Ref463450291 \w \h </w:instrText>
      </w:r>
      <w:r>
        <w:rPr>
          <w:cs/>
        </w:rPr>
        <w:fldChar w:fldCharType="separate"/>
      </w:r>
      <w:r w:rsidR="00230E5B">
        <w:t>6.5(e)</w:t>
      </w:r>
      <w:r>
        <w:rPr>
          <w:cs/>
        </w:rPr>
        <w:fldChar w:fldCharType="end"/>
      </w:r>
      <w:r>
        <w:t>.</w:t>
      </w:r>
      <w:bookmarkEnd w:id="232"/>
    </w:p>
    <w:p w:rsidR="00C20A1A">
      <w:pPr>
        <w:pStyle w:val="ArticleBJL3"/>
      </w:pPr>
      <w:r>
        <w:rPr>
          <w:b/>
          <w:bCs/>
        </w:rPr>
        <w:t>Additional Compliance</w:t>
      </w:r>
      <w:r>
        <w:t xml:space="preserve">. If any Proposed Key Holder Transfer is not consummated within </w:t>
      </w:r>
      <w:r>
        <w:rPr>
          <w:b/>
          <w:bCs/>
        </w:rPr>
        <w:t>[45</w:t>
      </w:r>
      <w:r>
        <w:rPr>
          <w:rStyle w:val="FootnoteReference"/>
          <w:b/>
          <w:bCs/>
        </w:rPr>
        <w:footnoteReference w:id="72"/>
      </w:r>
      <w:r>
        <w:rPr>
          <w:b/>
          <w:bCs/>
        </w:rPr>
        <w:t>]</w:t>
      </w:r>
      <w:r>
        <w:t xml:space="preserve"> days after receipt of the Proposed Transfer Notice by the Company, the Key Holders proposing the Proposed Key Holder Transfer may not sell any Transfer Shares unless they first comply in full with each provision of this </w:t>
      </w:r>
      <w:r>
        <w:fldChar w:fldCharType="begin"/>
      </w:r>
      <w:r>
        <w:instrText xml:space="preserve"> REF _Ref463555873 \w \h </w:instrText>
      </w:r>
      <w:r>
        <w:fldChar w:fldCharType="separate"/>
      </w:r>
      <w:r w:rsidR="00230E5B">
        <w:t>Article 6</w:t>
      </w:r>
      <w:r>
        <w:fldChar w:fldCharType="end"/>
      </w:r>
      <w:r>
        <w:t xml:space="preserve">. The exercise or election not to exercise any right by any Investor hereunder shall not adversely affect its right to participate in any other sales of Transfer Shares subject to this Section </w:t>
      </w:r>
      <w:r>
        <w:rPr>
          <w:cs/>
        </w:rPr>
        <w:fldChar w:fldCharType="begin"/>
      </w:r>
      <w:r>
        <w:instrText xml:space="preserve"> REF _Ref463450356 \w \h </w:instrText>
      </w:r>
      <w:r>
        <w:rPr>
          <w:cs/>
        </w:rPr>
        <w:fldChar w:fldCharType="separate"/>
      </w:r>
      <w:r w:rsidR="00230E5B">
        <w:t>6.5</w:t>
      </w:r>
      <w:r>
        <w:rPr>
          <w:cs/>
        </w:rPr>
        <w:fldChar w:fldCharType="end"/>
      </w:r>
      <w:r>
        <w:t>.</w:t>
      </w:r>
    </w:p>
    <w:p w:rsidR="00C20A1A">
      <w:pPr>
        <w:pStyle w:val="ArticleBJL2"/>
      </w:pPr>
      <w:bookmarkStart w:id="233" w:name="_Toc463463887"/>
      <w:bookmarkStart w:id="234" w:name="_Ref468001648"/>
      <w:bookmarkStart w:id="235" w:name="_Toc481488859"/>
      <w:bookmarkStart w:id="236" w:name="_Ref525059884"/>
      <w:bookmarkStart w:id="237" w:name="_Toc56159047"/>
      <w:r>
        <w:t>Effect of Failure to Comply</w:t>
      </w:r>
      <w:bookmarkEnd w:id="233"/>
      <w:bookmarkEnd w:id="234"/>
      <w:bookmarkEnd w:id="235"/>
      <w:bookmarkEnd w:id="236"/>
      <w:bookmarkEnd w:id="237"/>
    </w:p>
    <w:p w:rsidR="00C20A1A">
      <w:pPr>
        <w:pStyle w:val="ArticleBJL3"/>
      </w:pPr>
      <w:r>
        <w:rPr>
          <w:b/>
          <w:bCs/>
        </w:rPr>
        <w:t>Transfer Void; Equitable Relief</w:t>
      </w:r>
      <w:r>
        <w:t xml:space="preserve">. Any Proposed Key Holder Transfer not made in compliance with the requirements of this Agreement shall be null and void </w:t>
      </w:r>
      <w:r w:rsidRPr="009F4E0D">
        <w:t>ab initio</w:t>
      </w:r>
      <w:r>
        <w:t>, shall not be recorded on the books of the Company or its transfer agent and shall not be recognized by the Company. Each party hereto acknowledges and agrees that any breach of this Agreement would result in substantial harm to the other parties hereto for which monetary damages alone could not adequately compensate. Therefore, the parties hereto unconditionally and irrevocably agree that any non-breaching party hereto shall be entitled to seek protective orders, injunctive relief and other remedies available at law or in equity (including seeking specific performance or the rescission of purchases, sales and other transfers of Transfer Shares not made in strict compliance with this Agreement).</w:t>
      </w:r>
    </w:p>
    <w:p w:rsidR="00C20A1A">
      <w:pPr>
        <w:pStyle w:val="ArticleBJL3"/>
      </w:pPr>
      <w:r>
        <w:rPr>
          <w:b/>
          <w:bCs/>
        </w:rPr>
        <w:t>Violation of First Refusal Right</w:t>
      </w:r>
      <w:r>
        <w:t xml:space="preserve">. If any Key Holder becomes obligated to sell any Transfer Shares to the Company or any Investor under this Agreement and fails to deliver such Transfer Shares in accordance with the terms of this Agreement, the </w:t>
      </w:r>
      <w:r>
        <w:t>Company and/or such Investor may, at its option, in addition to all other remedies it may have, send to such Key Holder the purchase price for such Transfer Shares as is herein specified and transfer to the name of the Company or such Investor (or request that the Company effect such transfer in the name of an Investor) on the Company's books any certificates, instruments, or book entry representing the Transfer Shares to be sold.</w:t>
      </w:r>
    </w:p>
    <w:p w:rsidR="00C20A1A">
      <w:pPr>
        <w:pStyle w:val="ArticleBJL3"/>
      </w:pPr>
      <w:r>
        <w:rPr>
          <w:b/>
          <w:bCs/>
        </w:rPr>
        <w:t>Violation of Co-Sale Right</w:t>
      </w:r>
      <w:r>
        <w:t>. If any Key Holder purports to sell any Transfer Shares in contravention of the Right of Co-Sale (a "</w:t>
      </w:r>
      <w:r>
        <w:rPr>
          <w:b/>
          <w:bCs/>
        </w:rPr>
        <w:t>Prohibited Transfer</w:t>
      </w:r>
      <w:r>
        <w:t xml:space="preserve">"), each Participating Investor who desires to exercise its Right of Co-Sale under Section </w:t>
      </w:r>
      <w:r>
        <w:rPr>
          <w:cs/>
        </w:rPr>
        <w:fldChar w:fldCharType="begin"/>
      </w:r>
      <w:r>
        <w:instrText xml:space="preserve"> REF _Ref463450362 \w \h </w:instrText>
      </w:r>
      <w:r>
        <w:rPr>
          <w:cs/>
        </w:rPr>
        <w:fldChar w:fldCharType="separate"/>
      </w:r>
      <w:r w:rsidR="00230E5B">
        <w:t>6.5</w:t>
      </w:r>
      <w:r>
        <w:rPr>
          <w:cs/>
        </w:rPr>
        <w:fldChar w:fldCharType="end"/>
      </w:r>
      <w:r>
        <w:t xml:space="preserve"> may, in addition to such remedies as may be available by law, in equity or hereunder, require such Key Holder to purchase from such Participating Investor the type and number of Shares that such Participating Investor would have been entitled to sell to the Prospective Transferee had the Prohibited Transfer been effected in compliance with the terms of Section </w:t>
      </w:r>
      <w:r>
        <w:rPr>
          <w:cs/>
        </w:rPr>
        <w:fldChar w:fldCharType="begin"/>
      </w:r>
      <w:r>
        <w:instrText xml:space="preserve"> REF _Ref463450373 \w \h </w:instrText>
      </w:r>
      <w:r>
        <w:rPr>
          <w:cs/>
        </w:rPr>
        <w:fldChar w:fldCharType="separate"/>
      </w:r>
      <w:r w:rsidR="00230E5B">
        <w:t>6.5</w:t>
      </w:r>
      <w:r>
        <w:rPr>
          <w:cs/>
        </w:rPr>
        <w:fldChar w:fldCharType="end"/>
      </w:r>
      <w:r>
        <w:t xml:space="preserve">. The sale will be made on the same terms, including as provided in Section </w:t>
      </w:r>
      <w:r>
        <w:rPr>
          <w:cs/>
        </w:rPr>
        <w:fldChar w:fldCharType="begin"/>
      </w:r>
      <w:r>
        <w:instrText xml:space="preserve"> REF _Ref463450263 \w \h </w:instrText>
      </w:r>
      <w:r>
        <w:rPr>
          <w:cs/>
        </w:rPr>
        <w:fldChar w:fldCharType="separate"/>
      </w:r>
      <w:r w:rsidR="00230E5B">
        <w:t>6.5(d)(i)</w:t>
      </w:r>
      <w:r>
        <w:rPr>
          <w:cs/>
        </w:rPr>
        <w:fldChar w:fldCharType="end"/>
      </w:r>
      <w:r>
        <w:t xml:space="preserve"> and the first sentence of Section </w:t>
      </w:r>
      <w:r>
        <w:rPr>
          <w:cs/>
        </w:rPr>
        <w:fldChar w:fldCharType="begin"/>
      </w:r>
      <w:r>
        <w:instrText xml:space="preserve"> REF _Ref463450106 \w \h </w:instrText>
      </w:r>
      <w:r>
        <w:rPr>
          <w:cs/>
        </w:rPr>
        <w:fldChar w:fldCharType="separate"/>
      </w:r>
      <w:r w:rsidR="00230E5B">
        <w:t>6.5(d)(ii)</w:t>
      </w:r>
      <w:r>
        <w:rPr>
          <w:cs/>
        </w:rPr>
        <w:fldChar w:fldCharType="end"/>
      </w:r>
      <w:r>
        <w:t xml:space="preserve">, as applicable, and subject to the same conditions as would have applied had the Key Holder not made the Prohibited Transfer, except that the sale (including the delivery of the purchase price) must be made within 90 days after the Participating Investor learns of the Prohibited Transfer, as opposed to the timeframe proscribed in Section </w:t>
      </w:r>
      <w:r>
        <w:rPr>
          <w:cs/>
        </w:rPr>
        <w:fldChar w:fldCharType="begin"/>
      </w:r>
      <w:r>
        <w:instrText xml:space="preserve"> REF _Ref463450397 \w \h </w:instrText>
      </w:r>
      <w:r>
        <w:rPr>
          <w:cs/>
        </w:rPr>
        <w:fldChar w:fldCharType="separate"/>
      </w:r>
      <w:r w:rsidR="00230E5B">
        <w:t>6.5</w:t>
      </w:r>
      <w:r>
        <w:rPr>
          <w:cs/>
        </w:rPr>
        <w:fldChar w:fldCharType="end"/>
      </w:r>
      <w:r>
        <w:t xml:space="preserve">. Such Key Holder shall also reimburse each Participating Investor for any and all reasonable and documented out-of-pocket fees and expenses, including reasonable legal fees and expenses, incurred pursuant to the exercise or the attempted exercise of the Participating Investor's rights under Section </w:t>
      </w:r>
      <w:r>
        <w:rPr>
          <w:cs/>
        </w:rPr>
        <w:fldChar w:fldCharType="begin"/>
      </w:r>
      <w:r>
        <w:instrText xml:space="preserve"> REF _Ref463450407 \w \h </w:instrText>
      </w:r>
      <w:r>
        <w:rPr>
          <w:cs/>
        </w:rPr>
        <w:fldChar w:fldCharType="separate"/>
      </w:r>
      <w:r w:rsidR="00230E5B">
        <w:t>6.5</w:t>
      </w:r>
      <w:r>
        <w:rPr>
          <w:cs/>
        </w:rPr>
        <w:fldChar w:fldCharType="end"/>
      </w:r>
      <w:r>
        <w:t>.</w:t>
      </w:r>
    </w:p>
    <w:p w:rsidR="00C20A1A">
      <w:pPr>
        <w:pStyle w:val="ArticleBJL2"/>
      </w:pPr>
      <w:bookmarkStart w:id="238" w:name="_Ref463450642"/>
      <w:bookmarkStart w:id="239" w:name="_Toc463463889"/>
      <w:bookmarkStart w:id="240" w:name="_Toc481488860"/>
      <w:bookmarkStart w:id="241" w:name="_Toc56159048"/>
      <w:r>
        <w:t>Exempted Transfers</w:t>
      </w:r>
      <w:bookmarkEnd w:id="238"/>
      <w:bookmarkEnd w:id="239"/>
      <w:bookmarkEnd w:id="240"/>
      <w:bookmarkEnd w:id="241"/>
    </w:p>
    <w:p w:rsidR="00C20A1A">
      <w:pPr>
        <w:pStyle w:val="ArticleBJCont2"/>
      </w:pPr>
      <w:r>
        <w:t xml:space="preserve">Notwithstanding the foregoing or anything to the contrary herein, the provisions of Sections </w:t>
      </w:r>
      <w:r>
        <w:rPr>
          <w:cs/>
        </w:rPr>
        <w:fldChar w:fldCharType="begin"/>
      </w:r>
      <w:r>
        <w:instrText xml:space="preserve"> REF _Ref466990165 \n \h </w:instrText>
      </w:r>
      <w:r>
        <w:rPr>
          <w:cs/>
        </w:rPr>
        <w:fldChar w:fldCharType="separate"/>
      </w:r>
      <w:r w:rsidR="00230E5B">
        <w:t>6.4</w:t>
      </w:r>
      <w:r>
        <w:rPr>
          <w:cs/>
        </w:rPr>
        <w:fldChar w:fldCharType="end"/>
      </w:r>
      <w:r>
        <w:t xml:space="preserve"> and </w:t>
      </w:r>
      <w:r>
        <w:rPr>
          <w:cs/>
        </w:rPr>
        <w:fldChar w:fldCharType="begin"/>
      </w:r>
      <w:r>
        <w:instrText xml:space="preserve"> REF _Ref463450426 \w \h </w:instrText>
      </w:r>
      <w:r>
        <w:rPr>
          <w:cs/>
        </w:rPr>
        <w:fldChar w:fldCharType="separate"/>
      </w:r>
      <w:r w:rsidR="00230E5B">
        <w:t>6.5</w:t>
      </w:r>
      <w:r>
        <w:rPr>
          <w:cs/>
        </w:rPr>
        <w:fldChar w:fldCharType="end"/>
      </w:r>
      <w:r>
        <w:t xml:space="preserve"> shall not apply (a) in the case of a Key Holder that is an entity, upon a transfer by such Key Holder to its shareholders, members, partners or other equity holders, (b) to a repurchase of Transfer Shares from a Key Holder by the Company at a price no greater than that originally paid by such Key Holder for such Transfer Shares and pursuant to an agreement containing vesting and/or repurchase provisions approved by a majority of the Board, </w:t>
      </w:r>
      <w:r>
        <w:rPr>
          <w:b/>
          <w:bCs/>
        </w:rPr>
        <w:t>[(c) to a pledge of Transfer Shares that creates a mere security interest in the pledged Transfer Shares, provided that the pledgee thereof agrees in writing in advance to be bound by and comply with all applicable provisions of this Agreement to the same extent as if it were the Key Holder making such pledge,]</w:t>
      </w:r>
      <w:r>
        <w:t xml:space="preserve"> </w:t>
      </w:r>
      <w:r>
        <w:rPr>
          <w:b/>
          <w:bCs/>
        </w:rPr>
        <w:t>[or]</w:t>
      </w:r>
      <w:r>
        <w:t xml:space="preserve"> (d) in the case of a Key Holder that is an individual, upon a transfer of Transfer Shares by such Key Holder made for bona fide estate planning purposes, either during his or her lifetime or on death by will or intestacy to his or her spouse, including any life partner or similar statutorily-recognized domestic partner, child (natural or adopted), or any other direct lineal descendant of such Key Holder (or his or her spouse, including any life partner or similar statutorily-recognized domestic partner) (all of the foregoing collectively referred to as "family members"), or any other </w:t>
      </w:r>
      <w:r>
        <w:rPr>
          <w:b/>
          <w:bCs/>
        </w:rPr>
        <w:t>[relative/individual]</w:t>
      </w:r>
      <w:r>
        <w:t xml:space="preserve"> approved by </w:t>
      </w:r>
      <w:r>
        <w:rPr>
          <w:b/>
          <w:bCs/>
        </w:rPr>
        <w:t>[unanimous consent of]</w:t>
      </w:r>
      <w:r>
        <w:t xml:space="preserve"> the Board, or any custodian or trustee of any trust, partnership or limited liability company for the benefit of, or the ownership interests of which are owned wholly by such Key Holder or any such family members; </w:t>
      </w:r>
      <w:r>
        <w:rPr>
          <w:b/>
          <w:bCs/>
        </w:rPr>
        <w:t xml:space="preserve">[or (e) to the sale by the Key Holder of up to [__%] of the Transfer Shares held by </w:t>
      </w:r>
      <w:r>
        <w:rPr>
          <w:b/>
          <w:bCs/>
        </w:rPr>
        <w:t xml:space="preserve">such Key Holder as of the date that such Key Holder first became party to this Agreement]; [or (f) any transfer of Shares effected pursuant to Section </w:t>
      </w:r>
      <w:r>
        <w:rPr>
          <w:b/>
          <w:bCs/>
        </w:rPr>
        <w:fldChar w:fldCharType="begin"/>
      </w:r>
      <w:r>
        <w:rPr>
          <w:b/>
          <w:bCs/>
        </w:rPr>
        <w:instrText xml:space="preserve"> REF _Ref463554242 \r \h </w:instrText>
      </w:r>
      <w:r>
        <w:rPr>
          <w:b/>
          <w:bCs/>
        </w:rPr>
        <w:fldChar w:fldCharType="separate"/>
      </w:r>
      <w:r w:rsidR="00230E5B">
        <w:rPr>
          <w:b/>
          <w:bCs/>
        </w:rPr>
        <w:t>6.10</w:t>
      </w:r>
      <w:r>
        <w:rPr>
          <w:b/>
          <w:bCs/>
        </w:rPr>
        <w:fldChar w:fldCharType="end"/>
      </w:r>
      <w:r>
        <w:rPr>
          <w:b/>
          <w:bCs/>
        </w:rPr>
        <w:t>]; provided that in the case of clause(s) [(a)], [(c)], [(d)] or [(e)]</w:t>
      </w:r>
      <w:r>
        <w:t xml:space="preserve">, the Key Holder shall deliver prior written notice to the Investors of such pledge, gift or transfer and such Transfer Shares shall at all times remain subject to the terms and restrictions set forth in this Agreement and such transferee shall, as a condition to such </w:t>
      </w:r>
      <w:r w:rsidR="009F4E0D">
        <w:t>t</w:t>
      </w:r>
      <w:r>
        <w:t xml:space="preserve">ransfer, </w:t>
      </w:r>
      <w:r w:rsidRPr="00E450A4">
        <w:t xml:space="preserve">deliver a counterpart signature page to this Agreement as confirmation that such transferee shall be bound by all the terms and conditions of this Agreement as a Key Holder (but only with respect to the securities so transferred to the transferee), including the obligations of a Key Holder with respect to Proposed Key Holder Transfers of such Transfer Shares pursuant to Sections </w:t>
      </w:r>
      <w:r>
        <w:fldChar w:fldCharType="begin"/>
      </w:r>
      <w:r>
        <w:instrText xml:space="preserve"> REF _Ref463461142 \r \h </w:instrText>
      </w:r>
      <w:r>
        <w:fldChar w:fldCharType="separate"/>
      </w:r>
      <w:r w:rsidR="00230E5B">
        <w:t>6.1</w:t>
      </w:r>
      <w:r>
        <w:fldChar w:fldCharType="end"/>
      </w:r>
      <w:r w:rsidRPr="00E450A4">
        <w:t xml:space="preserve"> to </w:t>
      </w:r>
      <w:r>
        <w:fldChar w:fldCharType="begin"/>
      </w:r>
      <w:r>
        <w:instrText xml:space="preserve"> REF _Ref525059884 \r \h </w:instrText>
      </w:r>
      <w:r>
        <w:fldChar w:fldCharType="separate"/>
      </w:r>
      <w:r w:rsidR="00230E5B">
        <w:t>6.6</w:t>
      </w:r>
      <w:r>
        <w:fldChar w:fldCharType="end"/>
      </w:r>
      <w:r w:rsidRPr="003E741E">
        <w:rPr>
          <w:b/>
        </w:rPr>
        <w:t xml:space="preserve"> </w:t>
      </w:r>
      <w:r>
        <w:rPr>
          <w:b/>
          <w:bCs/>
        </w:rPr>
        <w:t>[; and provided further in the case of any transfer pursuant to clause (a) or (d) above, that such transfer is made pursuant to a transaction in which there is no consideration actually paid for such transfer]</w:t>
      </w:r>
      <w:r>
        <w:t>.</w:t>
      </w:r>
    </w:p>
    <w:p w:rsidR="00C20A1A">
      <w:pPr>
        <w:pStyle w:val="ArticleBJL2"/>
      </w:pPr>
      <w:bookmarkStart w:id="242" w:name="_Toc463463890"/>
      <w:bookmarkStart w:id="243" w:name="_Toc481488861"/>
      <w:bookmarkStart w:id="244" w:name="_Toc56159049"/>
      <w:r>
        <w:t>Exempted Offerings</w:t>
      </w:r>
      <w:bookmarkEnd w:id="242"/>
      <w:bookmarkEnd w:id="243"/>
      <w:bookmarkEnd w:id="244"/>
    </w:p>
    <w:p w:rsidR="00C20A1A">
      <w:pPr>
        <w:pStyle w:val="ArticleBJCont2"/>
      </w:pPr>
      <w:r>
        <w:t xml:space="preserve">Notwithstanding the foregoing or anything to the contrary herein, the provisions of </w:t>
      </w:r>
      <w:r>
        <w:fldChar w:fldCharType="begin"/>
      </w:r>
      <w:r>
        <w:instrText xml:space="preserve"> REF _Ref463554146 \w \h </w:instrText>
      </w:r>
      <w:r>
        <w:fldChar w:fldCharType="separate"/>
      </w:r>
      <w:r w:rsidR="00230E5B">
        <w:t>Article 6</w:t>
      </w:r>
      <w:r>
        <w:fldChar w:fldCharType="end"/>
      </w:r>
      <w:r>
        <w:t xml:space="preserve"> shall not apply to the sale of any Transfer Shares (a) to the public in an offering pursuant to a prospectus filed with the securities regulatory authority of any province or territory of Canada or an effective registration statement under the Securities Act, as amended; or (b) pursuant to a Deemed Liquidation Event.</w:t>
      </w:r>
    </w:p>
    <w:p w:rsidR="00C20A1A">
      <w:pPr>
        <w:pStyle w:val="ArticleBJL2"/>
      </w:pPr>
      <w:bookmarkStart w:id="245" w:name="_Toc463463891"/>
      <w:bookmarkStart w:id="246" w:name="_Ref464810816"/>
      <w:bookmarkStart w:id="247" w:name="_Toc481488862"/>
      <w:bookmarkStart w:id="248" w:name="_Toc56159050"/>
      <w:r>
        <w:t>[Prohibited Transferees</w:t>
      </w:r>
      <w:bookmarkEnd w:id="245"/>
      <w:bookmarkEnd w:id="246"/>
      <w:bookmarkEnd w:id="247"/>
      <w:bookmarkEnd w:id="248"/>
    </w:p>
    <w:p w:rsidR="00C20A1A">
      <w:pPr>
        <w:pStyle w:val="ArticleBJCont2"/>
        <w:rPr>
          <w:b/>
          <w:bCs/>
        </w:rPr>
      </w:pPr>
      <w:r>
        <w:rPr>
          <w:b/>
          <w:bCs/>
        </w:rPr>
        <w:t>Notwithstanding the foregoing, no Key Holder shall transfer any Transfer Shares to (a) any entity which, in the determination of the Board, directly or indirectly competes with the Company; or (b) any customer, distributor or supplier of the Company, if the Board should determine that such transfer would result in such customer, distributor or supplier receiving information that would place the Company at a competitive disadvantage with respect to such customer, distributor or supplier.]</w:t>
      </w:r>
    </w:p>
    <w:p w:rsidR="00C20A1A">
      <w:pPr>
        <w:pStyle w:val="ArticleBJL2"/>
      </w:pPr>
      <w:bookmarkStart w:id="249" w:name="_Ref463554242"/>
      <w:bookmarkStart w:id="250" w:name="_Ref463554298"/>
      <w:bookmarkStart w:id="251" w:name="_Ref463554314"/>
      <w:bookmarkStart w:id="252" w:name="_Ref463554402"/>
      <w:bookmarkStart w:id="253" w:name="_Ref463554930"/>
      <w:bookmarkStart w:id="254" w:name="_Ref463555004"/>
      <w:bookmarkStart w:id="255" w:name="_Ref463555341"/>
      <w:bookmarkStart w:id="256" w:name="_Ref463555378"/>
      <w:bookmarkStart w:id="257" w:name="_Toc481488863"/>
      <w:bookmarkStart w:id="258" w:name="_Toc56159051"/>
      <w:r>
        <w:t>Drag-Along Right</w:t>
      </w:r>
      <w:bookmarkEnd w:id="249"/>
      <w:bookmarkEnd w:id="250"/>
      <w:bookmarkEnd w:id="251"/>
      <w:bookmarkEnd w:id="252"/>
      <w:bookmarkEnd w:id="253"/>
      <w:bookmarkEnd w:id="254"/>
      <w:bookmarkEnd w:id="255"/>
      <w:bookmarkEnd w:id="256"/>
      <w:bookmarkEnd w:id="257"/>
      <w:bookmarkEnd w:id="258"/>
    </w:p>
    <w:p w:rsidR="00C20A1A">
      <w:pPr>
        <w:pStyle w:val="ArticleBJCont2"/>
      </w:pPr>
      <w:r>
        <w:t xml:space="preserve">If (i) the holders of at least </w:t>
      </w:r>
      <w:r>
        <w:rPr>
          <w:b/>
          <w:bCs/>
        </w:rPr>
        <w:t>[</w:t>
      </w:r>
      <w:r>
        <w:rPr>
          <w:b/>
          <w:bCs/>
          <w:i/>
          <w:iCs/>
        </w:rPr>
        <w:t>specify percentage</w:t>
      </w:r>
      <w:r>
        <w:rPr>
          <w:b/>
          <w:bCs/>
        </w:rPr>
        <w:t>]</w:t>
      </w:r>
      <w:r>
        <w:t xml:space="preserve"> of the Common Shares then issued or issuable upon conversion of the Preferred Shares (the "</w:t>
      </w:r>
      <w:r>
        <w:rPr>
          <w:b/>
          <w:bCs/>
        </w:rPr>
        <w:t>Selling Investors</w:t>
      </w:r>
      <w:r>
        <w:t xml:space="preserve">"); </w:t>
      </w:r>
      <w:r>
        <w:rPr>
          <w:b/>
          <w:bCs/>
        </w:rPr>
        <w:t>[(ii) the Board;]</w:t>
      </w:r>
      <w:r>
        <w:rPr>
          <w:rStyle w:val="FootnoteReference"/>
        </w:rPr>
        <w:footnoteReference w:id="73"/>
      </w:r>
      <w:r>
        <w:t xml:space="preserve"> and </w:t>
      </w:r>
      <w:r>
        <w:rPr>
          <w:b/>
          <w:bCs/>
        </w:rPr>
        <w:t>[(iii) the holders of a majority of the then outstanding Common Shares (other than those issued or issuable upon conversion of [Class A] Preferred Shares)]</w:t>
      </w:r>
      <w:r>
        <w:t xml:space="preserve"> held by Key Holders who are then providing services to the Company as officers, employees or consultants voting as a separate class </w:t>
      </w:r>
      <w:r w:rsidRPr="00232461">
        <w:rPr>
          <w:b/>
        </w:rPr>
        <w:t>[(collectively, (i) and (ii[i]) are the "</w:t>
      </w:r>
      <w:r w:rsidRPr="00232461">
        <w:rPr>
          <w:b/>
          <w:bCs/>
        </w:rPr>
        <w:t>Electing Holders</w:t>
      </w:r>
      <w:r w:rsidRPr="00232461">
        <w:rPr>
          <w:b/>
        </w:rPr>
        <w:t>")]</w:t>
      </w:r>
      <w:r>
        <w:t xml:space="preserve"> approve a Sale of the Company (which approval of the Electing Holders must be in writing) (a "</w:t>
      </w:r>
      <w:r>
        <w:rPr>
          <w:b/>
          <w:bCs/>
        </w:rPr>
        <w:t>Drag Along Sale</w:t>
      </w:r>
      <w:r>
        <w:t xml:space="preserve">"), specifying that this Section </w:t>
      </w:r>
      <w:r>
        <w:fldChar w:fldCharType="begin"/>
      </w:r>
      <w:r>
        <w:instrText xml:space="preserve"> REF _Ref463554242 \w \h </w:instrText>
      </w:r>
      <w:r>
        <w:fldChar w:fldCharType="separate"/>
      </w:r>
      <w:r w:rsidR="00230E5B">
        <w:t>6.10</w:t>
      </w:r>
      <w:r>
        <w:fldChar w:fldCharType="end"/>
      </w:r>
      <w:r>
        <w:t xml:space="preserve"> shall apply to such Drag Along Sale, then, subject to the satisfaction of each of the conditions set forth in Section </w:t>
      </w:r>
      <w:r>
        <w:fldChar w:fldCharType="begin"/>
      </w:r>
      <w:r>
        <w:instrText xml:space="preserve"> REF _Ref525059012 \r \h </w:instrText>
      </w:r>
      <w:r>
        <w:fldChar w:fldCharType="separate"/>
      </w:r>
      <w:r w:rsidR="00230E5B">
        <w:t>6.11</w:t>
      </w:r>
      <w:r>
        <w:fldChar w:fldCharType="end"/>
      </w:r>
      <w:r>
        <w:t>, each Shareholder and the Company hereby agree:</w:t>
      </w:r>
      <w:r w:rsidRPr="00D67B41">
        <w:rPr>
          <w:rStyle w:val="FootnoteReference"/>
          <w:b/>
          <w:bCs/>
        </w:rPr>
        <w:t xml:space="preserve"> </w:t>
      </w:r>
      <w:r>
        <w:rPr>
          <w:rStyle w:val="FootnoteReference"/>
          <w:b/>
          <w:bCs/>
        </w:rPr>
        <w:footnoteReference w:id="74"/>
      </w:r>
    </w:p>
    <w:p w:rsidR="00C20A1A">
      <w:pPr>
        <w:pStyle w:val="ArticleBJL3"/>
      </w:pPr>
      <w:bookmarkStart w:id="259" w:name="_Ref448392702"/>
      <w:r>
        <w:t xml:space="preserve">if the Drag Along Sale requires shareholder approval, with respect to all Shares that such Shareholder owns or over which such Shareholder otherwise exercises voting </w:t>
      </w:r>
      <w:r>
        <w:t xml:space="preserve">power, to vote (in person, by proxy or by action by written consent, as applicable) all Shares in favor of, and adopt, such Drag Along Sale </w:t>
      </w:r>
      <w:r w:rsidRPr="00D53CBD">
        <w:rPr>
          <w:b/>
        </w:rPr>
        <w:t>[(together with any related amendment to the Articles required to implement the Drag Along Sale)]</w:t>
      </w:r>
      <w:r>
        <w:t xml:space="preserve"> and to vote in opposition to any and all other proposals that could </w:t>
      </w:r>
      <w:r>
        <w:rPr>
          <w:b/>
          <w:bCs/>
        </w:rPr>
        <w:t>[reasonably be expected to]</w:t>
      </w:r>
      <w:r>
        <w:t xml:space="preserve"> delay or impair the ability of the Company to consummate the Drag Along Sale;</w:t>
      </w:r>
      <w:bookmarkEnd w:id="259"/>
    </w:p>
    <w:p w:rsidR="00C20A1A">
      <w:pPr>
        <w:pStyle w:val="ArticleBJL3"/>
      </w:pPr>
      <w:bookmarkStart w:id="260" w:name="_Ref448392703"/>
      <w:r>
        <w:t>if the Drag Along Sale is a Share Sale, to sell the same proportion of share capital of the Company beneficially held by such Shareholder as is being sold by the Selling Investors to the Person to whom the Selling Investors propose to sell their Shares, and, except as permitted in Section </w:t>
      </w:r>
      <w:r>
        <w:fldChar w:fldCharType="begin"/>
      </w:r>
      <w:r>
        <w:instrText xml:space="preserve"> REF _Ref525059733 \r \h </w:instrText>
      </w:r>
      <w:r>
        <w:fldChar w:fldCharType="separate"/>
      </w:r>
      <w:r w:rsidR="00230E5B">
        <w:t>6.11</w:t>
      </w:r>
      <w:r>
        <w:fldChar w:fldCharType="end"/>
      </w:r>
      <w:r>
        <w:t xml:space="preserve"> below, on the same terms and conditions as the other Shareholders of the Company;</w:t>
      </w:r>
      <w:bookmarkEnd w:id="260"/>
    </w:p>
    <w:p w:rsidR="00C20A1A">
      <w:pPr>
        <w:pStyle w:val="ArticleBJL3"/>
      </w:pPr>
      <w:bookmarkStart w:id="261" w:name="_Ref448392704"/>
      <w:r>
        <w:t>to execute and deliver all related documentation and take such other action in support of the Drag Along Sale as shall reasonably be requested by the Company or the Selling Investors in order to carry out the terms and provision of this Section </w:t>
      </w:r>
      <w:r>
        <w:rPr>
          <w:cs/>
        </w:rPr>
        <w:t>‎</w:t>
      </w:r>
      <w:r>
        <w:rPr>
          <w:cs/>
        </w:rPr>
        <w:fldChar w:fldCharType="begin"/>
      </w:r>
      <w:r>
        <w:instrText xml:space="preserve"> REF _Ref463554298 \w \h </w:instrText>
      </w:r>
      <w:r>
        <w:rPr>
          <w:cs/>
        </w:rPr>
        <w:fldChar w:fldCharType="separate"/>
      </w:r>
      <w:r w:rsidR="00230E5B">
        <w:t>6.10</w:t>
      </w:r>
      <w:r>
        <w:rPr>
          <w:cs/>
        </w:rPr>
        <w:fldChar w:fldCharType="end"/>
      </w:r>
      <w:r>
        <w:t>, including executing and delivering instruments of conveyance and transfer, and any purchase agreement, amalgamation agreement, any associated indemnity agreement or escrow agreement, any associated voting, support or joinder agreement, consent, waiver, governmental filing, share certificates duly endorsed for transfer (free and clear of impermissible liens, claims and encumbrances), and any similar or related documents;</w:t>
      </w:r>
      <w:bookmarkEnd w:id="261"/>
      <w:r>
        <w:t xml:space="preserve"> </w:t>
      </w:r>
    </w:p>
    <w:p w:rsidR="00C20A1A">
      <w:pPr>
        <w:pStyle w:val="ArticleBJL3"/>
      </w:pPr>
      <w:bookmarkStart w:id="262" w:name="_Ref448392705"/>
      <w:r>
        <w:t>not to deposit, and to cause their Affiliates not to deposit, except as provided in this Agreement, any Shares owned by such party or Affiliate in a voting trust or subject any Shares to any arrangement or agreement with respect to the voting of such Shares, unless specifically requested to do so by the acquiror in connection with the Drag Along Sale;</w:t>
      </w:r>
      <w:bookmarkEnd w:id="262"/>
      <w:r>
        <w:t xml:space="preserve"> </w:t>
      </w:r>
    </w:p>
    <w:p w:rsidR="00C20A1A">
      <w:pPr>
        <w:pStyle w:val="ArticleBJL3"/>
      </w:pPr>
      <w:bookmarkStart w:id="263" w:name="_Ref448392706"/>
      <w:r>
        <w:t xml:space="preserve">to refrain from (i) exercising any dissent rights or rights of appraisal </w:t>
      </w:r>
      <w:r w:rsidRPr="00D53CBD">
        <w:rPr>
          <w:b/>
        </w:rPr>
        <w:t>[or oppression]</w:t>
      </w:r>
      <w:r>
        <w:t xml:space="preserve"> under applicable law at any time with respect to the Drag Along Sale, or </w:t>
      </w:r>
      <w:r w:rsidRPr="00D53CBD">
        <w:t>[(ii) asserting any claim or commencing any suit [(x)]</w:t>
      </w:r>
      <w:r>
        <w:t xml:space="preserve"> challenging the Drag Along Sale or this Agreement, or [(y) alleging a breach of any fiduciary duty of the Selling Investors or any Affiliate or associate thereof (including aiding and abetting breach of fiduciary duty) in connection with the evaluation, negotiation or entry into the Drag Along Sale, or] the consummation of the transactions contemplated thereby];</w:t>
      </w:r>
      <w:r>
        <w:rPr>
          <w:rStyle w:val="FootnoteReference"/>
        </w:rPr>
        <w:footnoteReference w:id="75"/>
      </w:r>
      <w:bookmarkEnd w:id="263"/>
      <w:r>
        <w:t xml:space="preserve"> </w:t>
      </w:r>
    </w:p>
    <w:p w:rsidR="00C20A1A">
      <w:pPr>
        <w:pStyle w:val="ArticleBJL3"/>
      </w:pPr>
      <w:bookmarkStart w:id="264" w:name="_Ref448392707"/>
      <w:r>
        <w:t xml:space="preserve">if the consideration to be paid in exchange for the Shares pursuant to this Section </w:t>
      </w:r>
      <w:r>
        <w:fldChar w:fldCharType="begin"/>
      </w:r>
      <w:r>
        <w:instrText xml:space="preserve"> REF _Ref463554314 \w \h </w:instrText>
      </w:r>
      <w:r>
        <w:fldChar w:fldCharType="separate"/>
      </w:r>
      <w:r w:rsidR="00230E5B">
        <w:t>6.10</w:t>
      </w:r>
      <w:r>
        <w:fldChar w:fldCharType="end"/>
      </w:r>
      <w:r>
        <w:t xml:space="preserve"> includes any securities and due receipt thereof by any Shareholder would require under applicable law </w:t>
      </w:r>
      <w:bookmarkStart w:id="265" w:name="DocXTextRef42"/>
      <w:r>
        <w:t>(x)</w:t>
      </w:r>
      <w:bookmarkEnd w:id="265"/>
      <w:r>
        <w:t xml:space="preserve"> the registration or qualification of such securities or of any Person as a broker or dealer or agent with respect to such securities; or </w:t>
      </w:r>
      <w:bookmarkStart w:id="266" w:name="DocXTextRef43"/>
      <w:r>
        <w:t>(y)</w:t>
      </w:r>
      <w:bookmarkEnd w:id="266"/>
      <w:r>
        <w:t xml:space="preserve"> the provision to any Shareholder of any information other than such information as a prudent issuer would generally furnish in an offering made solely to "accredited investors" as defined in National Instrument 45-106 – Prospectus Exemptions ("</w:t>
      </w:r>
      <w:r>
        <w:rPr>
          <w:b/>
          <w:bCs/>
        </w:rPr>
        <w:t>NI 45-106</w:t>
      </w:r>
      <w:r>
        <w:t xml:space="preserve">"), the Company may cause to be paid to any such Shareholder in place </w:t>
      </w:r>
      <w:r>
        <w:t>thereof, against surrender of the Shares which would have otherwise been sold by such Shareholder, an amount in cash equal to the fair value (as determined in good faith by the Board) of the securities which such Shareholder would otherwise receive as of the date of the issuance of such securities in exchange for the Shares;</w:t>
      </w:r>
      <w:bookmarkEnd w:id="264"/>
    </w:p>
    <w:p w:rsidR="00C20A1A">
      <w:pPr>
        <w:pStyle w:val="ArticleBJL3"/>
      </w:pPr>
      <w:bookmarkStart w:id="267" w:name="_Ref448392708"/>
      <w:r>
        <w:t>if the Selling Investors, in connection with the Drag Along Sale, appoint a shareholder representative (the "</w:t>
      </w:r>
      <w:r>
        <w:rPr>
          <w:b/>
          <w:bCs/>
        </w:rPr>
        <w:t>Shareholder Representative</w:t>
      </w:r>
      <w:r>
        <w:t xml:space="preserve">") with respect to matters affecting the Shareholders under the applicable definitive transaction agreements following consummation of the Drag Along Sale, </w:t>
      </w:r>
      <w:bookmarkStart w:id="268" w:name="DocXTextRef44"/>
      <w:r>
        <w:t>(x)</w:t>
      </w:r>
      <w:bookmarkEnd w:id="268"/>
      <w:r>
        <w:t xml:space="preserve"> to consent to </w:t>
      </w:r>
      <w:bookmarkStart w:id="269" w:name="DocXTextRef45"/>
      <w:r>
        <w:t>(i)</w:t>
      </w:r>
      <w:bookmarkEnd w:id="269"/>
      <w:r>
        <w:t xml:space="preserve"> the appointment of such Shareholder Representative, </w:t>
      </w:r>
      <w:bookmarkStart w:id="270" w:name="DocXTextRef46"/>
      <w:r>
        <w:t>(ii)</w:t>
      </w:r>
      <w:bookmarkEnd w:id="270"/>
      <w:r>
        <w:t xml:space="preserve"> the establishment of any applicable escrow, expense or similar fund in connection with any indemnification or similar obligations, and </w:t>
      </w:r>
      <w:bookmarkStart w:id="271" w:name="DocXTextRef47"/>
      <w:r>
        <w:t>(iii)</w:t>
      </w:r>
      <w:bookmarkEnd w:id="271"/>
      <w:r>
        <w:t xml:space="preserve"> the payment of such Shareholder's proportionate portion (from the applicable escrow or expense fund or otherwise) of any and all reasonable fees and expenses to such Shareholder Representative in connection with such Shareholder Representative's services and duties in connection with the Drag Along Sale and its related service as the representative of the Shareholders, and </w:t>
      </w:r>
      <w:bookmarkStart w:id="272" w:name="DocXTextRef48"/>
      <w:r>
        <w:t>(y)</w:t>
      </w:r>
      <w:bookmarkEnd w:id="272"/>
      <w:r>
        <w:t xml:space="preserve"> not to assert any claim or commence any suit against the Shareholder Representative or any other Shareholder with respect to any action or inaction taken or failed to be taken by the Shareholder Representative, within the scope of the Shareholders Representative's authority, in connection with its service as the Shareholder Representative, absent fraud, bad faith, </w:t>
      </w:r>
      <w:r w:rsidRPr="008E01FD">
        <w:rPr>
          <w:b/>
        </w:rPr>
        <w:t>[gross negligence]</w:t>
      </w:r>
      <w:r>
        <w:t xml:space="preserve"> or willful misconduct</w:t>
      </w:r>
      <w:bookmarkEnd w:id="267"/>
      <w:r>
        <w:t>;</w:t>
      </w:r>
    </w:p>
    <w:p w:rsidR="00C20A1A">
      <w:pPr>
        <w:pStyle w:val="ArticleBJL3"/>
      </w:pPr>
      <w:r w:rsidRPr="00D53CBD">
        <w:rPr>
          <w:b/>
        </w:rPr>
        <w:t xml:space="preserve">[a Shareholder that accepts or is deemed to accept a Drag Along Sale is not required to comply with Section </w:t>
      </w:r>
      <w:r w:rsidRPr="00D53CBD">
        <w:rPr>
          <w:b/>
        </w:rPr>
        <w:fldChar w:fldCharType="begin"/>
      </w:r>
      <w:r w:rsidRPr="00D53CBD">
        <w:rPr>
          <w:b/>
        </w:rPr>
        <w:instrText xml:space="preserve"> REF _Ref466990165 \r \h </w:instrText>
      </w:r>
      <w:r>
        <w:rPr>
          <w:b/>
        </w:rPr>
        <w:instrText xml:space="preserve"> \* MERGEFORMAT </w:instrText>
      </w:r>
      <w:r w:rsidRPr="00D53CBD">
        <w:rPr>
          <w:b/>
        </w:rPr>
        <w:fldChar w:fldCharType="separate"/>
      </w:r>
      <w:r w:rsidR="00230E5B">
        <w:rPr>
          <w:b/>
        </w:rPr>
        <w:t>6.4</w:t>
      </w:r>
      <w:r w:rsidRPr="00D53CBD">
        <w:rPr>
          <w:b/>
        </w:rPr>
        <w:fldChar w:fldCharType="end"/>
      </w:r>
      <w:r w:rsidRPr="00D53CBD">
        <w:rPr>
          <w:b/>
        </w:rPr>
        <w:t xml:space="preserve"> (Right of First Refusal) or Section </w:t>
      </w:r>
      <w:r w:rsidRPr="00D53CBD">
        <w:rPr>
          <w:b/>
        </w:rPr>
        <w:fldChar w:fldCharType="begin"/>
      </w:r>
      <w:r w:rsidRPr="00D53CBD">
        <w:rPr>
          <w:b/>
        </w:rPr>
        <w:instrText xml:space="preserve"> REF _Ref466990184 \r \h </w:instrText>
      </w:r>
      <w:r>
        <w:rPr>
          <w:b/>
        </w:rPr>
        <w:instrText xml:space="preserve"> \* MERGEFORMAT </w:instrText>
      </w:r>
      <w:r w:rsidRPr="00D53CBD">
        <w:rPr>
          <w:b/>
        </w:rPr>
        <w:fldChar w:fldCharType="separate"/>
      </w:r>
      <w:r w:rsidR="00230E5B">
        <w:rPr>
          <w:b/>
        </w:rPr>
        <w:t>6.5</w:t>
      </w:r>
      <w:r w:rsidRPr="00D53CBD">
        <w:rPr>
          <w:b/>
        </w:rPr>
        <w:fldChar w:fldCharType="end"/>
      </w:r>
      <w:r w:rsidRPr="00D53CBD">
        <w:rPr>
          <w:b/>
        </w:rPr>
        <w:t xml:space="preserve"> (Right of Co-Sale/Piggyback Right);]</w:t>
      </w:r>
      <w:r>
        <w:t xml:space="preserve"> and</w:t>
      </w:r>
    </w:p>
    <w:p w:rsidR="00C20A1A" w:rsidRPr="00D53CBD">
      <w:pPr>
        <w:pStyle w:val="ArticleBJL3"/>
        <w:rPr>
          <w:b/>
        </w:rPr>
      </w:pPr>
      <w:r w:rsidRPr="00D53CBD">
        <w:rPr>
          <w:b/>
        </w:rPr>
        <w:t>[the Company will promptly take all actions reasonably necessary to complete the transactions contemplated by the Drag Along Sale.]</w:t>
      </w:r>
    </w:p>
    <w:p w:rsidR="00C20A1A">
      <w:pPr>
        <w:pStyle w:val="ArticleBJL2"/>
      </w:pPr>
      <w:bookmarkStart w:id="273" w:name="_Toc463463908"/>
      <w:bookmarkStart w:id="274" w:name="_Toc481488864"/>
      <w:bookmarkStart w:id="275" w:name="_Ref448409410"/>
      <w:bookmarkStart w:id="276" w:name="_Ref525059012"/>
      <w:bookmarkStart w:id="277" w:name="_Ref525059733"/>
      <w:bookmarkStart w:id="278" w:name="_Ref525895376"/>
      <w:bookmarkStart w:id="279" w:name="_Ref56081254"/>
      <w:bookmarkStart w:id="280" w:name="_Toc56159052"/>
      <w:bookmarkStart w:id="281" w:name="_Ref56327500"/>
      <w:r>
        <w:t>Conditions</w:t>
      </w:r>
      <w:r>
        <w:rPr>
          <w:rStyle w:val="FootnoteReference"/>
        </w:rPr>
        <w:footnoteReference w:id="76"/>
      </w:r>
      <w:bookmarkEnd w:id="273"/>
      <w:bookmarkEnd w:id="274"/>
      <w:bookmarkEnd w:id="275"/>
      <w:bookmarkEnd w:id="276"/>
      <w:bookmarkEnd w:id="277"/>
      <w:bookmarkEnd w:id="278"/>
      <w:bookmarkEnd w:id="279"/>
      <w:bookmarkEnd w:id="280"/>
      <w:bookmarkEnd w:id="281"/>
    </w:p>
    <w:p w:rsidR="00C20A1A">
      <w:pPr>
        <w:pStyle w:val="ArticleBJCont2"/>
      </w:pPr>
      <w:r>
        <w:t xml:space="preserve">Notwithstanding anything to the contrary set forth herein, a Shareholder will not be required to comply with Section </w:t>
      </w:r>
      <w:r>
        <w:fldChar w:fldCharType="begin"/>
      </w:r>
      <w:r>
        <w:instrText xml:space="preserve"> REF _Ref463554402 \w \h </w:instrText>
      </w:r>
      <w:r>
        <w:fldChar w:fldCharType="separate"/>
      </w:r>
      <w:r w:rsidR="00230E5B">
        <w:t>6.10</w:t>
      </w:r>
      <w:r>
        <w:fldChar w:fldCharType="end"/>
      </w:r>
      <w:r>
        <w:t xml:space="preserve"> above in connection with any proposed Drag Along Sale, unless:</w:t>
      </w:r>
    </w:p>
    <w:p w:rsidR="00C20A1A">
      <w:pPr>
        <w:pStyle w:val="ArticleBJL3"/>
        <w:rPr>
          <w:b/>
          <w:bCs/>
        </w:rPr>
      </w:pPr>
      <w:bookmarkStart w:id="282" w:name="_Ref448392710"/>
      <w:r>
        <w:rPr>
          <w:b/>
          <w:bCs/>
        </w:rPr>
        <w:t xml:space="preserve">[any representations and warranties to be made by such Shareholder in connection with the Drag Along Sale are limited to representations and warranties related to authority, ownership and the ability to convey title to such Shares, including representations and warranties that </w:t>
      </w:r>
      <w:bookmarkStart w:id="283" w:name="DocXTextRef50"/>
      <w:r>
        <w:rPr>
          <w:b/>
          <w:bCs/>
        </w:rPr>
        <w:t>(i)</w:t>
      </w:r>
      <w:bookmarkEnd w:id="283"/>
      <w:r>
        <w:rPr>
          <w:b/>
          <w:bCs/>
        </w:rPr>
        <w:t xml:space="preserve"> the Shareholder holds all right, title and interest in and to the Shares such Shareholder purports to hold, free and clear of all liens and encumbrances, </w:t>
      </w:r>
      <w:bookmarkStart w:id="284" w:name="DocXTextRef51"/>
      <w:r>
        <w:rPr>
          <w:b/>
          <w:bCs/>
        </w:rPr>
        <w:t>(ii)</w:t>
      </w:r>
      <w:bookmarkEnd w:id="284"/>
      <w:r>
        <w:rPr>
          <w:b/>
          <w:bCs/>
        </w:rPr>
        <w:t xml:space="preserve"> the obligations of the Shareholder in connection with the transaction have been duly authorized, if applicable, </w:t>
      </w:r>
      <w:bookmarkStart w:id="285" w:name="DocXTextRef52"/>
      <w:r>
        <w:rPr>
          <w:b/>
          <w:bCs/>
        </w:rPr>
        <w:t>(iii)</w:t>
      </w:r>
      <w:bookmarkEnd w:id="285"/>
      <w:r>
        <w:rPr>
          <w:b/>
          <w:bCs/>
        </w:rPr>
        <w:t xml:space="preserve"> the documents to be entered into by the Shareholder have been duly executed by the Shareholder and delivered to the acquirer and are enforceable (subject to customary limitations) against the </w:t>
      </w:r>
      <w:r>
        <w:rPr>
          <w:b/>
          <w:bCs/>
        </w:rPr>
        <w:t xml:space="preserve">Shareholder in accordance with their respective terms; </w:t>
      </w:r>
      <w:bookmarkStart w:id="286" w:name="DocXTextRef53"/>
      <w:r>
        <w:rPr>
          <w:b/>
          <w:bCs/>
        </w:rPr>
        <w:t>(iv)</w:t>
      </w:r>
      <w:bookmarkEnd w:id="286"/>
      <w:r>
        <w:rPr>
          <w:b/>
          <w:bCs/>
        </w:rPr>
        <w:t xml:space="preserve"> neither the execution and delivery of documents to be entered into by the Shareholder in connection with the transaction, nor the performance of the Shareholder's obligations thereunder, will cause a breach or violation of the terms of any agreement to which the Shareholder is a party, or any law or judgment, order or decree of any court or governmental agency that applies to the Shareholder[; and (v) the Shareholder is/is not a resident of Canada for tax purposes];</w:t>
      </w:r>
      <w:bookmarkEnd w:id="282"/>
    </w:p>
    <w:p w:rsidR="00C20A1A" w:rsidRPr="00F10187" w:rsidP="00E450A4">
      <w:pPr>
        <w:pStyle w:val="ArticleBJL3"/>
      </w:pPr>
      <w:bookmarkStart w:id="287" w:name="_Ref448392711"/>
      <w:r w:rsidRPr="00F10187">
        <w:t>such Shareholder is not required to agree (unless such Shareholder is a Company officer or employee) to any restrictive covenant in connection with the Drag Along Sale (including</w:t>
      </w:r>
      <w:r w:rsidR="009F4E0D">
        <w:t xml:space="preserve"> </w:t>
      </w:r>
      <w:r w:rsidRPr="00F10187">
        <w:t>any covenant not to compete or covenant not to solicit customers, employees or suppliers of any party to the Drag Along Sale) or any release of claims other than a release in customary form of claims arising solely in such Shareholder's capacity as a shareholder of the Company;</w:t>
      </w:r>
    </w:p>
    <w:p w:rsidR="00C20A1A" w:rsidRPr="00F10187" w:rsidP="00E450A4">
      <w:pPr>
        <w:pStyle w:val="ArticleBJL3"/>
      </w:pPr>
      <w:r w:rsidRPr="00F10187">
        <w:t>such Shareholder and its Affiliates are not required to amend, extend or terminate any contractual or other relationship with the Company, the acquirer or their respective Affiliates, except that the Shareholder may be required to agree to terminate the investment-related documents between or among such Shareholder, the Company and/or other shareholders of the Company;</w:t>
      </w:r>
    </w:p>
    <w:p w:rsidR="00C20A1A" w:rsidRPr="008E01FD" w:rsidP="00E450A4">
      <w:pPr>
        <w:pStyle w:val="ArticleBJL3"/>
        <w:rPr>
          <w:b/>
        </w:rPr>
      </w:pPr>
      <w:r w:rsidRPr="00B2677B">
        <w:t>the Shareholder is not liable for the breach of any representation, warranty or covenant made by any other Person in connection with the Drag Along Sale, other than the Company</w:t>
      </w:r>
      <w:r w:rsidRPr="00E450A4">
        <w:rPr>
          <w:b/>
        </w:rPr>
        <w:t xml:space="preserve"> [(except to the extent that funds may be paid out of an escrow established to cover breach of representations, warranties and covenants of the Company as well as breach by any shareholder of any of identical representations, warranties and covenants provided by all shareholders)];</w:t>
      </w:r>
    </w:p>
    <w:p w:rsidR="00C20A1A" w:rsidRPr="00F10187">
      <w:pPr>
        <w:pStyle w:val="ArticleBJL3"/>
        <w:rPr>
          <w:bCs/>
        </w:rPr>
      </w:pPr>
      <w:bookmarkStart w:id="288" w:name="_Ref448392713"/>
      <w:bookmarkEnd w:id="287"/>
      <w:r w:rsidRPr="00F10187">
        <w:rPr>
          <w:bCs/>
        </w:rPr>
        <w:t>liability shall be limited to such Shareholder's applicable share (determined based on the respective proceeds payable to each Shareholder in connection with the Drag Along Sale in accordance with the provisions of the Articles) of a negotiated aggregate indemnification amount that applies equally to all Shareholders but that in no event exceeds the amount of consideration otherwise payable to such Shareholder in connection with the Drag Along Sale, except with respect to claims related to fraud by such Shareholder, the liability for which need not be limited as to such Shareholder;</w:t>
      </w:r>
      <w:bookmarkEnd w:id="288"/>
    </w:p>
    <w:p w:rsidR="00C20A1A" w:rsidP="00E450A4">
      <w:pPr>
        <w:pStyle w:val="ArticleBJL3"/>
      </w:pPr>
      <w:bookmarkStart w:id="289" w:name="_Ref448392714"/>
      <w:r>
        <w:t xml:space="preserve">upon the consummation of the Drag Along Sale </w:t>
      </w:r>
      <w:bookmarkStart w:id="290" w:name="DocXTextRef54"/>
      <w:r>
        <w:t>(i)</w:t>
      </w:r>
      <w:bookmarkEnd w:id="290"/>
      <w:r>
        <w:t xml:space="preserve"> each holder of each class or series of shares of the Company will receive the same form of consideration for their shares of such class or series as is received by other holders in respect of their shares of such same class or series of shares,</w:t>
      </w:r>
      <w:bookmarkStart w:id="291" w:name="DocXTextRef55"/>
      <w:r>
        <w:t xml:space="preserve"> </w:t>
      </w:r>
      <w:r w:rsidRPr="00E450A4">
        <w:rPr>
          <w:b/>
        </w:rPr>
        <w:t>[and if any holders of any shares of the Company are given a choice as to the form of consideration to be received as a result of the Drag Along Sale, all holders of such shares will be given the same option,]</w:t>
      </w:r>
      <w:r>
        <w:rPr>
          <w:rStyle w:val="FootnoteReference"/>
          <w:b/>
        </w:rPr>
        <w:footnoteReference w:id="77"/>
      </w:r>
      <w:r>
        <w:t xml:space="preserve"> (ii)</w:t>
      </w:r>
      <w:bookmarkEnd w:id="291"/>
      <w:r>
        <w:t xml:space="preserve"> each holder of a class or series of Preferred Shares will receive the same amount of consideration per share of such class or series of Preferred </w:t>
      </w:r>
      <w:r>
        <w:t xml:space="preserve">Shares as is received by other holders in respect of their shares of such same class or series, </w:t>
      </w:r>
      <w:bookmarkStart w:id="292" w:name="DocXTextRef56"/>
      <w:r>
        <w:t>(iii)</w:t>
      </w:r>
      <w:bookmarkEnd w:id="292"/>
      <w:r>
        <w:t xml:space="preserve"> each holder of Common Shares will receive the same amount of consideration per Common Share as is received by other holders in respect of their Common Shares, and </w:t>
      </w:r>
      <w:bookmarkStart w:id="293" w:name="DocXTextRef57"/>
      <w:r>
        <w:t>(iv)</w:t>
      </w:r>
      <w:bookmarkEnd w:id="293"/>
      <w:r>
        <w:t xml:space="preserve"> unless waived pursuant to the terms of the Articles and as may be required by law, the aggregate consideration receivable by all holders of the Preferred Shares and Common Shares shall be allocated among the holders of Preferred Shares and Common Shares on the basis of the relative liquidation preferences to which the holders of each respective class or series of Preferred Shares and the holders of Common Shares are entitled in a Deemed Liquidation Event (assuming for this purpose that the Drag Along Sale is a Deemed Liquidation Event) in accordance with the Articles in effect immediately prior to the Drag Along Sale; provided, however, that, notwithstanding the foregoing provisions of this Section </w:t>
      </w:r>
      <w:r>
        <w:fldChar w:fldCharType="begin"/>
      </w:r>
      <w:r>
        <w:instrText xml:space="preserve"> REF _Ref525895376 \r \h </w:instrText>
      </w:r>
      <w:r>
        <w:fldChar w:fldCharType="separate"/>
      </w:r>
      <w:r w:rsidR="00230E5B">
        <w:t>6.11</w:t>
      </w:r>
      <w:r>
        <w:fldChar w:fldCharType="end"/>
      </w:r>
      <w:r>
        <w:fldChar w:fldCharType="begin"/>
      </w:r>
      <w:r>
        <w:instrText xml:space="preserve"> REF _Ref448392714 \r \h </w:instrText>
      </w:r>
      <w:r>
        <w:fldChar w:fldCharType="separate"/>
      </w:r>
      <w:r w:rsidR="00230E5B">
        <w:t>(f)</w:t>
      </w:r>
      <w:r>
        <w:fldChar w:fldCharType="end"/>
      </w:r>
      <w:r>
        <w:t xml:space="preserve">, if the consideration to be paid in exchange for the Shares held by the Key Holder or Investor, as applicable, pursuant to this Section </w:t>
      </w:r>
      <w:r>
        <w:rPr>
          <w:cs/>
        </w:rPr>
        <w:fldChar w:fldCharType="begin"/>
      </w:r>
      <w:r>
        <w:instrText xml:space="preserve"> REF _Ref448392714 \w \h </w:instrText>
      </w:r>
      <w:r>
        <w:rPr>
          <w:cs/>
        </w:rPr>
        <w:fldChar w:fldCharType="separate"/>
      </w:r>
      <w:r w:rsidR="00230E5B">
        <w:t>6.11(f)</w:t>
      </w:r>
      <w:r>
        <w:rPr>
          <w:cs/>
        </w:rPr>
        <w:fldChar w:fldCharType="end"/>
      </w:r>
      <w:r>
        <w:t xml:space="preserve"> includes any securities and due receipt thereof by any Key Holder or Investor would require under applicable law </w:t>
      </w:r>
      <w:bookmarkStart w:id="294" w:name="DocXTextRef59"/>
      <w:r>
        <w:t>(x)</w:t>
      </w:r>
      <w:bookmarkEnd w:id="294"/>
      <w:r>
        <w:t xml:space="preserve"> the registration or qualification of such securities or of any Person as a broker or dealer or agent with respect to such securities; or </w:t>
      </w:r>
      <w:bookmarkStart w:id="295" w:name="DocXTextRef60"/>
      <w:r>
        <w:t>(y)</w:t>
      </w:r>
      <w:bookmarkEnd w:id="295"/>
      <w:r>
        <w:t xml:space="preserve"> the provision to any Key Holder or Investor of any information other than such information as a prudent issuer would generally furnish in an offering made solely to "accredited investors" as defined in NI 45-106, the Company may cause to be paid to any such Key Holder or Investor in place thereof, against surrender of the Shares held by the Key Holder or Investor, as applicable, which would have otherwise been sold by such Key Holder or Investor, an amount in cash equal to the fair value (as determined in good faith by the Board) of the securities which such Key Holder or Investor would otherwise receive as of the date of the issuance of such securities in exchange for the Shares held by the Key Holder or Investor, as applicable; and</w:t>
      </w:r>
      <w:bookmarkEnd w:id="289"/>
      <w:r>
        <w:t xml:space="preserve"> </w:t>
      </w:r>
    </w:p>
    <w:p w:rsidR="00C20A1A">
      <w:pPr>
        <w:pStyle w:val="ArticleBJL3"/>
        <w:rPr>
          <w:b/>
          <w:bCs/>
        </w:rPr>
      </w:pPr>
      <w:bookmarkStart w:id="296" w:name="_Ref448392715"/>
      <w:r>
        <w:rPr>
          <w:b/>
          <w:bCs/>
        </w:rPr>
        <w:t xml:space="preserve">[subject to clause </w:t>
      </w:r>
      <w:r>
        <w:rPr>
          <w:b/>
          <w:bCs/>
        </w:rPr>
        <w:fldChar w:fldCharType="begin"/>
      </w:r>
      <w:r>
        <w:rPr>
          <w:b/>
          <w:bCs/>
        </w:rPr>
        <w:instrText xml:space="preserve"> REF _Ref448392714 \n \h  \* MERGEFORMAT </w:instrText>
      </w:r>
      <w:r>
        <w:rPr>
          <w:b/>
          <w:bCs/>
        </w:rPr>
        <w:fldChar w:fldCharType="separate"/>
      </w:r>
      <w:r w:rsidR="00230E5B">
        <w:rPr>
          <w:b/>
          <w:bCs/>
        </w:rPr>
        <w:t>(f)</w:t>
      </w:r>
      <w:r>
        <w:rPr>
          <w:b/>
          <w:bCs/>
        </w:rPr>
        <w:fldChar w:fldCharType="end"/>
      </w:r>
      <w:r>
        <w:rPr>
          <w:b/>
          <w:bCs/>
        </w:rPr>
        <w:t xml:space="preserve"> above, requiring the same form of consideration to be available to the holders of any single class or series of shares, if any holders of any shares of the Company are given an option as to the form and amount of consideration to be received as a result of the Drag Along Sale, all holders of such shares will be given the same option; provided, however, that nothing in this Section </w:t>
      </w:r>
      <w:r>
        <w:rPr>
          <w:b/>
          <w:bCs/>
          <w:cs/>
        </w:rPr>
        <w:t>‎</w:t>
      </w:r>
      <w:r>
        <w:rPr>
          <w:b/>
          <w:bCs/>
        </w:rPr>
        <w:fldChar w:fldCharType="begin"/>
      </w:r>
      <w:r>
        <w:rPr>
          <w:b/>
          <w:bCs/>
        </w:rPr>
        <w:instrText xml:space="preserve"> REF _Ref448392715 \w \h  \* MERGEFORMAT </w:instrText>
      </w:r>
      <w:r>
        <w:rPr>
          <w:b/>
          <w:bCs/>
        </w:rPr>
        <w:fldChar w:fldCharType="separate"/>
      </w:r>
      <w:r w:rsidR="00230E5B">
        <w:rPr>
          <w:b/>
          <w:bCs/>
        </w:rPr>
        <w:t>6.11(g)</w:t>
      </w:r>
      <w:r>
        <w:rPr>
          <w:b/>
          <w:bCs/>
        </w:rPr>
        <w:fldChar w:fldCharType="end"/>
      </w:r>
      <w:r>
        <w:rPr>
          <w:b/>
          <w:bCs/>
        </w:rPr>
        <w:t xml:space="preserve"> shall entitle any holder to receive any form of consideration that such holder would be ineligible to receive as a result of such holder's failure to satisfy any condition, requirement or limitation that is generally applicable to the Shareholders.</w:t>
      </w:r>
      <w:bookmarkEnd w:id="296"/>
      <w:r>
        <w:rPr>
          <w:b/>
          <w:bCs/>
        </w:rPr>
        <w:t>]</w:t>
      </w:r>
    </w:p>
    <w:p w:rsidR="00C20A1A">
      <w:pPr>
        <w:pStyle w:val="ArticleBJL2"/>
      </w:pPr>
      <w:bookmarkStart w:id="297" w:name="_Ref448392716"/>
      <w:bookmarkStart w:id="298" w:name="_Toc463463909"/>
      <w:bookmarkStart w:id="299" w:name="_Toc481488865"/>
      <w:bookmarkStart w:id="300" w:name="_Toc56159053"/>
      <w:r>
        <w:t>Restrictions on Sales of Control of the Company</w:t>
      </w:r>
      <w:bookmarkEnd w:id="297"/>
      <w:r>
        <w:rPr>
          <w:rStyle w:val="FootnoteReference"/>
        </w:rPr>
        <w:footnoteReference w:id="78"/>
      </w:r>
      <w:bookmarkEnd w:id="298"/>
      <w:bookmarkEnd w:id="299"/>
      <w:bookmarkEnd w:id="300"/>
    </w:p>
    <w:p w:rsidR="00C20A1A">
      <w:pPr>
        <w:pStyle w:val="ArticleBJCont2"/>
        <w:rPr>
          <w:b/>
          <w:bCs/>
        </w:rPr>
      </w:pPr>
      <w:r>
        <w:rPr>
          <w:b/>
          <w:bCs/>
        </w:rPr>
        <w:t xml:space="preserve">No Shareholder shall be a party to any Share Sale unless (a) all holders of Preferred Shares are allowed to participate in such transaction(s), and (b) the consideration received pursuant </w:t>
      </w:r>
      <w:r>
        <w:rPr>
          <w:b/>
          <w:bCs/>
        </w:rPr>
        <w:t xml:space="preserve">to such transaction is allocated among the parties thereto in the manner specified in the Articles in effect immediately prior to the Share Sale (as if such transaction(s) were a Deemed Liquidation Event), unless the holders of at least </w:t>
      </w:r>
      <w:r w:rsidRPr="00E450A4">
        <w:rPr>
          <w:b/>
          <w:bCs/>
        </w:rPr>
        <w:t>the requisite percentage required to waive treatment of the transaction(s) as a Deemed Liquidation Event pursuant to the terms of the Articles, elect to allocate the consideration differently</w:t>
      </w:r>
      <w:r>
        <w:rPr>
          <w:b/>
          <w:bCs/>
        </w:rPr>
        <w:t xml:space="preserve"> by written notice given to the Company at least [___] days prior to the effective date of any such transaction or series of related transactions.]</w:t>
      </w:r>
    </w:p>
    <w:p w:rsidR="00C20A1A" w:rsidP="00480F0D">
      <w:pPr>
        <w:pStyle w:val="ArticleBJL1"/>
      </w:pPr>
      <w:r>
        <w:br/>
      </w:r>
      <w:bookmarkStart w:id="301" w:name="_Ref525892413"/>
      <w:bookmarkStart w:id="302" w:name="_Toc56159054"/>
      <w:r w:rsidR="00B44048">
        <w:t>[</w:t>
      </w:r>
      <w:r>
        <w:t>"Bad Actor" Matters</w:t>
      </w:r>
      <w:r w:rsidR="00B44048">
        <w:t>]</w:t>
      </w:r>
      <w:r>
        <w:rPr>
          <w:rStyle w:val="FootnoteReference"/>
        </w:rPr>
        <w:footnoteReference w:id="79"/>
      </w:r>
      <w:bookmarkEnd w:id="301"/>
      <w:bookmarkEnd w:id="302"/>
    </w:p>
    <w:p w:rsidR="00C20A1A" w:rsidP="00184DF9">
      <w:pPr>
        <w:pStyle w:val="ArticleBJL2"/>
      </w:pPr>
      <w:bookmarkStart w:id="303" w:name="_Toc56159055"/>
      <w:r>
        <w:t>Definitions</w:t>
      </w:r>
      <w:bookmarkEnd w:id="303"/>
    </w:p>
    <w:p w:rsidR="00C20A1A" w:rsidP="00184DF9">
      <w:pPr>
        <w:pStyle w:val="ArticleBJCont2"/>
      </w:pPr>
      <w:r>
        <w:t>For purposes of this Agreement:</w:t>
      </w:r>
    </w:p>
    <w:p w:rsidR="00C20A1A" w:rsidP="00184DF9">
      <w:pPr>
        <w:pStyle w:val="ArticleBJL3"/>
      </w:pPr>
      <w:r>
        <w:t>"</w:t>
      </w:r>
      <w:r w:rsidRPr="00184DF9">
        <w:rPr>
          <w:b/>
        </w:rPr>
        <w:t>Company Covered Person</w:t>
      </w:r>
      <w:r>
        <w:t>" means, with respect to the Company as an "issuer" for purposes of Rule 506 promulgated under the Securities Act, any Person listed in the first paragraph of Rule 506(d)(1).</w:t>
      </w:r>
    </w:p>
    <w:p w:rsidR="00C20A1A" w:rsidP="00184DF9">
      <w:pPr>
        <w:pStyle w:val="ArticleBJL3"/>
      </w:pPr>
      <w:r>
        <w:t>"</w:t>
      </w:r>
      <w:r w:rsidRPr="00184DF9">
        <w:rPr>
          <w:b/>
        </w:rPr>
        <w:t>Disqualified Designee</w:t>
      </w:r>
      <w:r>
        <w:t>" means any director designee to whom any Disqualification Event is applicable, except for a Disqualification Event as to which Rule 506(d)(2)(ii) or (iii) or (d)(3) is applicable.</w:t>
      </w:r>
    </w:p>
    <w:p w:rsidR="00C20A1A" w:rsidP="00184DF9">
      <w:pPr>
        <w:pStyle w:val="ArticleBJL3"/>
      </w:pPr>
      <w:r>
        <w:t>"</w:t>
      </w:r>
      <w:r w:rsidRPr="00184DF9">
        <w:rPr>
          <w:b/>
        </w:rPr>
        <w:t>Disqualification Event</w:t>
      </w:r>
      <w:r>
        <w:t>" means a "bad actor" disqualifying event described in Rule 506(d)(1)(i)-(viii) promulgated under the Securities Act.</w:t>
      </w:r>
    </w:p>
    <w:p w:rsidR="00C20A1A" w:rsidP="00184DF9">
      <w:pPr>
        <w:pStyle w:val="ArticleBJL3"/>
      </w:pPr>
      <w:r>
        <w:t>"</w:t>
      </w:r>
      <w:r w:rsidRPr="00184DF9">
        <w:rPr>
          <w:b/>
        </w:rPr>
        <w:t>Rule 506(d) Related Party</w:t>
      </w:r>
      <w:r>
        <w:t>" means, with respect to any Person, any other Person that is a beneficial owner of such first Person's securities for purposes of Rule 506(d) under the Securities Act.</w:t>
      </w:r>
    </w:p>
    <w:p w:rsidR="00C20A1A" w:rsidP="00184DF9">
      <w:pPr>
        <w:pStyle w:val="ArticleBJL2"/>
      </w:pPr>
      <w:bookmarkStart w:id="304" w:name="_Toc56159056"/>
      <w:r>
        <w:t>Representations</w:t>
      </w:r>
      <w:bookmarkEnd w:id="304"/>
    </w:p>
    <w:p w:rsidR="00C20A1A" w:rsidP="00184DF9">
      <w:pPr>
        <w:pStyle w:val="ArticleBJL3"/>
      </w:pPr>
      <w:r>
        <w:t xml:space="preserve">Each Person with the right to designate or participate in the designation of a director pursuant to this Agreement hereby represents that (i) such Person has exercised reasonable care to determine whether any Disqualification Event is  applicable to such Person, any director designee designated by such Person pursuant to this Agreement or any of such Person's Rule 506(d) Related Parties, except, if applicable, for a Disqualification Event as to which Rule 506(d)(2)(ii) or (iii) or (d)(3) is applicable and (ii) no Disqualification Event is applicable to such Person, any Board member designated by such Person pursuant to this Agreement or any </w:t>
      </w:r>
      <w:r>
        <w:t>of such Person's Rule 506(d) Related Parties, except, if applicable, for a Disqualification Event as to which Rule 506(d)(2)(ii) or (iii) or (d)(3) is applicable.</w:t>
      </w:r>
      <w:r>
        <w:rPr>
          <w:rStyle w:val="FootnoteReference"/>
        </w:rPr>
        <w:footnoteReference w:id="80"/>
      </w:r>
      <w:r>
        <w:t xml:space="preserve">  Notwithstanding anything to the contrary in this Agreement, each Investor makes no representation regarding any Person that may be deemed to be a beneficial owner of the Company's voting equity securities held by such Investor solely by virtue of that Person being or becoming a party to (x) this Agreement, as may be subsequently amended, or (y) any other contract or written agreement to which the Company and such Investor are parties regarding (1) the voting power, which includes the power to vote or to direct the voting of, such security; and/or (2) the investment power, which includes the power to dispose, or to direct the disposition of, such security.</w:t>
      </w:r>
    </w:p>
    <w:p w:rsidR="00C20A1A" w:rsidP="00184DF9">
      <w:pPr>
        <w:pStyle w:val="ArticleBJL3"/>
      </w:pPr>
      <w:r>
        <w:t>The Company hereby represents and warrants to the Investors that no Disqualification Event is applicable to the Company or, to the Company's knowledge, any Company Covered Person, except for a Disqualification Event as to which Rule 506(d)(2)(ii)-(iv) or (d)(3) is applicable.</w:t>
      </w:r>
    </w:p>
    <w:p w:rsidR="00C20A1A" w:rsidP="00003589">
      <w:pPr>
        <w:pStyle w:val="ArticleBJL2"/>
      </w:pPr>
      <w:bookmarkStart w:id="305" w:name="_Toc56159057"/>
      <w:r>
        <w:t>[Covenant</w:t>
      </w:r>
      <w:bookmarkEnd w:id="305"/>
    </w:p>
    <w:p w:rsidR="00C20A1A" w:rsidP="00003589">
      <w:pPr>
        <w:pStyle w:val="ArticleBJCont2"/>
      </w:pPr>
      <w:r>
        <w:t>Each Person with the right to designate or participate in the designation of a director pursuant to this Agreement covenants and agrees (i) not to designate or participate in the designation of any director designee who, to such Person's knowledge, is a Disqualified Designee, (ii) to exercise reasonable care to determine whether any director designee designated by such Person is a Disqualified Designee, (iii) that in the event such Person becomes aware that any individual previously designated by any such Person is or has become a Disqualified Designee, such Person shall as promptly as practicable take such actions as are necessary to remove such Disqualified Designee from the Board and designate a replacement designee who is not a Disqualified Designee, and (iv) to notify the Company promptly in writing in the event a Disqualification Event becomes applicable to such Person or any of its Rule 506(d) Related Parties, or, to such Person's knowledge, to such Person's initial designee named in Section 1, except, if applicable, for a Disqualification Event as to which Rule 506(d)(2)(ii) or (iii) or (d)(3) is applicable.</w:t>
      </w:r>
      <w:r>
        <w:rPr>
          <w:rStyle w:val="FootnoteReference"/>
        </w:rPr>
        <w:footnoteReference w:id="81"/>
      </w:r>
      <w:r>
        <w:t xml:space="preserve"> ]</w:t>
      </w:r>
    </w:p>
    <w:p w:rsidR="00C20A1A">
      <w:pPr>
        <w:pStyle w:val="ArticleBJL1"/>
      </w:pPr>
      <w:r>
        <w:br/>
      </w:r>
      <w:bookmarkStart w:id="306" w:name="_Toc56159058"/>
      <w:r>
        <w:t>General</w:t>
      </w:r>
      <w:bookmarkEnd w:id="306"/>
    </w:p>
    <w:p w:rsidR="00C20A1A">
      <w:pPr>
        <w:pStyle w:val="ArticleBJL2"/>
      </w:pPr>
      <w:bookmarkStart w:id="307" w:name="_Ref448392719"/>
      <w:bookmarkStart w:id="308" w:name="_Toc463463912"/>
      <w:bookmarkStart w:id="309" w:name="_Ref463555228"/>
      <w:bookmarkStart w:id="310" w:name="_Toc481488866"/>
      <w:bookmarkStart w:id="311" w:name="_Toc56159059"/>
      <w:bookmarkStart w:id="312" w:name="_Ref463555151"/>
      <w:r>
        <w:t>[Irrevocable Proxy and Power of Attorney</w:t>
      </w:r>
      <w:bookmarkEnd w:id="307"/>
      <w:bookmarkEnd w:id="308"/>
      <w:bookmarkEnd w:id="309"/>
      <w:bookmarkEnd w:id="310"/>
      <w:bookmarkEnd w:id="311"/>
    </w:p>
    <w:p w:rsidR="00986C6E">
      <w:pPr>
        <w:pStyle w:val="ArticleBJCont2"/>
      </w:pPr>
      <w:r>
        <w:t xml:space="preserve">Each </w:t>
      </w:r>
      <w:r w:rsidRPr="00373387">
        <w:rPr>
          <w:b/>
        </w:rPr>
        <w:t>[Shareholder]</w:t>
      </w:r>
      <w:r>
        <w:t xml:space="preserve"> </w:t>
      </w:r>
      <w:r>
        <w:t xml:space="preserve">hereby constitutes and appoints as </w:t>
      </w:r>
      <w:r>
        <w:t>the Shareholder's proxy</w:t>
      </w:r>
      <w:r>
        <w:t xml:space="preserve"> and hereby grants a power of attorney to the </w:t>
      </w:r>
      <w:r>
        <w:rPr>
          <w:b/>
          <w:bCs/>
        </w:rPr>
        <w:t>[President</w:t>
      </w:r>
      <w:r>
        <w:t xml:space="preserve"> </w:t>
      </w:r>
      <w:r w:rsidRPr="00AB6A23">
        <w:rPr>
          <w:b/>
        </w:rPr>
        <w:t>of the Company]</w:t>
      </w:r>
      <w:r>
        <w:t>,</w:t>
      </w:r>
      <w:r>
        <w:t xml:space="preserve"> </w:t>
      </w:r>
      <w:r>
        <w:t xml:space="preserve">with full power of substitution, with respect </w:t>
      </w:r>
      <w:r w:rsidRPr="00AB6A23">
        <w:t>to the</w:t>
      </w:r>
      <w:r>
        <w:t xml:space="preserve"> following </w:t>
      </w:r>
      <w:r w:rsidRPr="00AB6A23">
        <w:t>matters</w:t>
      </w:r>
      <w:r>
        <w:t>:</w:t>
      </w:r>
    </w:p>
    <w:p w:rsidR="00986C6E" w:rsidP="00A43ED4">
      <w:pPr>
        <w:pStyle w:val="ArticleBJL3"/>
      </w:pPr>
      <w:r>
        <w:t xml:space="preserve">in respect of any increase in authorized shares to be undertaken in accordance with Section </w:t>
      </w:r>
      <w:r w:rsidR="00A43ED4">
        <w:fldChar w:fldCharType="begin"/>
      </w:r>
      <w:r w:rsidR="00A43ED4">
        <w:instrText xml:space="preserve"> REF _Ref463554675 \r \h </w:instrText>
      </w:r>
      <w:r w:rsidR="00A43ED4">
        <w:fldChar w:fldCharType="separate"/>
      </w:r>
      <w:r w:rsidR="00230E5B">
        <w:t>2.4</w:t>
      </w:r>
      <w:r w:rsidR="00A43ED4">
        <w:fldChar w:fldCharType="end"/>
      </w:r>
      <w:r>
        <w:t xml:space="preserve">, </w:t>
      </w:r>
      <w:r w:rsidRPr="00986C6E">
        <w:t>to vote such Shareholder</w:t>
      </w:r>
      <w:r w:rsidR="00373387">
        <w:t>'</w:t>
      </w:r>
      <w:r w:rsidRPr="00986C6E">
        <w:t xml:space="preserve">s Shares in favour of </w:t>
      </w:r>
      <w:r>
        <w:t xml:space="preserve">thereof </w:t>
      </w:r>
      <w:r w:rsidRPr="00986C6E">
        <w:t xml:space="preserve">and to execute </w:t>
      </w:r>
      <w:r w:rsidR="00D219CA">
        <w:t xml:space="preserve">and deliver </w:t>
      </w:r>
      <w:r w:rsidR="00430B59">
        <w:t xml:space="preserve">on behalf of the Shareholder </w:t>
      </w:r>
      <w:r w:rsidRPr="00986C6E">
        <w:t xml:space="preserve">all resolutions, consents and other instruments in favour </w:t>
      </w:r>
      <w:r>
        <w:t>thereof;</w:t>
      </w:r>
    </w:p>
    <w:p w:rsidR="00986C6E" w:rsidP="00D219CA">
      <w:pPr>
        <w:pStyle w:val="ArticleBJL3"/>
      </w:pPr>
      <w:r>
        <w:t xml:space="preserve">in respect of any action required to implement the provisions of </w:t>
      </w:r>
      <w:r w:rsidR="00A43ED4">
        <w:fldChar w:fldCharType="begin"/>
      </w:r>
      <w:r w:rsidR="00A43ED4">
        <w:instrText xml:space="preserve"> REF _Ref56081241 \w \h </w:instrText>
      </w:r>
      <w:r w:rsidR="00A43ED4">
        <w:fldChar w:fldCharType="separate"/>
      </w:r>
      <w:r w:rsidR="00230E5B">
        <w:t>Article 3</w:t>
      </w:r>
      <w:r w:rsidR="00A43ED4">
        <w:fldChar w:fldCharType="end"/>
      </w:r>
      <w:r>
        <w:t xml:space="preserve"> regarding the</w:t>
      </w:r>
      <w:r w:rsidR="00C20A1A">
        <w:t xml:space="preserve"> size and </w:t>
      </w:r>
      <w:r>
        <w:t xml:space="preserve">composition of the Board, </w:t>
      </w:r>
      <w:r w:rsidRPr="00986C6E">
        <w:t>to vote such Shareholder</w:t>
      </w:r>
      <w:r w:rsidR="00373387">
        <w:t>'</w:t>
      </w:r>
      <w:r w:rsidRPr="00986C6E">
        <w:t xml:space="preserve">s Shares in favour of thereof and to execute </w:t>
      </w:r>
      <w:r w:rsidRPr="00D219CA" w:rsidR="00D219CA">
        <w:t xml:space="preserve">and deliver </w:t>
      </w:r>
      <w:r w:rsidR="00430B59">
        <w:t xml:space="preserve">on behalf of the Shareholder </w:t>
      </w:r>
      <w:r w:rsidRPr="00986C6E">
        <w:t>all resolutions, consents and other instruments in favour thereof</w:t>
      </w:r>
      <w:r>
        <w:t>;</w:t>
      </w:r>
    </w:p>
    <w:p w:rsidR="00986C6E" w:rsidP="00D219CA">
      <w:pPr>
        <w:pStyle w:val="ArticleBJL3"/>
      </w:pPr>
      <w:r>
        <w:t xml:space="preserve">in respect of any action required to implement a transaction approved under the Drag Along </w:t>
      </w:r>
      <w:r w:rsidR="00B22DAD">
        <w:t xml:space="preserve">Sale </w:t>
      </w:r>
      <w:r w:rsidR="00430B59">
        <w:t>provisions</w:t>
      </w:r>
      <w:r>
        <w:t xml:space="preserve"> of </w:t>
      </w:r>
      <w:r w:rsidR="00D219CA">
        <w:t>S</w:t>
      </w:r>
      <w:r>
        <w:t>ection</w:t>
      </w:r>
      <w:r w:rsidR="004076C2">
        <w:t xml:space="preserve"> </w:t>
      </w:r>
      <w:r w:rsidR="004076C2">
        <w:fldChar w:fldCharType="begin"/>
      </w:r>
      <w:r w:rsidR="004076C2">
        <w:instrText xml:space="preserve"> REF _Ref463554242 \w \h </w:instrText>
      </w:r>
      <w:r w:rsidR="004076C2">
        <w:fldChar w:fldCharType="separate"/>
      </w:r>
      <w:r w:rsidR="00230E5B">
        <w:t>6.10</w:t>
      </w:r>
      <w:r w:rsidR="004076C2">
        <w:fldChar w:fldCharType="end"/>
      </w:r>
      <w:r>
        <w:t xml:space="preserve">, </w:t>
      </w:r>
      <w:r w:rsidRPr="00986C6E">
        <w:t>to vote such Shareholder</w:t>
      </w:r>
      <w:r w:rsidR="00373387">
        <w:t>'</w:t>
      </w:r>
      <w:r w:rsidRPr="00986C6E">
        <w:t xml:space="preserve">s Shares in favour of such </w:t>
      </w:r>
      <w:r w:rsidR="00430B59">
        <w:t xml:space="preserve">transaction </w:t>
      </w:r>
      <w:r w:rsidRPr="00986C6E">
        <w:t xml:space="preserve">and to execute </w:t>
      </w:r>
      <w:r w:rsidRPr="00D219CA" w:rsidR="00D219CA">
        <w:t xml:space="preserve">and deliver </w:t>
      </w:r>
      <w:r w:rsidR="00430B59">
        <w:t xml:space="preserve">on behalf of the Shareholder </w:t>
      </w:r>
      <w:r w:rsidRPr="00986C6E">
        <w:t xml:space="preserve">all </w:t>
      </w:r>
      <w:r w:rsidR="00B22DAD">
        <w:t>documents required to be executed and delivered by such shareholder to</w:t>
      </w:r>
      <w:r w:rsidR="00430B59">
        <w:t xml:space="preserve"> implement such transaction in accordance with </w:t>
      </w:r>
      <w:r w:rsidR="00A43ED4">
        <w:fldChar w:fldCharType="begin"/>
      </w:r>
      <w:r w:rsidR="00A43ED4">
        <w:instrText xml:space="preserve"> REF _Ref56081273 \w \h </w:instrText>
      </w:r>
      <w:r w:rsidR="00A43ED4">
        <w:fldChar w:fldCharType="separate"/>
      </w:r>
      <w:r w:rsidR="00230E5B">
        <w:t>Article 6</w:t>
      </w:r>
      <w:r w:rsidR="00A43ED4">
        <w:fldChar w:fldCharType="end"/>
      </w:r>
      <w:r w:rsidR="00430B59">
        <w:t xml:space="preserve">; </w:t>
      </w:r>
      <w:r w:rsidR="00B44048">
        <w:t>and</w:t>
      </w:r>
    </w:p>
    <w:p w:rsidR="00430B59" w:rsidRPr="00373387" w:rsidP="00A43ED4">
      <w:pPr>
        <w:pStyle w:val="ArticleBJL3"/>
        <w:rPr>
          <w:b/>
        </w:rPr>
      </w:pPr>
      <w:r w:rsidRPr="00373387">
        <w:rPr>
          <w:b/>
        </w:rPr>
        <w:t>[</w:t>
      </w:r>
      <w:r w:rsidRPr="00373387">
        <w:rPr>
          <w:b/>
        </w:rPr>
        <w:t xml:space="preserve">in respect of any other matter in connection with which the Shareholder fails to vote or act in accordance with </w:t>
      </w:r>
      <w:r>
        <w:rPr>
          <w:b/>
        </w:rPr>
        <w:t xml:space="preserve">the Shareholder's obligations under </w:t>
      </w:r>
      <w:r w:rsidRPr="00373387">
        <w:rPr>
          <w:b/>
        </w:rPr>
        <w:t>this Agreement</w:t>
      </w:r>
      <w:r w:rsidR="00B22DAD">
        <w:rPr>
          <w:b/>
        </w:rPr>
        <w:t>,</w:t>
      </w:r>
      <w:r w:rsidRPr="00373387">
        <w:rPr>
          <w:b/>
        </w:rPr>
        <w:t xml:space="preserve"> </w:t>
      </w:r>
      <w:r w:rsidRPr="00373387">
        <w:rPr>
          <w:b/>
        </w:rPr>
        <w:t xml:space="preserve">to vote such Shareholder's Shares in </w:t>
      </w:r>
      <w:r>
        <w:rPr>
          <w:b/>
        </w:rPr>
        <w:t xml:space="preserve">compliance with the Shareholder's obligations under this Agreement </w:t>
      </w:r>
      <w:r w:rsidRPr="00373387">
        <w:rPr>
          <w:b/>
        </w:rPr>
        <w:t xml:space="preserve">and to execute </w:t>
      </w:r>
      <w:r w:rsidR="00B22DAD">
        <w:rPr>
          <w:b/>
        </w:rPr>
        <w:t xml:space="preserve">and deliver </w:t>
      </w:r>
      <w:r w:rsidRPr="00373387">
        <w:rPr>
          <w:b/>
        </w:rPr>
        <w:t xml:space="preserve">on behalf of the Shareholder all resolutions, consents and other instruments in </w:t>
      </w:r>
      <w:r>
        <w:rPr>
          <w:b/>
        </w:rPr>
        <w:t>compliance with the Shareholder's obligations under this Agreement</w:t>
      </w:r>
      <w:r w:rsidRPr="00373387">
        <w:rPr>
          <w:b/>
        </w:rPr>
        <w:t>;]</w:t>
      </w:r>
    </w:p>
    <w:p w:rsidR="00C20A1A">
      <w:pPr>
        <w:pStyle w:val="ArticleBJCont2"/>
      </w:pPr>
      <w:r>
        <w:rPr>
          <w:cs/>
        </w:rPr>
        <w:t>‎</w:t>
      </w:r>
      <w:r>
        <w:t xml:space="preserve">if and only if the </w:t>
      </w:r>
      <w:r w:rsidR="00430B59">
        <w:t xml:space="preserve">Shareholder </w:t>
      </w:r>
      <w:bookmarkStart w:id="313" w:name="DocXTextRef67"/>
      <w:r>
        <w:t>(i)</w:t>
      </w:r>
      <w:bookmarkEnd w:id="313"/>
      <w:r>
        <w:t xml:space="preserve"> fails to vote, or </w:t>
      </w:r>
      <w:bookmarkStart w:id="314" w:name="DocXTextRef68"/>
      <w:r>
        <w:t>(ii)</w:t>
      </w:r>
      <w:bookmarkEnd w:id="314"/>
      <w:r>
        <w:t xml:space="preserve"> attempts to vote (whether by proxy, in person or by written consent) </w:t>
      </w:r>
      <w:r w:rsidR="00430B59">
        <w:t xml:space="preserve">any </w:t>
      </w:r>
      <w:r>
        <w:t xml:space="preserve">of such </w:t>
      </w:r>
      <w:r w:rsidR="00B44048">
        <w:t>Shareholder's</w:t>
      </w:r>
      <w:r>
        <w:t xml:space="preserve"> Shares </w:t>
      </w:r>
      <w:r w:rsidR="00430B59">
        <w:t xml:space="preserve">in a manner which is inconsistent with the terms of this Agreement, or (iii) fails to deliver any </w:t>
      </w:r>
      <w:r w:rsidR="00373387">
        <w:t xml:space="preserve">executed </w:t>
      </w:r>
      <w:r w:rsidR="00430B59">
        <w:t xml:space="preserve">document required to be delivered under the terms of this Agreement </w:t>
      </w:r>
      <w:r>
        <w:t xml:space="preserve">within </w:t>
      </w:r>
      <w:r w:rsidRPr="00B44048" w:rsidR="00430B59">
        <w:rPr>
          <w:b/>
        </w:rPr>
        <w:t>[</w:t>
      </w:r>
      <w:r w:rsidRPr="00B44048">
        <w:rPr>
          <w:b/>
        </w:rPr>
        <w:t>5</w:t>
      </w:r>
      <w:r w:rsidRPr="00B44048" w:rsidR="00430B59">
        <w:rPr>
          <w:b/>
        </w:rPr>
        <w:t>]</w:t>
      </w:r>
      <w:r w:rsidRPr="00B44048">
        <w:rPr>
          <w:b/>
        </w:rPr>
        <w:t xml:space="preserve"> </w:t>
      </w:r>
      <w:r w:rsidRPr="00B44048" w:rsidR="00430B59">
        <w:rPr>
          <w:b/>
        </w:rPr>
        <w:t>[</w:t>
      </w:r>
      <w:r w:rsidRPr="00B44048">
        <w:rPr>
          <w:b/>
        </w:rPr>
        <w:t>business</w:t>
      </w:r>
      <w:r w:rsidRPr="00B44048" w:rsidR="00430B59">
        <w:rPr>
          <w:b/>
        </w:rPr>
        <w:t>]</w:t>
      </w:r>
      <w:r w:rsidRPr="00B44048">
        <w:rPr>
          <w:b/>
        </w:rPr>
        <w:t xml:space="preserve"> </w:t>
      </w:r>
      <w:r>
        <w:t xml:space="preserve">days of a request by the Company. Each of the proxy and power of attorney granted pursuant to this Section </w:t>
      </w:r>
      <w:r>
        <w:fldChar w:fldCharType="begin"/>
      </w:r>
      <w:r>
        <w:instrText xml:space="preserve"> REF _Ref448392719 \r \h </w:instrText>
      </w:r>
      <w:r>
        <w:fldChar w:fldCharType="separate"/>
      </w:r>
      <w:r w:rsidR="00230E5B">
        <w:t>8.1</w:t>
      </w:r>
      <w:r>
        <w:fldChar w:fldCharType="end"/>
      </w:r>
      <w:r>
        <w:t xml:space="preserve"> is given in consideration of the agreements and covenants of the Company and the </w:t>
      </w:r>
      <w:r w:rsidR="00B44048">
        <w:t>Shareholders</w:t>
      </w:r>
      <w:r>
        <w:t xml:space="preserve"> in connection with the transactions contemplated by this Agreement and, as such, each is coupled with an interest and shall be irrevocable unless and until this Agreement terminates or expires pursuant to Sections </w:t>
      </w:r>
      <w:r>
        <w:fldChar w:fldCharType="begin"/>
      </w:r>
      <w:r>
        <w:instrText xml:space="preserve"> REF _Ref468260456 \r \h </w:instrText>
      </w:r>
      <w:r>
        <w:fldChar w:fldCharType="separate"/>
      </w:r>
      <w:r w:rsidR="00230E5B">
        <w:t>8.4</w:t>
      </w:r>
      <w:r>
        <w:fldChar w:fldCharType="end"/>
      </w:r>
      <w:r>
        <w:t xml:space="preserve"> or </w:t>
      </w:r>
      <w:r>
        <w:fldChar w:fldCharType="begin"/>
      </w:r>
      <w:r>
        <w:instrText xml:space="preserve"> REF _Ref468000123 \n \h </w:instrText>
      </w:r>
      <w:r>
        <w:fldChar w:fldCharType="separate"/>
      </w:r>
      <w:r w:rsidR="00230E5B">
        <w:t>8.9</w:t>
      </w:r>
      <w:r>
        <w:fldChar w:fldCharType="end"/>
      </w:r>
      <w:r>
        <w:t xml:space="preserve"> hereof. Each </w:t>
      </w:r>
      <w:r w:rsidR="00430B59">
        <w:t xml:space="preserve">Shareholder </w:t>
      </w:r>
      <w:r>
        <w:t xml:space="preserve">hereto hereby revokes any and all previous proxies or powers of attorney with respect to the Shares and shall not hereafter, unless and until this Agreement terminates or expires pursuant to Sections </w:t>
      </w:r>
      <w:r>
        <w:fldChar w:fldCharType="begin"/>
      </w:r>
      <w:r>
        <w:instrText xml:space="preserve"> REF _Ref468260484 \r \h </w:instrText>
      </w:r>
      <w:r>
        <w:fldChar w:fldCharType="separate"/>
      </w:r>
      <w:r w:rsidR="00230E5B">
        <w:t>8.4</w:t>
      </w:r>
      <w:r>
        <w:fldChar w:fldCharType="end"/>
      </w:r>
      <w:r>
        <w:t xml:space="preserve"> or </w:t>
      </w:r>
      <w:r>
        <w:fldChar w:fldCharType="begin"/>
      </w:r>
      <w:r>
        <w:instrText xml:space="preserve"> REF _Ref468000250 \n \h </w:instrText>
      </w:r>
      <w:r>
        <w:fldChar w:fldCharType="separate"/>
      </w:r>
      <w:r w:rsidR="00230E5B">
        <w:t>8.9</w:t>
      </w:r>
      <w:r>
        <w:fldChar w:fldCharType="end"/>
      </w:r>
      <w:r>
        <w:t xml:space="preserve"> hereof, purport to grant any other proxy or power of attorney with respect to any of the Shares, deposit any of the Shares into a voting trust or enter into any agreement (other than this Agreement), arrangement or understanding with any Person, directly or indirectly, to vote, grant any proxy or give instructions with respect to the voting of any of the Shares, in each case, with respect to any of the matters set forth herein. The power of attorney granted in this Section </w:t>
      </w:r>
      <w:r>
        <w:fldChar w:fldCharType="begin"/>
      </w:r>
      <w:r>
        <w:instrText xml:space="preserve"> REF _Ref463555228 \w \h </w:instrText>
      </w:r>
      <w:r>
        <w:fldChar w:fldCharType="separate"/>
      </w:r>
      <w:r w:rsidR="00230E5B">
        <w:t>8.1</w:t>
      </w:r>
      <w:r>
        <w:fldChar w:fldCharType="end"/>
      </w:r>
      <w:r>
        <w:t xml:space="preserve"> is not intended to be a CPOA. The execution of this Agreement shall not terminate any CPOA granted by a Shareholder previously and this power of attorney shall not be terminated by the execution by a Shareholder of a CPOA in the future.]</w:t>
      </w:r>
      <w:r>
        <w:rPr>
          <w:rStyle w:val="FootnoteReference"/>
        </w:rPr>
        <w:footnoteReference w:id="82"/>
      </w:r>
    </w:p>
    <w:p w:rsidR="00C20A1A">
      <w:pPr>
        <w:pStyle w:val="ArticleBJL2"/>
      </w:pPr>
      <w:bookmarkStart w:id="315" w:name="_Ref448392720"/>
      <w:bookmarkStart w:id="316" w:name="_Toc463463913"/>
      <w:bookmarkStart w:id="317" w:name="_Toc481488867"/>
      <w:bookmarkStart w:id="318" w:name="_Toc56159060"/>
      <w:r>
        <w:t>Specific Enforcement</w:t>
      </w:r>
      <w:bookmarkEnd w:id="315"/>
      <w:bookmarkEnd w:id="316"/>
      <w:bookmarkEnd w:id="317"/>
      <w:bookmarkEnd w:id="318"/>
    </w:p>
    <w:p w:rsidR="00C20A1A">
      <w:pPr>
        <w:pStyle w:val="ArticleBJCont2"/>
      </w:pPr>
      <w:r>
        <w:t xml:space="preserve">Each party acknowledges and agrees that each party hereto will be irreparably damaged if any of the provisions of this Agreement are not performed by the parties in accordance with their specific terms or are otherwise breached. Accordingly, each of the Company and the Shareholders shall be entitled to an injunction to prevent breaches of this Agreement, and to specific enforcement of this Agreement and its terms and provisions in any action instituted in any court of competent jurisdiction in the Province of </w:t>
      </w:r>
      <w:r>
        <w:rPr>
          <w:b/>
        </w:rPr>
        <w:t>[Ontario]</w:t>
      </w:r>
      <w:r>
        <w:t>.</w:t>
      </w:r>
    </w:p>
    <w:p w:rsidR="00C20A1A">
      <w:pPr>
        <w:pStyle w:val="ArticleBJL2"/>
      </w:pPr>
      <w:bookmarkStart w:id="319" w:name="_Ref448392721"/>
      <w:bookmarkStart w:id="320" w:name="_Toc463463914"/>
      <w:bookmarkStart w:id="321" w:name="_Toc481488868"/>
      <w:bookmarkStart w:id="322" w:name="_Toc56159061"/>
      <w:r>
        <w:t>Remedies Cumulative</w:t>
      </w:r>
      <w:bookmarkEnd w:id="319"/>
      <w:bookmarkEnd w:id="320"/>
      <w:bookmarkEnd w:id="321"/>
      <w:bookmarkEnd w:id="322"/>
    </w:p>
    <w:p w:rsidR="00C20A1A">
      <w:pPr>
        <w:pStyle w:val="ArticleBJCont2"/>
      </w:pPr>
      <w:r>
        <w:t>All remedies, either under this Agreement or by law or otherwise afforded to any party, shall be cumulative and not alternative.</w:t>
      </w:r>
    </w:p>
    <w:p w:rsidR="00C20A1A">
      <w:pPr>
        <w:pStyle w:val="ArticleBJL2"/>
      </w:pPr>
      <w:bookmarkStart w:id="323" w:name="_Ref468260456"/>
      <w:bookmarkStart w:id="324" w:name="_Ref468260484"/>
      <w:bookmarkStart w:id="325" w:name="_Toc481488869"/>
      <w:bookmarkStart w:id="326" w:name="_Toc56159062"/>
      <w:r>
        <w:t>Term</w:t>
      </w:r>
      <w:bookmarkEnd w:id="312"/>
      <w:bookmarkEnd w:id="323"/>
      <w:bookmarkEnd w:id="324"/>
      <w:bookmarkEnd w:id="325"/>
      <w:bookmarkEnd w:id="326"/>
    </w:p>
    <w:p w:rsidR="00C20A1A" w:rsidP="00B70EB5">
      <w:pPr>
        <w:pStyle w:val="ArticleBJCont2"/>
        <w:keepNext/>
        <w:keepLines/>
      </w:pPr>
      <w:bookmarkStart w:id="327" w:name="_Ref448392727"/>
      <w:bookmarkStart w:id="328" w:name="_Toc463463922"/>
      <w:r>
        <w:t xml:space="preserve">This Agreement shall be effective as of the date hereof and shall continue in effect until and shall terminate upon the earliest to occur of </w:t>
      </w:r>
      <w:bookmarkStart w:id="329" w:name="DocXTextRef81"/>
      <w:r>
        <w:t>(a)</w:t>
      </w:r>
      <w:bookmarkEnd w:id="329"/>
      <w:r>
        <w:t xml:space="preserve"> the consummation of the IPO</w:t>
      </w:r>
      <w:r>
        <w:rPr>
          <w:rStyle w:val="FootnoteReference"/>
        </w:rPr>
        <w:footnoteReference w:id="83"/>
      </w:r>
      <w:r>
        <w:t xml:space="preserve"> provided that the provisions of </w:t>
      </w:r>
      <w:r>
        <w:fldChar w:fldCharType="begin"/>
      </w:r>
      <w:r>
        <w:instrText xml:space="preserve"> REF _Ref463459682 \r \h </w:instrText>
      </w:r>
      <w:r>
        <w:fldChar w:fldCharType="separate"/>
      </w:r>
      <w:r w:rsidR="00230E5B">
        <w:t>Schedule D</w:t>
      </w:r>
      <w:r>
        <w:fldChar w:fldCharType="end"/>
      </w:r>
      <w:r>
        <w:t xml:space="preserve"> (Registration R</w:t>
      </w:r>
      <w:r w:rsidR="00B44048">
        <w:t>ights) will continue thereafter</w:t>
      </w:r>
      <w:r>
        <w:t xml:space="preserve">; </w:t>
      </w:r>
      <w:bookmarkStart w:id="330" w:name="DocXTextRef82"/>
      <w:r>
        <w:t>(b)</w:t>
      </w:r>
      <w:bookmarkEnd w:id="330"/>
      <w:r>
        <w:t xml:space="preserve"> the consummation of a Sale of the Company and distribution of proceeds to or escrow for the benefit of the Shareholders in accordance with the Articles, provided that the provisions of Section </w:t>
      </w:r>
      <w:r>
        <w:rPr>
          <w:b/>
          <w:bCs/>
        </w:rPr>
        <w:t>[</w:t>
      </w:r>
      <w:r>
        <w:rPr>
          <w:b/>
          <w:bCs/>
        </w:rPr>
        <w:fldChar w:fldCharType="begin"/>
      </w:r>
      <w:r>
        <w:rPr>
          <w:b/>
          <w:bCs/>
        </w:rPr>
        <w:instrText xml:space="preserve"> REF _Ref463555341 \w \h  \* MERGEFORMAT </w:instrText>
      </w:r>
      <w:r>
        <w:rPr>
          <w:b/>
          <w:bCs/>
        </w:rPr>
        <w:fldChar w:fldCharType="separate"/>
      </w:r>
      <w:r w:rsidR="00230E5B">
        <w:rPr>
          <w:b/>
          <w:bCs/>
        </w:rPr>
        <w:t>6.10</w:t>
      </w:r>
      <w:r>
        <w:rPr>
          <w:b/>
          <w:bCs/>
        </w:rPr>
        <w:fldChar w:fldCharType="end"/>
      </w:r>
      <w:r>
        <w:rPr>
          <w:b/>
          <w:bCs/>
        </w:rPr>
        <w:t>]</w:t>
      </w:r>
      <w:r>
        <w:t xml:space="preserve"> hereof will continue after the closing of any Drag Along Sale to the extent necessary to enforce the provisions of Section </w:t>
      </w:r>
      <w:r>
        <w:rPr>
          <w:b/>
          <w:bCs/>
        </w:rPr>
        <w:fldChar w:fldCharType="begin"/>
      </w:r>
      <w:r>
        <w:rPr>
          <w:b/>
          <w:bCs/>
        </w:rPr>
        <w:instrText xml:space="preserve"> REF _Ref463555378 \w \h  \* MERGEFORMAT </w:instrText>
      </w:r>
      <w:r>
        <w:rPr>
          <w:b/>
          <w:bCs/>
        </w:rPr>
        <w:fldChar w:fldCharType="separate"/>
      </w:r>
      <w:r w:rsidR="00230E5B">
        <w:rPr>
          <w:b/>
          <w:bCs/>
        </w:rPr>
        <w:t>6.10</w:t>
      </w:r>
      <w:r>
        <w:rPr>
          <w:b/>
          <w:bCs/>
        </w:rPr>
        <w:fldChar w:fldCharType="end"/>
      </w:r>
      <w:r>
        <w:rPr>
          <w:b/>
          <w:bCs/>
        </w:rPr>
        <w:t>]</w:t>
      </w:r>
      <w:r>
        <w:t xml:space="preserve"> with respect to such Drag Along Sale; </w:t>
      </w:r>
      <w:bookmarkStart w:id="331" w:name="DocXTextRef85"/>
      <w:r>
        <w:t>(c)</w:t>
      </w:r>
      <w:bookmarkEnd w:id="331"/>
      <w:r>
        <w:t xml:space="preserve"> termination of this Agreement in accordance with Section </w:t>
      </w:r>
      <w:r>
        <w:rPr>
          <w:cs/>
        </w:rPr>
        <w:t>‎</w:t>
      </w:r>
      <w:r>
        <w:rPr>
          <w:b/>
          <w:bCs/>
        </w:rPr>
        <w:fldChar w:fldCharType="begin"/>
      </w:r>
      <w:r>
        <w:rPr>
          <w:b/>
          <w:bCs/>
        </w:rPr>
        <w:instrText xml:space="preserve">  REF _Ref448392739 \w \h \* MERGEFORMAT </w:instrText>
      </w:r>
      <w:r>
        <w:rPr>
          <w:b/>
          <w:bCs/>
        </w:rPr>
        <w:fldChar w:fldCharType="separate"/>
      </w:r>
      <w:r w:rsidRPr="00230E5B" w:rsidR="00230E5B">
        <w:rPr>
          <w:b/>
          <w:bCs/>
          <w:color w:val="000000"/>
        </w:rPr>
        <w:t>8.9</w:t>
      </w:r>
      <w:r>
        <w:rPr>
          <w:b/>
          <w:bCs/>
        </w:rPr>
        <w:fldChar w:fldCharType="end"/>
      </w:r>
      <w:r>
        <w:rPr>
          <w:b/>
          <w:bCs/>
        </w:rPr>
        <w:t>]</w:t>
      </w:r>
      <w:r>
        <w:t xml:space="preserve"> below</w:t>
      </w:r>
      <w:r>
        <w:rPr>
          <w:b/>
          <w:bCs/>
        </w:rPr>
        <w:t xml:space="preserve">[; and </w:t>
      </w:r>
      <w:bookmarkStart w:id="332" w:name="DocXTextRef87"/>
      <w:r>
        <w:rPr>
          <w:b/>
          <w:bCs/>
        </w:rPr>
        <w:t>(d)</w:t>
      </w:r>
      <w:bookmarkEnd w:id="332"/>
      <w:r>
        <w:rPr>
          <w:b/>
          <w:bCs/>
        </w:rPr>
        <w:t xml:space="preserve"> •, 20•]</w:t>
      </w:r>
      <w:r>
        <w:rPr>
          <w:bCs/>
        </w:rPr>
        <w:t xml:space="preserve"> provided that such other provisions of this Agreement that expressly state that they survive termination of this Agreement will continue to survive</w:t>
      </w:r>
      <w:r>
        <w:t>.</w:t>
      </w:r>
    </w:p>
    <w:p w:rsidR="00C20A1A">
      <w:pPr>
        <w:pStyle w:val="ArticleBJL2"/>
      </w:pPr>
      <w:bookmarkStart w:id="333" w:name="_Ref468002070"/>
      <w:bookmarkStart w:id="334" w:name="_Ref468002085"/>
      <w:bookmarkStart w:id="335" w:name="_Toc481488870"/>
      <w:bookmarkStart w:id="336" w:name="_Toc56159063"/>
      <w:bookmarkEnd w:id="327"/>
      <w:bookmarkEnd w:id="328"/>
      <w:r>
        <w:t>Successors and Assigns</w:t>
      </w:r>
      <w:bookmarkEnd w:id="333"/>
      <w:bookmarkEnd w:id="334"/>
      <w:bookmarkEnd w:id="335"/>
      <w:bookmarkEnd w:id="336"/>
    </w:p>
    <w:p w:rsidR="00C20A1A">
      <w:pPr>
        <w:pStyle w:val="ArticleBJCont2"/>
        <w:rPr>
          <w:b/>
        </w:rPr>
      </w:pPr>
      <w:r>
        <w:rPr>
          <w:b/>
        </w:rPr>
        <w:t>[Note: This section needs to be modif</w:t>
      </w:r>
      <w:r w:rsidR="00B44048">
        <w:rPr>
          <w:b/>
        </w:rPr>
        <w:t xml:space="preserve">ied to the applicable situation and must be coordinated with the transfer rights under Section </w:t>
      </w:r>
      <w:r w:rsidR="00B44048">
        <w:rPr>
          <w:b/>
        </w:rPr>
        <w:fldChar w:fldCharType="begin"/>
      </w:r>
      <w:r w:rsidR="00B44048">
        <w:rPr>
          <w:b/>
        </w:rPr>
        <w:instrText xml:space="preserve"> REF _Ref463450642 \r \h </w:instrText>
      </w:r>
      <w:r w:rsidR="00B44048">
        <w:rPr>
          <w:b/>
        </w:rPr>
        <w:fldChar w:fldCharType="separate"/>
      </w:r>
      <w:r w:rsidR="00230E5B">
        <w:rPr>
          <w:b/>
        </w:rPr>
        <w:t>6.7</w:t>
      </w:r>
      <w:r w:rsidR="00B44048">
        <w:rPr>
          <w:b/>
        </w:rPr>
        <w:fldChar w:fldCharType="end"/>
      </w:r>
      <w:r w:rsidR="00B44048">
        <w:rPr>
          <w:b/>
        </w:rPr>
        <w:t xml:space="preserve"> (Exempted Transfers).</w:t>
      </w:r>
      <w:r>
        <w:rPr>
          <w:b/>
        </w:rPr>
        <w:t>]</w:t>
      </w:r>
    </w:p>
    <w:p w:rsidR="00BE4362" w:rsidP="00BE4362">
      <w:pPr>
        <w:pStyle w:val="ArticleBJL3"/>
        <w:rPr>
          <w:b/>
        </w:rPr>
      </w:pPr>
      <w:r>
        <w:t>The terms and conditions of this Agreement shall inure to the benefit of and be binding upon the respective successors and permitted assigns of the parties. Nothing in this Agreement, express or implied, is intended to confer upon any party other than the parties hereto or their respective successors and permitted assigns any rights, remedies, obligations, or liabilities under or by reason of this Agreement, except as expressly provided in this Agreement.</w:t>
      </w:r>
    </w:p>
    <w:p w:rsidR="00C20A1A" w:rsidP="00BE4362">
      <w:pPr>
        <w:pStyle w:val="ArticleBJL3"/>
        <w:rPr>
          <w:b/>
        </w:rPr>
      </w:pPr>
      <w:r>
        <w:rPr>
          <w:b/>
        </w:rPr>
        <w:t xml:space="preserve">[The rights under this Agreement may be assigned (but only with all related obligations) by a Shareholder to a transferee of Shares that (i) is an Affiliate of a Shareholder; (ii) is a Shareholder's Immediate Family Member or trust for the benefit of an individual Shareholder or </w:t>
      </w:r>
      <w:r w:rsidR="000A2EFF">
        <w:rPr>
          <w:b/>
        </w:rPr>
        <w:t xml:space="preserve">one or more </w:t>
      </w:r>
      <w:r>
        <w:rPr>
          <w:b/>
        </w:rPr>
        <w:t xml:space="preserve">of such Shareholder's Immediate Family Members; or (iii) after such transfer, [holds </w:t>
      </w:r>
      <w:r>
        <w:rPr>
          <w:b/>
        </w:rPr>
        <w:t xml:space="preserve">at least [_____] Shares (subject to appropriate adjustment for </w:t>
      </w:r>
      <w:r w:rsidR="007B0252">
        <w:rPr>
          <w:b/>
        </w:rPr>
        <w:t>stock splits, stock dividends</w:t>
      </w:r>
      <w:r>
        <w:rPr>
          <w:b/>
        </w:rPr>
        <w:t xml:space="preserve">, combinations, and other recapitalizations)] [together with its Affiliates, would be a Major Investor]; provided, however, that (x) the Company is, within a reasonable time after such transfer, furnished with written notice of the name and address of such transferee and the Shares with respect to which such rights are being transferred; and (y) such transferee agrees in accordance with Section </w:t>
      </w:r>
      <w:r>
        <w:rPr>
          <w:b/>
        </w:rPr>
        <w:fldChar w:fldCharType="begin"/>
      </w:r>
      <w:r>
        <w:rPr>
          <w:b/>
        </w:rPr>
        <w:instrText xml:space="preserve"> REF _Ref464814708 \r \h </w:instrText>
      </w:r>
      <w:r>
        <w:rPr>
          <w:b/>
        </w:rPr>
        <w:fldChar w:fldCharType="separate"/>
      </w:r>
      <w:r w:rsidR="00230E5B">
        <w:rPr>
          <w:b/>
        </w:rPr>
        <w:t>6.2</w:t>
      </w:r>
      <w:r>
        <w:rPr>
          <w:b/>
        </w:rPr>
        <w:fldChar w:fldCharType="end"/>
      </w:r>
      <w:r>
        <w:rPr>
          <w:b/>
        </w:rPr>
        <w:t xml:space="preserve"> to be bound by and subject to the terms and conditions of this Agreement. For the purposes of determining the number of Shares held by a transferee, the holdings of a transferee (1) that is an Affiliate or shareholder of a Shareholder; (2) who is a Shareholder's Immediate Family Member; or (3) that is a trust for the benefit of an individual Shareholder or such Shareholder's Immediate Family Member shall be aggregated together and with those of the transferring Shareholder; provided further that all transferees who would not qualify individually for assignment of rights shall, as a condition to the applicable transfer, establish a single Person to act for them under a power of attorney for the purpose of exercising any rights, receiving notices, or taking any action under this Agreement. </w:t>
      </w:r>
    </w:p>
    <w:p w:rsidR="00C20A1A" w:rsidP="009B79B1">
      <w:pPr>
        <w:pStyle w:val="ArticleBJL3"/>
      </w:pPr>
      <w:bookmarkStart w:id="337" w:name="_Ref448392735"/>
      <w:bookmarkStart w:id="338" w:name="_Toc463463926"/>
      <w:bookmarkStart w:id="339" w:name="_Ref464814794"/>
      <w:bookmarkStart w:id="340" w:name="_Ref464817258"/>
      <w:bookmarkStart w:id="341" w:name="_Ref464817345"/>
      <w:bookmarkStart w:id="342" w:name="_Ref467998258"/>
      <w:bookmarkStart w:id="343" w:name="_Toc481488872"/>
      <w:bookmarkStart w:id="344" w:name="_Ref512783953"/>
      <w:bookmarkStart w:id="345" w:name="_Ref512784478"/>
      <w:r>
        <w:t>Any successor or permitted assignee of any Key Holder, including any Prospective Transferee who purchases Transfer Shares in accordance with the terms hereof, shall deliver to the Company and the Investors, as a condition to any transfer or assignment, a counterpart signature page hereto pursuant to which such successor or permitted assignee shall confirm their agreement to be subject to and bound by all of the provisions set forth in this Agreement that were applicable to the predecessor or assignor or such successor or permitted assignee.</w:t>
      </w:r>
      <w:r>
        <w:rPr>
          <w:rStyle w:val="FootnoteReference"/>
        </w:rPr>
        <w:footnoteReference w:id="84"/>
      </w:r>
    </w:p>
    <w:p w:rsidR="00C20A1A" w:rsidRPr="00845DD8" w:rsidP="009B79B1">
      <w:pPr>
        <w:pStyle w:val="ArticleBJL3"/>
        <w:rPr>
          <w:b/>
        </w:rPr>
      </w:pPr>
      <w:r w:rsidRPr="00845DD8">
        <w:rPr>
          <w:b/>
        </w:rPr>
        <w:t>[</w:t>
      </w:r>
      <w:r w:rsidRPr="00845DD8">
        <w:rPr>
          <w:b/>
        </w:rPr>
        <w:t xml:space="preserve">The rights of the Investors hereunder are not assignable without the Company's written consent (which shall not be unreasonably withheld, delayed or conditioned), except (i) by an Investor to an Affiliate, or (ii) to an assignee or transferee who acquires at least [__________] shares of Capital Stock (as adjusted for any stock combination, stock split, stock dividend, recapitalization or other similar transaction), it being acknowledged and agreed that any such assignment, including an assignment contemplated by the preceding clauses (i) or (ii) shall be subject to and conditioned upon any such assignee's delivery to the Company and the other </w:t>
      </w:r>
      <w:r w:rsidRPr="00845DD8" w:rsidR="00845DD8">
        <w:rPr>
          <w:b/>
        </w:rPr>
        <w:t>Shareholder</w:t>
      </w:r>
      <w:r w:rsidRPr="00845DD8">
        <w:rPr>
          <w:b/>
        </w:rPr>
        <w:t xml:space="preserve"> of a counterpart signature page hereto pursuant to which such assignee shall confirm their agreement to be subject to and bound by all of the provisions set forth in this Agreement that were applicable to the assignor of such assignee.</w:t>
      </w:r>
      <w:r w:rsidRPr="00845DD8">
        <w:rPr>
          <w:b/>
        </w:rPr>
        <w:t>]</w:t>
      </w:r>
    </w:p>
    <w:p w:rsidR="00C20A1A" w:rsidP="009B79B1">
      <w:pPr>
        <w:pStyle w:val="ArticleBJL3"/>
      </w:pPr>
      <w:r>
        <w:t>Except in connection with an assignment by the Company by operation of law to the acquirer of the Company, the rights and obligations of the Company hereunder may not be assigned under any circumstances.</w:t>
      </w:r>
    </w:p>
    <w:p w:rsidR="00C20A1A">
      <w:pPr>
        <w:pStyle w:val="ArticleBJL2"/>
      </w:pPr>
      <w:bookmarkStart w:id="346" w:name="_Toc56159064"/>
      <w:r>
        <w:t>Governing Law</w:t>
      </w:r>
      <w:bookmarkEnd w:id="337"/>
      <w:r>
        <w:rPr>
          <w:rStyle w:val="FootnoteReference"/>
        </w:rPr>
        <w:footnoteReference w:id="85"/>
      </w:r>
      <w:bookmarkEnd w:id="338"/>
      <w:bookmarkEnd w:id="339"/>
      <w:bookmarkEnd w:id="340"/>
      <w:bookmarkEnd w:id="341"/>
      <w:bookmarkEnd w:id="342"/>
      <w:bookmarkEnd w:id="343"/>
      <w:bookmarkEnd w:id="344"/>
      <w:bookmarkEnd w:id="345"/>
      <w:bookmarkEnd w:id="346"/>
    </w:p>
    <w:p w:rsidR="00C20A1A">
      <w:pPr>
        <w:pStyle w:val="ArticleBJCont2"/>
      </w:pPr>
      <w:r>
        <w:t xml:space="preserve">This Agreement shall be governed by the laws of the Province of </w:t>
      </w:r>
      <w:r>
        <w:rPr>
          <w:b/>
          <w:bCs/>
        </w:rPr>
        <w:t xml:space="preserve">[Ontario] </w:t>
      </w:r>
      <w:r>
        <w:rPr>
          <w:bCs/>
        </w:rPr>
        <w:t>without regard to conflict of law principles that would result in the application of any law other than the law of the Province of [</w:t>
      </w:r>
      <w:r>
        <w:rPr>
          <w:b/>
          <w:bCs/>
        </w:rPr>
        <w:t>Ontario</w:t>
      </w:r>
      <w:r>
        <w:rPr>
          <w:bCs/>
        </w:rPr>
        <w:t>] and the laws of the Canada applicable in such province</w:t>
      </w:r>
      <w:r>
        <w:t xml:space="preserve">. </w:t>
      </w:r>
    </w:p>
    <w:p w:rsidR="00C20A1A">
      <w:pPr>
        <w:pStyle w:val="ArticleBJL2"/>
      </w:pPr>
      <w:bookmarkStart w:id="347" w:name="_Ref448392736"/>
      <w:bookmarkStart w:id="348" w:name="_Toc463463927"/>
      <w:bookmarkStart w:id="349" w:name="_Toc481488873"/>
      <w:bookmarkStart w:id="350" w:name="_Toc56159065"/>
      <w:r>
        <w:t>Counterparts</w:t>
      </w:r>
      <w:bookmarkEnd w:id="347"/>
      <w:bookmarkEnd w:id="348"/>
      <w:bookmarkEnd w:id="349"/>
      <w:bookmarkEnd w:id="350"/>
    </w:p>
    <w:p w:rsidR="00C20A1A">
      <w:pPr>
        <w:pStyle w:val="ArticleBJCont2"/>
      </w:pPr>
      <w:r>
        <w:t>This Agreement may be executed in two or more counterparts, each of which shall be deemed an original, but all of which together shall constitute one and the same instrument. Counterparts may be delivered via electronic mail (including pdf or any electronic signature complying with applicable laws, e.g., www.docusign.com) or other transmission method and any counterpart so delivered shall be deemed to have been duly and validly delivered and be valid and effective for all purposes.</w:t>
      </w:r>
    </w:p>
    <w:p w:rsidR="00C20A1A">
      <w:pPr>
        <w:pStyle w:val="ArticleBJL2"/>
      </w:pPr>
      <w:bookmarkStart w:id="351" w:name="_Ref448392738"/>
      <w:bookmarkStart w:id="352" w:name="_Toc463463929"/>
      <w:bookmarkStart w:id="353" w:name="_Toc481488874"/>
      <w:bookmarkStart w:id="354" w:name="_Toc56159066"/>
      <w:r>
        <w:t>Notices</w:t>
      </w:r>
      <w:bookmarkEnd w:id="351"/>
      <w:bookmarkEnd w:id="352"/>
      <w:bookmarkEnd w:id="353"/>
      <w:bookmarkEnd w:id="354"/>
    </w:p>
    <w:p w:rsidR="00C20A1A" w:rsidP="00A261CA">
      <w:pPr>
        <w:pStyle w:val="ArticleBJL3"/>
      </w:pPr>
      <w:r w:rsidRPr="00B62DDC">
        <w:rPr>
          <w:u w:val="single"/>
        </w:rPr>
        <w:t>General.</w:t>
      </w:r>
      <w:r>
        <w:t xml:space="preserve"> All notices and other communications given or made pursuant to this Agreement shall be in writing and shall be deemed effectively given upon the earlier of actual receipt or </w:t>
      </w:r>
      <w:bookmarkStart w:id="355" w:name="DocXTextRef96"/>
      <w:r>
        <w:t>(i)</w:t>
      </w:r>
      <w:bookmarkEnd w:id="355"/>
      <w:r>
        <w:t xml:space="preserve"> personal delivery to the party to be notified, </w:t>
      </w:r>
      <w:bookmarkStart w:id="356" w:name="DocXTextRef97"/>
      <w:r>
        <w:t>(ii)</w:t>
      </w:r>
      <w:bookmarkEnd w:id="356"/>
      <w:r>
        <w:t xml:space="preserve"> when sent, if sent by electronic mail during normal business hours of the recipient, and if not sent during normal business hours, then on the recipient's next business day, </w:t>
      </w:r>
      <w:bookmarkStart w:id="357" w:name="DocXTextRef98"/>
      <w:r>
        <w:t>(iii)</w:t>
      </w:r>
      <w:bookmarkEnd w:id="357"/>
      <w:r>
        <w:t xml:space="preserve"> five days after having been sent by registered or certified mail, return receipt requested, postage prepaid, or </w:t>
      </w:r>
      <w:bookmarkStart w:id="358" w:name="DocXTextRef99"/>
      <w:r>
        <w:t>(iv)</w:t>
      </w:r>
      <w:bookmarkEnd w:id="358"/>
      <w:r>
        <w:t xml:space="preserve"> one business day after the business day of deposit with a nationally recognized overnight courier, freight prepaid, specifying next business day delivery, with written verification of receipt. All communications shall be sent to the respective parties at their address as set forth on </w:t>
      </w:r>
      <w:r>
        <w:fldChar w:fldCharType="begin"/>
      </w:r>
      <w:r>
        <w:instrText xml:space="preserve">  REF _Ref448392755 \w \h \* MERGEFORMAT </w:instrText>
      </w:r>
      <w:r>
        <w:fldChar w:fldCharType="separate"/>
      </w:r>
      <w:r w:rsidRPr="00230E5B" w:rsidR="00230E5B">
        <w:rPr>
          <w:color w:val="000000"/>
        </w:rPr>
        <w:t>Schedule A</w:t>
      </w:r>
      <w:r>
        <w:fldChar w:fldCharType="end"/>
      </w:r>
      <w:r>
        <w:t xml:space="preserve"> or </w:t>
      </w:r>
      <w:r>
        <w:fldChar w:fldCharType="begin"/>
      </w:r>
      <w:r>
        <w:instrText xml:space="preserve">  REF _Ref448392756 \w \h \* MERGEFORMAT </w:instrText>
      </w:r>
      <w:r>
        <w:fldChar w:fldCharType="separate"/>
      </w:r>
      <w:r w:rsidRPr="00230E5B" w:rsidR="00230E5B">
        <w:rPr>
          <w:color w:val="000000"/>
        </w:rPr>
        <w:t>Schedule B</w:t>
      </w:r>
      <w:r>
        <w:fldChar w:fldCharType="end"/>
      </w:r>
      <w:r>
        <w:t xml:space="preserve"> hereto, </w:t>
      </w:r>
      <w:r w:rsidR="00845DD8">
        <w:t xml:space="preserve">as the case may be, </w:t>
      </w:r>
      <w:r>
        <w:t>or as to the Company</w:t>
      </w:r>
      <w:r w:rsidR="00845DD8">
        <w:t>,</w:t>
      </w:r>
      <w:r>
        <w:t xml:space="preserve"> to the principal office of the Company and to the attention of the Chief Executive Officer, or, in any case, to such e-mail address or address as subsequently modified by written notice given in accordance with this Section </w:t>
      </w:r>
      <w:r>
        <w:rPr>
          <w:cs/>
        </w:rPr>
        <w:t>‎</w:t>
      </w:r>
      <w:r>
        <w:fldChar w:fldCharType="begin"/>
      </w:r>
      <w:r>
        <w:instrText xml:space="preserve">  REF _Ref448392738 \w \h \* MERGEFORMAT </w:instrText>
      </w:r>
      <w:r>
        <w:fldChar w:fldCharType="separate"/>
      </w:r>
      <w:r w:rsidRPr="00230E5B" w:rsidR="00230E5B">
        <w:rPr>
          <w:color w:val="000000"/>
        </w:rPr>
        <w:t>8.8</w:t>
      </w:r>
      <w:r>
        <w:fldChar w:fldCharType="end"/>
      </w:r>
      <w:r>
        <w:t xml:space="preserve">. </w:t>
      </w:r>
    </w:p>
    <w:p w:rsidR="00C20A1A" w:rsidP="00A261CA">
      <w:pPr>
        <w:pStyle w:val="ArticleBJL3"/>
      </w:pPr>
      <w:r>
        <w:t xml:space="preserve">If notice is given to the Company, a copy (which copy shall not constitute notice) shall also be sent to </w:t>
      </w:r>
      <w:r w:rsidRPr="00B62DDC">
        <w:rPr>
          <w:b/>
          <w:i/>
        </w:rPr>
        <w:t>[Company Counsel Name and Address]</w:t>
      </w:r>
      <w:r>
        <w:t xml:space="preserve"> and if notice is given to Shareholders, a copy (which copy shall not constitute notice) shall also be given to </w:t>
      </w:r>
      <w:r>
        <w:rPr>
          <w:b/>
        </w:rPr>
        <w:t>[</w:t>
      </w:r>
      <w:r>
        <w:rPr>
          <w:b/>
          <w:i/>
          <w:iCs/>
        </w:rPr>
        <w:t>Investor Counsel, Name and Address</w:t>
      </w:r>
      <w:r>
        <w:rPr>
          <w:b/>
        </w:rPr>
        <w:t>]</w:t>
      </w:r>
      <w:r>
        <w:t>.</w:t>
      </w:r>
      <w:r>
        <w:rPr>
          <w:rStyle w:val="FootnoteReference"/>
        </w:rPr>
        <w:footnoteReference w:id="86"/>
      </w:r>
    </w:p>
    <w:p w:rsidR="00C20A1A" w:rsidP="00A261CA">
      <w:pPr>
        <w:pStyle w:val="ArticleBJL3"/>
      </w:pPr>
      <w:r w:rsidRPr="00B62DDC">
        <w:rPr>
          <w:u w:val="single"/>
        </w:rPr>
        <w:t>Consent to Electronic Notice.</w:t>
      </w:r>
      <w:r>
        <w:t xml:space="preserve"> Each </w:t>
      </w:r>
      <w:r>
        <w:rPr>
          <w:b/>
        </w:rPr>
        <w:t xml:space="preserve">[Shareholder] </w:t>
      </w:r>
      <w:r w:rsidRPr="004E121C">
        <w:t>[</w:t>
      </w:r>
      <w:r w:rsidRPr="004E121C">
        <w:rPr>
          <w:b/>
        </w:rPr>
        <w:t>Investor]</w:t>
      </w:r>
      <w:r>
        <w:t xml:space="preserve"> and </w:t>
      </w:r>
      <w:r w:rsidRPr="004E121C">
        <w:rPr>
          <w:b/>
        </w:rPr>
        <w:t>[Key Holder]</w:t>
      </w:r>
      <w:r>
        <w:t xml:space="preserve"> consents to the delivery of any shareholder notice hereunder by electronic transmission at the electronic mail address set forth below such </w:t>
      </w:r>
      <w:r>
        <w:rPr>
          <w:b/>
        </w:rPr>
        <w:t xml:space="preserve">[Shareholder's] </w:t>
      </w:r>
      <w:r w:rsidRPr="002F3BCC">
        <w:rPr>
          <w:b/>
        </w:rPr>
        <w:t>[Investor's]</w:t>
      </w:r>
      <w:r>
        <w:t xml:space="preserve"> or </w:t>
      </w:r>
      <w:r w:rsidRPr="007C0DDF">
        <w:rPr>
          <w:b/>
        </w:rPr>
        <w:t>[Key Holder's</w:t>
      </w:r>
      <w:r>
        <w:rPr>
          <w:b/>
        </w:rPr>
        <w:t>]</w:t>
      </w:r>
      <w:r>
        <w:t xml:space="preserve"> name on the Schedules hereto, as updated from time to time by notice to the Company, or as on the books of the Company. To the extent that any notice given by means of electronic transmission is returned or undeliverable for any reason, the foregoing consent shall be deemed to have been </w:t>
      </w:r>
      <w:r>
        <w:t xml:space="preserve">revoked until a new or corrected electronic mail address has been provided, and such attempted electronic notice shall be ineffective and deemed to not have been given. Each </w:t>
      </w:r>
      <w:r>
        <w:rPr>
          <w:b/>
        </w:rPr>
        <w:t>[Shareholder] [</w:t>
      </w:r>
      <w:r w:rsidRPr="007C0DDF">
        <w:rPr>
          <w:b/>
        </w:rPr>
        <w:t>Investor</w:t>
      </w:r>
      <w:r>
        <w:t xml:space="preserve"> </w:t>
      </w:r>
      <w:r w:rsidRPr="007C0DDF">
        <w:rPr>
          <w:b/>
        </w:rPr>
        <w:t>]</w:t>
      </w:r>
      <w:r>
        <w:t xml:space="preserve"> and </w:t>
      </w:r>
      <w:r w:rsidRPr="007C0DDF">
        <w:rPr>
          <w:b/>
        </w:rPr>
        <w:t>[Key Holder</w:t>
      </w:r>
      <w:r w:rsidRPr="007D4868">
        <w:rPr>
          <w:b/>
        </w:rPr>
        <w:t>]</w:t>
      </w:r>
      <w:r>
        <w:rPr>
          <w:b/>
        </w:rPr>
        <w:t xml:space="preserve"> </w:t>
      </w:r>
      <w:r>
        <w:t>agrees to promptly notify the Company of any change in its electronic mail address, and that failure to do so shall not affect the foregoing.</w:t>
      </w:r>
    </w:p>
    <w:p w:rsidR="00C20A1A">
      <w:pPr>
        <w:pStyle w:val="ArticleBJL2"/>
      </w:pPr>
      <w:bookmarkStart w:id="359" w:name="_Ref448392739"/>
      <w:bookmarkStart w:id="360" w:name="_Toc463463930"/>
      <w:bookmarkStart w:id="361" w:name="_Ref467999580"/>
      <w:bookmarkStart w:id="362" w:name="_Ref468000123"/>
      <w:bookmarkStart w:id="363" w:name="_Ref468000242"/>
      <w:bookmarkStart w:id="364" w:name="_Ref468000250"/>
      <w:bookmarkStart w:id="365" w:name="_Toc481488875"/>
      <w:bookmarkStart w:id="366" w:name="_Ref525896968"/>
      <w:bookmarkStart w:id="367" w:name="_Ref525896994"/>
      <w:bookmarkStart w:id="368" w:name="_Ref525897007"/>
      <w:bookmarkStart w:id="369" w:name="_Toc56159067"/>
      <w:bookmarkStart w:id="370" w:name="_Ref56328358"/>
      <w:r>
        <w:t>Consent Required to Amend, Terminate or Waive</w:t>
      </w:r>
      <w:bookmarkEnd w:id="359"/>
      <w:r>
        <w:rPr>
          <w:rStyle w:val="FootnoteReference"/>
        </w:rPr>
        <w:footnoteReference w:id="87"/>
      </w:r>
      <w:bookmarkEnd w:id="360"/>
      <w:bookmarkEnd w:id="361"/>
      <w:bookmarkEnd w:id="362"/>
      <w:bookmarkEnd w:id="363"/>
      <w:bookmarkEnd w:id="364"/>
      <w:bookmarkEnd w:id="365"/>
      <w:bookmarkEnd w:id="366"/>
      <w:bookmarkEnd w:id="367"/>
      <w:bookmarkEnd w:id="368"/>
      <w:bookmarkEnd w:id="369"/>
      <w:bookmarkEnd w:id="370"/>
    </w:p>
    <w:p w:rsidR="00845DD8" w:rsidRPr="00845DD8">
      <w:pPr>
        <w:pStyle w:val="ArticleBJCont2"/>
        <w:rPr>
          <w:b/>
        </w:rPr>
      </w:pPr>
      <w:r w:rsidRPr="00845DD8">
        <w:rPr>
          <w:b/>
        </w:rPr>
        <w:t>[Note: This section requires careful consideration.]</w:t>
      </w:r>
    </w:p>
    <w:p w:rsidR="00C20A1A">
      <w:pPr>
        <w:pStyle w:val="ArticleBJCont2"/>
      </w:pPr>
      <w:r>
        <w:t xml:space="preserve">This Agreement may be amended, modified or terminated (other than pursuant to Section </w:t>
      </w:r>
      <w:r>
        <w:fldChar w:fldCharType="begin"/>
      </w:r>
      <w:r>
        <w:instrText xml:space="preserve"> REF _Ref468260456 \r \h </w:instrText>
      </w:r>
      <w:r>
        <w:fldChar w:fldCharType="separate"/>
      </w:r>
      <w:r w:rsidR="00230E5B">
        <w:t>8.4</w:t>
      </w:r>
      <w:r>
        <w:fldChar w:fldCharType="end"/>
      </w:r>
      <w:r>
        <w:t xml:space="preserve">) and the observance of any term hereof may be waived (either generally or in a particular instance and either retroactively or prospectively) only by a written instrument executed by </w:t>
      </w:r>
      <w:bookmarkStart w:id="371" w:name="DocXTextRef103"/>
      <w:r>
        <w:t>(a)</w:t>
      </w:r>
      <w:bookmarkEnd w:id="371"/>
      <w:r>
        <w:t xml:space="preserve"> the Company; </w:t>
      </w:r>
      <w:bookmarkStart w:id="372" w:name="DocXTextRef104"/>
      <w:r>
        <w:t>(b)</w:t>
      </w:r>
      <w:bookmarkEnd w:id="372"/>
      <w:r>
        <w:t xml:space="preserve"> the Key Holders holding </w:t>
      </w:r>
      <w:r>
        <w:rPr>
          <w:b/>
          <w:bCs/>
        </w:rPr>
        <w:t>[</w:t>
      </w:r>
      <w:r>
        <w:rPr>
          <w:b/>
          <w:bCs/>
          <w:i/>
          <w:iCs/>
        </w:rPr>
        <w:t>specify percentage</w:t>
      </w:r>
      <w:r>
        <w:rPr>
          <w:b/>
          <w:bCs/>
        </w:rPr>
        <w:t>]</w:t>
      </w:r>
      <w:r>
        <w:t xml:space="preserve"> of the Shares then held by the Key Holders </w:t>
      </w:r>
      <w:r>
        <w:rPr>
          <w:b/>
          <w:bCs/>
        </w:rPr>
        <w:t>[</w:t>
      </w:r>
      <w:r>
        <w:rPr>
          <w:b/>
          <w:bCs/>
          <w:u w:val="single"/>
        </w:rPr>
        <w:t>provided</w:t>
      </w:r>
      <w:r>
        <w:rPr>
          <w:b/>
          <w:bCs/>
        </w:rPr>
        <w:t xml:space="preserve"> that such consent shall not be required if the Key Holders do not then own Shares representing at least [•]% of the outstanding share capital of the Company]</w:t>
      </w:r>
      <w:r>
        <w:t xml:space="preserve"> </w:t>
      </w:r>
      <w:r>
        <w:rPr>
          <w:b/>
          <w:bCs/>
        </w:rPr>
        <w:t>[who are then providing services to the Company as officers, employees or consultants]</w:t>
      </w:r>
      <w:r>
        <w:t xml:space="preserve">; and </w:t>
      </w:r>
      <w:bookmarkStart w:id="373" w:name="DocXTextRef105"/>
      <w:r>
        <w:t>(c)</w:t>
      </w:r>
      <w:bookmarkEnd w:id="373"/>
      <w:r>
        <w:t xml:space="preserve"> the holders of </w:t>
      </w:r>
      <w:r>
        <w:rPr>
          <w:b/>
          <w:bCs/>
        </w:rPr>
        <w:t>[</w:t>
      </w:r>
      <w:r>
        <w:rPr>
          <w:b/>
          <w:bCs/>
          <w:i/>
          <w:iCs/>
        </w:rPr>
        <w:t>specify percentage</w:t>
      </w:r>
      <w:r>
        <w:rPr>
          <w:b/>
          <w:bCs/>
        </w:rPr>
        <w:t>]</w:t>
      </w:r>
      <w:r>
        <w:t xml:space="preserve"> of the Common Shares issued or issuable upon conversion of the Preferred Shares held by the Investors (voting together as a single class </w:t>
      </w:r>
      <w:r>
        <w:rPr>
          <w:b/>
        </w:rPr>
        <w:t>[and on an as-converted basis]</w:t>
      </w:r>
      <w:r>
        <w:t xml:space="preserve">). Notwithstanding the foregoing: </w:t>
      </w:r>
    </w:p>
    <w:p w:rsidR="00C20A1A" w:rsidP="00D8327F">
      <w:pPr>
        <w:pStyle w:val="ArticleBJL3"/>
      </w:pPr>
      <w:bookmarkStart w:id="374" w:name="_Ref448392740"/>
      <w:r>
        <w:t xml:space="preserve">this Agreement may be amended, modified or terminated and the observance of any term of this Agreement may be waived with respect to any </w:t>
      </w:r>
      <w:r w:rsidRPr="002B3052">
        <w:rPr>
          <w:b/>
        </w:rPr>
        <w:t>[Shareholder] [Investor]</w:t>
      </w:r>
      <w:r>
        <w:t xml:space="preserve"> or [</w:t>
      </w:r>
      <w:r w:rsidRPr="002B3052">
        <w:rPr>
          <w:b/>
        </w:rPr>
        <w:t>Key Holder]</w:t>
      </w:r>
      <w:r>
        <w:t xml:space="preserve"> only with the written consent of such </w:t>
      </w:r>
      <w:r w:rsidRPr="002B3052">
        <w:rPr>
          <w:b/>
        </w:rPr>
        <w:t xml:space="preserve">[Shareholder]  </w:t>
      </w:r>
      <w:r>
        <w:t>[</w:t>
      </w:r>
      <w:r w:rsidRPr="002B3052">
        <w:rPr>
          <w:b/>
        </w:rPr>
        <w:t>Investor]</w:t>
      </w:r>
      <w:r>
        <w:t xml:space="preserve"> or [</w:t>
      </w:r>
      <w:r w:rsidRPr="002B3052">
        <w:rPr>
          <w:b/>
        </w:rPr>
        <w:t>Key Holder]</w:t>
      </w:r>
      <w:r>
        <w:t xml:space="preserve"> unless such amendment, modification, termination or waiver applies to all </w:t>
      </w:r>
      <w:r w:rsidRPr="002B3052">
        <w:rPr>
          <w:b/>
        </w:rPr>
        <w:t>[Shareholders] [Investors]</w:t>
      </w:r>
      <w:r>
        <w:t xml:space="preserve"> or </w:t>
      </w:r>
      <w:r w:rsidRPr="002B3052">
        <w:rPr>
          <w:b/>
        </w:rPr>
        <w:t>[Key Holders]</w:t>
      </w:r>
      <w:r>
        <w:t>, as the case may be, in the same fashion;</w:t>
      </w:r>
      <w:bookmarkEnd w:id="374"/>
      <w:r>
        <w:t xml:space="preserve"> (it being agreed that a waiver of the provisions of Section </w:t>
      </w:r>
      <w:r>
        <w:fldChar w:fldCharType="begin"/>
      </w:r>
      <w:r>
        <w:instrText xml:space="preserve"> REF _Ref55401148 \r \h </w:instrText>
      </w:r>
      <w:r>
        <w:fldChar w:fldCharType="separate"/>
      </w:r>
      <w:r w:rsidR="00230E5B">
        <w:t>6.3</w:t>
      </w:r>
      <w:r>
        <w:fldChar w:fldCharType="end"/>
      </w:r>
      <w:r>
        <w:t xml:space="preserve"> with respect to a particular transaction shall be deemed to apply to all Investors in the same fashion if such waiver does so by its terms, notwithstanding the fact that certain Investor may nonetheless, by agreement with the Company, purchase securities in such transaction).</w:t>
      </w:r>
      <w:r>
        <w:rPr>
          <w:rStyle w:val="FootnoteReference"/>
        </w:rPr>
        <w:footnoteReference w:id="88"/>
      </w:r>
    </w:p>
    <w:p w:rsidR="00C20A1A" w:rsidP="0013542D">
      <w:pPr>
        <w:pStyle w:val="ArticleBJL3"/>
      </w:pPr>
      <w:bookmarkStart w:id="375" w:name="_Ref448392741"/>
      <w:r>
        <w:t xml:space="preserve">the consent of the Key Holders shall not be required for any amendment, modification, termination or waiver if such amendment, modification, termination or waiver either </w:t>
      </w:r>
      <w:bookmarkStart w:id="376" w:name="DocXTextRef106"/>
      <w:r>
        <w:t>(A)</w:t>
      </w:r>
      <w:bookmarkEnd w:id="376"/>
      <w:r>
        <w:t xml:space="preserve"> is not directly applicable to the rights of the Key Holders hereunder; or </w:t>
      </w:r>
      <w:bookmarkStart w:id="377" w:name="DocXTextRef107"/>
      <w:r>
        <w:t>(B)</w:t>
      </w:r>
      <w:bookmarkEnd w:id="377"/>
      <w:r>
        <w:t xml:space="preserve"> does not adversely affect the rights of the Key Holders in a manner that is different than the effect on the rights of the other parties hereto;</w:t>
      </w:r>
      <w:bookmarkEnd w:id="375"/>
      <w:r>
        <w:t xml:space="preserve"> </w:t>
      </w:r>
    </w:p>
    <w:p w:rsidR="00C20A1A" w:rsidP="0013542D">
      <w:pPr>
        <w:pStyle w:val="ArticleBJL3"/>
      </w:pPr>
      <w:bookmarkStart w:id="378" w:name="_Ref448392742"/>
      <w:r>
        <w:t>[</w:t>
      </w:r>
      <w:r>
        <w:fldChar w:fldCharType="begin"/>
      </w:r>
      <w:r>
        <w:instrText xml:space="preserve"> REF _Ref448392755 \w \h  \* MERGEFORMAT </w:instrText>
      </w:r>
      <w:r>
        <w:fldChar w:fldCharType="separate"/>
      </w:r>
      <w:r w:rsidR="00230E5B">
        <w:t>Schedule A</w:t>
      </w:r>
      <w:r>
        <w:fldChar w:fldCharType="end"/>
      </w:r>
      <w:r>
        <w:t xml:space="preserve"> hereto may be amended by the Company from time to time in accordance with </w:t>
      </w:r>
      <w:r w:rsidRPr="0016494F">
        <w:t>the Subscription Agreement to add information regarding additional Purchasers (as defined in the Subscription Agreement) without the consent of the other parties hereto;</w:t>
      </w:r>
      <w:bookmarkEnd w:id="378"/>
      <w:r>
        <w:t>]</w:t>
      </w:r>
    </w:p>
    <w:p w:rsidR="00C20A1A" w:rsidP="0013542D">
      <w:pPr>
        <w:pStyle w:val="ArticleBJL3"/>
        <w:rPr>
          <w:b/>
          <w:bCs/>
        </w:rPr>
      </w:pPr>
      <w:bookmarkStart w:id="379" w:name="_Ref448392743"/>
      <w:r>
        <w:t>any provision hereof may be waived by the waiving party on such party's own behalf, without the consent of any other party</w:t>
      </w:r>
      <w:r w:rsidRPr="0016494F">
        <w:rPr>
          <w:bCs/>
        </w:rPr>
        <w:t>;</w:t>
      </w:r>
      <w:bookmarkEnd w:id="379"/>
    </w:p>
    <w:p w:rsidR="00C20A1A" w:rsidP="00B20595">
      <w:pPr>
        <w:pStyle w:val="ArticleBJL3"/>
      </w:pPr>
      <w:bookmarkStart w:id="380" w:name="_Ref525896970"/>
      <w:r>
        <w:t xml:space="preserve">the provisions of Section </w:t>
      </w:r>
      <w:r>
        <w:fldChar w:fldCharType="begin"/>
      </w:r>
      <w:r>
        <w:instrText xml:space="preserve"> REF _Ref525897271 \r \h </w:instrText>
      </w:r>
      <w:r>
        <w:fldChar w:fldCharType="separate"/>
      </w:r>
      <w:r w:rsidR="00230E5B">
        <w:t>3.2(a)</w:t>
      </w:r>
      <w:r>
        <w:fldChar w:fldCharType="end"/>
      </w:r>
      <w:r>
        <w:t xml:space="preserve"> and this Section </w:t>
      </w:r>
      <w:r>
        <w:fldChar w:fldCharType="begin"/>
      </w:r>
      <w:r>
        <w:instrText xml:space="preserve"> REF _Ref525896968 \r \h </w:instrText>
      </w:r>
      <w:r>
        <w:fldChar w:fldCharType="separate"/>
      </w:r>
      <w:r w:rsidR="00230E5B">
        <w:t>8.9</w:t>
      </w:r>
      <w:r>
        <w:fldChar w:fldCharType="end"/>
      </w:r>
      <w:r>
        <w:fldChar w:fldCharType="begin"/>
      </w:r>
      <w:r>
        <w:instrText xml:space="preserve"> REF _Ref525896970 \r \h </w:instrText>
      </w:r>
      <w:r>
        <w:fldChar w:fldCharType="separate"/>
      </w:r>
      <w:r w:rsidR="00230E5B">
        <w:t>(e)</w:t>
      </w:r>
      <w:r>
        <w:fldChar w:fldCharType="end"/>
      </w:r>
      <w:r>
        <w:t xml:space="preserve"> may not be amended, modified, terminated or waived without the written consent of [</w:t>
      </w:r>
      <w:r w:rsidRPr="00B20595">
        <w:rPr>
          <w:i/>
        </w:rPr>
        <w:t>Name of Investor 1</w:t>
      </w:r>
      <w:r>
        <w:t>];</w:t>
      </w:r>
      <w:bookmarkEnd w:id="380"/>
    </w:p>
    <w:p w:rsidR="00C20A1A" w:rsidP="00B20595">
      <w:pPr>
        <w:pStyle w:val="ArticleBJL3"/>
      </w:pPr>
      <w:bookmarkStart w:id="381" w:name="_Ref525896997"/>
      <w:r>
        <w:t xml:space="preserve">the provisions of Section </w:t>
      </w:r>
      <w:r>
        <w:fldChar w:fldCharType="begin"/>
      </w:r>
      <w:r>
        <w:instrText xml:space="preserve"> REF _Ref525897281 \r \h </w:instrText>
      </w:r>
      <w:r>
        <w:fldChar w:fldCharType="separate"/>
      </w:r>
      <w:r w:rsidR="00230E5B">
        <w:t>3.2(b)</w:t>
      </w:r>
      <w:r>
        <w:fldChar w:fldCharType="end"/>
      </w:r>
      <w:r>
        <w:t xml:space="preserve"> and this Section </w:t>
      </w:r>
      <w:r>
        <w:fldChar w:fldCharType="begin"/>
      </w:r>
      <w:r>
        <w:instrText xml:space="preserve"> REF _Ref525896994 \r \h </w:instrText>
      </w:r>
      <w:r>
        <w:fldChar w:fldCharType="separate"/>
      </w:r>
      <w:r w:rsidR="00230E5B">
        <w:t>8.9</w:t>
      </w:r>
      <w:r>
        <w:fldChar w:fldCharType="end"/>
      </w:r>
      <w:r>
        <w:fldChar w:fldCharType="begin"/>
      </w:r>
      <w:r>
        <w:instrText xml:space="preserve"> REF _Ref525896997 \r \h </w:instrText>
      </w:r>
      <w:r>
        <w:fldChar w:fldCharType="separate"/>
      </w:r>
      <w:r w:rsidR="00230E5B">
        <w:t>(f)</w:t>
      </w:r>
      <w:r>
        <w:fldChar w:fldCharType="end"/>
      </w:r>
      <w:r>
        <w:t xml:space="preserve"> may not be amended, modified, terminated or waived without the written consent of [</w:t>
      </w:r>
      <w:r w:rsidRPr="00B20595">
        <w:rPr>
          <w:i/>
        </w:rPr>
        <w:t>Name of Investor 2</w:t>
      </w:r>
      <w:r>
        <w:t>];</w:t>
      </w:r>
      <w:bookmarkEnd w:id="381"/>
    </w:p>
    <w:p w:rsidR="00C20A1A" w:rsidP="00B20595">
      <w:pPr>
        <w:pStyle w:val="ArticleBJL3"/>
      </w:pPr>
      <w:bookmarkStart w:id="382" w:name="_Ref525897010"/>
      <w:r>
        <w:t xml:space="preserve">the provisions of Section </w:t>
      </w:r>
      <w:r>
        <w:fldChar w:fldCharType="begin"/>
      </w:r>
      <w:r>
        <w:instrText xml:space="preserve"> REF _Ref525897302 \r \h </w:instrText>
      </w:r>
      <w:r>
        <w:fldChar w:fldCharType="separate"/>
      </w:r>
      <w:r w:rsidR="00230E5B">
        <w:t>3.2(c)</w:t>
      </w:r>
      <w:r>
        <w:fldChar w:fldCharType="end"/>
      </w:r>
      <w:r>
        <w:t xml:space="preserve"> and this Section </w:t>
      </w:r>
      <w:r>
        <w:fldChar w:fldCharType="begin"/>
      </w:r>
      <w:r>
        <w:instrText xml:space="preserve"> REF _Ref525897007 \r \h </w:instrText>
      </w:r>
      <w:r>
        <w:fldChar w:fldCharType="separate"/>
      </w:r>
      <w:r w:rsidR="00230E5B">
        <w:t>8.9</w:t>
      </w:r>
      <w:r>
        <w:fldChar w:fldCharType="end"/>
      </w:r>
      <w:r>
        <w:fldChar w:fldCharType="begin"/>
      </w:r>
      <w:r>
        <w:instrText xml:space="preserve"> REF _Ref525897010 \r \h </w:instrText>
      </w:r>
      <w:r>
        <w:fldChar w:fldCharType="separate"/>
      </w:r>
      <w:r w:rsidR="00230E5B">
        <w:t>(g)</w:t>
      </w:r>
      <w:r>
        <w:fldChar w:fldCharType="end"/>
      </w:r>
      <w:r>
        <w:t xml:space="preserve"> may not be amended, modified, terminated or waived without the written consent of </w:t>
      </w:r>
      <w:r w:rsidRPr="00B20595">
        <w:rPr>
          <w:b/>
        </w:rPr>
        <w:t>[the Key Holders][the Key Holders who are at such time providing services to the Company as an officer, employee or consultant]</w:t>
      </w:r>
      <w:r>
        <w:t>[the holders of [</w:t>
      </w:r>
      <w:r w:rsidRPr="00B20595">
        <w:rPr>
          <w:i/>
        </w:rPr>
        <w:t>specify percentage</w:t>
      </w:r>
      <w:r>
        <w:t>] of Common Shares];</w:t>
      </w:r>
      <w:bookmarkEnd w:id="382"/>
      <w:r>
        <w:t xml:space="preserve"> and</w:t>
      </w:r>
    </w:p>
    <w:p w:rsidR="00C20A1A" w:rsidP="007B774F">
      <w:pPr>
        <w:pStyle w:val="ArticleBJL3"/>
      </w:pPr>
      <w:r w:rsidRPr="007B774F">
        <w:t xml:space="preserve">Sections </w:t>
      </w:r>
      <w:r>
        <w:fldChar w:fldCharType="begin"/>
      </w:r>
      <w:r>
        <w:instrText xml:space="preserve"> REF _Ref463446396 \r \h </w:instrText>
      </w:r>
      <w:r>
        <w:fldChar w:fldCharType="separate"/>
      </w:r>
      <w:r w:rsidR="00230E5B">
        <w:t>4.1</w:t>
      </w:r>
      <w:r>
        <w:fldChar w:fldCharType="end"/>
      </w:r>
      <w:r>
        <w:t xml:space="preserve"> </w:t>
      </w:r>
      <w:r w:rsidRPr="007B774F">
        <w:t xml:space="preserve">and </w:t>
      </w:r>
      <w:r>
        <w:fldChar w:fldCharType="begin"/>
      </w:r>
      <w:r>
        <w:instrText xml:space="preserve"> REF _Ref464810401 \r \h </w:instrText>
      </w:r>
      <w:r>
        <w:fldChar w:fldCharType="separate"/>
      </w:r>
      <w:r w:rsidR="00230E5B">
        <w:t>4.3</w:t>
      </w:r>
      <w:r>
        <w:fldChar w:fldCharType="end"/>
      </w:r>
      <w:r>
        <w:t>,</w:t>
      </w:r>
      <w:r w:rsidRPr="007B774F">
        <w:t xml:space="preserve"> Section </w:t>
      </w:r>
      <w:r>
        <w:fldChar w:fldCharType="begin"/>
      </w:r>
      <w:r>
        <w:instrText xml:space="preserve"> REF _Ref55401148 \r \h </w:instrText>
      </w:r>
      <w:r>
        <w:fldChar w:fldCharType="separate"/>
      </w:r>
      <w:r w:rsidR="00230E5B">
        <w:t>6.3</w:t>
      </w:r>
      <w:r>
        <w:fldChar w:fldCharType="end"/>
      </w:r>
      <w:r w:rsidRPr="007B774F">
        <w:t xml:space="preserve"> and any other section of this Agreement applicable to the Major Investors (including this clause (h) of this Section </w:t>
      </w:r>
      <w:r w:rsidR="00845DD8">
        <w:fldChar w:fldCharType="begin"/>
      </w:r>
      <w:r w:rsidR="00845DD8">
        <w:instrText xml:space="preserve"> REF _Ref56328358 \r \h </w:instrText>
      </w:r>
      <w:r w:rsidR="00845DD8">
        <w:fldChar w:fldCharType="separate"/>
      </w:r>
      <w:r w:rsidR="00230E5B">
        <w:t>8.9</w:t>
      </w:r>
      <w:r w:rsidR="00845DD8">
        <w:fldChar w:fldCharType="end"/>
      </w:r>
      <w:r w:rsidR="00845DD8">
        <w:t xml:space="preserve"> </w:t>
      </w:r>
      <w:r w:rsidRPr="007B774F">
        <w:t>may be amended, modified, terminated or waived with only the written consent of the Company and the holders of [at least] [a majority] of the Registrable Securities then outstanding and held by the Major Investors.</w:t>
      </w:r>
    </w:p>
    <w:p w:rsidR="00C20A1A">
      <w:pPr>
        <w:pStyle w:val="BodyText"/>
      </w:pPr>
      <w:r>
        <w:t xml:space="preserve">The Company shall give prompt written notice of any amendment, modification, termination, or waiver hereunder to any party that did not consent in writing thereto. Any amendment, modification, termination, or waiver effected in accordance with this Section </w:t>
      </w:r>
      <w:r>
        <w:rPr>
          <w:cs/>
        </w:rPr>
        <w:t>‎</w:t>
      </w:r>
      <w:r>
        <w:fldChar w:fldCharType="begin"/>
      </w:r>
      <w:r>
        <w:instrText xml:space="preserve">  REF _Ref448392739 \w \h \* MERGEFORMAT </w:instrText>
      </w:r>
      <w:r>
        <w:fldChar w:fldCharType="separate"/>
      </w:r>
      <w:r w:rsidRPr="00230E5B" w:rsidR="00230E5B">
        <w:rPr>
          <w:color w:val="000000"/>
        </w:rPr>
        <w:t>8.9</w:t>
      </w:r>
      <w:r>
        <w:fldChar w:fldCharType="end"/>
      </w:r>
      <w:r>
        <w:t xml:space="preserve"> shall be binding on each party and all of such party's successors and permitted assigns, whether or not any such party, successor or assignee entered into or approved such amendment, modification, termination or waiver. For purposes of this Section </w:t>
      </w:r>
      <w:r>
        <w:rPr>
          <w:cs/>
        </w:rPr>
        <w:t>‎</w:t>
      </w:r>
      <w:r>
        <w:fldChar w:fldCharType="begin"/>
      </w:r>
      <w:r>
        <w:instrText xml:space="preserve">  REF _Ref448392739 \w \h \* MERGEFORMAT </w:instrText>
      </w:r>
      <w:r>
        <w:fldChar w:fldCharType="separate"/>
      </w:r>
      <w:r w:rsidRPr="00230E5B" w:rsidR="00230E5B">
        <w:rPr>
          <w:color w:val="000000"/>
        </w:rPr>
        <w:t>8.9</w:t>
      </w:r>
      <w:r>
        <w:fldChar w:fldCharType="end"/>
      </w:r>
      <w:r>
        <w:t xml:space="preserve">, the requirement of a written instrument may be satisfied in the form of an action by written consent of the </w:t>
      </w:r>
      <w:r w:rsidRPr="00674B38">
        <w:rPr>
          <w:b/>
        </w:rPr>
        <w:t>[Shareholders</w:t>
      </w:r>
      <w:r>
        <w:rPr>
          <w:b/>
        </w:rPr>
        <w:t>]</w:t>
      </w:r>
      <w:r>
        <w:t xml:space="preserve"> circulated by the Company and executed by the </w:t>
      </w:r>
      <w:r w:rsidRPr="00674B38">
        <w:rPr>
          <w:b/>
        </w:rPr>
        <w:t>[Shareholder</w:t>
      </w:r>
      <w:r>
        <w:rPr>
          <w:b/>
        </w:rPr>
        <w:t>]</w:t>
      </w:r>
      <w:r>
        <w:t xml:space="preserve"> parties specified, whether or not such action by written consent makes explicit reference to the terms of this Agreement.</w:t>
      </w:r>
    </w:p>
    <w:p w:rsidR="00C20A1A">
      <w:pPr>
        <w:pStyle w:val="BodyText"/>
      </w:pPr>
      <w:r>
        <w:t>Notwithstanding the foregoing, the Schedules to this Agreement may be amended by the Company from time to time to add any transferees or purchasers of securities of the Company in compliance with the terms of this Agreement without the consent of the other parties hereto.</w:t>
      </w:r>
    </w:p>
    <w:p w:rsidR="00C20A1A">
      <w:pPr>
        <w:pStyle w:val="ArticleBJL2"/>
      </w:pPr>
      <w:bookmarkStart w:id="383" w:name="_Ref448392745"/>
      <w:bookmarkStart w:id="384" w:name="_Toc463463931"/>
      <w:bookmarkStart w:id="385" w:name="_Toc481488876"/>
      <w:bookmarkStart w:id="386" w:name="_Toc56159068"/>
      <w:r>
        <w:t>Delays or Omissions</w:t>
      </w:r>
      <w:bookmarkEnd w:id="383"/>
      <w:bookmarkEnd w:id="384"/>
      <w:bookmarkEnd w:id="385"/>
      <w:bookmarkEnd w:id="386"/>
    </w:p>
    <w:p w:rsidR="00C20A1A">
      <w:pPr>
        <w:pStyle w:val="ArticleBJCont2"/>
      </w:pPr>
      <w:r>
        <w:t xml:space="preserve">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previously or thereafter occurring. Any waiver, permit, consent or approval of any kind or character on the part of any party of any breach or default under this Agreement, or any waiver on the part of any party of any provisions or conditions </w:t>
      </w:r>
      <w:r>
        <w:t>of this Agreement, must be in writing and shall be effective only to the extent specific</w:t>
      </w:r>
      <w:r w:rsidR="00845DD8">
        <w:t>ally set forth in such writing.</w:t>
      </w:r>
    </w:p>
    <w:p w:rsidR="00C20A1A">
      <w:pPr>
        <w:pStyle w:val="ArticleBJL2"/>
      </w:pPr>
      <w:bookmarkStart w:id="387" w:name="_Ref448392746"/>
      <w:bookmarkStart w:id="388" w:name="_Toc463463932"/>
      <w:bookmarkStart w:id="389" w:name="_Toc481488877"/>
      <w:bookmarkStart w:id="390" w:name="_Toc56159069"/>
      <w:r>
        <w:t>Severability</w:t>
      </w:r>
      <w:bookmarkEnd w:id="387"/>
      <w:bookmarkEnd w:id="388"/>
      <w:bookmarkEnd w:id="389"/>
      <w:bookmarkEnd w:id="390"/>
    </w:p>
    <w:p w:rsidR="00C20A1A">
      <w:pPr>
        <w:pStyle w:val="ArticleBJCont2"/>
      </w:pPr>
      <w:r>
        <w:t>If, in any jurisdiction, any provision of this Agreement or its application to any party or circumstance is restricted, prohibited or unenforceable, that provision is, as to that jurisdiction, ineffective only to the extent of such restriction, prohibition or unenforceability without invalidating the remaining provisions of this Agreement and without affecting its application to other parties or circumstances.</w:t>
      </w:r>
    </w:p>
    <w:p w:rsidR="00C20A1A">
      <w:pPr>
        <w:pStyle w:val="ArticleBJL2"/>
      </w:pPr>
      <w:bookmarkStart w:id="391" w:name="_Ref448392749"/>
      <w:bookmarkStart w:id="392" w:name="_Toc463463935"/>
      <w:bookmarkStart w:id="393" w:name="_Toc481488878"/>
      <w:bookmarkStart w:id="394" w:name="_Toc56159070"/>
      <w:r>
        <w:t>Stock</w:t>
      </w:r>
      <w:r>
        <w:t xml:space="preserve"> Splits, </w:t>
      </w:r>
      <w:r>
        <w:t xml:space="preserve">Stock </w:t>
      </w:r>
      <w:r>
        <w:t xml:space="preserve">Dividends, </w:t>
      </w:r>
      <w:bookmarkEnd w:id="391"/>
      <w:bookmarkEnd w:id="392"/>
      <w:bookmarkEnd w:id="393"/>
      <w:r>
        <w:t>and Recapitalizations</w:t>
      </w:r>
      <w:bookmarkEnd w:id="394"/>
    </w:p>
    <w:p w:rsidR="00C20A1A">
      <w:pPr>
        <w:pStyle w:val="ArticleBJCont2"/>
      </w:pPr>
      <w:r>
        <w:t xml:space="preserve">In the event of any issuance of Shares or the voting securities of the Company hereafter to any of the Shareholders (including in connection with any </w:t>
      </w:r>
      <w:r w:rsidR="000A2EFF">
        <w:t>stock split, stock dividend</w:t>
      </w:r>
      <w:r>
        <w:t xml:space="preserve">, recapitalization, reorganization, or the like), such Shares shall become subject to this Agreement and shall be marked with the legend set forth in Section </w:t>
      </w:r>
      <w:r>
        <w:fldChar w:fldCharType="begin"/>
      </w:r>
      <w:r>
        <w:instrText xml:space="preserve"> REF _Ref463461142 \r \h </w:instrText>
      </w:r>
      <w:r>
        <w:fldChar w:fldCharType="separate"/>
      </w:r>
      <w:r w:rsidR="00230E5B">
        <w:t>6.1</w:t>
      </w:r>
      <w:r>
        <w:fldChar w:fldCharType="end"/>
      </w:r>
      <w:r>
        <w:t>.</w:t>
      </w:r>
    </w:p>
    <w:p w:rsidR="00C20A1A">
      <w:pPr>
        <w:pStyle w:val="ArticleBJL2"/>
      </w:pPr>
      <w:bookmarkStart w:id="395" w:name="_Ref448392750"/>
      <w:bookmarkStart w:id="396" w:name="_Toc463463936"/>
      <w:bookmarkStart w:id="397" w:name="_Toc481488879"/>
      <w:bookmarkStart w:id="398" w:name="_Toc56159071"/>
      <w:r>
        <w:t>Manner of Voting</w:t>
      </w:r>
      <w:bookmarkEnd w:id="395"/>
      <w:bookmarkEnd w:id="396"/>
      <w:bookmarkEnd w:id="397"/>
      <w:bookmarkEnd w:id="398"/>
    </w:p>
    <w:p w:rsidR="00C20A1A">
      <w:pPr>
        <w:pStyle w:val="ArticleBJCont2"/>
      </w:pPr>
      <w:r>
        <w:t>The voting of Shares pursuant to this Agreement may be effected in person, by proxy, by written consent or in any other manner permitted by applicable law. For the avoidance of doubt, voting of the Shares pursuant to the Agreement need not make explicit reference to the terms of this Agreement.</w:t>
      </w:r>
    </w:p>
    <w:p w:rsidR="00C20A1A">
      <w:pPr>
        <w:pStyle w:val="ArticleBJL2"/>
      </w:pPr>
      <w:bookmarkStart w:id="399" w:name="_Ref448392751"/>
      <w:bookmarkStart w:id="400" w:name="_Toc463463937"/>
      <w:bookmarkStart w:id="401" w:name="_Toc481488880"/>
      <w:bookmarkStart w:id="402" w:name="_Toc56159072"/>
      <w:r>
        <w:t>Further Assurances</w:t>
      </w:r>
      <w:bookmarkEnd w:id="399"/>
      <w:bookmarkEnd w:id="400"/>
      <w:bookmarkEnd w:id="401"/>
      <w:bookmarkEnd w:id="402"/>
    </w:p>
    <w:p w:rsidR="00C20A1A">
      <w:pPr>
        <w:pStyle w:val="ArticleBJCont2"/>
      </w:pPr>
      <w:r>
        <w:t>At any time or from time to time after the date hereof, the parties agree to cooperate with each other, and at the request of any other party, to execute and deliver any further instruments or documents and to take all such further action as the other party may reasonably request in order to evidence or effectuate the consummation of the transactions contemplated hereby and to otherwise carry out the intent of the parties hereunder.</w:t>
      </w:r>
    </w:p>
    <w:p w:rsidR="00C20A1A">
      <w:pPr>
        <w:pStyle w:val="ArticleBJL2"/>
      </w:pPr>
      <w:bookmarkStart w:id="403" w:name="_Ref448392752"/>
      <w:bookmarkStart w:id="404" w:name="_Toc463463938"/>
      <w:bookmarkStart w:id="405" w:name="_Toc481488881"/>
      <w:bookmarkStart w:id="406" w:name="_Toc56159073"/>
      <w:r>
        <w:t>Dispute Resolution</w:t>
      </w:r>
      <w:bookmarkEnd w:id="403"/>
      <w:bookmarkEnd w:id="404"/>
      <w:bookmarkEnd w:id="405"/>
      <w:bookmarkEnd w:id="406"/>
    </w:p>
    <w:p w:rsidR="00C20A1A">
      <w:pPr>
        <w:pStyle w:val="ArticleBJCont2"/>
      </w:pPr>
      <w:r>
        <w:t xml:space="preserve">The parties </w:t>
      </w:r>
      <w:bookmarkStart w:id="407" w:name="DocXTextRef117"/>
      <w:r>
        <w:t>(a)</w:t>
      </w:r>
      <w:bookmarkEnd w:id="407"/>
      <w:r>
        <w:t xml:space="preserve"> hereby irrevocably and unconditionally submit to the jurisdiction of the courts of • </w:t>
      </w:r>
      <w:r>
        <w:rPr>
          <w:b/>
          <w:bCs/>
        </w:rPr>
        <w:t>[province]</w:t>
      </w:r>
      <w:r>
        <w:t xml:space="preserve"> and to the jurisdiction of the </w:t>
      </w:r>
      <w:r>
        <w:rPr>
          <w:b/>
          <w:bCs/>
        </w:rPr>
        <w:t>[</w:t>
      </w:r>
      <w:r>
        <w:rPr>
          <w:b/>
          <w:bCs/>
          <w:i/>
          <w:iCs/>
        </w:rPr>
        <w:t>province</w:t>
      </w:r>
      <w:r>
        <w:rPr>
          <w:b/>
          <w:bCs/>
        </w:rPr>
        <w:t>]</w:t>
      </w:r>
      <w:r>
        <w:t xml:space="preserve"> • courts for the purpose of any suit, action or other proceeding arising out of or based upon this Agreement, </w:t>
      </w:r>
      <w:bookmarkStart w:id="408" w:name="DocXTextRef118"/>
      <w:r>
        <w:t>(b)</w:t>
      </w:r>
      <w:bookmarkEnd w:id="408"/>
      <w:r>
        <w:t xml:space="preserve"> agree not to commence any suit, action or other proceeding arising out of or based upon this Agreement except in the courts of • </w:t>
      </w:r>
      <w:r>
        <w:rPr>
          <w:b/>
          <w:bCs/>
        </w:rPr>
        <w:t>[</w:t>
      </w:r>
      <w:r>
        <w:rPr>
          <w:b/>
          <w:bCs/>
          <w:i/>
          <w:iCs/>
        </w:rPr>
        <w:t>province</w:t>
      </w:r>
      <w:r>
        <w:rPr>
          <w:b/>
          <w:bCs/>
        </w:rPr>
        <w:t>]</w:t>
      </w:r>
      <w:r>
        <w:t xml:space="preserve">, and </w:t>
      </w:r>
      <w:bookmarkStart w:id="409" w:name="DocXTextRef119"/>
      <w:r>
        <w:t>(c)</w:t>
      </w:r>
      <w:bookmarkEnd w:id="409"/>
      <w:r>
        <w:t xml:space="preserve">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rsidR="00C20A1A" w:rsidRPr="0013542D" w:rsidP="0013542D">
      <w:pPr>
        <w:pStyle w:val="ArticleBJCont2"/>
        <w:rPr>
          <w:b/>
        </w:rPr>
      </w:pPr>
      <w:r w:rsidRPr="0013542D">
        <w:rPr>
          <w:b/>
        </w:rPr>
        <w:t xml:space="preserve">[WAIVER OF JURY TRIAL: EACH PARTY HEREBY WAIVES ITS RIGHTS TO A JURY TRIAL OF ANY CLAIM OR CAUSE OF ACTION BASED UPON OR ARISING </w:t>
      </w:r>
      <w:r w:rsidRPr="0013542D">
        <w:rPr>
          <w:b/>
        </w:rPr>
        <w:t>OUT OF THIS AGREEMENT, THE OTHER TRANSACTION DOCUMENTS, THE SECURITIES OR THE SUBJECT MATTER HEREOF OR THEREOF. THE SCOPE OF THIS WAIVER IS INTENDED TO BE ALL-ENCOMPASSING OF ANY AND ALL DISPUTES THAT MAY BE FILED IN ANY COURT AND THAT RELATE TO THE SUBJECT MATTER OF THIS TRANSACTION, INCLUDING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r>
        <w:rPr>
          <w:rStyle w:val="FootnoteReference"/>
          <w:b/>
        </w:rPr>
        <w:footnoteReference w:id="89"/>
      </w:r>
    </w:p>
    <w:p w:rsidR="00C20A1A" w:rsidRPr="0013542D" w:rsidP="0013542D">
      <w:pPr>
        <w:pStyle w:val="ArticleBJCont2"/>
        <w:rPr>
          <w:b/>
        </w:rPr>
      </w:pPr>
      <w:r w:rsidRPr="0013542D">
        <w:rPr>
          <w:b/>
        </w:rPr>
        <w:t>[</w:t>
      </w:r>
      <w:r w:rsidRPr="0013542D">
        <w:rPr>
          <w:b/>
          <w:i/>
          <w:iCs/>
        </w:rPr>
        <w:t>Alternative</w:t>
      </w:r>
      <w:r>
        <w:rPr>
          <w:rStyle w:val="FootnoteReference"/>
          <w:b/>
          <w:i/>
          <w:iCs/>
        </w:rPr>
        <w:footnoteReference w:id="90"/>
      </w:r>
      <w:r w:rsidRPr="0013542D">
        <w:rPr>
          <w:b/>
          <w:i/>
          <w:iCs/>
        </w:rPr>
        <w:t>:</w:t>
      </w:r>
      <w:r w:rsidRPr="0013542D">
        <w:rPr>
          <w:b/>
        </w:rPr>
        <w:t xml:space="preserve"> Any unresolved controversy or claim arising out of or relating to this Agreement, except as </w:t>
      </w:r>
      <w:bookmarkStart w:id="410" w:name="DocXTextRef120"/>
      <w:r w:rsidRPr="0013542D">
        <w:rPr>
          <w:b/>
        </w:rPr>
        <w:t>(i)</w:t>
      </w:r>
      <w:bookmarkEnd w:id="410"/>
      <w:r w:rsidRPr="0013542D">
        <w:rPr>
          <w:b/>
        </w:rPr>
        <w:t xml:space="preserve"> otherwise provided in this Agreement, or </w:t>
      </w:r>
      <w:bookmarkStart w:id="411" w:name="DocXTextRef121"/>
      <w:r w:rsidRPr="0013542D">
        <w:rPr>
          <w:b/>
        </w:rPr>
        <w:t>(ii)</w:t>
      </w:r>
      <w:bookmarkEnd w:id="411"/>
      <w:r w:rsidRPr="0013542D">
        <w:rPr>
          <w:b/>
        </w:rPr>
        <w:t xml:space="preserve"> any such controversies or claims arising out of either party's intellectual property rights for which a provisional remedy or equitable relief is sought, shall be submitted to arbitration by one arbitrator mutually agreed upon by the parties, and if no agreement can be reached within 30 days after names of potential arbitrators have been proposed by the American Arbitration Association/Canadian Arbitration Association (the "[AAA]"), then by one arbitrator having reasonable experience in corporate finance transactions of the type provided for in this Agreement and who is chosen by the AAA. The arbitration shall take place in [</w:t>
      </w:r>
      <w:r w:rsidRPr="0013542D">
        <w:rPr>
          <w:b/>
          <w:i/>
          <w:iCs/>
        </w:rPr>
        <w:t>location</w:t>
      </w:r>
      <w:r w:rsidRPr="0013542D">
        <w:rPr>
          <w:b/>
        </w:rPr>
        <w:t xml:space="preserve">], in accordance with the AAA rules then in effect, and judgment upon any award rendered in such arbitration will be binding and may be entered in any court having jurisdiction thereof. There shall be limited discovery prior to the arbitration hearing as follows </w:t>
      </w:r>
      <w:bookmarkStart w:id="412" w:name="DocXTextRef122"/>
      <w:r w:rsidRPr="0013542D">
        <w:rPr>
          <w:b/>
        </w:rPr>
        <w:t>(a)</w:t>
      </w:r>
      <w:bookmarkEnd w:id="412"/>
      <w:r w:rsidRPr="0013542D">
        <w:rPr>
          <w:b/>
        </w:rPr>
        <w:t xml:space="preserve"> exchange of witness lists and copies of documentary evidence and documents relating to or arising out</w:t>
      </w:r>
      <w:r>
        <w:rPr>
          <w:b/>
        </w:rPr>
        <w:t xml:space="preserve"> of the issues to be arbitrated;</w:t>
      </w:r>
      <w:r w:rsidRPr="0013542D">
        <w:rPr>
          <w:b/>
        </w:rPr>
        <w:t xml:space="preserve"> </w:t>
      </w:r>
      <w:bookmarkStart w:id="413" w:name="DocXTextRef123"/>
      <w:r w:rsidRPr="0013542D">
        <w:rPr>
          <w:b/>
        </w:rPr>
        <w:t>(b)</w:t>
      </w:r>
      <w:bookmarkEnd w:id="413"/>
      <w:r w:rsidRPr="0013542D">
        <w:rPr>
          <w:b/>
        </w:rPr>
        <w:t xml:space="preserve"> depositions of all party witnesses; and </w:t>
      </w:r>
      <w:bookmarkStart w:id="414" w:name="DocXTextRef124"/>
      <w:r w:rsidRPr="0013542D">
        <w:rPr>
          <w:b/>
        </w:rPr>
        <w:t>(c)</w:t>
      </w:r>
      <w:bookmarkEnd w:id="414"/>
      <w:r w:rsidRPr="0013542D">
        <w:rPr>
          <w:b/>
        </w:rPr>
        <w:t xml:space="preserve"> such other depositions as may be allowed by the arbitrator upon a showing of good cause. The arbitrator shall be required to provide in writing to the parties the basis for the award or order of such arbitrator, and a court reporter shall record all hearings, with such record constituting the official transcript of such proceedings.]</w:t>
      </w:r>
      <w:r>
        <w:rPr>
          <w:rStyle w:val="FootnoteReference"/>
          <w:b/>
        </w:rPr>
        <w:footnoteReference w:id="91"/>
      </w:r>
    </w:p>
    <w:p w:rsidR="00C20A1A" w:rsidRPr="0013542D" w:rsidP="0013542D">
      <w:pPr>
        <w:pStyle w:val="ArticleBJCont2"/>
        <w:rPr>
          <w:b/>
        </w:rPr>
      </w:pPr>
      <w:r w:rsidRPr="0013542D">
        <w:rPr>
          <w:b/>
        </w:rPr>
        <w:t xml:space="preserve">[Each party will bear its own costs in respect of any disputes arising under this Agreement.] [The prevailing party shall be entitled to reasonable attorney's fees, costs, and necessary disbursements in addition to any other relief to which such party may be entitled.] Each of the parties to this Agreement consents to </w:t>
      </w:r>
      <w:r>
        <w:rPr>
          <w:b/>
        </w:rPr>
        <w:t>person</w:t>
      </w:r>
      <w:r w:rsidRPr="0013542D">
        <w:rPr>
          <w:b/>
        </w:rPr>
        <w:t>al jurisdiction for any equitable action sought in any Court of competent jurisdiction.]</w:t>
      </w:r>
    </w:p>
    <w:p w:rsidR="00C20A1A">
      <w:pPr>
        <w:pStyle w:val="ArticleBJL2"/>
      </w:pPr>
      <w:bookmarkStart w:id="415" w:name="_Ref448392753"/>
      <w:bookmarkStart w:id="416" w:name="_Toc463463939"/>
      <w:bookmarkStart w:id="417" w:name="_Toc481488882"/>
      <w:bookmarkStart w:id="418" w:name="_Toc56159074"/>
      <w:r>
        <w:t>[Costs of Enforcement</w:t>
      </w:r>
      <w:bookmarkEnd w:id="415"/>
      <w:bookmarkEnd w:id="416"/>
      <w:bookmarkEnd w:id="417"/>
      <w:bookmarkEnd w:id="418"/>
    </w:p>
    <w:p w:rsidR="00C20A1A">
      <w:pPr>
        <w:pStyle w:val="ArticleBJCont2"/>
        <w:rPr>
          <w:b/>
          <w:bCs/>
        </w:rPr>
      </w:pPr>
      <w:r>
        <w:rPr>
          <w:b/>
          <w:bCs/>
        </w:rPr>
        <w:t>If any party to this Agreement seeks to enforce its rights under this Agreement by legal proceedings, the non-prevailing party shall pay all costs and expenses incurred by the prevailing party, including all reasonable attorneys' fees.]</w:t>
      </w:r>
    </w:p>
    <w:p w:rsidR="00C20A1A">
      <w:pPr>
        <w:pStyle w:val="ArticleBJL2"/>
      </w:pPr>
      <w:bookmarkStart w:id="419" w:name="_Ref448392754"/>
      <w:bookmarkStart w:id="420" w:name="_Toc463463940"/>
      <w:bookmarkStart w:id="421" w:name="_Toc481488883"/>
      <w:bookmarkStart w:id="422" w:name="_Toc56159075"/>
      <w:r>
        <w:t xml:space="preserve">Aggregation of </w:t>
      </w:r>
      <w:bookmarkEnd w:id="419"/>
      <w:bookmarkEnd w:id="420"/>
      <w:bookmarkEnd w:id="421"/>
      <w:r>
        <w:t>Shares</w:t>
      </w:r>
      <w:bookmarkEnd w:id="422"/>
    </w:p>
    <w:p w:rsidR="00C20A1A">
      <w:pPr>
        <w:pStyle w:val="ArticleBJCont2"/>
      </w:pPr>
      <w:r>
        <w:t>All Shares held or acquired by a Shareholder and/or its Affiliates shall be aggregated together for the purpose of determining the availability of any rights under this Agreement and such Affiliates may apportion such rights as among themselves in any manner they deem appropriate.</w:t>
      </w:r>
    </w:p>
    <w:p w:rsidR="004076C2">
      <w:pPr>
        <w:pStyle w:val="ArticleBJCont2"/>
      </w:pPr>
    </w:p>
    <w:p w:rsidR="00C20A1A">
      <w:pPr>
        <w:pStyle w:val="BodyText"/>
        <w:jc w:val="center"/>
        <w:rPr>
          <w:i/>
        </w:rPr>
      </w:pPr>
      <w:r>
        <w:rPr>
          <w:i/>
        </w:rPr>
        <w:t>[Signature Page Follows]</w:t>
      </w:r>
    </w:p>
    <w:p w:rsidR="00C20A1A">
      <w:pPr>
        <w:pStyle w:val="BodyText"/>
        <w:sectPr>
          <w:headerReference w:type="default" r:id="rId10"/>
          <w:footerReference w:type="default" r:id="rId11"/>
          <w:headerReference w:type="first" r:id="rId12"/>
          <w:footerReference w:type="first" r:id="rId13"/>
          <w:pgSz w:w="12240" w:h="15840"/>
          <w:pgMar w:top="1440" w:right="1440" w:bottom="1350" w:left="1440" w:header="720" w:footer="720" w:gutter="0"/>
          <w:pgNumType w:start="1"/>
          <w:cols w:space="720"/>
          <w:titlePg/>
          <w:docGrid w:linePitch="360"/>
        </w:sectPr>
      </w:pPr>
    </w:p>
    <w:p w:rsidR="00C20A1A">
      <w:pPr>
        <w:pStyle w:val="BodyText"/>
      </w:pPr>
      <w:r>
        <w:rPr>
          <w:b/>
          <w:bCs/>
        </w:rPr>
        <w:t>IN WITNESS WHEREOF</w:t>
      </w:r>
      <w:r>
        <w:t xml:space="preserve"> the parties have executed this </w:t>
      </w:r>
      <w:r>
        <w:rPr>
          <w:b/>
          <w:bCs/>
        </w:rPr>
        <w:t>[Amended and Restated]</w:t>
      </w:r>
      <w:r>
        <w:t xml:space="preserve"> </w:t>
      </w:r>
      <w:r>
        <w:rPr>
          <w:b/>
          <w:bCs/>
        </w:rPr>
        <w:t>[Unanimous]</w:t>
      </w:r>
      <w:r>
        <w:t xml:space="preserve"> Shareholder Agreement.</w:t>
      </w:r>
    </w:p>
    <w:p w:rsidR="00C20A1A" w:rsidP="0013542D">
      <w:pPr>
        <w:pStyle w:val="BodyText"/>
        <w:spacing w:after="480"/>
        <w:ind w:left="5040"/>
        <w:rPr>
          <w:i/>
          <w:iCs/>
        </w:rPr>
      </w:pPr>
      <w:r w:rsidRPr="00232461">
        <w:rPr>
          <w:iCs/>
        </w:rPr>
        <w:t>COMPANY</w:t>
      </w:r>
      <w:r w:rsidRPr="00232461">
        <w:rPr>
          <w:i/>
          <w:iCs/>
        </w:rPr>
        <w:t>:</w:t>
      </w:r>
      <w:r>
        <w:rPr>
          <w:i/>
          <w:iCs/>
        </w:rPr>
        <w:t xml:space="preserve"> [Insert Company Name]</w:t>
      </w:r>
    </w:p>
    <w:p w:rsidR="00C20A1A">
      <w:pPr>
        <w:pStyle w:val="BodyText"/>
        <w:tabs>
          <w:tab w:val="left" w:pos="5940"/>
          <w:tab w:val="left" w:pos="9180"/>
        </w:tabs>
        <w:spacing w:after="480"/>
        <w:ind w:left="5040"/>
      </w:pPr>
      <w:r>
        <w:t>By:</w:t>
      </w:r>
      <w:r>
        <w:tab/>
      </w:r>
      <w:r>
        <w:rPr>
          <w:u w:val="single"/>
        </w:rPr>
        <w:tab/>
      </w:r>
    </w:p>
    <w:p w:rsidR="00C20A1A">
      <w:pPr>
        <w:pStyle w:val="BodyText"/>
        <w:tabs>
          <w:tab w:val="left" w:pos="5940"/>
          <w:tab w:val="left" w:pos="9180"/>
        </w:tabs>
        <w:spacing w:after="480"/>
        <w:ind w:left="5040"/>
        <w:rPr>
          <w:u w:val="single"/>
        </w:rPr>
      </w:pPr>
      <w:r>
        <w:t>Name:</w:t>
      </w:r>
      <w:r>
        <w:tab/>
      </w:r>
      <w:r>
        <w:rPr>
          <w:u w:val="single"/>
        </w:rPr>
        <w:tab/>
      </w:r>
    </w:p>
    <w:p w:rsidR="00C20A1A">
      <w:pPr>
        <w:pStyle w:val="BodyText"/>
        <w:tabs>
          <w:tab w:val="left" w:pos="5940"/>
          <w:tab w:val="left" w:pos="9180"/>
        </w:tabs>
        <w:spacing w:after="480"/>
        <w:ind w:left="5040"/>
      </w:pPr>
      <w:r>
        <w:t>Title:</w:t>
      </w:r>
      <w:r>
        <w:tab/>
      </w:r>
      <w:r>
        <w:rPr>
          <w:u w:val="single"/>
        </w:rPr>
        <w:tab/>
      </w:r>
    </w:p>
    <w:p w:rsidR="00C20A1A">
      <w:pPr>
        <w:pStyle w:val="BodyText"/>
        <w:tabs>
          <w:tab w:val="left" w:pos="5940"/>
          <w:tab w:val="left" w:pos="9180"/>
        </w:tabs>
        <w:spacing w:after="480"/>
        <w:ind w:left="5040"/>
      </w:pPr>
    </w:p>
    <w:p w:rsidR="00C20A1A" w:rsidRPr="00232461">
      <w:pPr>
        <w:pStyle w:val="BodyText"/>
        <w:tabs>
          <w:tab w:val="left" w:pos="5940"/>
          <w:tab w:val="left" w:pos="9180"/>
        </w:tabs>
        <w:spacing w:after="480"/>
        <w:ind w:left="5040"/>
        <w:rPr>
          <w:i/>
        </w:rPr>
      </w:pPr>
      <w:r>
        <w:t xml:space="preserve">SHAREHOLDERS/KEY HOLDERS: </w:t>
      </w:r>
      <w:r>
        <w:rPr>
          <w:i/>
        </w:rPr>
        <w:t>[Insert Key Holder Name</w:t>
      </w:r>
      <w:r w:rsidR="00845DD8">
        <w:rPr>
          <w:i/>
        </w:rPr>
        <w:t>s</w:t>
      </w:r>
      <w:r>
        <w:rPr>
          <w:i/>
        </w:rPr>
        <w:t>]</w:t>
      </w:r>
    </w:p>
    <w:p w:rsidR="00C20A1A">
      <w:pPr>
        <w:pStyle w:val="BodyText"/>
        <w:tabs>
          <w:tab w:val="left" w:pos="5940"/>
          <w:tab w:val="left" w:pos="9180"/>
        </w:tabs>
        <w:spacing w:after="480"/>
        <w:ind w:left="5040"/>
        <w:rPr>
          <w:u w:val="single"/>
        </w:rPr>
      </w:pPr>
      <w:r>
        <w:t xml:space="preserve">Signature: </w:t>
      </w:r>
      <w:r>
        <w:rPr>
          <w:u w:val="single"/>
        </w:rPr>
        <w:tab/>
      </w:r>
    </w:p>
    <w:p w:rsidR="00C20A1A">
      <w:pPr>
        <w:pStyle w:val="BodyText"/>
        <w:tabs>
          <w:tab w:val="left" w:pos="5940"/>
          <w:tab w:val="left" w:pos="9180"/>
        </w:tabs>
        <w:spacing w:after="480"/>
        <w:ind w:left="5040"/>
        <w:rPr>
          <w:u w:val="single"/>
        </w:rPr>
      </w:pPr>
      <w:r>
        <w:t>Name:</w:t>
      </w:r>
      <w:r>
        <w:tab/>
      </w:r>
      <w:r>
        <w:rPr>
          <w:u w:val="single"/>
        </w:rPr>
        <w:tab/>
      </w:r>
    </w:p>
    <w:p w:rsidR="00C20A1A">
      <w:pPr>
        <w:pStyle w:val="BodyText"/>
        <w:tabs>
          <w:tab w:val="left" w:pos="5940"/>
          <w:tab w:val="left" w:pos="9180"/>
        </w:tabs>
        <w:spacing w:after="480"/>
        <w:ind w:left="5040"/>
      </w:pPr>
    </w:p>
    <w:p w:rsidR="00C20A1A" w:rsidRPr="00232461">
      <w:pPr>
        <w:pStyle w:val="BodyText"/>
        <w:tabs>
          <w:tab w:val="left" w:pos="5940"/>
          <w:tab w:val="left" w:pos="9180"/>
        </w:tabs>
        <w:spacing w:after="480"/>
        <w:ind w:left="5040"/>
        <w:rPr>
          <w:i/>
        </w:rPr>
      </w:pPr>
      <w:r>
        <w:t xml:space="preserve">INVESTORS: </w:t>
      </w:r>
      <w:r>
        <w:rPr>
          <w:i/>
        </w:rPr>
        <w:t>[Insert Investor Name</w:t>
      </w:r>
      <w:r w:rsidR="00845DD8">
        <w:rPr>
          <w:i/>
        </w:rPr>
        <w:t>s</w:t>
      </w:r>
      <w:r>
        <w:rPr>
          <w:i/>
        </w:rPr>
        <w:t>]</w:t>
      </w:r>
    </w:p>
    <w:p w:rsidR="00C20A1A">
      <w:pPr>
        <w:pStyle w:val="BodyText"/>
        <w:tabs>
          <w:tab w:val="left" w:pos="5940"/>
          <w:tab w:val="left" w:pos="9180"/>
        </w:tabs>
        <w:spacing w:after="480"/>
        <w:ind w:left="5040"/>
      </w:pPr>
      <w:r>
        <w:t>By:</w:t>
      </w:r>
      <w:r>
        <w:tab/>
      </w:r>
      <w:r>
        <w:rPr>
          <w:u w:val="single"/>
        </w:rPr>
        <w:tab/>
      </w:r>
    </w:p>
    <w:p w:rsidR="00C20A1A">
      <w:pPr>
        <w:pStyle w:val="BodyText"/>
        <w:tabs>
          <w:tab w:val="left" w:pos="5940"/>
          <w:tab w:val="left" w:pos="9180"/>
        </w:tabs>
        <w:spacing w:after="480"/>
        <w:ind w:left="5040"/>
        <w:rPr>
          <w:u w:val="single"/>
        </w:rPr>
      </w:pPr>
      <w:r>
        <w:t>Name:</w:t>
      </w:r>
      <w:r>
        <w:tab/>
      </w:r>
      <w:r>
        <w:rPr>
          <w:u w:val="single"/>
        </w:rPr>
        <w:tab/>
      </w:r>
    </w:p>
    <w:p w:rsidR="00C20A1A">
      <w:pPr>
        <w:pStyle w:val="BodyText"/>
        <w:tabs>
          <w:tab w:val="left" w:pos="5940"/>
          <w:tab w:val="left" w:pos="9180"/>
        </w:tabs>
        <w:spacing w:after="480"/>
        <w:ind w:left="5040"/>
        <w:rPr>
          <w:u w:val="single"/>
        </w:rPr>
      </w:pPr>
      <w:r>
        <w:t>Title:</w:t>
      </w:r>
      <w:r>
        <w:tab/>
      </w:r>
      <w:r>
        <w:rPr>
          <w:u w:val="single"/>
        </w:rPr>
        <w:tab/>
      </w:r>
    </w:p>
    <w:p w:rsidR="00C20A1A">
      <w:pPr>
        <w:pStyle w:val="BodyText"/>
        <w:tabs>
          <w:tab w:val="left" w:pos="5940"/>
          <w:tab w:val="left" w:pos="9180"/>
        </w:tabs>
        <w:spacing w:after="480"/>
        <w:rPr>
          <w:u w:val="single"/>
        </w:rPr>
      </w:pPr>
    </w:p>
    <w:p w:rsidR="00C20A1A">
      <w:pPr>
        <w:pStyle w:val="BodyText"/>
        <w:tabs>
          <w:tab w:val="left" w:pos="5940"/>
          <w:tab w:val="left" w:pos="9180"/>
        </w:tabs>
        <w:rPr>
          <w:u w:val="single"/>
        </w:rPr>
      </w:pPr>
    </w:p>
    <w:p w:rsidR="00C20A1A" w:rsidRPr="008908B9">
      <w:pPr>
        <w:pStyle w:val="BodyText"/>
        <w:tabs>
          <w:tab w:val="left" w:pos="5940"/>
          <w:tab w:val="left" w:pos="9180"/>
        </w:tabs>
        <w:spacing w:after="480"/>
        <w:jc w:val="center"/>
        <w:rPr>
          <w:b/>
          <w:i/>
          <w:sz w:val="20"/>
          <w:szCs w:val="20"/>
        </w:rPr>
      </w:pPr>
      <w:r w:rsidRPr="008908B9">
        <w:rPr>
          <w:b/>
          <w:i/>
          <w:sz w:val="20"/>
          <w:szCs w:val="20"/>
        </w:rPr>
        <w:t xml:space="preserve">[Signature page to </w:t>
      </w:r>
      <w:r>
        <w:rPr>
          <w:b/>
          <w:i/>
          <w:sz w:val="20"/>
          <w:szCs w:val="20"/>
        </w:rPr>
        <w:t>[</w:t>
      </w:r>
      <w:r w:rsidRPr="008908B9">
        <w:rPr>
          <w:b/>
          <w:i/>
          <w:sz w:val="20"/>
          <w:szCs w:val="20"/>
        </w:rPr>
        <w:t>Amended and Restated</w:t>
      </w:r>
      <w:r>
        <w:rPr>
          <w:b/>
          <w:i/>
          <w:sz w:val="20"/>
          <w:szCs w:val="20"/>
        </w:rPr>
        <w:t>]</w:t>
      </w:r>
      <w:r w:rsidRPr="008908B9">
        <w:rPr>
          <w:b/>
          <w:i/>
          <w:sz w:val="20"/>
          <w:szCs w:val="20"/>
        </w:rPr>
        <w:t xml:space="preserve"> </w:t>
      </w:r>
      <w:r w:rsidR="00845DD8">
        <w:rPr>
          <w:b/>
          <w:i/>
          <w:sz w:val="20"/>
          <w:szCs w:val="20"/>
        </w:rPr>
        <w:t>[</w:t>
      </w:r>
      <w:r w:rsidRPr="008908B9">
        <w:rPr>
          <w:b/>
          <w:i/>
          <w:sz w:val="20"/>
          <w:szCs w:val="20"/>
        </w:rPr>
        <w:t>Unanimous</w:t>
      </w:r>
      <w:r w:rsidR="00845DD8">
        <w:rPr>
          <w:b/>
          <w:i/>
          <w:sz w:val="20"/>
          <w:szCs w:val="20"/>
        </w:rPr>
        <w:t>]</w:t>
      </w:r>
      <w:r w:rsidRPr="008908B9">
        <w:rPr>
          <w:b/>
          <w:i/>
          <w:sz w:val="20"/>
          <w:szCs w:val="20"/>
        </w:rPr>
        <w:t xml:space="preserve"> Shareholders Agreement]</w:t>
      </w:r>
    </w:p>
    <w:p w:rsidR="00C20A1A">
      <w:pPr>
        <w:pStyle w:val="BodyText"/>
        <w:tabs>
          <w:tab w:val="left" w:pos="6480"/>
          <w:tab w:val="left" w:pos="9180"/>
        </w:tabs>
        <w:spacing w:after="480"/>
        <w:ind w:left="5760"/>
        <w:sectPr>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p w:rsidR="00C20A1A">
      <w:pPr>
        <w:pStyle w:val="ScheduleArL1"/>
      </w:pPr>
      <w:r>
        <w:br/>
      </w:r>
      <w:r>
        <w:br/>
      </w:r>
      <w:bookmarkStart w:id="423" w:name="_Ref448392755"/>
      <w:bookmarkStart w:id="424" w:name="_Toc481488885"/>
      <w:r>
        <w:t>Investors</w:t>
      </w:r>
      <w:bookmarkEnd w:id="423"/>
      <w:bookmarkEnd w:id="424"/>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rsidTr="0023246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00" w:type="pct"/>
          </w:tcPr>
          <w:p w:rsidR="00C20A1A" w:rsidP="00232461">
            <w:pPr>
              <w:pStyle w:val="BodyText"/>
              <w:jc w:val="left"/>
              <w:rPr>
                <w:b/>
                <w:bCs/>
                <w:u w:val="single"/>
              </w:rPr>
            </w:pPr>
            <w:r>
              <w:rPr>
                <w:b/>
                <w:bCs/>
                <w:u w:val="single"/>
              </w:rPr>
              <w:t>Name [and Address]</w:t>
            </w:r>
          </w:p>
        </w:tc>
      </w:tr>
      <w:tr w:rsidTr="00232461">
        <w:tblPrEx>
          <w:tblW w:w="5000" w:type="pct"/>
          <w:tblLook w:val="04A0"/>
        </w:tblPrEx>
        <w:tc>
          <w:tcPr>
            <w:tcW w:w="5000" w:type="pct"/>
          </w:tcPr>
          <w:p w:rsidR="00C20A1A" w:rsidRPr="00232461">
            <w:pPr>
              <w:pStyle w:val="BodyText"/>
              <w:rPr>
                <w:b/>
              </w:rPr>
            </w:pPr>
            <w:r w:rsidRPr="00232461">
              <w:rPr>
                <w:b/>
              </w:rPr>
              <w:t>[Investor Name</w:t>
            </w:r>
            <w:r w:rsidRPr="00232461">
              <w:rPr>
                <w:b/>
              </w:rPr>
              <w:br/>
              <w:t>Address</w:t>
            </w:r>
            <w:r w:rsidRPr="00232461">
              <w:rPr>
                <w:b/>
              </w:rPr>
              <w:br/>
              <w:t>Phone Number</w:t>
            </w:r>
            <w:r w:rsidRPr="00232461">
              <w:rPr>
                <w:b/>
              </w:rPr>
              <w:br/>
              <w:t>Email</w:t>
            </w:r>
            <w:r w:rsidRPr="00232461">
              <w:rPr>
                <w:b/>
              </w:rPr>
              <w:br/>
              <w:t>[Counsel cc, if any]]</w:t>
            </w:r>
          </w:p>
        </w:tc>
      </w:tr>
      <w:tr w:rsidTr="00232461">
        <w:tblPrEx>
          <w:tblW w:w="5000" w:type="pct"/>
          <w:tblLook w:val="04A0"/>
        </w:tblPrEx>
        <w:tc>
          <w:tcPr>
            <w:tcW w:w="5000" w:type="pct"/>
          </w:tcPr>
          <w:p w:rsidR="00C20A1A">
            <w:pPr>
              <w:pStyle w:val="BodyText"/>
            </w:pPr>
            <w:r w:rsidRPr="00232461">
              <w:rPr>
                <w:b/>
              </w:rPr>
              <w:t>[Investor Name</w:t>
            </w:r>
            <w:r w:rsidRPr="00232461">
              <w:rPr>
                <w:b/>
              </w:rPr>
              <w:br/>
              <w:t>Address</w:t>
            </w:r>
            <w:r w:rsidRPr="00232461">
              <w:rPr>
                <w:b/>
              </w:rPr>
              <w:br/>
              <w:t>Phone Number</w:t>
            </w:r>
            <w:r w:rsidRPr="00232461">
              <w:rPr>
                <w:b/>
              </w:rPr>
              <w:br/>
              <w:t>Email</w:t>
            </w:r>
            <w:r w:rsidRPr="00232461">
              <w:rPr>
                <w:b/>
              </w:rPr>
              <w:br/>
              <w:t>[Counsel cc, if any]]</w:t>
            </w:r>
          </w:p>
        </w:tc>
      </w:tr>
      <w:tr w:rsidTr="00232461">
        <w:tblPrEx>
          <w:tblW w:w="5000" w:type="pct"/>
          <w:tblLook w:val="04A0"/>
        </w:tblPrEx>
        <w:tc>
          <w:tcPr>
            <w:tcW w:w="5000" w:type="pct"/>
          </w:tcPr>
          <w:p w:rsidR="00C20A1A">
            <w:pPr>
              <w:pStyle w:val="BodyText"/>
            </w:pPr>
            <w:r w:rsidRPr="00232461">
              <w:rPr>
                <w:b/>
              </w:rPr>
              <w:t>[Investor Name</w:t>
            </w:r>
            <w:r w:rsidRPr="00232461">
              <w:rPr>
                <w:b/>
              </w:rPr>
              <w:br/>
              <w:t>Address</w:t>
            </w:r>
            <w:r w:rsidRPr="00232461">
              <w:rPr>
                <w:b/>
              </w:rPr>
              <w:br/>
              <w:t>Phone Number</w:t>
            </w:r>
            <w:r w:rsidRPr="00232461">
              <w:rPr>
                <w:b/>
              </w:rPr>
              <w:br/>
              <w:t>Email</w:t>
            </w:r>
            <w:r w:rsidRPr="00232461">
              <w:rPr>
                <w:b/>
              </w:rPr>
              <w:br/>
              <w:t>[Counsel cc, if any]]</w:t>
            </w:r>
          </w:p>
        </w:tc>
      </w:tr>
    </w:tbl>
    <w:p w:rsidR="00C20A1A">
      <w:pPr>
        <w:pStyle w:val="BodyText"/>
        <w:sectPr>
          <w:footerReference w:type="first" r:id="rId18"/>
          <w:pgSz w:w="12240" w:h="15840"/>
          <w:pgMar w:top="1440" w:right="1440" w:bottom="1440" w:left="1440" w:header="720" w:footer="720" w:gutter="0"/>
          <w:cols w:space="720"/>
          <w:titlePg/>
          <w:docGrid w:linePitch="360"/>
        </w:sectPr>
      </w:pPr>
    </w:p>
    <w:p w:rsidR="00C20A1A">
      <w:pPr>
        <w:pStyle w:val="ScheduleArL1"/>
      </w:pPr>
      <w:bookmarkStart w:id="425" w:name="_Ref448392756"/>
      <w:r>
        <w:br/>
      </w:r>
      <w:r>
        <w:br/>
      </w:r>
      <w:bookmarkStart w:id="426" w:name="_Toc481488886"/>
      <w:bookmarkStart w:id="427" w:name="_Ref512785175"/>
      <w:bookmarkStart w:id="428" w:name="_Ref56325246"/>
      <w:r>
        <w:t>Key Holders</w:t>
      </w:r>
      <w:bookmarkEnd w:id="425"/>
      <w:bookmarkEnd w:id="426"/>
      <w:bookmarkEnd w:id="427"/>
      <w:bookmarkEnd w:id="428"/>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rsidTr="0023246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00" w:type="pct"/>
          </w:tcPr>
          <w:p w:rsidR="00C20A1A" w:rsidP="00232461">
            <w:pPr>
              <w:pStyle w:val="BodyText"/>
              <w:jc w:val="left"/>
              <w:rPr>
                <w:b/>
                <w:bCs/>
                <w:u w:val="single"/>
              </w:rPr>
            </w:pPr>
            <w:r>
              <w:rPr>
                <w:b/>
                <w:bCs/>
                <w:u w:val="single"/>
              </w:rPr>
              <w:t>Name and Address</w:t>
            </w:r>
          </w:p>
        </w:tc>
      </w:tr>
      <w:tr w:rsidTr="00232461">
        <w:tblPrEx>
          <w:tblW w:w="5000" w:type="pct"/>
          <w:tblLook w:val="04A0"/>
        </w:tblPrEx>
        <w:tc>
          <w:tcPr>
            <w:tcW w:w="5000" w:type="pct"/>
          </w:tcPr>
          <w:p w:rsidR="00C20A1A" w:rsidRPr="00232461">
            <w:pPr>
              <w:pStyle w:val="BodyText"/>
              <w:rPr>
                <w:b/>
              </w:rPr>
            </w:pPr>
            <w:r>
              <w:rPr>
                <w:b/>
              </w:rPr>
              <w:t>[Key Holder Name</w:t>
            </w:r>
            <w:r>
              <w:rPr>
                <w:b/>
              </w:rPr>
              <w:br/>
              <w:t>Address</w:t>
            </w:r>
            <w:r>
              <w:rPr>
                <w:b/>
              </w:rPr>
              <w:br/>
              <w:t>Phone Number</w:t>
            </w:r>
            <w:r>
              <w:rPr>
                <w:b/>
              </w:rPr>
              <w:br/>
              <w:t>Email]</w:t>
            </w:r>
          </w:p>
        </w:tc>
      </w:tr>
      <w:tr w:rsidTr="00232461">
        <w:tblPrEx>
          <w:tblW w:w="5000" w:type="pct"/>
          <w:tblLook w:val="04A0"/>
        </w:tblPrEx>
        <w:tc>
          <w:tcPr>
            <w:tcW w:w="5000" w:type="pct"/>
          </w:tcPr>
          <w:p w:rsidR="00C20A1A">
            <w:pPr>
              <w:pStyle w:val="BodyText"/>
            </w:pPr>
            <w:r>
              <w:rPr>
                <w:b/>
              </w:rPr>
              <w:t>[Key Holder Name</w:t>
            </w:r>
            <w:r>
              <w:rPr>
                <w:b/>
              </w:rPr>
              <w:br/>
              <w:t>Address</w:t>
            </w:r>
            <w:r>
              <w:rPr>
                <w:b/>
              </w:rPr>
              <w:br/>
              <w:t>Phone Number</w:t>
            </w:r>
            <w:r>
              <w:rPr>
                <w:b/>
              </w:rPr>
              <w:br/>
              <w:t>Email]</w:t>
            </w:r>
          </w:p>
        </w:tc>
      </w:tr>
      <w:tr w:rsidTr="00232461">
        <w:tblPrEx>
          <w:tblW w:w="5000" w:type="pct"/>
          <w:tblLook w:val="04A0"/>
        </w:tblPrEx>
        <w:tc>
          <w:tcPr>
            <w:tcW w:w="5000" w:type="pct"/>
          </w:tcPr>
          <w:p w:rsidR="00C20A1A">
            <w:pPr>
              <w:pStyle w:val="BodyText"/>
            </w:pPr>
            <w:r>
              <w:rPr>
                <w:b/>
              </w:rPr>
              <w:t>[Key Holder Name</w:t>
            </w:r>
            <w:r>
              <w:rPr>
                <w:b/>
              </w:rPr>
              <w:br/>
              <w:t>Address</w:t>
            </w:r>
            <w:r>
              <w:rPr>
                <w:b/>
              </w:rPr>
              <w:br/>
              <w:t>Phone Number</w:t>
            </w:r>
            <w:r>
              <w:rPr>
                <w:b/>
              </w:rPr>
              <w:br/>
              <w:t>Email]</w:t>
            </w:r>
          </w:p>
        </w:tc>
      </w:tr>
    </w:tbl>
    <w:p w:rsidR="00C20A1A">
      <w:pPr>
        <w:pStyle w:val="BodyText"/>
      </w:pPr>
    </w:p>
    <w:p w:rsidR="00C20A1A">
      <w:pPr>
        <w:pStyle w:val="BodyText"/>
        <w:sectPr>
          <w:footerReference w:type="first" r:id="rId19"/>
          <w:pgSz w:w="12240" w:h="15840"/>
          <w:pgMar w:top="1440" w:right="1440" w:bottom="1440" w:left="1440" w:header="720" w:footer="720" w:gutter="0"/>
          <w:cols w:space="720"/>
          <w:titlePg/>
          <w:docGrid w:linePitch="360"/>
        </w:sectPr>
      </w:pPr>
    </w:p>
    <w:p w:rsidR="00C20A1A">
      <w:pPr>
        <w:pStyle w:val="ScheduleArL1"/>
      </w:pPr>
      <w:bookmarkStart w:id="429" w:name="_Ref448392757"/>
      <w:bookmarkStart w:id="430" w:name="_Ref464467950"/>
      <w:r>
        <w:br/>
      </w:r>
      <w:r>
        <w:br/>
      </w:r>
      <w:bookmarkStart w:id="431" w:name="_Toc481488887"/>
      <w:r>
        <w:t>Adoption Agreement</w:t>
      </w:r>
      <w:bookmarkEnd w:id="429"/>
      <w:bookmarkEnd w:id="430"/>
      <w:bookmarkEnd w:id="431"/>
    </w:p>
    <w:p w:rsidR="00C20A1A" w:rsidRPr="00627313">
      <w:pPr>
        <w:pStyle w:val="BodyTextFirstLine11pt"/>
        <w:rPr>
          <w:sz w:val="24"/>
        </w:rPr>
      </w:pPr>
      <w:r w:rsidRPr="00627313">
        <w:rPr>
          <w:sz w:val="24"/>
        </w:rPr>
        <w:t>This Adoption Agreement ("</w:t>
      </w:r>
      <w:r w:rsidRPr="00627313">
        <w:rPr>
          <w:b/>
          <w:bCs/>
          <w:sz w:val="24"/>
        </w:rPr>
        <w:t>Adoption Agreement</w:t>
      </w:r>
      <w:r w:rsidRPr="00627313">
        <w:rPr>
          <w:sz w:val="24"/>
        </w:rPr>
        <w:t xml:space="preserve">") is executed on </w:t>
      </w:r>
      <w:r w:rsidRPr="00627313">
        <w:rPr>
          <w:rFonts w:ascii="Symbol" w:hAnsi="Symbol"/>
          <w:sz w:val="24"/>
        </w:rPr>
        <w:sym w:font="Symbol" w:char="F0B7"/>
      </w:r>
      <w:r w:rsidRPr="00627313">
        <w:rPr>
          <w:sz w:val="24"/>
        </w:rPr>
        <w:t>, 20</w:t>
      </w:r>
      <w:r w:rsidRPr="00627313">
        <w:rPr>
          <w:rFonts w:ascii="Symbol" w:hAnsi="Symbol"/>
          <w:sz w:val="24"/>
        </w:rPr>
        <w:sym w:font="Symbol" w:char="F0B7"/>
      </w:r>
      <w:r w:rsidRPr="00627313">
        <w:rPr>
          <w:sz w:val="24"/>
        </w:rPr>
        <w:t>, by the undersigned (the "</w:t>
      </w:r>
      <w:r w:rsidRPr="00627313">
        <w:rPr>
          <w:b/>
          <w:bCs/>
          <w:sz w:val="24"/>
        </w:rPr>
        <w:t>Holder</w:t>
      </w:r>
      <w:r w:rsidRPr="00627313">
        <w:rPr>
          <w:sz w:val="24"/>
        </w:rPr>
        <w:t xml:space="preserve">") pursuant to the terms of that certain Shareholders Agreement dated as of </w:t>
      </w:r>
      <w:r w:rsidRPr="00627313">
        <w:rPr>
          <w:b/>
          <w:bCs/>
          <w:sz w:val="24"/>
        </w:rPr>
        <w:t>[</w:t>
      </w:r>
      <w:r w:rsidRPr="00627313">
        <w:rPr>
          <w:rFonts w:ascii="Symbol" w:hAnsi="Symbol"/>
          <w:b/>
          <w:bCs/>
          <w:sz w:val="24"/>
        </w:rPr>
        <w:sym w:font="Symbol" w:char="F0B7"/>
      </w:r>
      <w:r w:rsidRPr="00627313">
        <w:rPr>
          <w:b/>
          <w:bCs/>
          <w:sz w:val="24"/>
        </w:rPr>
        <w:t xml:space="preserve"> </w:t>
      </w:r>
      <w:r w:rsidRPr="00627313">
        <w:rPr>
          <w:rFonts w:ascii="Symbol" w:hAnsi="Symbol"/>
          <w:b/>
          <w:bCs/>
          <w:sz w:val="24"/>
        </w:rPr>
        <w:sym w:font="Symbol" w:char="F0B7"/>
      </w:r>
      <w:r w:rsidRPr="00627313">
        <w:rPr>
          <w:b/>
          <w:bCs/>
          <w:sz w:val="24"/>
        </w:rPr>
        <w:t>, 20</w:t>
      </w:r>
      <w:r w:rsidRPr="00627313">
        <w:rPr>
          <w:rFonts w:ascii="Symbol" w:hAnsi="Symbol"/>
          <w:b/>
          <w:bCs/>
          <w:sz w:val="24"/>
        </w:rPr>
        <w:sym w:font="Symbol" w:char="F0B7"/>
      </w:r>
      <w:r w:rsidRPr="00627313">
        <w:rPr>
          <w:b/>
          <w:bCs/>
          <w:sz w:val="24"/>
        </w:rPr>
        <w:t>]</w:t>
      </w:r>
      <w:r w:rsidRPr="00627313">
        <w:rPr>
          <w:sz w:val="24"/>
        </w:rPr>
        <w:t xml:space="preserve"> (the "</w:t>
      </w:r>
      <w:r w:rsidRPr="00627313">
        <w:rPr>
          <w:b/>
          <w:bCs/>
          <w:sz w:val="24"/>
        </w:rPr>
        <w:t>Agreement</w:t>
      </w:r>
      <w:r w:rsidRPr="00627313">
        <w:rPr>
          <w:sz w:val="24"/>
        </w:rPr>
        <w:t xml:space="preserve">"), between the Company and </w:t>
      </w:r>
      <w:r w:rsidRPr="00627313">
        <w:rPr>
          <w:b/>
          <w:bCs/>
          <w:sz w:val="24"/>
        </w:rPr>
        <w:t>[certain]</w:t>
      </w:r>
      <w:r w:rsidRPr="00627313">
        <w:rPr>
          <w:sz w:val="24"/>
        </w:rPr>
        <w:t xml:space="preserve"> of its Shareholders, as such Agreement may be amended or amended and restated hereafter. Capitalized terms used but not defined in this Adoption Agreement shall have the respective meanings ascribed to such terms in the Agreement. By the execution of this Adoption Agreement, the Holder agrees as follows.</w:t>
      </w:r>
    </w:p>
    <w:p w:rsidR="00C20A1A" w:rsidRPr="00627313">
      <w:pPr>
        <w:pStyle w:val="ExhibitL2"/>
        <w:rPr>
          <w:sz w:val="24"/>
          <w:szCs w:val="24"/>
        </w:rPr>
      </w:pPr>
      <w:bookmarkStart w:id="432" w:name="_Ref448392758"/>
      <w:r w:rsidRPr="00627313">
        <w:rPr>
          <w:sz w:val="24"/>
          <w:szCs w:val="24"/>
        </w:rPr>
        <w:t>Acknowledgement</w:t>
      </w:r>
      <w:bookmarkEnd w:id="432"/>
    </w:p>
    <w:p w:rsidR="00C20A1A" w:rsidRPr="00627313">
      <w:pPr>
        <w:pStyle w:val="BodyTextFirstLine11pt"/>
        <w:rPr>
          <w:sz w:val="24"/>
        </w:rPr>
      </w:pPr>
      <w:r w:rsidRPr="00627313">
        <w:rPr>
          <w:sz w:val="24"/>
        </w:rPr>
        <w:t>Holder acknowledges that Holder is acquiring certain shares of the Company (the "</w:t>
      </w:r>
      <w:r w:rsidRPr="00627313">
        <w:rPr>
          <w:b/>
          <w:bCs/>
          <w:sz w:val="24"/>
        </w:rPr>
        <w:t>Shares</w:t>
      </w:r>
      <w:r w:rsidRPr="00627313">
        <w:rPr>
          <w:sz w:val="24"/>
        </w:rPr>
        <w:t>")</w:t>
      </w:r>
      <w:r w:rsidRPr="00627313">
        <w:rPr>
          <w:b/>
          <w:bCs/>
          <w:sz w:val="24"/>
        </w:rPr>
        <w:t>[ or options, warrants, or other rights to purchase such Shares (the "Options")]</w:t>
      </w:r>
      <w:r w:rsidRPr="00627313">
        <w:rPr>
          <w:sz w:val="24"/>
        </w:rPr>
        <w:t>, for one of the following reasons (Check the correct box):</w:t>
      </w:r>
    </w:p>
    <w:p w:rsidR="00C20A1A" w:rsidRPr="00627313" w:rsidP="00627313">
      <w:pPr>
        <w:pStyle w:val="CheckBox"/>
        <w:ind w:left="1440"/>
        <w:rPr>
          <w:sz w:val="24"/>
        </w:rPr>
      </w:pPr>
      <w:r w:rsidRPr="00627313">
        <w:rPr>
          <w:sz w:val="24"/>
        </w:rPr>
        <w:t>As a transferee of Shares from a party in such party's capacity as an "Investor" bound by the Agreement, and after such transfer, Holder shall be considered an "Investor" and a "Shareholder" for all purposes of the Agreement.</w:t>
      </w:r>
    </w:p>
    <w:p w:rsidR="00C20A1A" w:rsidRPr="00627313" w:rsidP="00627313">
      <w:pPr>
        <w:pStyle w:val="CheckBox"/>
        <w:ind w:left="1440"/>
        <w:rPr>
          <w:sz w:val="24"/>
        </w:rPr>
      </w:pPr>
      <w:r w:rsidRPr="00627313">
        <w:rPr>
          <w:sz w:val="24"/>
        </w:rPr>
        <w:t>As a transferee of Shares from a party in such party's capacity as a "Key Holder" bound by the Agreement, and after such transfer, Holder shall be considered a "Key Holder" and a "Shareholder" for all purposes of the Agreement.</w:t>
      </w:r>
      <w:r w:rsidRPr="00627313">
        <w:rPr>
          <w:sz w:val="24"/>
        </w:rPr>
        <w:tab/>
      </w:r>
    </w:p>
    <w:p w:rsidR="00C20A1A" w:rsidRPr="00627313" w:rsidP="00627313">
      <w:pPr>
        <w:pStyle w:val="CheckBox"/>
        <w:ind w:left="1440"/>
        <w:rPr>
          <w:b/>
          <w:bCs/>
          <w:sz w:val="24"/>
        </w:rPr>
      </w:pPr>
      <w:r w:rsidRPr="00627313">
        <w:rPr>
          <w:b/>
          <w:bCs/>
          <w:sz w:val="24"/>
        </w:rPr>
        <w:t>[As a new Investor in accordance with Section [</w:t>
      </w:r>
      <w:r w:rsidRPr="00627313">
        <w:rPr>
          <w:b/>
          <w:bCs/>
          <w:sz w:val="24"/>
          <w:cs/>
        </w:rPr>
        <w:t>‎</w:t>
      </w:r>
      <w:r w:rsidRPr="00627313">
        <w:rPr>
          <w:rFonts w:ascii="Symbol" w:hAnsi="Symbol"/>
          <w:b/>
          <w:bCs/>
          <w:sz w:val="24"/>
        </w:rPr>
        <w:sym w:font="Symbol" w:char="F0B7"/>
      </w:r>
      <w:r w:rsidRPr="00627313">
        <w:rPr>
          <w:b/>
          <w:bCs/>
          <w:sz w:val="24"/>
        </w:rPr>
        <w:t>] of the Agreement, in which case Holder will be an "Investor" and a "Shareholder" for all purposes of the Agreement.]</w:t>
      </w:r>
    </w:p>
    <w:p w:rsidR="00C20A1A" w:rsidRPr="00627313" w:rsidP="00627313">
      <w:pPr>
        <w:pStyle w:val="CheckBox"/>
        <w:ind w:left="1440"/>
        <w:rPr>
          <w:b/>
          <w:bCs/>
          <w:sz w:val="24"/>
        </w:rPr>
      </w:pPr>
      <w:r w:rsidRPr="00627313">
        <w:rPr>
          <w:b/>
          <w:bCs/>
          <w:sz w:val="24"/>
        </w:rPr>
        <w:t>[In accordance with Section [</w:t>
      </w:r>
      <w:r w:rsidRPr="00627313">
        <w:rPr>
          <w:rFonts w:ascii="Symbol" w:hAnsi="Symbol"/>
          <w:b/>
          <w:bCs/>
          <w:sz w:val="24"/>
        </w:rPr>
        <w:sym w:font="Symbol" w:char="F0B7"/>
      </w:r>
      <w:r w:rsidRPr="00627313">
        <w:rPr>
          <w:b/>
          <w:bCs/>
          <w:sz w:val="24"/>
        </w:rPr>
        <w:t>] of the Agreement, as a new party who is not a new Investor, in which case Holder will be a "Shareholder" for all purposes of the Agreement.]</w:t>
      </w:r>
    </w:p>
    <w:p w:rsidR="00C20A1A" w:rsidRPr="00627313">
      <w:pPr>
        <w:pStyle w:val="ExhibitL2"/>
        <w:rPr>
          <w:sz w:val="24"/>
          <w:szCs w:val="24"/>
        </w:rPr>
      </w:pPr>
      <w:bookmarkStart w:id="433" w:name="_Ref448392759"/>
      <w:r w:rsidRPr="00627313">
        <w:rPr>
          <w:sz w:val="24"/>
          <w:szCs w:val="24"/>
        </w:rPr>
        <w:t>Agreement</w:t>
      </w:r>
      <w:bookmarkEnd w:id="433"/>
    </w:p>
    <w:p w:rsidR="00C20A1A" w:rsidRPr="00627313">
      <w:pPr>
        <w:pStyle w:val="BodyTextFirstLine11pt"/>
        <w:rPr>
          <w:sz w:val="24"/>
        </w:rPr>
      </w:pPr>
      <w:r w:rsidRPr="00627313">
        <w:rPr>
          <w:sz w:val="24"/>
        </w:rPr>
        <w:t xml:space="preserve">Holder hereby </w:t>
      </w:r>
      <w:bookmarkStart w:id="434" w:name="DocXTextRef127"/>
      <w:r w:rsidRPr="00627313">
        <w:rPr>
          <w:sz w:val="24"/>
        </w:rPr>
        <w:t>(a)</w:t>
      </w:r>
      <w:bookmarkEnd w:id="434"/>
      <w:r w:rsidRPr="00627313">
        <w:rPr>
          <w:sz w:val="24"/>
        </w:rPr>
        <w:t xml:space="preserve"> agrees that the Shares </w:t>
      </w:r>
      <w:r w:rsidRPr="00627313">
        <w:rPr>
          <w:b/>
          <w:bCs/>
          <w:sz w:val="24"/>
        </w:rPr>
        <w:t>[Options]</w:t>
      </w:r>
      <w:r w:rsidRPr="00627313">
        <w:rPr>
          <w:sz w:val="24"/>
        </w:rPr>
        <w:t xml:space="preserve">, and any other shares or securities required by the Agreement to be bound thereby, shall be bound by and subject to the terms of the Agreement and </w:t>
      </w:r>
      <w:bookmarkStart w:id="435" w:name="DocXTextRef128"/>
      <w:r w:rsidRPr="00627313">
        <w:rPr>
          <w:sz w:val="24"/>
        </w:rPr>
        <w:t>(b)</w:t>
      </w:r>
      <w:bookmarkEnd w:id="435"/>
      <w:r w:rsidRPr="00627313">
        <w:rPr>
          <w:sz w:val="24"/>
        </w:rPr>
        <w:t xml:space="preserve"> adopts the Agreement with the same force and effect as if Holder were originally a party thereto.</w:t>
      </w:r>
    </w:p>
    <w:p w:rsidR="00C20A1A" w:rsidRPr="00627313">
      <w:pPr>
        <w:pStyle w:val="ExhibitL2"/>
        <w:rPr>
          <w:sz w:val="24"/>
          <w:szCs w:val="24"/>
        </w:rPr>
      </w:pPr>
      <w:bookmarkStart w:id="436" w:name="_Ref448392760"/>
      <w:r w:rsidRPr="00627313">
        <w:rPr>
          <w:sz w:val="24"/>
          <w:szCs w:val="24"/>
        </w:rPr>
        <w:t>Notice</w:t>
      </w:r>
      <w:bookmarkEnd w:id="436"/>
    </w:p>
    <w:p w:rsidR="00C20A1A" w:rsidRPr="00627313">
      <w:pPr>
        <w:pStyle w:val="BodyTextFirstLine11pt"/>
        <w:rPr>
          <w:sz w:val="24"/>
        </w:rPr>
      </w:pPr>
      <w:r w:rsidRPr="00627313">
        <w:rPr>
          <w:sz w:val="24"/>
        </w:rPr>
        <w:t>Any notice required or permitted by the Agreement shall be given to Holder at the address or facsimile number listed below Holder's signature hereto</w:t>
      </w:r>
      <w:r>
        <w:rPr>
          <w:sz w:val="24"/>
        </w:rPr>
        <w:t>.</w:t>
      </w:r>
    </w:p>
    <w:p w:rsidR="00C20A1A">
      <w:pPr>
        <w:jc w:val="left"/>
        <w:rPr>
          <w:rFonts w:eastAsia="Times New Roman" w:cs="Times New Roman"/>
          <w:b/>
          <w:bCs/>
          <w:sz w:val="22"/>
          <w:szCs w:val="22"/>
        </w:rPr>
      </w:pPr>
      <w:r>
        <w:rPr>
          <w:b/>
          <w:bCs/>
          <w:sz w:val="22"/>
          <w:szCs w:val="22"/>
        </w:rPr>
        <w:br w:type="page"/>
      </w:r>
    </w:p>
    <w:p w:rsidR="00C20A1A" w:rsidP="00E358F3">
      <w:pPr>
        <w:pStyle w:val="BodyText"/>
        <w:tabs>
          <w:tab w:val="left" w:pos="1440"/>
          <w:tab w:val="left" w:pos="4320"/>
          <w:tab w:val="left" w:pos="5040"/>
        </w:tabs>
        <w:rPr>
          <w:sz w:val="22"/>
          <w:szCs w:val="22"/>
        </w:rPr>
      </w:pPr>
      <w:r>
        <w:rPr>
          <w:b/>
          <w:bCs/>
          <w:sz w:val="22"/>
          <w:szCs w:val="22"/>
        </w:rPr>
        <w:t>HOLDER:</w:t>
      </w:r>
      <w:r>
        <w:rPr>
          <w:sz w:val="22"/>
          <w:szCs w:val="22"/>
        </w:rPr>
        <w:t xml:space="preserve"> </w:t>
      </w:r>
      <w:r>
        <w:rPr>
          <w:sz w:val="22"/>
          <w:szCs w:val="22"/>
        </w:rPr>
        <w:tab/>
      </w:r>
      <w:r>
        <w:rPr>
          <w:sz w:val="22"/>
          <w:szCs w:val="22"/>
          <w:u w:val="single"/>
        </w:rPr>
        <w:tab/>
      </w:r>
      <w:r>
        <w:rPr>
          <w:sz w:val="22"/>
          <w:szCs w:val="22"/>
        </w:rPr>
        <w:tab/>
        <w:t>ACCEPTED AND AGREED:</w:t>
      </w:r>
    </w:p>
    <w:tbl>
      <w:tblPr>
        <w:tblW w:w="0" w:type="auto"/>
        <w:tblLayout w:type="fixed"/>
        <w:tblCellMar>
          <w:left w:w="0" w:type="dxa"/>
          <w:right w:w="0" w:type="dxa"/>
        </w:tblCellMar>
        <w:tblLook w:val="0000"/>
      </w:tblPr>
      <w:tblGrid>
        <w:gridCol w:w="630"/>
        <w:gridCol w:w="450"/>
        <w:gridCol w:w="990"/>
        <w:gridCol w:w="2250"/>
        <w:gridCol w:w="720"/>
        <w:gridCol w:w="720"/>
        <w:gridCol w:w="3600"/>
      </w:tblGrid>
      <w:tr w:rsidTr="00EC0D01">
        <w:tblPrEx>
          <w:tblW w:w="0" w:type="auto"/>
          <w:tblLayout w:type="fixed"/>
          <w:tblCellMar>
            <w:left w:w="0" w:type="dxa"/>
            <w:right w:w="0" w:type="dxa"/>
          </w:tblCellMar>
          <w:tblLook w:val="0000"/>
        </w:tblPrEx>
        <w:trPr>
          <w:cantSplit/>
        </w:trPr>
        <w:tc>
          <w:tcPr>
            <w:tcW w:w="4320" w:type="dxa"/>
            <w:gridSpan w:val="4"/>
          </w:tcPr>
          <w:p w:rsidR="00C20A1A" w:rsidP="00EC0D01">
            <w:pPr>
              <w:keepNext/>
              <w:rPr>
                <w:b/>
                <w:sz w:val="22"/>
                <w:szCs w:val="22"/>
              </w:rPr>
            </w:pPr>
          </w:p>
        </w:tc>
        <w:tc>
          <w:tcPr>
            <w:tcW w:w="720" w:type="dxa"/>
          </w:tcPr>
          <w:p w:rsidR="00C20A1A" w:rsidP="00EC0D01">
            <w:pPr>
              <w:keepNext/>
              <w:rPr>
                <w:b/>
                <w:sz w:val="22"/>
                <w:szCs w:val="22"/>
              </w:rPr>
            </w:pPr>
          </w:p>
        </w:tc>
        <w:tc>
          <w:tcPr>
            <w:tcW w:w="4320" w:type="dxa"/>
            <w:gridSpan w:val="2"/>
          </w:tcPr>
          <w:p w:rsidR="00C20A1A" w:rsidP="00EC0D01">
            <w:pPr>
              <w:keepNext/>
              <w:rPr>
                <w:b/>
                <w:sz w:val="22"/>
                <w:szCs w:val="22"/>
              </w:rPr>
            </w:pPr>
          </w:p>
        </w:tc>
      </w:tr>
      <w:tr w:rsidTr="00EC0D01">
        <w:tblPrEx>
          <w:tblW w:w="0" w:type="auto"/>
          <w:tblLayout w:type="fixed"/>
          <w:tblCellMar>
            <w:left w:w="0" w:type="dxa"/>
            <w:right w:w="0" w:type="dxa"/>
          </w:tblCellMar>
          <w:tblLook w:val="0000"/>
        </w:tblPrEx>
        <w:tc>
          <w:tcPr>
            <w:tcW w:w="630" w:type="dxa"/>
          </w:tcPr>
          <w:p w:rsidR="00C20A1A" w:rsidP="00EC0D01">
            <w:pPr>
              <w:keepNext/>
              <w:rPr>
                <w:sz w:val="22"/>
                <w:szCs w:val="22"/>
              </w:rPr>
            </w:pPr>
            <w:r>
              <w:rPr>
                <w:sz w:val="22"/>
                <w:szCs w:val="22"/>
              </w:rPr>
              <w:t>By:</w:t>
            </w:r>
          </w:p>
        </w:tc>
        <w:tc>
          <w:tcPr>
            <w:tcW w:w="3690" w:type="dxa"/>
            <w:gridSpan w:val="3"/>
            <w:tcBorders>
              <w:bottom w:val="single" w:sz="4" w:space="0" w:color="auto"/>
            </w:tcBorders>
          </w:tcPr>
          <w:p w:rsidR="00C20A1A" w:rsidP="00EC0D01">
            <w:pPr>
              <w:keepNext/>
              <w:rPr>
                <w:sz w:val="22"/>
                <w:szCs w:val="22"/>
              </w:rPr>
            </w:pPr>
          </w:p>
        </w:tc>
        <w:tc>
          <w:tcPr>
            <w:tcW w:w="720" w:type="dxa"/>
          </w:tcPr>
          <w:p w:rsidR="00C20A1A" w:rsidP="00EC0D01">
            <w:pPr>
              <w:keepNext/>
              <w:rPr>
                <w:sz w:val="22"/>
                <w:szCs w:val="22"/>
              </w:rPr>
            </w:pPr>
          </w:p>
        </w:tc>
        <w:tc>
          <w:tcPr>
            <w:tcW w:w="4320" w:type="dxa"/>
            <w:gridSpan w:val="2"/>
          </w:tcPr>
          <w:p w:rsidR="00C20A1A" w:rsidP="00EC0D01">
            <w:pPr>
              <w:keepNext/>
              <w:rPr>
                <w:b/>
                <w:bCs/>
                <w:sz w:val="22"/>
                <w:szCs w:val="22"/>
              </w:rPr>
            </w:pPr>
            <w:r>
              <w:rPr>
                <w:b/>
                <w:bCs/>
                <w:sz w:val="22"/>
                <w:szCs w:val="22"/>
              </w:rPr>
              <w:t>[COMPANY]</w:t>
            </w:r>
          </w:p>
        </w:tc>
      </w:tr>
      <w:tr w:rsidTr="00EC0D01">
        <w:tblPrEx>
          <w:tblW w:w="0" w:type="auto"/>
          <w:tblLayout w:type="fixed"/>
          <w:tblCellMar>
            <w:left w:w="0" w:type="dxa"/>
            <w:right w:w="0" w:type="dxa"/>
          </w:tblCellMar>
          <w:tblLook w:val="0000"/>
        </w:tblPrEx>
        <w:tc>
          <w:tcPr>
            <w:tcW w:w="4320" w:type="dxa"/>
            <w:gridSpan w:val="4"/>
          </w:tcPr>
          <w:p w:rsidR="00C20A1A" w:rsidP="00EC0D01">
            <w:pPr>
              <w:keepNext/>
              <w:rPr>
                <w:sz w:val="22"/>
                <w:szCs w:val="22"/>
              </w:rPr>
            </w:pPr>
            <w:r>
              <w:rPr>
                <w:sz w:val="22"/>
                <w:szCs w:val="22"/>
              </w:rPr>
              <w:t>Name: _________________________________</w:t>
            </w:r>
            <w:r>
              <w:rPr>
                <w:sz w:val="22"/>
                <w:szCs w:val="22"/>
              </w:rPr>
              <w:br/>
              <w:t>Title:   _________________________________</w:t>
            </w:r>
          </w:p>
          <w:p w:rsidR="00C20A1A" w:rsidP="00EC0D01">
            <w:pPr>
              <w:keepNext/>
              <w:rPr>
                <w:sz w:val="22"/>
                <w:szCs w:val="22"/>
              </w:rPr>
            </w:pPr>
          </w:p>
        </w:tc>
        <w:tc>
          <w:tcPr>
            <w:tcW w:w="720" w:type="dxa"/>
          </w:tcPr>
          <w:p w:rsidR="00C20A1A" w:rsidP="00EC0D01">
            <w:pPr>
              <w:keepNext/>
              <w:rPr>
                <w:sz w:val="22"/>
                <w:szCs w:val="22"/>
              </w:rPr>
            </w:pPr>
          </w:p>
        </w:tc>
        <w:tc>
          <w:tcPr>
            <w:tcW w:w="720" w:type="dxa"/>
          </w:tcPr>
          <w:p w:rsidR="00C20A1A" w:rsidP="00EC0D01">
            <w:pPr>
              <w:keepNext/>
              <w:rPr>
                <w:sz w:val="22"/>
                <w:szCs w:val="22"/>
              </w:rPr>
            </w:pPr>
          </w:p>
        </w:tc>
        <w:tc>
          <w:tcPr>
            <w:tcW w:w="3600" w:type="dxa"/>
          </w:tcPr>
          <w:p w:rsidR="00C20A1A" w:rsidP="00EC0D01">
            <w:pPr>
              <w:keepNext/>
              <w:rPr>
                <w:sz w:val="22"/>
                <w:szCs w:val="22"/>
              </w:rPr>
            </w:pPr>
          </w:p>
        </w:tc>
      </w:tr>
      <w:tr w:rsidTr="00EC0D01">
        <w:tblPrEx>
          <w:tblW w:w="0" w:type="auto"/>
          <w:tblLayout w:type="fixed"/>
          <w:tblCellMar>
            <w:left w:w="0" w:type="dxa"/>
            <w:right w:w="0" w:type="dxa"/>
          </w:tblCellMar>
          <w:tblLook w:val="0000"/>
        </w:tblPrEx>
        <w:tc>
          <w:tcPr>
            <w:tcW w:w="1080" w:type="dxa"/>
            <w:gridSpan w:val="2"/>
          </w:tcPr>
          <w:p w:rsidR="00C20A1A" w:rsidP="00EC0D01">
            <w:pPr>
              <w:keepNext/>
              <w:rPr>
                <w:sz w:val="22"/>
                <w:szCs w:val="22"/>
              </w:rPr>
            </w:pPr>
            <w:r>
              <w:rPr>
                <w:sz w:val="22"/>
                <w:szCs w:val="22"/>
              </w:rPr>
              <w:t>Address:</w:t>
            </w:r>
          </w:p>
        </w:tc>
        <w:tc>
          <w:tcPr>
            <w:tcW w:w="3240" w:type="dxa"/>
            <w:gridSpan w:val="2"/>
            <w:tcBorders>
              <w:bottom w:val="single" w:sz="4" w:space="0" w:color="auto"/>
            </w:tcBorders>
          </w:tcPr>
          <w:p w:rsidR="00C20A1A" w:rsidP="00EC0D01">
            <w:pPr>
              <w:keepNext/>
              <w:rPr>
                <w:sz w:val="22"/>
                <w:szCs w:val="22"/>
              </w:rPr>
            </w:pPr>
          </w:p>
        </w:tc>
        <w:tc>
          <w:tcPr>
            <w:tcW w:w="720" w:type="dxa"/>
          </w:tcPr>
          <w:p w:rsidR="00C20A1A" w:rsidP="00EC0D01">
            <w:pPr>
              <w:keepNext/>
              <w:rPr>
                <w:sz w:val="22"/>
                <w:szCs w:val="22"/>
              </w:rPr>
            </w:pPr>
          </w:p>
        </w:tc>
        <w:tc>
          <w:tcPr>
            <w:tcW w:w="720" w:type="dxa"/>
          </w:tcPr>
          <w:p w:rsidR="00C20A1A" w:rsidP="00EC0D01">
            <w:pPr>
              <w:keepNext/>
              <w:rPr>
                <w:sz w:val="22"/>
                <w:szCs w:val="22"/>
              </w:rPr>
            </w:pPr>
            <w:r>
              <w:rPr>
                <w:sz w:val="22"/>
                <w:szCs w:val="22"/>
              </w:rPr>
              <w:t>By:</w:t>
            </w:r>
          </w:p>
        </w:tc>
        <w:tc>
          <w:tcPr>
            <w:tcW w:w="3600" w:type="dxa"/>
            <w:tcBorders>
              <w:bottom w:val="single" w:sz="4" w:space="0" w:color="auto"/>
            </w:tcBorders>
          </w:tcPr>
          <w:p w:rsidR="00C20A1A" w:rsidP="00EC0D01">
            <w:pPr>
              <w:keepNext/>
              <w:rPr>
                <w:sz w:val="22"/>
                <w:szCs w:val="22"/>
              </w:rPr>
            </w:pPr>
          </w:p>
        </w:tc>
      </w:tr>
      <w:tr w:rsidTr="00EC0D01">
        <w:tblPrEx>
          <w:tblW w:w="0" w:type="auto"/>
          <w:tblLayout w:type="fixed"/>
          <w:tblCellMar>
            <w:left w:w="0" w:type="dxa"/>
            <w:right w:w="0" w:type="dxa"/>
          </w:tblCellMar>
          <w:tblLook w:val="0000"/>
        </w:tblPrEx>
        <w:tc>
          <w:tcPr>
            <w:tcW w:w="4320" w:type="dxa"/>
            <w:gridSpan w:val="4"/>
            <w:tcBorders>
              <w:bottom w:val="single" w:sz="4" w:space="0" w:color="auto"/>
            </w:tcBorders>
          </w:tcPr>
          <w:p w:rsidR="00C20A1A" w:rsidP="00EC0D01">
            <w:pPr>
              <w:rPr>
                <w:sz w:val="22"/>
                <w:szCs w:val="22"/>
              </w:rPr>
            </w:pPr>
          </w:p>
        </w:tc>
        <w:tc>
          <w:tcPr>
            <w:tcW w:w="720" w:type="dxa"/>
          </w:tcPr>
          <w:p w:rsidR="00C20A1A" w:rsidP="00EC0D01">
            <w:pPr>
              <w:rPr>
                <w:sz w:val="22"/>
                <w:szCs w:val="22"/>
              </w:rPr>
            </w:pPr>
          </w:p>
        </w:tc>
        <w:tc>
          <w:tcPr>
            <w:tcW w:w="720" w:type="dxa"/>
            <w:vAlign w:val="bottom"/>
          </w:tcPr>
          <w:p w:rsidR="00C20A1A" w:rsidP="00EC0D01">
            <w:pPr>
              <w:jc w:val="left"/>
              <w:rPr>
                <w:sz w:val="22"/>
                <w:szCs w:val="22"/>
              </w:rPr>
            </w:pPr>
            <w:r>
              <w:rPr>
                <w:sz w:val="22"/>
                <w:szCs w:val="22"/>
              </w:rPr>
              <w:t>Name:</w:t>
            </w:r>
          </w:p>
        </w:tc>
        <w:tc>
          <w:tcPr>
            <w:tcW w:w="3600" w:type="dxa"/>
            <w:tcBorders>
              <w:top w:val="single" w:sz="4" w:space="0" w:color="auto"/>
              <w:bottom w:val="single" w:sz="4" w:space="0" w:color="auto"/>
            </w:tcBorders>
          </w:tcPr>
          <w:p w:rsidR="00C20A1A" w:rsidP="00EC0D01">
            <w:pPr>
              <w:spacing w:before="240"/>
              <w:rPr>
                <w:sz w:val="22"/>
                <w:szCs w:val="22"/>
              </w:rPr>
            </w:pPr>
          </w:p>
        </w:tc>
      </w:tr>
      <w:tr w:rsidTr="00EC0D01">
        <w:tblPrEx>
          <w:tblW w:w="0" w:type="auto"/>
          <w:tblLayout w:type="fixed"/>
          <w:tblCellMar>
            <w:left w:w="0" w:type="dxa"/>
            <w:right w:w="0" w:type="dxa"/>
          </w:tblCellMar>
          <w:tblLook w:val="0000"/>
        </w:tblPrEx>
        <w:tc>
          <w:tcPr>
            <w:tcW w:w="4320" w:type="dxa"/>
            <w:gridSpan w:val="4"/>
            <w:tcBorders>
              <w:top w:val="single" w:sz="4" w:space="0" w:color="auto"/>
            </w:tcBorders>
          </w:tcPr>
          <w:p w:rsidR="00C20A1A" w:rsidP="00EC0D01">
            <w:pPr>
              <w:rPr>
                <w:sz w:val="22"/>
                <w:szCs w:val="22"/>
              </w:rPr>
            </w:pPr>
          </w:p>
        </w:tc>
        <w:tc>
          <w:tcPr>
            <w:tcW w:w="720" w:type="dxa"/>
          </w:tcPr>
          <w:p w:rsidR="00C20A1A" w:rsidP="00EC0D01">
            <w:pPr>
              <w:rPr>
                <w:sz w:val="22"/>
                <w:szCs w:val="22"/>
              </w:rPr>
            </w:pPr>
          </w:p>
        </w:tc>
        <w:tc>
          <w:tcPr>
            <w:tcW w:w="720" w:type="dxa"/>
            <w:vAlign w:val="bottom"/>
          </w:tcPr>
          <w:p w:rsidR="00C20A1A" w:rsidP="00EC0D01">
            <w:pPr>
              <w:jc w:val="left"/>
              <w:rPr>
                <w:sz w:val="22"/>
                <w:szCs w:val="22"/>
              </w:rPr>
            </w:pPr>
            <w:r>
              <w:rPr>
                <w:sz w:val="22"/>
                <w:szCs w:val="22"/>
              </w:rPr>
              <w:t>Title:</w:t>
            </w:r>
          </w:p>
        </w:tc>
        <w:tc>
          <w:tcPr>
            <w:tcW w:w="3600" w:type="dxa"/>
            <w:tcBorders>
              <w:top w:val="single" w:sz="4" w:space="0" w:color="auto"/>
              <w:bottom w:val="single" w:sz="4" w:space="0" w:color="auto"/>
            </w:tcBorders>
          </w:tcPr>
          <w:p w:rsidR="00C20A1A" w:rsidP="00EC0D01">
            <w:pPr>
              <w:spacing w:before="240"/>
              <w:rPr>
                <w:sz w:val="22"/>
                <w:szCs w:val="22"/>
              </w:rPr>
            </w:pPr>
          </w:p>
        </w:tc>
      </w:tr>
      <w:tr w:rsidTr="00EC0D01">
        <w:tblPrEx>
          <w:tblW w:w="0" w:type="auto"/>
          <w:tblLayout w:type="fixed"/>
          <w:tblCellMar>
            <w:left w:w="0" w:type="dxa"/>
            <w:right w:w="0" w:type="dxa"/>
          </w:tblCellMar>
          <w:tblLook w:val="0000"/>
        </w:tblPrEx>
        <w:tc>
          <w:tcPr>
            <w:tcW w:w="2070" w:type="dxa"/>
            <w:gridSpan w:val="3"/>
          </w:tcPr>
          <w:p w:rsidR="00C20A1A" w:rsidP="00EC0D01">
            <w:pPr>
              <w:keepNext/>
              <w:rPr>
                <w:sz w:val="22"/>
                <w:szCs w:val="22"/>
              </w:rPr>
            </w:pPr>
            <w:r>
              <w:rPr>
                <w:sz w:val="22"/>
                <w:szCs w:val="22"/>
              </w:rPr>
              <w:t>Email Address:</w:t>
            </w:r>
          </w:p>
        </w:tc>
        <w:tc>
          <w:tcPr>
            <w:tcW w:w="2250" w:type="dxa"/>
            <w:tcBorders>
              <w:bottom w:val="single" w:sz="4" w:space="0" w:color="auto"/>
            </w:tcBorders>
          </w:tcPr>
          <w:p w:rsidR="00C20A1A" w:rsidP="00EC0D01">
            <w:pPr>
              <w:keepNext/>
              <w:rPr>
                <w:sz w:val="22"/>
                <w:szCs w:val="22"/>
              </w:rPr>
            </w:pPr>
          </w:p>
        </w:tc>
        <w:tc>
          <w:tcPr>
            <w:tcW w:w="720" w:type="dxa"/>
          </w:tcPr>
          <w:p w:rsidR="00C20A1A" w:rsidP="00EC0D01">
            <w:pPr>
              <w:keepNext/>
              <w:rPr>
                <w:sz w:val="22"/>
                <w:szCs w:val="22"/>
              </w:rPr>
            </w:pPr>
          </w:p>
        </w:tc>
        <w:tc>
          <w:tcPr>
            <w:tcW w:w="720" w:type="dxa"/>
          </w:tcPr>
          <w:p w:rsidR="00C20A1A" w:rsidP="00EC0D01">
            <w:pPr>
              <w:keepNext/>
              <w:rPr>
                <w:sz w:val="22"/>
                <w:szCs w:val="22"/>
              </w:rPr>
            </w:pPr>
          </w:p>
        </w:tc>
        <w:tc>
          <w:tcPr>
            <w:tcW w:w="3600" w:type="dxa"/>
            <w:tcBorders>
              <w:top w:val="single" w:sz="4" w:space="0" w:color="auto"/>
            </w:tcBorders>
          </w:tcPr>
          <w:p w:rsidR="00C20A1A" w:rsidP="00EC0D01">
            <w:pPr>
              <w:keepNext/>
              <w:rPr>
                <w:sz w:val="22"/>
                <w:szCs w:val="22"/>
              </w:rPr>
            </w:pPr>
          </w:p>
        </w:tc>
      </w:tr>
      <w:tr w:rsidTr="00EC0D01">
        <w:tblPrEx>
          <w:tblW w:w="0" w:type="auto"/>
          <w:tblLayout w:type="fixed"/>
          <w:tblCellMar>
            <w:left w:w="0" w:type="dxa"/>
            <w:right w:w="0" w:type="dxa"/>
          </w:tblCellMar>
          <w:tblLook w:val="0000"/>
        </w:tblPrEx>
        <w:tc>
          <w:tcPr>
            <w:tcW w:w="2070" w:type="dxa"/>
            <w:gridSpan w:val="3"/>
          </w:tcPr>
          <w:p w:rsidR="00C20A1A" w:rsidP="00EC0D01">
            <w:pPr>
              <w:keepNext/>
              <w:rPr>
                <w:sz w:val="22"/>
                <w:szCs w:val="22"/>
              </w:rPr>
            </w:pPr>
          </w:p>
        </w:tc>
        <w:tc>
          <w:tcPr>
            <w:tcW w:w="2250" w:type="dxa"/>
            <w:tcBorders>
              <w:top w:val="single" w:sz="4" w:space="0" w:color="auto"/>
            </w:tcBorders>
          </w:tcPr>
          <w:p w:rsidR="00C20A1A" w:rsidP="00EC0D01">
            <w:pPr>
              <w:keepNext/>
              <w:rPr>
                <w:sz w:val="22"/>
                <w:szCs w:val="22"/>
              </w:rPr>
            </w:pPr>
          </w:p>
        </w:tc>
        <w:tc>
          <w:tcPr>
            <w:tcW w:w="720" w:type="dxa"/>
          </w:tcPr>
          <w:p w:rsidR="00C20A1A" w:rsidP="00EC0D01">
            <w:pPr>
              <w:keepNext/>
              <w:rPr>
                <w:sz w:val="22"/>
                <w:szCs w:val="22"/>
              </w:rPr>
            </w:pPr>
          </w:p>
        </w:tc>
        <w:tc>
          <w:tcPr>
            <w:tcW w:w="720" w:type="dxa"/>
          </w:tcPr>
          <w:p w:rsidR="00C20A1A" w:rsidP="00EC0D01">
            <w:pPr>
              <w:keepNext/>
              <w:rPr>
                <w:sz w:val="22"/>
                <w:szCs w:val="22"/>
              </w:rPr>
            </w:pPr>
          </w:p>
        </w:tc>
        <w:tc>
          <w:tcPr>
            <w:tcW w:w="3600" w:type="dxa"/>
          </w:tcPr>
          <w:p w:rsidR="00C20A1A" w:rsidP="00EC0D01">
            <w:pPr>
              <w:keepNext/>
              <w:rPr>
                <w:sz w:val="22"/>
                <w:szCs w:val="22"/>
              </w:rPr>
            </w:pPr>
          </w:p>
        </w:tc>
      </w:tr>
    </w:tbl>
    <w:p w:rsidR="00C20A1A" w:rsidP="00E358F3">
      <w:pPr>
        <w:pStyle w:val="BodyText"/>
      </w:pPr>
    </w:p>
    <w:p w:rsidR="00C20A1A">
      <w:pPr>
        <w:pStyle w:val="BodyText"/>
      </w:pPr>
    </w:p>
    <w:p w:rsidR="00C20A1A"/>
    <w:p w:rsidR="00C20A1A" w:rsidP="008908B9">
      <w:pPr>
        <w:pStyle w:val="BodyText"/>
        <w:tabs>
          <w:tab w:val="left" w:pos="5940"/>
          <w:tab w:val="left" w:pos="9180"/>
        </w:tabs>
        <w:spacing w:after="480"/>
        <w:jc w:val="center"/>
        <w:sectPr>
          <w:footerReference w:type="default" r:id="rId20"/>
          <w:footerReference w:type="first" r:id="rId21"/>
          <w:pgSz w:w="12240" w:h="15840"/>
          <w:pgMar w:top="1440" w:right="1440" w:bottom="1440" w:left="1440" w:header="720" w:footer="720" w:gutter="0"/>
          <w:cols w:space="720"/>
          <w:titlePg/>
          <w:docGrid w:linePitch="360"/>
        </w:sectPr>
      </w:pPr>
    </w:p>
    <w:p w:rsidR="00C20A1A">
      <w:pPr>
        <w:pStyle w:val="ScheduleArL1"/>
        <w:rPr>
          <w:rStyle w:val="BodyTextChar"/>
        </w:rPr>
      </w:pPr>
      <w:bookmarkStart w:id="437" w:name="_Ref463459682"/>
      <w:bookmarkStart w:id="438" w:name="_Toc463463941"/>
      <w:bookmarkStart w:id="439" w:name="_Ref463465866"/>
      <w:r>
        <w:rPr>
          <w:rStyle w:val="BodyTextChar"/>
          <w:u w:val="none"/>
        </w:rPr>
        <w:br/>
      </w:r>
      <w:r>
        <w:rPr>
          <w:rStyle w:val="BodyTextChar"/>
          <w:u w:val="none"/>
        </w:rPr>
        <w:br/>
      </w:r>
      <w:bookmarkStart w:id="440" w:name="_Toc481488888"/>
      <w:bookmarkStart w:id="441" w:name="_Ref512777633"/>
      <w:bookmarkStart w:id="442" w:name="_Ref512777659"/>
      <w:bookmarkStart w:id="443" w:name="_Ref55402860"/>
      <w:bookmarkStart w:id="444" w:name="_Ref56327231"/>
      <w:r>
        <w:rPr>
          <w:rStyle w:val="BodyTextChar"/>
        </w:rPr>
        <w:t>Registration Rights</w:t>
      </w:r>
      <w:r>
        <w:rPr>
          <w:rStyle w:val="BodyTextChar"/>
          <w:vertAlign w:val="superscript"/>
        </w:rPr>
        <w:footnoteReference w:id="92"/>
      </w:r>
      <w:bookmarkEnd w:id="437"/>
      <w:bookmarkEnd w:id="438"/>
      <w:bookmarkEnd w:id="439"/>
      <w:bookmarkEnd w:id="440"/>
      <w:bookmarkEnd w:id="441"/>
      <w:bookmarkEnd w:id="442"/>
      <w:bookmarkEnd w:id="443"/>
      <w:bookmarkEnd w:id="444"/>
    </w:p>
    <w:p w:rsidR="00C20A1A">
      <w:pPr>
        <w:pStyle w:val="ArticleBJ2L2"/>
      </w:pPr>
      <w:r>
        <w:t xml:space="preserve">Definitions in </w:t>
      </w:r>
      <w:r>
        <w:fldChar w:fldCharType="begin"/>
      </w:r>
      <w:r>
        <w:instrText xml:space="preserve"> REF _Ref463459682 \r \h </w:instrText>
      </w:r>
      <w:r>
        <w:fldChar w:fldCharType="separate"/>
      </w:r>
      <w:r w:rsidR="00230E5B">
        <w:t>Schedule D</w:t>
      </w:r>
      <w:r>
        <w:fldChar w:fldCharType="end"/>
      </w:r>
    </w:p>
    <w:p w:rsidR="00C20A1A">
      <w:pPr>
        <w:pStyle w:val="ArticleBJ2Cont2"/>
        <w:keepNext/>
      </w:pPr>
      <w:r>
        <w:t xml:space="preserve">In this </w:t>
      </w:r>
      <w:r>
        <w:fldChar w:fldCharType="begin"/>
      </w:r>
      <w:r>
        <w:instrText xml:space="preserve"> REF _Ref463459682 \w \h </w:instrText>
      </w:r>
      <w:r>
        <w:fldChar w:fldCharType="separate"/>
      </w:r>
      <w:r w:rsidR="00230E5B">
        <w:t>Schedule D</w:t>
      </w:r>
      <w:r>
        <w:fldChar w:fldCharType="end"/>
      </w:r>
      <w:r>
        <w:t>, initial capitalized terms not defined elsewhere in this Agreement will have the following respective meanings:</w:t>
      </w:r>
    </w:p>
    <w:p w:rsidR="00C20A1A">
      <w:pPr>
        <w:pStyle w:val="ArticleBJ2Cont2"/>
      </w:pPr>
      <w:r>
        <w:t>"</w:t>
      </w:r>
      <w:r>
        <w:rPr>
          <w:b/>
          <w:bCs/>
        </w:rPr>
        <w:t>Damages</w:t>
      </w:r>
      <w:r>
        <w:t xml:space="preserve">" means any loss, damage, claim or liability (joint or several) to which a party hereto may become subject under the Securities Act, the Exchange Act, Canadian Securities Laws or other </w:t>
      </w:r>
      <w:r w:rsidR="007C26A1">
        <w:t>U.S.</w:t>
      </w:r>
      <w:r>
        <w:t xml:space="preserve"> or Canadian federal, national, provincial or state law, insofar as such loss, damage, claim or liability (or any action in respect thereof) arises out of or is based upon: (i) any untrue statement or alleged untrue statement of a material fact contained in any registration statement of the Company, including any preliminary prospectus or final prospectus contained therein, or any amendments or supplements thereto; (ii) an omission or alleged omission to state therein a material fact required to be stated therein, or necessary to make the statements therein not misleading; or (iii) any violation or alleged violation by the indemnifying party (or any of its agents or Affiliates) of the Securities Act, the Exchange Act, any state securities law or Canadian Securities Laws, or any rule or regulation promulgated under the Securities Act, the Exchange Act, any state securities law, or Canadian Securities Laws.</w:t>
      </w:r>
    </w:p>
    <w:p w:rsidR="00C20A1A">
      <w:pPr>
        <w:pStyle w:val="ArticleBJ2Cont2"/>
      </w:pPr>
      <w:r>
        <w:t>"</w:t>
      </w:r>
      <w:r>
        <w:rPr>
          <w:b/>
          <w:bCs/>
        </w:rPr>
        <w:t>Excluded Registration</w:t>
      </w:r>
      <w:r>
        <w:t xml:space="preserve">" means (i) a registration relating to the sale of securities to employees of the Company or a subsidiary pursuant to a </w:t>
      </w:r>
      <w:r w:rsidR="00845DD8">
        <w:t>stock</w:t>
      </w:r>
      <w:r>
        <w:t xml:space="preserve"> option, </w:t>
      </w:r>
      <w:r w:rsidR="00845DD8">
        <w:t xml:space="preserve">stock </w:t>
      </w:r>
      <w:r>
        <w:t>purchase, or similar plan; (ii) a registration relating to an SEC Rule 145 transaction; (iii) a registration on any form that does not include substantially the same information as would be required to be included in a registration statement covering the sale of the Registrable Securities; or (iv) a registration in which the only Common Shares being registered are Common Shares issuable upon conversion of debt securities that are also being registered.</w:t>
      </w:r>
    </w:p>
    <w:p w:rsidR="00C20A1A">
      <w:pPr>
        <w:pStyle w:val="ArticleBJ2Cont2"/>
      </w:pPr>
      <w:r>
        <w:t>"</w:t>
      </w:r>
      <w:r>
        <w:rPr>
          <w:b/>
          <w:bCs/>
        </w:rPr>
        <w:t>Form S</w:t>
      </w:r>
      <w:r w:rsidR="00845DD8">
        <w:rPr>
          <w:b/>
          <w:bCs/>
        </w:rPr>
        <w:t>-</w:t>
      </w:r>
      <w:r>
        <w:rPr>
          <w:b/>
          <w:bCs/>
        </w:rPr>
        <w:t>1</w:t>
      </w:r>
      <w:r>
        <w:t>" or "</w:t>
      </w:r>
      <w:r>
        <w:rPr>
          <w:b/>
          <w:bCs/>
        </w:rPr>
        <w:t>Form F-1</w:t>
      </w:r>
      <w:r>
        <w:t>" means such form under the Securities Act as in effect on the date hereof or any successor registration form under the Securities Act subsequently adopted by the SEC.</w:t>
      </w:r>
    </w:p>
    <w:p w:rsidR="00C20A1A">
      <w:pPr>
        <w:pStyle w:val="ArticleBJ2Cont2"/>
      </w:pPr>
      <w:r>
        <w:t>"</w:t>
      </w:r>
      <w:r>
        <w:rPr>
          <w:b/>
          <w:bCs/>
        </w:rPr>
        <w:t>Form S</w:t>
      </w:r>
      <w:r w:rsidR="00845DD8">
        <w:rPr>
          <w:b/>
          <w:bCs/>
        </w:rPr>
        <w:t>-</w:t>
      </w:r>
      <w:r>
        <w:rPr>
          <w:b/>
          <w:bCs/>
        </w:rPr>
        <w:t>3</w:t>
      </w:r>
      <w:r>
        <w:t>" or "</w:t>
      </w:r>
      <w:r>
        <w:rPr>
          <w:b/>
          <w:bCs/>
        </w:rPr>
        <w:t>Form F-3</w:t>
      </w:r>
      <w:r>
        <w:t>" means such form under the Securities Act as in effect on the date hereof or any registration form under the Securities Act subsequently adopted by the SEC that permits incorporation of substantial information by reference to other documents filed by the Company with the SEC.</w:t>
      </w:r>
    </w:p>
    <w:p w:rsidR="00C20A1A">
      <w:pPr>
        <w:pStyle w:val="ArticleBJ2Cont2"/>
      </w:pPr>
      <w:r>
        <w:t>"</w:t>
      </w:r>
      <w:r>
        <w:rPr>
          <w:b/>
          <w:bCs/>
        </w:rPr>
        <w:t>Holder</w:t>
      </w:r>
      <w:r>
        <w:t>" means any holder of Registrable Securities who is a party to this Agreement.</w:t>
      </w:r>
    </w:p>
    <w:p w:rsidR="00C20A1A">
      <w:pPr>
        <w:pStyle w:val="ArticleBJ2Cont2"/>
      </w:pPr>
      <w:r>
        <w:t>"</w:t>
      </w:r>
      <w:r>
        <w:rPr>
          <w:b/>
          <w:bCs/>
        </w:rPr>
        <w:t>Initiating Holders</w:t>
      </w:r>
      <w:r>
        <w:t>" means, collectively, Holders who properly initiate a registration request under this Agreement.</w:t>
      </w:r>
    </w:p>
    <w:p w:rsidR="00C20A1A">
      <w:pPr>
        <w:pStyle w:val="ArticleBJ2Cont2"/>
        <w:rPr>
          <w:b/>
          <w:bCs/>
        </w:rPr>
      </w:pPr>
      <w:r>
        <w:rPr>
          <w:b/>
          <w:bCs/>
        </w:rPr>
        <w:t>["Key Holder Registrable Securities" means (i) the [_____] Common Shares held by the Key Holders, and (ii) any Common Shares issued as (or issuable upon the conversion or exercise of any warrant, right, or other security that is issued as) a dividend or other distribution with respect to, or in exchange for or in replacement of such shares.]</w:t>
      </w:r>
    </w:p>
    <w:p w:rsidR="00C20A1A">
      <w:pPr>
        <w:pStyle w:val="ArticleBJ2Cont2"/>
      </w:pPr>
      <w:r>
        <w:t>"</w:t>
      </w:r>
      <w:r>
        <w:rPr>
          <w:b/>
          <w:bCs/>
        </w:rPr>
        <w:t>Registrable Securities</w:t>
      </w:r>
      <w:r>
        <w:t xml:space="preserve">" means (i) the Common Shares issuable or issued upon conversion of the </w:t>
      </w:r>
      <w:r>
        <w:rPr>
          <w:b/>
          <w:bCs/>
        </w:rPr>
        <w:t>[Class A]</w:t>
      </w:r>
      <w:r>
        <w:t xml:space="preserve"> Preferred Shares</w:t>
      </w:r>
      <w:r>
        <w:rPr>
          <w:b/>
          <w:bCs/>
        </w:rPr>
        <w:t>[, excluding any Common Shares issued upon conversion of the [Class A] Preferred Shares pursuant to the "Special Mandatory Conversion" provisions of the Articles</w:t>
      </w:r>
      <w:r>
        <w:rPr>
          <w:rStyle w:val="FootnoteReference"/>
          <w:b/>
          <w:bCs/>
        </w:rPr>
        <w:footnoteReference w:id="93"/>
      </w:r>
      <w:r>
        <w:rPr>
          <w:b/>
          <w:bCs/>
        </w:rPr>
        <w:t>]</w:t>
      </w:r>
      <w:r>
        <w:t xml:space="preserve">; </w:t>
      </w:r>
      <w:r>
        <w:rPr>
          <w:b/>
          <w:bCs/>
        </w:rPr>
        <w:t>[(ii) any Common Shares, or any Common Shares issued or issuable (directly or indirectly) upon conversion and/or exercise of any other securities of the Company, acquired by the Investors after the date hereof]</w:t>
      </w:r>
      <w:r>
        <w:t xml:space="preserve">; </w:t>
      </w:r>
      <w:r>
        <w:rPr>
          <w:b/>
          <w:bCs/>
        </w:rPr>
        <w:t>[(iii) the Key Holder Registrable Securities,</w:t>
      </w:r>
      <w:r>
        <w:rPr>
          <w:rStyle w:val="FootnoteReference"/>
          <w:b/>
          <w:bCs/>
        </w:rPr>
        <w:footnoteReference w:id="94"/>
      </w:r>
      <w:r>
        <w:rPr>
          <w:b/>
          <w:bCs/>
        </w:rPr>
        <w:t xml:space="preserve"> </w:t>
      </w:r>
      <w:r>
        <w:rPr>
          <w:b/>
          <w:bCs/>
          <w:u w:val="single"/>
        </w:rPr>
        <w:t>provided</w:t>
      </w:r>
      <w:r>
        <w:rPr>
          <w:b/>
          <w:bCs/>
        </w:rPr>
        <w:t xml:space="preserve">, </w:t>
      </w:r>
      <w:r>
        <w:rPr>
          <w:b/>
          <w:bCs/>
          <w:u w:val="single"/>
        </w:rPr>
        <w:t>however</w:t>
      </w:r>
      <w:r>
        <w:rPr>
          <w:b/>
          <w:bCs/>
        </w:rPr>
        <w:t xml:space="preserve">, that such Key Holder Registrable Securities shall not be deemed Registrable Securities and the Key Holders shall not be deemed Holders for the purposes of Sections </w:t>
      </w:r>
      <w:r>
        <w:rPr>
          <w:b/>
          <w:bCs/>
          <w:cs/>
        </w:rPr>
        <w:t>‎</w:t>
      </w:r>
      <w:r>
        <w:rPr>
          <w:b/>
          <w:bCs/>
          <w:cs/>
        </w:rPr>
        <w:fldChar w:fldCharType="begin"/>
      </w:r>
      <w:r>
        <w:rPr>
          <w:b/>
          <w:bCs/>
        </w:rPr>
        <w:instrText xml:space="preserve"> REF _Ref463459213 \w \h  \* MERGEFORMAT </w:instrText>
      </w:r>
      <w:r>
        <w:rPr>
          <w:b/>
          <w:bCs/>
          <w:cs/>
        </w:rPr>
        <w:fldChar w:fldCharType="separate"/>
      </w:r>
      <w:r w:rsidR="00230E5B">
        <w:rPr>
          <w:b/>
          <w:bCs/>
        </w:rPr>
        <w:t>1.2</w:t>
      </w:r>
      <w:r>
        <w:rPr>
          <w:b/>
          <w:bCs/>
          <w:cs/>
        </w:rPr>
        <w:fldChar w:fldCharType="end"/>
      </w:r>
      <w:r w:rsidR="004E6A76">
        <w:rPr>
          <w:b/>
          <w:bCs/>
        </w:rPr>
        <w:t xml:space="preserve"> and </w:t>
      </w:r>
      <w:r w:rsidR="00C1566B">
        <w:rPr>
          <w:b/>
          <w:bCs/>
        </w:rPr>
        <w:t>Tor</w:t>
      </w:r>
      <w:r>
        <w:rPr>
          <w:b/>
          <w:bCs/>
          <w:cs/>
        </w:rPr>
        <w:t>‎</w:t>
      </w:r>
      <w:r>
        <w:rPr>
          <w:b/>
          <w:bCs/>
          <w:cs/>
        </w:rPr>
        <w:fldChar w:fldCharType="begin"/>
      </w:r>
      <w:r>
        <w:rPr>
          <w:b/>
          <w:bCs/>
        </w:rPr>
        <w:instrText xml:space="preserve"> REF _Ref463465512 \w \h  \* MERGEFORMAT </w:instrText>
      </w:r>
      <w:r>
        <w:rPr>
          <w:b/>
          <w:bCs/>
          <w:cs/>
        </w:rPr>
        <w:fldChar w:fldCharType="separate"/>
      </w:r>
      <w:r w:rsidR="00230E5B">
        <w:rPr>
          <w:b/>
          <w:bCs/>
        </w:rPr>
        <w:t>1.11</w:t>
      </w:r>
      <w:r>
        <w:rPr>
          <w:b/>
          <w:bCs/>
          <w:cs/>
        </w:rPr>
        <w:fldChar w:fldCharType="end"/>
      </w:r>
      <w:r>
        <w:rPr>
          <w:b/>
          <w:bCs/>
        </w:rPr>
        <w:t xml:space="preserve"> of this </w:t>
      </w:r>
      <w:r>
        <w:rPr>
          <w:b/>
          <w:bCs/>
        </w:rPr>
        <w:fldChar w:fldCharType="begin"/>
      </w:r>
      <w:r>
        <w:rPr>
          <w:b/>
          <w:bCs/>
        </w:rPr>
        <w:instrText xml:space="preserve"> REF _Ref463459682 \r \h </w:instrText>
      </w:r>
      <w:r>
        <w:rPr>
          <w:b/>
          <w:bCs/>
        </w:rPr>
        <w:fldChar w:fldCharType="separate"/>
      </w:r>
      <w:r w:rsidR="00230E5B">
        <w:rPr>
          <w:b/>
          <w:bCs/>
        </w:rPr>
        <w:t>Schedule D</w:t>
      </w:r>
      <w:r>
        <w:rPr>
          <w:b/>
          <w:bCs/>
        </w:rPr>
        <w:fldChar w:fldCharType="end"/>
      </w:r>
      <w:r>
        <w:rPr>
          <w:b/>
          <w:bCs/>
        </w:rPr>
        <w:t>;]</w:t>
      </w:r>
      <w:r>
        <w:t xml:space="preserve"> and </w:t>
      </w:r>
      <w:r>
        <w:rPr>
          <w:b/>
          <w:bCs/>
        </w:rPr>
        <w:t xml:space="preserve">[(iv)] any Common Shares issued as (or issuable upon the conversion or exercise of any warrant, right, or other security that is issued as) a dividend or other distribution with respect to, or in exchange for or in replacement of, the shares referenced in clause[s] (i) [and (ii)] above; excluding in all cases, however, any Registrable Securities sold by a Person in a transaction in which the applicable rights under this Agreement are not assigned pursuant </w:t>
      </w:r>
      <w:r w:rsidRPr="00A911DF">
        <w:rPr>
          <w:b/>
          <w:bCs/>
          <w:szCs w:val="24"/>
        </w:rPr>
        <w:t xml:space="preserve">to [Section </w:t>
      </w:r>
      <w:r w:rsidRPr="00A911DF">
        <w:rPr>
          <w:b/>
          <w:bCs/>
          <w:szCs w:val="24"/>
          <w:cs/>
        </w:rPr>
        <w:t>‎</w:t>
      </w:r>
      <w:r w:rsidR="008022FF">
        <w:rPr>
          <w:b/>
          <w:bCs/>
          <w:szCs w:val="24"/>
          <w:cs/>
        </w:rPr>
        <w:fldChar w:fldCharType="begin"/>
      </w:r>
      <w:r w:rsidR="008022FF">
        <w:rPr>
          <w:b/>
          <w:bCs/>
          <w:szCs w:val="24"/>
        </w:rPr>
        <w:instrText xml:space="preserve"> </w:instrText>
      </w:r>
      <w:r w:rsidR="008022FF">
        <w:rPr>
          <w:b/>
          <w:bCs/>
          <w:szCs w:val="24"/>
          <w:cs/>
        </w:rPr>
        <w:instrText>REF _Ref468002070 \r \h</w:instrText>
      </w:r>
      <w:r w:rsidR="008022FF">
        <w:rPr>
          <w:b/>
          <w:bCs/>
          <w:szCs w:val="24"/>
        </w:rPr>
        <w:instrText xml:space="preserve"> </w:instrText>
      </w:r>
      <w:r w:rsidR="008022FF">
        <w:rPr>
          <w:b/>
          <w:bCs/>
          <w:szCs w:val="24"/>
          <w:cs/>
        </w:rPr>
        <w:fldChar w:fldCharType="separate"/>
      </w:r>
      <w:r w:rsidR="00230E5B">
        <w:rPr>
          <w:b/>
          <w:bCs/>
          <w:szCs w:val="24"/>
        </w:rPr>
        <w:t>8.5</w:t>
      </w:r>
      <w:r w:rsidR="008022FF">
        <w:rPr>
          <w:b/>
          <w:bCs/>
          <w:szCs w:val="24"/>
          <w:cs/>
        </w:rPr>
        <w:fldChar w:fldCharType="end"/>
      </w:r>
      <w:r w:rsidR="008022FF">
        <w:rPr>
          <w:rFonts w:hint="cs"/>
          <w:b/>
          <w:bCs/>
          <w:szCs w:val="24"/>
          <w:cs/>
        </w:rPr>
        <w:t xml:space="preserve"> </w:t>
      </w:r>
      <w:r w:rsidRPr="00A911DF">
        <w:rPr>
          <w:b/>
          <w:bCs/>
          <w:szCs w:val="24"/>
        </w:rPr>
        <w:t xml:space="preserve">of this </w:t>
      </w:r>
      <w:r w:rsidR="008022FF">
        <w:rPr>
          <w:b/>
          <w:bCs/>
          <w:szCs w:val="24"/>
        </w:rPr>
        <w:t>Agreement</w:t>
      </w:r>
      <w:r w:rsidRPr="00A911DF">
        <w:rPr>
          <w:b/>
          <w:bCs/>
          <w:szCs w:val="24"/>
        </w:rPr>
        <w:t>]</w:t>
      </w:r>
      <w:r w:rsidRPr="00A911DF">
        <w:rPr>
          <w:szCs w:val="24"/>
        </w:rPr>
        <w:t>, and</w:t>
      </w:r>
      <w:r>
        <w:t xml:space="preserve"> excluding for purposes of</w:t>
      </w:r>
      <w:r w:rsidR="008022FF">
        <w:t xml:space="preserve"> this</w:t>
      </w:r>
      <w:r>
        <w:t xml:space="preserve"> </w:t>
      </w:r>
      <w:r>
        <w:fldChar w:fldCharType="begin"/>
      </w:r>
      <w:r>
        <w:instrText xml:space="preserve"> REF _Ref463465866 \w \h </w:instrText>
      </w:r>
      <w:r>
        <w:fldChar w:fldCharType="separate"/>
      </w:r>
      <w:r w:rsidR="00230E5B">
        <w:t>Schedule D</w:t>
      </w:r>
      <w:r>
        <w:fldChar w:fldCharType="end"/>
      </w:r>
      <w:r>
        <w:t xml:space="preserve"> any shares for which registration rights have terminated pursuant to Section </w:t>
      </w:r>
      <w:r>
        <w:fldChar w:fldCharType="begin"/>
      </w:r>
      <w:r>
        <w:instrText xml:space="preserve"> REF _Ref463465986 \w \h </w:instrText>
      </w:r>
      <w:r>
        <w:fldChar w:fldCharType="separate"/>
      </w:r>
      <w:r w:rsidR="00230E5B">
        <w:t>1.12</w:t>
      </w:r>
      <w:r>
        <w:fldChar w:fldCharType="end"/>
      </w:r>
      <w:r>
        <w:rPr>
          <w:cs/>
        </w:rPr>
        <w:t>‎</w:t>
      </w:r>
      <w:r>
        <w:t xml:space="preserve"> of this </w:t>
      </w:r>
      <w:r>
        <w:fldChar w:fldCharType="begin"/>
      </w:r>
      <w:r>
        <w:instrText xml:space="preserve"> REF _Ref463459682 \r \h </w:instrText>
      </w:r>
      <w:r>
        <w:fldChar w:fldCharType="separate"/>
      </w:r>
      <w:r w:rsidR="00230E5B">
        <w:t>Schedule D</w:t>
      </w:r>
      <w:r>
        <w:fldChar w:fldCharType="end"/>
      </w:r>
      <w:r>
        <w:t>.</w:t>
      </w:r>
      <w:r>
        <w:rPr>
          <w:rStyle w:val="FootnoteReference"/>
        </w:rPr>
        <w:footnoteReference w:id="95"/>
      </w:r>
    </w:p>
    <w:p w:rsidR="00C20A1A">
      <w:pPr>
        <w:pStyle w:val="ArticleBJ2Cont2"/>
      </w:pPr>
      <w:r>
        <w:t>"</w:t>
      </w:r>
      <w:r>
        <w:rPr>
          <w:b/>
          <w:bCs/>
        </w:rPr>
        <w:t>Registrable Securities then outstanding</w:t>
      </w:r>
      <w:r>
        <w:t>" means the number of shares determined by adding the number of outstanding Common Shares that are Registrable Securities and the number of Common Shares issuable (directly or indirectly) pursuant to then exercisable and/or convertible securities that are Registrable Securities.</w:t>
      </w:r>
    </w:p>
    <w:p w:rsidR="00C20A1A">
      <w:pPr>
        <w:pStyle w:val="ArticleBJ2Cont2"/>
      </w:pPr>
      <w:r>
        <w:t>"</w:t>
      </w:r>
      <w:r>
        <w:rPr>
          <w:b/>
          <w:bCs/>
        </w:rPr>
        <w:t>registration</w:t>
      </w:r>
      <w:r>
        <w:t xml:space="preserve">" means (a) the registration of securities under the Securities Act, </w:t>
      </w:r>
      <w:r>
        <w:rPr>
          <w:b/>
          <w:bCs/>
        </w:rPr>
        <w:t>[and/or]</w:t>
      </w:r>
      <w:r>
        <w:t xml:space="preserve"> (b) the qualification of securities for distribution to the public pursuant to a prospectus filed under Canadian Securities Laws, and "</w:t>
      </w:r>
      <w:r>
        <w:rPr>
          <w:b/>
          <w:bCs/>
        </w:rPr>
        <w:t>register</w:t>
      </w:r>
      <w:r>
        <w:t>" and "</w:t>
      </w:r>
      <w:r>
        <w:rPr>
          <w:b/>
          <w:bCs/>
        </w:rPr>
        <w:t>registered</w:t>
      </w:r>
      <w:r>
        <w:t>" have correlative meanings.</w:t>
      </w:r>
    </w:p>
    <w:p w:rsidR="00C20A1A">
      <w:pPr>
        <w:pStyle w:val="ArticleBJ2Cont2"/>
      </w:pPr>
      <w:r>
        <w:t>"</w:t>
      </w:r>
      <w:r>
        <w:rPr>
          <w:b/>
          <w:bCs/>
        </w:rPr>
        <w:t>registration statement</w:t>
      </w:r>
      <w:r>
        <w:t xml:space="preserve">" means (a) a registration statement filed under the Securities Act, </w:t>
      </w:r>
      <w:r>
        <w:rPr>
          <w:b/>
          <w:bCs/>
        </w:rPr>
        <w:t>[and/or]</w:t>
      </w:r>
      <w:r>
        <w:t xml:space="preserve"> (b) a prospectus filed under Canadian Securities Laws, and any reference to a registration statement becoming effective includes the issuance of a final receipt or decision document under Canadian Securities Laws in respect of a prospectus filed under Canadian Securities Laws.</w:t>
      </w:r>
    </w:p>
    <w:p w:rsidR="00C20A1A">
      <w:pPr>
        <w:pStyle w:val="ArticleBJ2Cont2"/>
      </w:pPr>
      <w:r>
        <w:t>"</w:t>
      </w:r>
      <w:r>
        <w:rPr>
          <w:b/>
          <w:bCs/>
        </w:rPr>
        <w:t>Restricted Securities</w:t>
      </w:r>
      <w:r>
        <w:t xml:space="preserve">" means the securities of the Company required to be </w:t>
      </w:r>
      <w:r w:rsidR="008022FF">
        <w:t>marked</w:t>
      </w:r>
      <w:r>
        <w:t xml:space="preserve"> with the legend set forth in Section </w:t>
      </w:r>
      <w:r>
        <w:rPr>
          <w:cs/>
        </w:rPr>
        <w:t>‎</w:t>
      </w:r>
      <w:r>
        <w:rPr>
          <w:cs/>
        </w:rPr>
        <w:fldChar w:fldCharType="begin"/>
      </w:r>
      <w:r>
        <w:instrText xml:space="preserve"> REF _Ref463461207 \w \h </w:instrText>
      </w:r>
      <w:r>
        <w:rPr>
          <w:cs/>
        </w:rPr>
        <w:fldChar w:fldCharType="separate"/>
      </w:r>
      <w:r w:rsidR="00230E5B">
        <w:t>6.1(b)</w:t>
      </w:r>
      <w:r>
        <w:rPr>
          <w:cs/>
        </w:rPr>
        <w:fldChar w:fldCharType="end"/>
      </w:r>
      <w:r>
        <w:t xml:space="preserve"> of this </w:t>
      </w:r>
      <w:r w:rsidR="008022FF">
        <w:t>Agreement</w:t>
      </w:r>
      <w:r>
        <w:t>.</w:t>
      </w:r>
    </w:p>
    <w:p w:rsidR="00C20A1A">
      <w:pPr>
        <w:pStyle w:val="ArticleBJ2Cont2"/>
      </w:pPr>
      <w:r>
        <w:t>"</w:t>
      </w:r>
      <w:r>
        <w:rPr>
          <w:b/>
          <w:bCs/>
        </w:rPr>
        <w:t>SEC Rule 144</w:t>
      </w:r>
      <w:r>
        <w:t>" means Rule 144 promulgated by the SEC under the Securities Act.</w:t>
      </w:r>
    </w:p>
    <w:p w:rsidR="00C20A1A">
      <w:pPr>
        <w:pStyle w:val="ArticleBJ2Cont2"/>
      </w:pPr>
      <w:r>
        <w:t>"</w:t>
      </w:r>
      <w:r>
        <w:rPr>
          <w:b/>
          <w:bCs/>
        </w:rPr>
        <w:t>SEC Rule 145</w:t>
      </w:r>
      <w:r>
        <w:t>" means Rule 145 promulgated by the SEC under the Securities Act.</w:t>
      </w:r>
    </w:p>
    <w:p w:rsidR="00C20A1A">
      <w:pPr>
        <w:pStyle w:val="ArticleBJ2Cont2"/>
      </w:pPr>
      <w:r>
        <w:t>"</w:t>
      </w:r>
      <w:r>
        <w:rPr>
          <w:b/>
          <w:bCs/>
        </w:rPr>
        <w:t>Selling Expenses</w:t>
      </w:r>
      <w:r>
        <w:t xml:space="preserve">" means all underwriting discounts, selling commissions, and </w:t>
      </w:r>
      <w:r w:rsidR="008022FF">
        <w:t>stock</w:t>
      </w:r>
      <w:r>
        <w:t xml:space="preserve"> transfer taxes applicable to the sale of Registrable Securities, and fees and disbursements of counsel for any Holder, except for the fees and disbursements of the Selling Holder Counsel borne and paid by the Company as provided in Section </w:t>
      </w:r>
      <w:r>
        <w:fldChar w:fldCharType="begin"/>
      </w:r>
      <w:r>
        <w:instrText xml:space="preserve"> REF _Ref463459397 \w \h </w:instrText>
      </w:r>
      <w:r>
        <w:fldChar w:fldCharType="separate"/>
      </w:r>
      <w:r w:rsidR="00230E5B">
        <w:t>1.7</w:t>
      </w:r>
      <w:r>
        <w:fldChar w:fldCharType="end"/>
      </w:r>
      <w:r>
        <w:rPr>
          <w:cs/>
        </w:rPr>
        <w:t>‎</w:t>
      </w:r>
      <w:r>
        <w:rPr>
          <w:rFonts w:hint="cs"/>
          <w:rtl/>
          <w:cs/>
        </w:rPr>
        <w:t xml:space="preserve"> </w:t>
      </w:r>
      <w:r>
        <w:t xml:space="preserve">of this </w:t>
      </w:r>
      <w:r>
        <w:fldChar w:fldCharType="begin"/>
      </w:r>
      <w:r>
        <w:instrText xml:space="preserve"> REF _Ref463459682 \r \h </w:instrText>
      </w:r>
      <w:r>
        <w:fldChar w:fldCharType="separate"/>
      </w:r>
      <w:r w:rsidR="00230E5B">
        <w:t>Schedule D</w:t>
      </w:r>
      <w:r>
        <w:fldChar w:fldCharType="end"/>
      </w:r>
      <w:r>
        <w:t>.</w:t>
      </w:r>
    </w:p>
    <w:p w:rsidR="00C20A1A">
      <w:pPr>
        <w:pStyle w:val="ArticleBJ2L2"/>
      </w:pPr>
      <w:bookmarkStart w:id="445" w:name="_Ref463459213"/>
      <w:bookmarkStart w:id="446" w:name="_Toc463463942"/>
      <w:r>
        <w:t>Demand Registration</w:t>
      </w:r>
      <w:bookmarkEnd w:id="445"/>
      <w:bookmarkEnd w:id="446"/>
    </w:p>
    <w:p w:rsidR="00C20A1A">
      <w:pPr>
        <w:pStyle w:val="ArticleBJ2Cont2"/>
      </w:pPr>
      <w:r>
        <w:t>The Company covenants and agrees as follows:</w:t>
      </w:r>
    </w:p>
    <w:p w:rsidR="00C20A1A">
      <w:pPr>
        <w:pStyle w:val="ArticleBJ2L3"/>
      </w:pPr>
      <w:bookmarkStart w:id="447" w:name="_Ref463459267"/>
      <w:r>
        <w:rPr>
          <w:u w:val="single"/>
        </w:rPr>
        <w:t>Form S-1 or F-1 Demand</w:t>
      </w:r>
      <w:r>
        <w:t xml:space="preserve">. If at any time after </w:t>
      </w:r>
      <w:r>
        <w:rPr>
          <w:b/>
          <w:bCs/>
        </w:rPr>
        <w:t>[the earlier of (i) [[insert date that is]</w:t>
      </w:r>
      <w:r>
        <w:rPr>
          <w:rStyle w:val="FootnoteReference"/>
          <w:b/>
          <w:bCs/>
        </w:rPr>
        <w:footnoteReference w:id="96"/>
      </w:r>
      <w:r>
        <w:rPr>
          <w:b/>
          <w:bCs/>
        </w:rPr>
        <w:t xml:space="preserve"> 3 – 5 years] after the date of this Agreement or (ii)]</w:t>
      </w:r>
      <w:r>
        <w:t xml:space="preserve"> </w:t>
      </w:r>
      <w:r>
        <w:rPr>
          <w:b/>
          <w:bCs/>
        </w:rPr>
        <w:t>[180]</w:t>
      </w:r>
      <w:r>
        <w:t xml:space="preserve"> days</w:t>
      </w:r>
      <w:r>
        <w:rPr>
          <w:rStyle w:val="FootnoteReference"/>
        </w:rPr>
        <w:footnoteReference w:id="97"/>
      </w:r>
      <w:r>
        <w:t xml:space="preserve"> after the effective date of the registration statement for the IPO, the Company receives a request from Holders of </w:t>
      </w:r>
      <w:r>
        <w:rPr>
          <w:b/>
          <w:bCs/>
        </w:rPr>
        <w:t>[</w:t>
      </w:r>
      <w:r>
        <w:rPr>
          <w:rFonts w:ascii="Symbol" w:hAnsi="Symbol"/>
          <w:b/>
          <w:bCs/>
        </w:rPr>
        <w:sym w:font="Symbol" w:char="F0B7"/>
      </w:r>
      <w:r>
        <w:rPr>
          <w:b/>
          <w:bCs/>
        </w:rPr>
        <w:t>%]</w:t>
      </w:r>
      <w:r>
        <w:rPr>
          <w:rStyle w:val="FootnoteReference"/>
        </w:rPr>
        <w:footnoteReference w:id="98"/>
      </w:r>
      <w:r>
        <w:t xml:space="preserve"> of the Registrable Securities then outstanding that the Company file a Form S-1 or Form F-1 registration statement or a Canadian prospectus</w:t>
      </w:r>
      <w:r>
        <w:rPr>
          <w:rStyle w:val="FootnoteReference"/>
        </w:rPr>
        <w:footnoteReference w:id="99"/>
      </w:r>
      <w:r>
        <w:t xml:space="preserve"> with respect to </w:t>
      </w:r>
      <w:r>
        <w:rPr>
          <w:b/>
          <w:bCs/>
        </w:rPr>
        <w:t>[at least 40%]</w:t>
      </w:r>
      <w:r>
        <w:rPr>
          <w:rStyle w:val="FootnoteReference"/>
        </w:rPr>
        <w:footnoteReference w:id="100"/>
      </w:r>
      <w:r>
        <w:t xml:space="preserve"> of the Registrable Securities then outstanding </w:t>
      </w:r>
      <w:r>
        <w:rPr>
          <w:b/>
          <w:bCs/>
        </w:rPr>
        <w:t>[(or a lesser percent if the anticipated aggregate offering price, net of Selling Expenses, would exceed [CDN$ / US$][5-15] million)]</w:t>
      </w:r>
      <w:r>
        <w:t>, then the Company shall (x) within 10 days after the date such request is given, give notice thereof (the "</w:t>
      </w:r>
      <w:r>
        <w:rPr>
          <w:b/>
          <w:bCs/>
        </w:rPr>
        <w:t>Demand Notice</w:t>
      </w:r>
      <w:r>
        <w:t xml:space="preserve">") to all Holders other than the Initiating Holders; and (y) as soon as practicable, and in any event within 60 days after the date such request is given by the Initiating Holders, file a Form S-1 or Form F-1 registration statement under the Securities Act or a Canadian prospectus under Canadian Securities Laws, as applicable, covering all Registrable Securities that the Initiating Holders requested to be registered and any additional Registrable Securities requested to be included in such registration by any other Holders, as specified by notice given by each such Holder to the Company within </w:t>
      </w:r>
      <w:r>
        <w:rPr>
          <w:b/>
          <w:bCs/>
        </w:rPr>
        <w:t>[20]</w:t>
      </w:r>
      <w:r>
        <w:t xml:space="preserve"> days of the date the </w:t>
      </w:r>
      <w:r>
        <w:t xml:space="preserve">Demand Notice is given, and in each case, subject to the limitations of Sections </w:t>
      </w:r>
      <w:r>
        <w:rPr>
          <w:cs/>
        </w:rPr>
        <w:t>‎</w:t>
      </w:r>
      <w:r>
        <w:rPr>
          <w:cs/>
        </w:rPr>
        <w:fldChar w:fldCharType="begin"/>
      </w:r>
      <w:r>
        <w:instrText xml:space="preserve"> REF _Ref463459114 \w \h </w:instrText>
      </w:r>
      <w:r>
        <w:rPr>
          <w:cs/>
        </w:rPr>
        <w:fldChar w:fldCharType="separate"/>
      </w:r>
      <w:r w:rsidR="00230E5B">
        <w:t>1.2(c)</w:t>
      </w:r>
      <w:r>
        <w:rPr>
          <w:cs/>
        </w:rPr>
        <w:fldChar w:fldCharType="end"/>
      </w:r>
      <w:r>
        <w:t xml:space="preserve"> and </w:t>
      </w:r>
      <w:r>
        <w:fldChar w:fldCharType="begin"/>
      </w:r>
      <w:r>
        <w:instrText xml:space="preserve"> REF _Ref463459152 \w \h </w:instrText>
      </w:r>
      <w:r>
        <w:fldChar w:fldCharType="separate"/>
      </w:r>
      <w:r w:rsidR="00230E5B">
        <w:t>1.4</w:t>
      </w:r>
      <w:r>
        <w:fldChar w:fldCharType="end"/>
      </w:r>
      <w:r>
        <w:t xml:space="preserve"> of this </w:t>
      </w:r>
      <w:r>
        <w:fldChar w:fldCharType="begin"/>
      </w:r>
      <w:r>
        <w:instrText xml:space="preserve"> REF _Ref463459682 \r \h </w:instrText>
      </w:r>
      <w:r>
        <w:fldChar w:fldCharType="separate"/>
      </w:r>
      <w:r w:rsidR="00230E5B">
        <w:t>Schedule D</w:t>
      </w:r>
      <w:r>
        <w:fldChar w:fldCharType="end"/>
      </w:r>
      <w:r>
        <w:t>.</w:t>
      </w:r>
      <w:bookmarkEnd w:id="447"/>
    </w:p>
    <w:p w:rsidR="00C20A1A">
      <w:pPr>
        <w:pStyle w:val="ArticleBJ2L3"/>
      </w:pPr>
      <w:bookmarkStart w:id="448" w:name="_Ref463459312"/>
      <w:r>
        <w:rPr>
          <w:u w:val="single"/>
        </w:rPr>
        <w:t>Form S-3 or F-3 Demand</w:t>
      </w:r>
      <w:r>
        <w:t xml:space="preserve">. If at any time when it is eligible to use a Form S-3 or Form F-3 registration statement or a Canadian short-form prospectus, the Company receives a request from Holders </w:t>
      </w:r>
      <w:r w:rsidRPr="006D088F">
        <w:rPr>
          <w:b/>
        </w:rPr>
        <w:t>[of at least (10-30%)]</w:t>
      </w:r>
      <w:r>
        <w:rPr>
          <w:rStyle w:val="FootnoteReference"/>
          <w:b/>
        </w:rPr>
        <w:footnoteReference w:id="101"/>
      </w:r>
      <w:r>
        <w:t xml:space="preserve"> of the Registrable Securities then outstanding that the Company file a Form S-3 or Form F-3 registration statement or Canadian short-form prospectus with respect to outstanding Registrable Securities of such Holders having an anticipated aggregate offering price, net of Selling Expenses, of at least </w:t>
      </w:r>
      <w:r>
        <w:rPr>
          <w:b/>
          <w:bCs/>
        </w:rPr>
        <w:t>[CDN$ / US$][3-5]</w:t>
      </w:r>
      <w:r>
        <w:t xml:space="preserve"> million, then the Company shall (i) within 10 days after the date such request is given, give a Demand Notice to all Holders other than the Initiating Holders; and (ii) as soon as practicable, and in any event within </w:t>
      </w:r>
      <w:r>
        <w:rPr>
          <w:b/>
          <w:bCs/>
        </w:rPr>
        <w:t>[45]</w:t>
      </w:r>
      <w:r>
        <w:t xml:space="preserve"> days after the date such request is given by the Initiating Holders, file a Form S-3 or Form F-3 registration statement under the Securities Act or a Canadian short-form prospectus under Canadian Securities Laws, as applicable, covering all Registrable Securities requested to be included in such registration by any other Holders, as specified by notice given by each such Holder to the Company within </w:t>
      </w:r>
      <w:r>
        <w:rPr>
          <w:b/>
          <w:bCs/>
        </w:rPr>
        <w:t>[20]</w:t>
      </w:r>
      <w:r>
        <w:t xml:space="preserve"> days of the date the Demand Notice is given, and in each case, subject to the limitations of Sections </w:t>
      </w:r>
      <w:r>
        <w:fldChar w:fldCharType="begin"/>
      </w:r>
      <w:r>
        <w:instrText xml:space="preserve"> REF _Ref463459114 \w \h </w:instrText>
      </w:r>
      <w:r>
        <w:fldChar w:fldCharType="separate"/>
      </w:r>
      <w:r w:rsidR="00230E5B">
        <w:t>1.2(c)</w:t>
      </w:r>
      <w:r>
        <w:fldChar w:fldCharType="end"/>
      </w:r>
      <w:r>
        <w:t xml:space="preserve"> and </w:t>
      </w:r>
      <w:r>
        <w:fldChar w:fldCharType="begin"/>
      </w:r>
      <w:r>
        <w:instrText xml:space="preserve"> REF _Ref463459152 \w \h </w:instrText>
      </w:r>
      <w:r>
        <w:fldChar w:fldCharType="separate"/>
      </w:r>
      <w:r w:rsidR="00230E5B">
        <w:t>1.4</w:t>
      </w:r>
      <w:r>
        <w:fldChar w:fldCharType="end"/>
      </w:r>
      <w:r>
        <w:t xml:space="preserve"> of this </w:t>
      </w:r>
      <w:r>
        <w:fldChar w:fldCharType="begin"/>
      </w:r>
      <w:r>
        <w:instrText xml:space="preserve"> REF _Ref463459682 \r \h </w:instrText>
      </w:r>
      <w:r>
        <w:fldChar w:fldCharType="separate"/>
      </w:r>
      <w:r w:rsidR="00230E5B">
        <w:t>Schedule D</w:t>
      </w:r>
      <w:r>
        <w:fldChar w:fldCharType="end"/>
      </w:r>
      <w:r>
        <w:t>.</w:t>
      </w:r>
      <w:bookmarkEnd w:id="448"/>
    </w:p>
    <w:p w:rsidR="00C20A1A">
      <w:pPr>
        <w:pStyle w:val="ArticleBJ2L3"/>
      </w:pPr>
      <w:bookmarkStart w:id="449" w:name="_Ref463459114"/>
      <w:r>
        <w:t xml:space="preserve">Notwithstanding the foregoing obligations, if the Company furnishes to Holders requesting a registration pursuant to Section </w:t>
      </w:r>
      <w:r>
        <w:fldChar w:fldCharType="begin"/>
      </w:r>
      <w:r>
        <w:instrText xml:space="preserve"> REF _Ref463459213 \w \h </w:instrText>
      </w:r>
      <w:r>
        <w:fldChar w:fldCharType="separate"/>
      </w:r>
      <w:r w:rsidR="00230E5B">
        <w:t>1.2</w:t>
      </w:r>
      <w:r>
        <w:fldChar w:fldCharType="end"/>
      </w:r>
      <w:r>
        <w:t xml:space="preserve"> of this </w:t>
      </w:r>
      <w:r>
        <w:fldChar w:fldCharType="begin"/>
      </w:r>
      <w:r>
        <w:instrText xml:space="preserve"> REF _Ref463459682 \r \h </w:instrText>
      </w:r>
      <w:r>
        <w:fldChar w:fldCharType="separate"/>
      </w:r>
      <w:r w:rsidR="00230E5B">
        <w:t>Schedule D</w:t>
      </w:r>
      <w:r>
        <w:fldChar w:fldCharType="end"/>
      </w:r>
      <w:r>
        <w:t xml:space="preserve"> a certificate signed by the Company's chief executive officer stating that in the good faith judgment of the Board it would be materially detrimental to the Company and its shareholders for such registration statement to either become effective or remain effective for as long as such registration statement otherwise would be required to remain effective, because such action would (i) materially interfere with a significant acquisition, corporate reorganization, or other similar transaction involving the Company; (ii) require premature disclosure of material information that the Company has a bona fide business purpose for preserving as confidential; or (iii) render the Company unable to comply with requirements under the Securities Act, the Exchange Act or Canadian Securities Laws,</w:t>
      </w:r>
      <w:r>
        <w:rPr>
          <w:rStyle w:val="FootnoteReference"/>
        </w:rPr>
        <w:footnoteReference w:id="102"/>
      </w:r>
      <w:r>
        <w:t xml:space="preserve"> then the Company shall have the right to defer taking action with respect to such filing</w:t>
      </w:r>
      <w:r>
        <w:rPr>
          <w:b/>
          <w:bCs/>
        </w:rPr>
        <w:t>[, and any time periods with respect to filing or effectiveness thereof shall be tolled correspondingly,]</w:t>
      </w:r>
      <w:r>
        <w:t xml:space="preserve"> [</w:t>
      </w:r>
      <w:r w:rsidRPr="006D60F7">
        <w:rPr>
          <w:b/>
        </w:rPr>
        <w:t xml:space="preserve">for a period of not more than </w:t>
      </w:r>
      <w:r w:rsidRPr="006D60F7">
        <w:rPr>
          <w:b/>
          <w:bCs/>
        </w:rPr>
        <w:t>[30 - 120]</w:t>
      </w:r>
      <w:r w:rsidRPr="006D60F7">
        <w:rPr>
          <w:b/>
        </w:rPr>
        <w:t xml:space="preserve"> days after the request of the Initiating Holders is given</w:t>
      </w:r>
      <w:r>
        <w:t xml:space="preserve">]; </w:t>
      </w:r>
      <w:r>
        <w:rPr>
          <w:i/>
          <w:iCs/>
        </w:rPr>
        <w:t>provided</w:t>
      </w:r>
      <w:r>
        <w:t xml:space="preserve">, </w:t>
      </w:r>
      <w:r>
        <w:rPr>
          <w:i/>
          <w:iCs/>
        </w:rPr>
        <w:t>however</w:t>
      </w:r>
      <w:r>
        <w:t xml:space="preserve">, that the Company may not invoke this right more than </w:t>
      </w:r>
      <w:r>
        <w:rPr>
          <w:b/>
          <w:bCs/>
        </w:rPr>
        <w:t>[once]</w:t>
      </w:r>
      <w:r>
        <w:t xml:space="preserve"> in any 12 month period</w:t>
      </w:r>
      <w:r>
        <w:rPr>
          <w:rStyle w:val="FootnoteReference"/>
        </w:rPr>
        <w:footnoteReference w:id="103"/>
      </w:r>
      <w:r>
        <w:t xml:space="preserve"> </w:t>
      </w:r>
      <w:r>
        <w:rPr>
          <w:b/>
          <w:bCs/>
        </w:rPr>
        <w:t xml:space="preserve">[; and </w:t>
      </w:r>
      <w:r>
        <w:rPr>
          <w:b/>
          <w:bCs/>
          <w:i/>
          <w:iCs/>
        </w:rPr>
        <w:t>provided further</w:t>
      </w:r>
      <w:r>
        <w:rPr>
          <w:b/>
          <w:bCs/>
        </w:rPr>
        <w:t xml:space="preserve"> that the Company shall not register any securities for its own </w:t>
      </w:r>
      <w:r>
        <w:rPr>
          <w:b/>
          <w:bCs/>
        </w:rPr>
        <w:t>account or that of any other shareholder during such [30 - 120] day period other than [an Excluded Registration] [</w:t>
      </w:r>
      <w:r>
        <w:rPr>
          <w:b/>
          <w:bCs/>
          <w:i/>
          <w:iCs/>
        </w:rPr>
        <w:t>Alternative:</w:t>
      </w:r>
      <w:r>
        <w:rPr>
          <w:b/>
          <w:bCs/>
        </w:rPr>
        <w:t xml:space="preserve"> pursuant to a registration relating to the sale or grant of securities to employees of the Company or a subsidiary pursuant to a </w:t>
      </w:r>
      <w:r w:rsidR="008022FF">
        <w:rPr>
          <w:b/>
          <w:bCs/>
        </w:rPr>
        <w:t>stock</w:t>
      </w:r>
      <w:r>
        <w:rPr>
          <w:b/>
          <w:bCs/>
        </w:rPr>
        <w:t xml:space="preserve"> option, </w:t>
      </w:r>
      <w:r w:rsidR="008022FF">
        <w:rPr>
          <w:b/>
          <w:bCs/>
        </w:rPr>
        <w:t xml:space="preserve">stock </w:t>
      </w:r>
      <w:r>
        <w:rPr>
          <w:b/>
          <w:bCs/>
        </w:rPr>
        <w:t>purchase, equity incentive, or similar plan; a registration on any form that does not include substantially the same information as would be required to be included in a registration statement covering the sale of the Registrable Securities; or a registration in which the only Common Shares being registered are Common Shares issuable upon conversion of debt securities that are also being registered]]</w:t>
      </w:r>
      <w:r>
        <w:t>.</w:t>
      </w:r>
      <w:r>
        <w:rPr>
          <w:rStyle w:val="FootnoteReference"/>
        </w:rPr>
        <w:footnoteReference w:id="104"/>
      </w:r>
      <w:bookmarkEnd w:id="449"/>
    </w:p>
    <w:p w:rsidR="00C20A1A" w:rsidP="00E450A4">
      <w:pPr>
        <w:pStyle w:val="ArticleBJ2L3"/>
      </w:pPr>
      <w:bookmarkStart w:id="450" w:name="_Ref463459374"/>
      <w:bookmarkStart w:id="451" w:name="_Ref525897443"/>
      <w:r>
        <w:t xml:space="preserve">The Company shall not be obligated to effect, or to take any action to effect, any registration pursuant to Section </w:t>
      </w:r>
      <w:r>
        <w:fldChar w:fldCharType="begin"/>
      </w:r>
      <w:r>
        <w:instrText xml:space="preserve"> REF _Ref463459267 \w \h </w:instrText>
      </w:r>
      <w:r>
        <w:fldChar w:fldCharType="separate"/>
      </w:r>
      <w:r w:rsidR="00230E5B">
        <w:t>1.2(a)</w:t>
      </w:r>
      <w:r>
        <w:fldChar w:fldCharType="end"/>
      </w:r>
      <w:r>
        <w:t xml:space="preserve">(i) of this </w:t>
      </w:r>
      <w:r>
        <w:fldChar w:fldCharType="begin"/>
      </w:r>
      <w:r>
        <w:instrText xml:space="preserve"> REF _Ref463459682 \r \h </w:instrText>
      </w:r>
      <w:r>
        <w:fldChar w:fldCharType="separate"/>
      </w:r>
      <w:r w:rsidR="00230E5B">
        <w:t>Schedule D</w:t>
      </w:r>
      <w:r>
        <w:fldChar w:fldCharType="end"/>
      </w:r>
      <w:r>
        <w:t xml:space="preserve">: (i) during the period that is </w:t>
      </w:r>
      <w:r>
        <w:rPr>
          <w:b/>
          <w:bCs/>
        </w:rPr>
        <w:t>[60]</w:t>
      </w:r>
      <w:r>
        <w:t xml:space="preserve"> days before the Company's good faith estimate of the date of filing of, and ending on a date that is </w:t>
      </w:r>
      <w:r>
        <w:rPr>
          <w:b/>
          <w:bCs/>
        </w:rPr>
        <w:t>[180]</w:t>
      </w:r>
      <w:r>
        <w:t xml:space="preserve"> days after the effective date of, a Company-initiated registration, provided that the Company is actively employing in good faith commercially reasonable efforts to cause such registration statement to become effective; (ii) after the Company has effected </w:t>
      </w:r>
      <w:r>
        <w:rPr>
          <w:b/>
          <w:bCs/>
        </w:rPr>
        <w:t>[1 - 2]</w:t>
      </w:r>
      <w:r>
        <w:t xml:space="preserve"> registration</w:t>
      </w:r>
      <w:r>
        <w:rPr>
          <w:b/>
          <w:bCs/>
        </w:rPr>
        <w:t>[s]</w:t>
      </w:r>
      <w:r>
        <w:t xml:space="preserve"> pursuant to Section </w:t>
      </w:r>
      <w:r>
        <w:fldChar w:fldCharType="begin"/>
      </w:r>
      <w:r>
        <w:instrText xml:space="preserve"> REF _Ref463459267 \w \h </w:instrText>
      </w:r>
      <w:r>
        <w:fldChar w:fldCharType="separate"/>
      </w:r>
      <w:r w:rsidR="00230E5B">
        <w:t>1.2(a)</w:t>
      </w:r>
      <w:r>
        <w:fldChar w:fldCharType="end"/>
      </w:r>
      <w:r>
        <w:t xml:space="preserve"> of this </w:t>
      </w:r>
      <w:r>
        <w:fldChar w:fldCharType="begin"/>
      </w:r>
      <w:r>
        <w:instrText xml:space="preserve"> REF _Ref463459682 \r \h </w:instrText>
      </w:r>
      <w:r>
        <w:fldChar w:fldCharType="separate"/>
      </w:r>
      <w:r w:rsidR="00230E5B">
        <w:t>Schedule D</w:t>
      </w:r>
      <w:r>
        <w:fldChar w:fldCharType="end"/>
      </w:r>
      <w:r>
        <w:t xml:space="preserve">; or (iii) if the Initiating Holders propose to dispose of Registrable Securities that may be immediately registered on Form S-3 or Form F-3 or a Canadian short-form prospectus pursuant to a request made pursuant to Section </w:t>
      </w:r>
      <w:r>
        <w:fldChar w:fldCharType="begin"/>
      </w:r>
      <w:r>
        <w:instrText xml:space="preserve"> REF _Ref463459312 \w \h </w:instrText>
      </w:r>
      <w:r>
        <w:fldChar w:fldCharType="separate"/>
      </w:r>
      <w:r w:rsidR="00230E5B">
        <w:t>1.2(b)</w:t>
      </w:r>
      <w:r>
        <w:fldChar w:fldCharType="end"/>
      </w:r>
      <w:r>
        <w:t xml:space="preserve"> of this </w:t>
      </w:r>
      <w:r>
        <w:fldChar w:fldCharType="begin"/>
      </w:r>
      <w:r>
        <w:instrText xml:space="preserve"> REF _Ref463459682 \r \h </w:instrText>
      </w:r>
      <w:r>
        <w:fldChar w:fldCharType="separate"/>
      </w:r>
      <w:r w:rsidR="00230E5B">
        <w:t>Schedule D</w:t>
      </w:r>
      <w:r>
        <w:fldChar w:fldCharType="end"/>
      </w:r>
      <w:r>
        <w:t xml:space="preserve">. The Company shall not be obligated to effect, or to take any action to effect, any registration pursuant to Section </w:t>
      </w:r>
      <w:r>
        <w:rPr>
          <w:cs/>
        </w:rPr>
        <w:t>‎</w:t>
      </w:r>
      <w:r>
        <w:rPr>
          <w:cs/>
        </w:rPr>
        <w:fldChar w:fldCharType="begin"/>
      </w:r>
      <w:r>
        <w:instrText xml:space="preserve"> REF _Ref463459312 \w \h </w:instrText>
      </w:r>
      <w:r>
        <w:rPr>
          <w:cs/>
        </w:rPr>
        <w:fldChar w:fldCharType="separate"/>
      </w:r>
      <w:r w:rsidR="00230E5B">
        <w:t>1.2(b)</w:t>
      </w:r>
      <w:r>
        <w:rPr>
          <w:cs/>
        </w:rPr>
        <w:fldChar w:fldCharType="end"/>
      </w:r>
      <w:r>
        <w:t xml:space="preserve"> of this </w:t>
      </w:r>
      <w:r>
        <w:fldChar w:fldCharType="begin"/>
      </w:r>
      <w:r>
        <w:instrText xml:space="preserve"> REF _Ref463459682 \r \h </w:instrText>
      </w:r>
      <w:r>
        <w:fldChar w:fldCharType="separate"/>
      </w:r>
      <w:r w:rsidR="00230E5B">
        <w:t>Schedule D</w:t>
      </w:r>
      <w:r>
        <w:fldChar w:fldCharType="end"/>
      </w:r>
      <w:r>
        <w:t xml:space="preserve"> (i) during the period that is </w:t>
      </w:r>
      <w:r>
        <w:rPr>
          <w:b/>
          <w:bCs/>
        </w:rPr>
        <w:t>[30]</w:t>
      </w:r>
      <w:r>
        <w:t xml:space="preserve"> days before the Company's good faith estimate of the date of filing of, and ending on a date that is </w:t>
      </w:r>
      <w:r>
        <w:rPr>
          <w:b/>
          <w:bCs/>
        </w:rPr>
        <w:t>[90]</w:t>
      </w:r>
      <w:r>
        <w:t xml:space="preserve"> days after the effective date of, a Company-initiated registration, provided that the Company is actively employing in good faith commercially reasonable efforts to cause such registration statement or prospectus to become effective; or (ii) if the Company has effected </w:t>
      </w:r>
      <w:r>
        <w:rPr>
          <w:b/>
          <w:bCs/>
        </w:rPr>
        <w:t>[2]</w:t>
      </w:r>
      <w:r>
        <w:t xml:space="preserve"> registration</w:t>
      </w:r>
      <w:r>
        <w:rPr>
          <w:b/>
          <w:bCs/>
        </w:rPr>
        <w:t>[s]</w:t>
      </w:r>
      <w:r>
        <w:t xml:space="preserve"> pursuant to Section </w:t>
      </w:r>
      <w:r>
        <w:fldChar w:fldCharType="begin"/>
      </w:r>
      <w:r>
        <w:instrText xml:space="preserve"> REF _Ref463459312 \w \h </w:instrText>
      </w:r>
      <w:r>
        <w:fldChar w:fldCharType="separate"/>
      </w:r>
      <w:r w:rsidR="00230E5B">
        <w:t>1.2(b)</w:t>
      </w:r>
      <w:r>
        <w:fldChar w:fldCharType="end"/>
      </w:r>
      <w:r>
        <w:t xml:space="preserve"> of this </w:t>
      </w:r>
      <w:r>
        <w:fldChar w:fldCharType="begin"/>
      </w:r>
      <w:r>
        <w:instrText xml:space="preserve"> REF _Ref463459682 \r \h </w:instrText>
      </w:r>
      <w:r>
        <w:fldChar w:fldCharType="separate"/>
      </w:r>
      <w:r w:rsidR="00230E5B">
        <w:t>Schedule D</w:t>
      </w:r>
      <w:r>
        <w:fldChar w:fldCharType="end"/>
      </w:r>
      <w:r>
        <w:t xml:space="preserve"> within the 12 month period immediately preceding the date of such request. A registration shall not be counted as "effected" for purposes of this Section </w:t>
      </w:r>
      <w:r>
        <w:fldChar w:fldCharType="begin"/>
      </w:r>
      <w:r>
        <w:instrText xml:space="preserve"> REF _Ref463459374 \w \h </w:instrText>
      </w:r>
      <w:r>
        <w:fldChar w:fldCharType="separate"/>
      </w:r>
      <w:r w:rsidR="00230E5B">
        <w:t>1.2(d)</w:t>
      </w:r>
      <w:r>
        <w:fldChar w:fldCharType="end"/>
      </w:r>
      <w:r>
        <w:t xml:space="preserve"> of this </w:t>
      </w:r>
      <w:r>
        <w:fldChar w:fldCharType="begin"/>
      </w:r>
      <w:r>
        <w:instrText xml:space="preserve"> REF _Ref463459682 \r \h </w:instrText>
      </w:r>
      <w:r>
        <w:fldChar w:fldCharType="separate"/>
      </w:r>
      <w:r w:rsidR="00230E5B">
        <w:t>Schedule D</w:t>
      </w:r>
      <w:r>
        <w:fldChar w:fldCharType="end"/>
      </w:r>
      <w:r>
        <w:t xml:space="preserve"> until such time as the applicable registration statement has been declared effective by the SEC or a final receipt or decision document is issued in respect of the applicable Canadian prospectus, unless the Initiating Holders withdraw their request for such registration, elect not to pay the registration expenses therefor, and forfeit their right to one demand registration statement pursuant to Section </w:t>
      </w:r>
      <w:r>
        <w:fldChar w:fldCharType="begin"/>
      </w:r>
      <w:r>
        <w:instrText xml:space="preserve"> REF _Ref463459397 \w \h </w:instrText>
      </w:r>
      <w:r>
        <w:fldChar w:fldCharType="separate"/>
      </w:r>
      <w:r w:rsidR="00230E5B">
        <w:t>1.7</w:t>
      </w:r>
      <w:r>
        <w:fldChar w:fldCharType="end"/>
      </w:r>
      <w:r>
        <w:rPr>
          <w:cs/>
        </w:rPr>
        <w:t>‎</w:t>
      </w:r>
      <w:r>
        <w:rPr>
          <w:rFonts w:hint="cs"/>
          <w:rtl/>
          <w:cs/>
        </w:rPr>
        <w:t xml:space="preserve"> </w:t>
      </w:r>
      <w:r>
        <w:t xml:space="preserve">of this </w:t>
      </w:r>
      <w:r>
        <w:fldChar w:fldCharType="begin"/>
      </w:r>
      <w:r>
        <w:instrText xml:space="preserve"> REF _Ref463459682 \r \h </w:instrText>
      </w:r>
      <w:r>
        <w:fldChar w:fldCharType="separate"/>
      </w:r>
      <w:r w:rsidR="00230E5B">
        <w:t>Schedule D</w:t>
      </w:r>
      <w:r>
        <w:fldChar w:fldCharType="end"/>
      </w:r>
      <w:r>
        <w:t>, in which case such withdrawn registration statement shall be counted as "effected" for purposes of this Section </w:t>
      </w:r>
      <w:r>
        <w:fldChar w:fldCharType="begin"/>
      </w:r>
      <w:r>
        <w:instrText xml:space="preserve"> REF _Ref463459374 \w \h </w:instrText>
      </w:r>
      <w:r>
        <w:fldChar w:fldCharType="separate"/>
      </w:r>
      <w:r w:rsidR="00230E5B">
        <w:t>1.2(d)</w:t>
      </w:r>
      <w:r>
        <w:fldChar w:fldCharType="end"/>
      </w:r>
      <w:r>
        <w:t xml:space="preserve"> of this </w:t>
      </w:r>
      <w:r>
        <w:fldChar w:fldCharType="begin"/>
      </w:r>
      <w:r>
        <w:instrText xml:space="preserve"> REF _Ref463459682 \r \h </w:instrText>
      </w:r>
      <w:r>
        <w:fldChar w:fldCharType="separate"/>
      </w:r>
      <w:r w:rsidR="00230E5B">
        <w:t>Schedule D</w:t>
      </w:r>
      <w:r>
        <w:fldChar w:fldCharType="end"/>
      </w:r>
      <w:bookmarkEnd w:id="450"/>
      <w:r>
        <w:t xml:space="preserve">, </w:t>
      </w:r>
      <w:r w:rsidRPr="00E450A4">
        <w:t xml:space="preserve">provided, that if such withdrawal is during a period the Company has deferred taking action pursuant to Section </w:t>
      </w:r>
      <w:r w:rsidR="00906CA0">
        <w:fldChar w:fldCharType="begin"/>
      </w:r>
      <w:r w:rsidR="00906CA0">
        <w:instrText xml:space="preserve"> REF _Ref463459114 \w \h </w:instrText>
      </w:r>
      <w:r w:rsidR="00906CA0">
        <w:fldChar w:fldCharType="separate"/>
      </w:r>
      <w:r w:rsidR="00230E5B">
        <w:t>1.2(c)</w:t>
      </w:r>
      <w:r w:rsidR="00906CA0">
        <w:fldChar w:fldCharType="end"/>
      </w:r>
      <w:r w:rsidR="004076C2">
        <w:t xml:space="preserve"> </w:t>
      </w:r>
      <w:r w:rsidRPr="00E450A4">
        <w:t xml:space="preserve">of this </w:t>
      </w:r>
      <w:r>
        <w:fldChar w:fldCharType="begin"/>
      </w:r>
      <w:r>
        <w:instrText xml:space="preserve"> REF _Ref463459682 \r \h </w:instrText>
      </w:r>
      <w:r>
        <w:fldChar w:fldCharType="separate"/>
      </w:r>
      <w:r w:rsidR="00230E5B">
        <w:t>Schedule D</w:t>
      </w:r>
      <w:r>
        <w:fldChar w:fldCharType="end"/>
      </w:r>
      <w:r w:rsidRPr="00E450A4">
        <w:t xml:space="preserve">, then the Initiating Holders may withdraw their request for registration </w:t>
      </w:r>
      <w:r w:rsidRPr="00E450A4">
        <w:t xml:space="preserve">and such registration will not be counted as </w:t>
      </w:r>
      <w:r>
        <w:t>"</w:t>
      </w:r>
      <w:r w:rsidRPr="00E450A4">
        <w:t>effected</w:t>
      </w:r>
      <w:r>
        <w:t>"</w:t>
      </w:r>
      <w:r w:rsidRPr="00E450A4">
        <w:t xml:space="preserve"> for purposes of this Section</w:t>
      </w:r>
      <w:r>
        <w:t> </w:t>
      </w:r>
      <w:r>
        <w:fldChar w:fldCharType="begin"/>
      </w:r>
      <w:r>
        <w:instrText xml:space="preserve"> REF _Ref463459213 \r \h </w:instrText>
      </w:r>
      <w:r>
        <w:fldChar w:fldCharType="separate"/>
      </w:r>
      <w:r w:rsidR="00230E5B">
        <w:t>1.2</w:t>
      </w:r>
      <w:r>
        <w:fldChar w:fldCharType="end"/>
      </w:r>
      <w:r>
        <w:fldChar w:fldCharType="begin"/>
      </w:r>
      <w:r>
        <w:instrText xml:space="preserve"> REF _Ref525897443 \r \h </w:instrText>
      </w:r>
      <w:r>
        <w:fldChar w:fldCharType="separate"/>
      </w:r>
      <w:r w:rsidR="00230E5B">
        <w:t>(d)</w:t>
      </w:r>
      <w:r>
        <w:fldChar w:fldCharType="end"/>
      </w:r>
      <w:r w:rsidRPr="00E450A4">
        <w:t xml:space="preserve"> of this </w:t>
      </w:r>
      <w:r>
        <w:fldChar w:fldCharType="begin"/>
      </w:r>
      <w:r>
        <w:instrText xml:space="preserve"> REF _Ref463459682 \r \h </w:instrText>
      </w:r>
      <w:r>
        <w:fldChar w:fldCharType="separate"/>
      </w:r>
      <w:r w:rsidR="00230E5B">
        <w:t>Schedule D</w:t>
      </w:r>
      <w:r>
        <w:fldChar w:fldCharType="end"/>
      </w:r>
      <w:r w:rsidRPr="00E450A4">
        <w:t>.</w:t>
      </w:r>
      <w:bookmarkEnd w:id="451"/>
      <w:r>
        <w:t xml:space="preserve"> </w:t>
      </w:r>
    </w:p>
    <w:p w:rsidR="00C20A1A">
      <w:pPr>
        <w:pStyle w:val="ArticleBJ2L3"/>
      </w:pPr>
      <w:r>
        <w:t>For purposes of this Agreement, a concurrent filing of a registration statement under the Securities Act and Canadian Securities Laws will be considered a single filing.</w:t>
      </w:r>
    </w:p>
    <w:p w:rsidR="00C20A1A">
      <w:pPr>
        <w:pStyle w:val="ArticleBJ2L2"/>
      </w:pPr>
      <w:bookmarkStart w:id="452" w:name="_Ref463459466"/>
      <w:bookmarkStart w:id="453" w:name="_Toc463463943"/>
      <w:r>
        <w:t>Company Registration</w:t>
      </w:r>
      <w:bookmarkEnd w:id="452"/>
      <w:bookmarkEnd w:id="453"/>
    </w:p>
    <w:p w:rsidR="00C20A1A">
      <w:pPr>
        <w:pStyle w:val="ArticleBJ2Cont2"/>
      </w:pPr>
      <w:r>
        <w:t xml:space="preserve">If the Company proposes to register (including, for this purpose, a registration effected by the Company for shareholders other than the Holders) any of its </w:t>
      </w:r>
      <w:r>
        <w:rPr>
          <w:b/>
          <w:bCs/>
        </w:rPr>
        <w:t>[Common Shares][securities]</w:t>
      </w:r>
      <w:r>
        <w:t xml:space="preserve"> under the Securities Act or Canadian Securities Laws in connection with the public offering of such securities solely for cash (other than in an Excluded Registration)</w:t>
      </w:r>
      <w:r>
        <w:rPr>
          <w:b/>
        </w:rPr>
        <w:t xml:space="preserve">[, a registration relating to a demand pursuant to this Section </w:t>
      </w:r>
      <w:r>
        <w:rPr>
          <w:b/>
        </w:rPr>
        <w:fldChar w:fldCharType="begin"/>
      </w:r>
      <w:r>
        <w:rPr>
          <w:b/>
        </w:rPr>
        <w:instrText xml:space="preserve"> REF _Ref448392759 \r \h </w:instrText>
      </w:r>
      <w:r>
        <w:rPr>
          <w:b/>
        </w:rPr>
        <w:fldChar w:fldCharType="separate"/>
      </w:r>
      <w:r w:rsidR="00230E5B">
        <w:rPr>
          <w:b/>
        </w:rPr>
        <w:t>1.2</w:t>
      </w:r>
      <w:r>
        <w:rPr>
          <w:b/>
        </w:rPr>
        <w:fldChar w:fldCharType="end"/>
      </w:r>
      <w:r>
        <w:rPr>
          <w:b/>
        </w:rPr>
        <w:t>][or the IPO]</w:t>
      </w:r>
      <w:r>
        <w:t xml:space="preserve">, the Company shall, at such time, promptly give each Holder notice of such registration. Upon the request of each Holder given within 20 days after such notice is given by the Company, the Company shall, subject to the provisions of Section </w:t>
      </w:r>
      <w:r>
        <w:fldChar w:fldCharType="begin"/>
      </w:r>
      <w:r>
        <w:instrText xml:space="preserve"> REF _Ref463459152 \w \h </w:instrText>
      </w:r>
      <w:r>
        <w:fldChar w:fldCharType="separate"/>
      </w:r>
      <w:r w:rsidR="00230E5B">
        <w:t>1.4</w:t>
      </w:r>
      <w:r>
        <w:fldChar w:fldCharType="end"/>
      </w:r>
      <w:r>
        <w:rPr>
          <w:cs/>
        </w:rPr>
        <w:t>‎</w:t>
      </w:r>
      <w:r>
        <w:rPr>
          <w:rFonts w:hint="cs"/>
          <w:rtl/>
          <w:cs/>
        </w:rPr>
        <w:t xml:space="preserve"> </w:t>
      </w:r>
      <w:r>
        <w:t xml:space="preserve">of this </w:t>
      </w:r>
      <w:r>
        <w:fldChar w:fldCharType="begin"/>
      </w:r>
      <w:r>
        <w:instrText xml:space="preserve"> REF _Ref463459682 \r \h </w:instrText>
      </w:r>
      <w:r>
        <w:fldChar w:fldCharType="separate"/>
      </w:r>
      <w:r w:rsidR="00230E5B">
        <w:t>Schedule D</w:t>
      </w:r>
      <w:r>
        <w:fldChar w:fldCharType="end"/>
      </w:r>
      <w:r>
        <w:t xml:space="preserve">, cause to be registered all of the Registrable Securities that each such Holder has requested to be included in such registration. The Company shall have the right to terminate or withdraw any registration initiated by it under this Section </w:t>
      </w:r>
      <w:r>
        <w:rPr>
          <w:cs/>
        </w:rPr>
        <w:t>‎</w:t>
      </w:r>
      <w:r>
        <w:fldChar w:fldCharType="begin"/>
      </w:r>
      <w:r>
        <w:instrText xml:space="preserve"> REF _Ref463459466 \w \h </w:instrText>
      </w:r>
      <w:r>
        <w:fldChar w:fldCharType="separate"/>
      </w:r>
      <w:r w:rsidR="00230E5B">
        <w:t>1.3</w:t>
      </w:r>
      <w:r>
        <w:fldChar w:fldCharType="end"/>
      </w:r>
      <w:r>
        <w:t xml:space="preserve"> of this </w:t>
      </w:r>
      <w:r>
        <w:fldChar w:fldCharType="begin"/>
      </w:r>
      <w:r>
        <w:instrText xml:space="preserve"> REF _Ref463459682 \r \h </w:instrText>
      </w:r>
      <w:r>
        <w:fldChar w:fldCharType="separate"/>
      </w:r>
      <w:r w:rsidR="00230E5B">
        <w:t>Schedule D</w:t>
      </w:r>
      <w:r>
        <w:fldChar w:fldCharType="end"/>
      </w:r>
      <w:r>
        <w:t xml:space="preserve"> before the effective date of such registration, whether or not any Holder has elected to include Registrable Securities in such registration. The expenses (other than Selling Expenses) of such withdrawn registration shall be borne by the Company in accordance with Section </w:t>
      </w:r>
      <w:r>
        <w:fldChar w:fldCharType="begin"/>
      </w:r>
      <w:r>
        <w:instrText xml:space="preserve"> REF _Ref463459397 \w \h </w:instrText>
      </w:r>
      <w:r>
        <w:fldChar w:fldCharType="separate"/>
      </w:r>
      <w:r w:rsidR="00230E5B">
        <w:t>1.7</w:t>
      </w:r>
      <w:r>
        <w:fldChar w:fldCharType="end"/>
      </w:r>
      <w:r>
        <w:rPr>
          <w:cs/>
        </w:rPr>
        <w:t>‎</w:t>
      </w:r>
      <w:r>
        <w:rPr>
          <w:rFonts w:hint="cs"/>
          <w:rtl/>
          <w:cs/>
        </w:rPr>
        <w:t xml:space="preserve"> </w:t>
      </w:r>
      <w:r>
        <w:t xml:space="preserve">of this </w:t>
      </w:r>
      <w:r>
        <w:fldChar w:fldCharType="begin"/>
      </w:r>
      <w:r>
        <w:instrText xml:space="preserve"> REF _Ref463459682 \r \h </w:instrText>
      </w:r>
      <w:r>
        <w:fldChar w:fldCharType="separate"/>
      </w:r>
      <w:r w:rsidR="00230E5B">
        <w:t>Schedule D</w:t>
      </w:r>
      <w:r>
        <w:fldChar w:fldCharType="end"/>
      </w:r>
      <w:r>
        <w:t>.</w:t>
      </w:r>
    </w:p>
    <w:p w:rsidR="00C20A1A">
      <w:pPr>
        <w:pStyle w:val="ArticleBJ2L2"/>
      </w:pPr>
      <w:bookmarkStart w:id="454" w:name="_Ref463459152"/>
      <w:bookmarkStart w:id="455" w:name="_Toc463463944"/>
      <w:r>
        <w:t>Underwriting Requirements</w:t>
      </w:r>
      <w:bookmarkEnd w:id="454"/>
      <w:bookmarkEnd w:id="455"/>
    </w:p>
    <w:p w:rsidR="00C20A1A" w:rsidP="006D60F7">
      <w:pPr>
        <w:pStyle w:val="ArticleBJ2L3"/>
      </w:pPr>
      <w:bookmarkStart w:id="456" w:name="_Ref463459653"/>
      <w:r>
        <w:t xml:space="preserve">If, pursuant to Section </w:t>
      </w:r>
      <w:r>
        <w:fldChar w:fldCharType="begin"/>
      </w:r>
      <w:r>
        <w:instrText xml:space="preserve"> REF _Ref463459213 \w \h </w:instrText>
      </w:r>
      <w:r>
        <w:fldChar w:fldCharType="separate"/>
      </w:r>
      <w:r w:rsidR="00230E5B">
        <w:t>1.2</w:t>
      </w:r>
      <w:r>
        <w:fldChar w:fldCharType="end"/>
      </w:r>
      <w:r>
        <w:rPr>
          <w:cs/>
        </w:rPr>
        <w:t>‎</w:t>
      </w:r>
      <w:r>
        <w:rPr>
          <w:rFonts w:hint="cs"/>
          <w:rtl/>
          <w:cs/>
        </w:rPr>
        <w:t xml:space="preserve"> </w:t>
      </w:r>
      <w:r>
        <w:t xml:space="preserve">of this </w:t>
      </w:r>
      <w:r>
        <w:fldChar w:fldCharType="begin"/>
      </w:r>
      <w:r>
        <w:instrText xml:space="preserve"> REF _Ref463459682 \r \h </w:instrText>
      </w:r>
      <w:r>
        <w:fldChar w:fldCharType="separate"/>
      </w:r>
      <w:r w:rsidR="00230E5B">
        <w:t>Schedule D</w:t>
      </w:r>
      <w:r>
        <w:fldChar w:fldCharType="end"/>
      </w:r>
      <w:r>
        <w:t xml:space="preserve">, the Initiating Holders intend to distribute the Registrable Securities covered by their request by means of an underwriting, they shall so advise the Company as a part of their request made pursuant to Section </w:t>
      </w:r>
      <w:r>
        <w:fldChar w:fldCharType="begin"/>
      </w:r>
      <w:r>
        <w:instrText xml:space="preserve"> REF _Ref463459213 \w \h </w:instrText>
      </w:r>
      <w:r>
        <w:fldChar w:fldCharType="separate"/>
      </w:r>
      <w:r w:rsidR="00230E5B">
        <w:t>1.2</w:t>
      </w:r>
      <w:r>
        <w:fldChar w:fldCharType="end"/>
      </w:r>
      <w:r>
        <w:t xml:space="preserve"> of this </w:t>
      </w:r>
      <w:r>
        <w:fldChar w:fldCharType="begin"/>
      </w:r>
      <w:r>
        <w:instrText xml:space="preserve"> REF _Ref512777659 \w \h </w:instrText>
      </w:r>
      <w:r>
        <w:fldChar w:fldCharType="separate"/>
      </w:r>
      <w:r w:rsidR="00230E5B">
        <w:t>Schedule D</w:t>
      </w:r>
      <w:r>
        <w:fldChar w:fldCharType="end"/>
      </w:r>
      <w:r>
        <w:t xml:space="preserve">, and the Company shall include such information in the Demand Notice. The underwriter(s) will be selected by the </w:t>
      </w:r>
      <w:r>
        <w:rPr>
          <w:b/>
          <w:bCs/>
        </w:rPr>
        <w:t>[Company][Board] and shall be reasonably acceptable to a majority in interest of the Initiating Holders][</w:t>
      </w:r>
      <w:r>
        <w:rPr>
          <w:b/>
          <w:bCs/>
          <w:i/>
          <w:iCs/>
        </w:rPr>
        <w:t xml:space="preserve">Alternative: </w:t>
      </w:r>
      <w:r>
        <w:rPr>
          <w:b/>
          <w:bCs/>
        </w:rPr>
        <w:t xml:space="preserve">Initiating Holders, subject only to the reasonable approval of the [Company][Board]]. In such event, the right of any Holder to include such Holder's Registrable Securities in such registration shall be conditioned upon such Holder's participation in such underwriting and the inclusion of such Holder's Registrable Securities in the underwriting to the extent provided herein. All Holders proposing to distribute their securities through such underwriting shall (together with the Company as provided in Section </w:t>
      </w:r>
      <w:r>
        <w:rPr>
          <w:b/>
          <w:bCs/>
        </w:rPr>
        <w:fldChar w:fldCharType="begin"/>
      </w:r>
      <w:r>
        <w:rPr>
          <w:b/>
          <w:bCs/>
        </w:rPr>
        <w:instrText xml:space="preserve"> REF _Ref463459549 \w \h  \* MERGEFORMAT </w:instrText>
      </w:r>
      <w:r>
        <w:rPr>
          <w:b/>
          <w:bCs/>
        </w:rPr>
        <w:fldChar w:fldCharType="separate"/>
      </w:r>
      <w:r w:rsidR="00230E5B">
        <w:rPr>
          <w:b/>
          <w:bCs/>
        </w:rPr>
        <w:t>1.5(e)</w:t>
      </w:r>
      <w:r>
        <w:rPr>
          <w:b/>
          <w:bCs/>
        </w:rPr>
        <w:fldChar w:fldCharType="end"/>
      </w:r>
      <w:r>
        <w:rPr>
          <w:b/>
          <w:bCs/>
          <w:cs/>
        </w:rPr>
        <w:t>‎</w:t>
      </w:r>
      <w:r>
        <w:rPr>
          <w:b/>
          <w:bCs/>
        </w:rPr>
        <w:t xml:space="preserve">) of this </w:t>
      </w:r>
      <w:r>
        <w:rPr>
          <w:b/>
          <w:bCs/>
        </w:rPr>
        <w:fldChar w:fldCharType="begin"/>
      </w:r>
      <w:r>
        <w:rPr>
          <w:b/>
          <w:bCs/>
        </w:rPr>
        <w:instrText xml:space="preserve"> REF _Ref463459682 \r \h </w:instrText>
      </w:r>
      <w:r>
        <w:rPr>
          <w:b/>
          <w:bCs/>
        </w:rPr>
        <w:fldChar w:fldCharType="separate"/>
      </w:r>
      <w:r w:rsidR="00230E5B">
        <w:rPr>
          <w:b/>
          <w:bCs/>
        </w:rPr>
        <w:t>Schedule D</w:t>
      </w:r>
      <w:r>
        <w:rPr>
          <w:b/>
          <w:bCs/>
        </w:rPr>
        <w:fldChar w:fldCharType="end"/>
      </w:r>
      <w:r>
        <w:rPr>
          <w:b/>
          <w:bCs/>
        </w:rPr>
        <w:t xml:space="preserve"> enter into an underwriting agreement in customary form with the underwriter(s) selected for such underwriting[: </w:t>
      </w:r>
      <w:r w:rsidRPr="006D60F7">
        <w:rPr>
          <w:b/>
          <w:bCs/>
        </w:rPr>
        <w:t>provided, however, that no Holder (or any of their assignees) shall be required to make any representations, warranties or indemnities except as they relate to such Holder's ownership of shares and authority to enter into the underwriting agreement and to such Holder's intended method of distribution, and the liability of such Holder shall be several and not joint, and limited to an amount equal to the net proceeds from the offering received by such Holder]</w:t>
      </w:r>
      <w:r>
        <w:rPr>
          <w:b/>
          <w:bCs/>
        </w:rPr>
        <w:t xml:space="preserve">. Notwithstanding any other provision of this Section </w:t>
      </w:r>
      <w:r>
        <w:rPr>
          <w:b/>
          <w:bCs/>
        </w:rPr>
        <w:fldChar w:fldCharType="begin"/>
      </w:r>
      <w:r>
        <w:rPr>
          <w:b/>
          <w:bCs/>
        </w:rPr>
        <w:instrText xml:space="preserve"> REF _Ref463459152 \w \h  \* MERGEFORMAT </w:instrText>
      </w:r>
      <w:r>
        <w:rPr>
          <w:b/>
          <w:bCs/>
        </w:rPr>
        <w:fldChar w:fldCharType="separate"/>
      </w:r>
      <w:r w:rsidR="00230E5B">
        <w:rPr>
          <w:b/>
          <w:bCs/>
        </w:rPr>
        <w:t>1.4</w:t>
      </w:r>
      <w:r>
        <w:rPr>
          <w:b/>
          <w:bCs/>
        </w:rPr>
        <w:fldChar w:fldCharType="end"/>
      </w:r>
      <w:r>
        <w:rPr>
          <w:b/>
          <w:bCs/>
        </w:rPr>
        <w:t xml:space="preserve"> of this </w:t>
      </w:r>
      <w:r>
        <w:rPr>
          <w:b/>
          <w:bCs/>
        </w:rPr>
        <w:fldChar w:fldCharType="begin"/>
      </w:r>
      <w:r>
        <w:rPr>
          <w:b/>
          <w:bCs/>
        </w:rPr>
        <w:instrText xml:space="preserve"> REF _Ref463459682 \r \h </w:instrText>
      </w:r>
      <w:r>
        <w:rPr>
          <w:b/>
          <w:bCs/>
        </w:rPr>
        <w:fldChar w:fldCharType="separate"/>
      </w:r>
      <w:r w:rsidR="00230E5B">
        <w:rPr>
          <w:b/>
          <w:bCs/>
        </w:rPr>
        <w:t>Schedule D</w:t>
      </w:r>
      <w:r>
        <w:rPr>
          <w:b/>
          <w:bCs/>
        </w:rPr>
        <w:fldChar w:fldCharType="end"/>
      </w:r>
      <w:r>
        <w:rPr>
          <w:b/>
          <w:bCs/>
          <w:cs/>
        </w:rPr>
        <w:t>‎</w:t>
      </w:r>
      <w:r>
        <w:rPr>
          <w:b/>
          <w:bCs/>
        </w:rPr>
        <w:t xml:space="preserve">, if the [managing] underwriter(s) advise(s) the Initiating </w:t>
      </w:r>
      <w:r>
        <w:rPr>
          <w:b/>
          <w:bCs/>
        </w:rPr>
        <w:t xml:space="preserve">Holders in writing that marketing factors require a limitation on the number of shares to be underwritten, then the Initiating Holders shall so advise all Holders of Registrable Securities that otherwise would be underwritten pursuant hereto, and the number of Registrable Securities that may be included in the underwriting shall be allocated among such Holders of Registrable Securities, including the Initiating Holders, in proportion (as nearly as practicable) to the number of Registrable Securities owned by each Holder or in such other proportion as shall mutually be agreed to by all such selling Holders; </w:t>
      </w:r>
      <w:r>
        <w:rPr>
          <w:b/>
          <w:bCs/>
          <w:i/>
          <w:iCs/>
        </w:rPr>
        <w:t>provided</w:t>
      </w:r>
      <w:r>
        <w:rPr>
          <w:b/>
          <w:bCs/>
        </w:rPr>
        <w:t xml:space="preserve">, </w:t>
      </w:r>
      <w:r>
        <w:rPr>
          <w:b/>
          <w:bCs/>
          <w:i/>
          <w:iCs/>
        </w:rPr>
        <w:t>however</w:t>
      </w:r>
      <w:r>
        <w:rPr>
          <w:b/>
          <w:bCs/>
        </w:rPr>
        <w:t>, that the number of Registrable Securities held by the Holders to be included in such underwriting shall not be reduced unless all other securities are first entirely excluded from the underwriting. [To facilitate the allocation of shares in accordance with the above provisions, the Company or the underwriters may round the number of shares allocated to any Holder to the nearest 100 shares.]</w:t>
      </w:r>
      <w:bookmarkEnd w:id="456"/>
    </w:p>
    <w:p w:rsidR="00C20A1A">
      <w:pPr>
        <w:pStyle w:val="ArticleBJ2L3"/>
      </w:pPr>
      <w:bookmarkStart w:id="457" w:name="_Ref463459613"/>
      <w:r>
        <w:t xml:space="preserve">In connection with any offering involving an underwriting of the Company's shares pursuant to Section </w:t>
      </w:r>
      <w:r>
        <w:fldChar w:fldCharType="begin"/>
      </w:r>
      <w:r>
        <w:instrText xml:space="preserve"> REF _Ref463459466 \w \h </w:instrText>
      </w:r>
      <w:r>
        <w:fldChar w:fldCharType="separate"/>
      </w:r>
      <w:r w:rsidR="00230E5B">
        <w:t>1.3</w:t>
      </w:r>
      <w:r>
        <w:fldChar w:fldCharType="end"/>
      </w:r>
      <w:r>
        <w:rPr>
          <w:cs/>
        </w:rPr>
        <w:t>‎</w:t>
      </w:r>
      <w:r>
        <w:t xml:space="preserve">, the Company shall not be required to include any of the Holders' Registrable Securities in such underwriting unless the Holders accept the terms of the underwriting as agreed upon between the Company and its underwriters, and then only in such quantity as the underwriters in their sole discretion determine will not jeopardize the success of the offering by the Company. If the total number of securities, including Registrable Securities, requested by shareholders to be included in such offering exceeds the number of securities to be sold (other than by the Company) that the underwriters in their reasonable discretion determine is compatible with the success of the offering, then the Company shall be required to include in the offering only that number of such securities, including Registrable Securities, which the underwriters and the Company in their sole discretion determine will not jeopardize the success of the offering. If the underwriters determine that less than all of the Registrable Securities requested to be registered can be included in such offering, then the Registrable Securities that are included in such offering shall be allocated among the selling Holders in proportion (as nearly as practicable to) the number of Registrable Securities owned by each selling Holder or in such other proportions as shall mutually be agreed to by all such selling Holders. </w:t>
      </w:r>
      <w:r>
        <w:rPr>
          <w:b/>
          <w:bCs/>
        </w:rPr>
        <w:t>[To facilitate the allocation of shares in accordance with the above provisions, the Company or the underwriters may round the number of shares allocated to any Holder to the nearest 100 shares.]</w:t>
      </w:r>
      <w:r>
        <w:t xml:space="preserve"> Notwithstanding the foregoing, in no event shall (i) the number of Registrable Securities included in the offering be reduced unless all other securities (other than securities to be sold by the Company) are first entirely excluded from the offering, </w:t>
      </w:r>
      <w:r>
        <w:rPr>
          <w:b/>
          <w:bCs/>
        </w:rPr>
        <w:t>[or]</w:t>
      </w:r>
      <w:r>
        <w:t xml:space="preserve"> (ii) the number of Registrable Securities included in the offering be reduced below </w:t>
      </w:r>
      <w:r>
        <w:rPr>
          <w:b/>
          <w:bCs/>
        </w:rPr>
        <w:t>[20-30]</w:t>
      </w:r>
      <w:r>
        <w:t xml:space="preserve">% of the total number of securities included in such offering, unless such offering is the IPO, in which case the selling Holders may be excluded further if the underwriters make the determination described above and no other shareholder's securities are included in such offering </w:t>
      </w:r>
      <w:r>
        <w:rPr>
          <w:b/>
          <w:bCs/>
        </w:rPr>
        <w:t xml:space="preserve">[or (iii) notwithstanding (ii) above, any Registrable Securities which are not Key Holder Registrable Securities be excluded from such underwriting unless all </w:t>
      </w:r>
      <w:r>
        <w:rPr>
          <w:b/>
          <w:bCs/>
        </w:rPr>
        <w:t>Key Holder Registrable Securities are first excluded from such offering.]</w:t>
      </w:r>
      <w:r>
        <w:rPr>
          <w:rStyle w:val="FootnoteReference"/>
        </w:rPr>
        <w:footnoteReference w:id="105"/>
      </w:r>
      <w:r>
        <w:t xml:space="preserve"> For purposes of the provision in this Section </w:t>
      </w:r>
      <w:r>
        <w:fldChar w:fldCharType="begin"/>
      </w:r>
      <w:r>
        <w:instrText xml:space="preserve"> REF _Ref463459613 \w \h </w:instrText>
      </w:r>
      <w:r>
        <w:fldChar w:fldCharType="separate"/>
      </w:r>
      <w:r w:rsidR="00230E5B">
        <w:t>1.4(b)</w:t>
      </w:r>
      <w:r>
        <w:fldChar w:fldCharType="end"/>
      </w:r>
      <w:r>
        <w:rPr>
          <w:cs/>
        </w:rPr>
        <w:t>‎</w:t>
      </w:r>
      <w:r>
        <w:t xml:space="preserve"> of this </w:t>
      </w:r>
      <w:r>
        <w:fldChar w:fldCharType="begin"/>
      </w:r>
      <w:r>
        <w:instrText xml:space="preserve"> REF _Ref463459682 \r \h </w:instrText>
      </w:r>
      <w:r>
        <w:fldChar w:fldCharType="separate"/>
      </w:r>
      <w:r w:rsidR="00230E5B">
        <w:t>Schedule D</w:t>
      </w:r>
      <w:r>
        <w:fldChar w:fldCharType="end"/>
      </w:r>
      <w:r>
        <w:t xml:space="preserve"> concerning apportionment, for any selling Holder that is a partnership, limited liability company, or corporation, the partners, members, retired partners, retired members, shareholders, and Affiliates of such Holder, or the estates and Immediate Family Members of any such partners, retired partners, members, and retired members and any trusts for the benefit of any of the foregoing Persons, shall be deemed to be a single "selling Holder," and any pro rata reduction with respect to such "selling Holder" shall be based upon the aggregate number of Registrable Securities owned by all Persons included in such "selling Holder," as defined in this sentence.</w:t>
      </w:r>
      <w:bookmarkEnd w:id="457"/>
    </w:p>
    <w:p w:rsidR="00C20A1A" w:rsidRPr="006D60F7">
      <w:pPr>
        <w:pStyle w:val="ArticleBJ2L3"/>
        <w:rPr>
          <w:bCs/>
        </w:rPr>
      </w:pPr>
      <w:r w:rsidRPr="006D60F7">
        <w:rPr>
          <w:bCs/>
        </w:rPr>
        <w:t xml:space="preserve">For purposes of Section </w:t>
      </w:r>
      <w:r w:rsidRPr="006D60F7">
        <w:rPr>
          <w:bCs/>
        </w:rPr>
        <w:fldChar w:fldCharType="begin"/>
      </w:r>
      <w:r w:rsidRPr="006D60F7">
        <w:rPr>
          <w:bCs/>
        </w:rPr>
        <w:instrText xml:space="preserve"> REF _Ref463459213 \w \h  \* MERGEFORMAT </w:instrText>
      </w:r>
      <w:r w:rsidRPr="006D60F7">
        <w:rPr>
          <w:bCs/>
        </w:rPr>
        <w:fldChar w:fldCharType="separate"/>
      </w:r>
      <w:r w:rsidR="00230E5B">
        <w:rPr>
          <w:bCs/>
        </w:rPr>
        <w:t>1.2</w:t>
      </w:r>
      <w:r w:rsidRPr="006D60F7">
        <w:rPr>
          <w:bCs/>
        </w:rPr>
        <w:fldChar w:fldCharType="end"/>
      </w:r>
      <w:r w:rsidRPr="006D60F7">
        <w:rPr>
          <w:bCs/>
        </w:rPr>
        <w:t xml:space="preserve"> of this </w:t>
      </w:r>
      <w:r w:rsidRPr="006D60F7">
        <w:rPr>
          <w:bCs/>
        </w:rPr>
        <w:fldChar w:fldCharType="begin"/>
      </w:r>
      <w:r w:rsidRPr="006D60F7">
        <w:rPr>
          <w:bCs/>
        </w:rPr>
        <w:instrText xml:space="preserve"> REF _Ref463459682 \r \h </w:instrText>
      </w:r>
      <w:r>
        <w:rPr>
          <w:bCs/>
        </w:rPr>
        <w:instrText xml:space="preserve"> \* MERGEFORMAT </w:instrText>
      </w:r>
      <w:r w:rsidRPr="006D60F7">
        <w:rPr>
          <w:bCs/>
        </w:rPr>
        <w:fldChar w:fldCharType="separate"/>
      </w:r>
      <w:r w:rsidR="00230E5B">
        <w:rPr>
          <w:bCs/>
        </w:rPr>
        <w:t>Schedule D</w:t>
      </w:r>
      <w:r w:rsidRPr="006D60F7">
        <w:rPr>
          <w:bCs/>
        </w:rPr>
        <w:fldChar w:fldCharType="end"/>
      </w:r>
      <w:r w:rsidRPr="006D60F7">
        <w:rPr>
          <w:bCs/>
          <w:cs/>
        </w:rPr>
        <w:t>‎</w:t>
      </w:r>
      <w:r w:rsidRPr="006D60F7">
        <w:rPr>
          <w:bCs/>
        </w:rPr>
        <w:t xml:space="preserve">, a registration shall not be counted as "effected" if, as a result of an exercise of the underwriter's cutback provisions in Section </w:t>
      </w:r>
      <w:r w:rsidRPr="006D60F7">
        <w:rPr>
          <w:bCs/>
        </w:rPr>
        <w:fldChar w:fldCharType="begin"/>
      </w:r>
      <w:r w:rsidRPr="006D60F7">
        <w:rPr>
          <w:bCs/>
        </w:rPr>
        <w:instrText xml:space="preserve"> REF _Ref463459653 \w \h  \* MERGEFORMAT </w:instrText>
      </w:r>
      <w:r w:rsidRPr="006D60F7">
        <w:rPr>
          <w:bCs/>
        </w:rPr>
        <w:fldChar w:fldCharType="separate"/>
      </w:r>
      <w:r w:rsidR="00230E5B">
        <w:rPr>
          <w:bCs/>
        </w:rPr>
        <w:t>1.4(a)</w:t>
      </w:r>
      <w:r w:rsidRPr="006D60F7">
        <w:rPr>
          <w:bCs/>
        </w:rPr>
        <w:fldChar w:fldCharType="end"/>
      </w:r>
      <w:r w:rsidRPr="006D60F7">
        <w:rPr>
          <w:bCs/>
        </w:rPr>
        <w:t xml:space="preserve"> of this </w:t>
      </w:r>
      <w:r w:rsidRPr="006D60F7">
        <w:rPr>
          <w:bCs/>
        </w:rPr>
        <w:fldChar w:fldCharType="begin"/>
      </w:r>
      <w:r w:rsidRPr="006D60F7">
        <w:rPr>
          <w:bCs/>
        </w:rPr>
        <w:instrText xml:space="preserve"> REF _Ref463459682 \r \h </w:instrText>
      </w:r>
      <w:r>
        <w:rPr>
          <w:bCs/>
        </w:rPr>
        <w:instrText xml:space="preserve"> \* MERGEFORMAT </w:instrText>
      </w:r>
      <w:r w:rsidRPr="006D60F7">
        <w:rPr>
          <w:bCs/>
        </w:rPr>
        <w:fldChar w:fldCharType="separate"/>
      </w:r>
      <w:r w:rsidR="00230E5B">
        <w:rPr>
          <w:bCs/>
        </w:rPr>
        <w:t>Schedule D</w:t>
      </w:r>
      <w:r w:rsidRPr="006D60F7">
        <w:rPr>
          <w:bCs/>
        </w:rPr>
        <w:fldChar w:fldCharType="end"/>
      </w:r>
      <w:r w:rsidRPr="006D60F7">
        <w:rPr>
          <w:bCs/>
          <w:cs/>
        </w:rPr>
        <w:t>‎</w:t>
      </w:r>
      <w:r w:rsidRPr="006D60F7">
        <w:rPr>
          <w:bCs/>
        </w:rPr>
        <w:t xml:space="preserve">, fewer than </w:t>
      </w:r>
      <w:r w:rsidRPr="006D60F7">
        <w:rPr>
          <w:b/>
          <w:bCs/>
        </w:rPr>
        <w:t>[50%]</w:t>
      </w:r>
      <w:r w:rsidRPr="006D60F7">
        <w:rPr>
          <w:bCs/>
        </w:rPr>
        <w:t xml:space="preserve"> of the total number of Registrable Securities that Holders have requested to be included in such registration statement are actually included.</w:t>
      </w:r>
    </w:p>
    <w:p w:rsidR="00C20A1A">
      <w:pPr>
        <w:pStyle w:val="ArticleBJ2L2"/>
      </w:pPr>
      <w:bookmarkStart w:id="458" w:name="_Toc463463945"/>
      <w:r>
        <w:t>Obligations of the Company</w:t>
      </w:r>
      <w:bookmarkEnd w:id="458"/>
    </w:p>
    <w:p w:rsidR="00C20A1A">
      <w:pPr>
        <w:pStyle w:val="ArticleBJ2Cont2"/>
      </w:pPr>
      <w:r>
        <w:t xml:space="preserve">Whenever required under this </w:t>
      </w:r>
      <w:r>
        <w:fldChar w:fldCharType="begin"/>
      </w:r>
      <w:r>
        <w:instrText xml:space="preserve"> REF _Ref463459682 \w \h </w:instrText>
      </w:r>
      <w:r>
        <w:fldChar w:fldCharType="separate"/>
      </w:r>
      <w:r w:rsidR="00230E5B">
        <w:t>Schedule D</w:t>
      </w:r>
      <w:r>
        <w:fldChar w:fldCharType="end"/>
      </w:r>
      <w:r>
        <w:rPr>
          <w:cs/>
        </w:rPr>
        <w:t>‎</w:t>
      </w:r>
      <w:r>
        <w:t xml:space="preserve"> to effect the registration of any Registrable Securities, the Company shall, as expeditiously as reasonably possible:</w:t>
      </w:r>
      <w:r>
        <w:rPr>
          <w:rStyle w:val="FootnoteReference"/>
        </w:rPr>
        <w:footnoteReference w:id="106"/>
      </w:r>
    </w:p>
    <w:p w:rsidR="00C20A1A">
      <w:pPr>
        <w:pStyle w:val="ArticleBJ2L3"/>
      </w:pPr>
      <w:r>
        <w:t>prepare and file with the SEC and/or Canadian securities regulators, as applicable, a registration statement with respect to such Registrable Securities and use its commercially reasonable efforts</w:t>
      </w:r>
      <w:r>
        <w:rPr>
          <w:rStyle w:val="FootnoteReference"/>
        </w:rPr>
        <w:footnoteReference w:id="107"/>
      </w:r>
      <w:r>
        <w:t xml:space="preserve"> to cause such registration statement to become effective and, upon the request of the Holders of a majority of the Registrable Securities registered thereunder, keep such registration statement effective for a period of up to 120 days or, if earlier, until the distribution contemplated in the registration statement has been completed; provided, however, that (i) such 120 day period shall be extended for a period of time equal to the period the Holder refrains, at the request of an underwriter of Common Shares (or other securities) of the Company, from selling any securities included in such registration</w:t>
      </w:r>
      <w:r>
        <w:rPr>
          <w:b/>
          <w:bCs/>
        </w:rPr>
        <w:t>[, and (ii) in the case of any registration of Registrable Securities on Form S-3 or Form F-3 or a Canadian short-form prospectus that are intended to be offered on a continuous or delayed basis, subject to compliance with applicable SEC rules and Canadian Securities Laws, such 120 day period shall be extended for up to [_______] days, if necessary, to keep the registration statement effective until all such Registrable Securities are sold]</w:t>
      </w:r>
      <w:r>
        <w:t>;</w:t>
      </w:r>
    </w:p>
    <w:p w:rsidR="00C20A1A">
      <w:pPr>
        <w:pStyle w:val="ArticleBJ2L3"/>
      </w:pPr>
      <w:r>
        <w:t>prepare and file with the SEC and Canadian securities regulators, as applicable, such amendments and supplements to such registration statement, and the prospectus used in connection with such registration statement, as may be necessary to comply with the Securities Act and Canadian Securities Laws in order to enable the disposition of all securities covered by such registration statement;</w:t>
      </w:r>
    </w:p>
    <w:p w:rsidR="00C20A1A">
      <w:pPr>
        <w:pStyle w:val="ArticleBJ2L3"/>
      </w:pPr>
      <w:r>
        <w:t>furnish to the selling Holders such numbers of copies of a prospectus, including a preliminary prospectus, as required by the Securities Act and Canadian Securities Laws, and such other documents as the Holders may reasonably request in order to facilitate their disposition of their Registrable Securities;</w:t>
      </w:r>
    </w:p>
    <w:p w:rsidR="00C20A1A">
      <w:pPr>
        <w:pStyle w:val="ArticleBJ2L3"/>
      </w:pPr>
      <w:r>
        <w:t xml:space="preserve">use its commercially reasonable efforts to register and qualify the securities covered by such registration statement under such other securities or blue-sky laws of such jurisdictions as shall be reasonably requested by the selling Holders; </w:t>
      </w:r>
      <w:r>
        <w:rPr>
          <w:i/>
          <w:iCs/>
        </w:rPr>
        <w:t>provided</w:t>
      </w:r>
      <w:r>
        <w:t xml:space="preserve"> that the Company shall not be required to qualify to do business or to file a general consent to service of process in any such states or jurisdictions,</w:t>
      </w:r>
      <w:r>
        <w:rPr>
          <w:rStyle w:val="FootnoteReference"/>
        </w:rPr>
        <w:footnoteReference w:id="108"/>
      </w:r>
      <w:r>
        <w:t xml:space="preserve"> unless the Company is already subject to service in such jurisdiction and except as may be required by the Securities Act or Canadian Securities Laws;</w:t>
      </w:r>
    </w:p>
    <w:p w:rsidR="00C20A1A">
      <w:pPr>
        <w:pStyle w:val="ArticleBJ2L3"/>
      </w:pPr>
      <w:bookmarkStart w:id="459" w:name="_Ref463459549"/>
      <w:r>
        <w:t>in the event of any underwritten public offering, enter into and perform its obligations under an underwriting agreement, in usual and customary form, with the underwriter(s) of such offering;</w:t>
      </w:r>
      <w:bookmarkEnd w:id="459"/>
    </w:p>
    <w:p w:rsidR="00C20A1A">
      <w:pPr>
        <w:pStyle w:val="ArticleBJ2L3"/>
      </w:pPr>
      <w:r>
        <w:t xml:space="preserve">use its commercially reasonable efforts to cause all such Registrable Securities covered by such registration statement to be listed on a national Canadian or </w:t>
      </w:r>
      <w:r w:rsidR="007C26A1">
        <w:t>U.S.</w:t>
      </w:r>
      <w:r>
        <w:t xml:space="preserve"> (as determined by the Company) securities exchange or trading system and each securities exchange and trading system (if any) on which similar securities issued by the Company are then listed;</w:t>
      </w:r>
    </w:p>
    <w:p w:rsidR="00C20A1A">
      <w:pPr>
        <w:pStyle w:val="ArticleBJ2L3"/>
      </w:pPr>
      <w:r>
        <w:t>provide a transfer agent and registrar for all Registrable Securities registered pursuant to this Agreement and provide a CUSIP number for all such Registrable Securities, in each case not later than the effective date of such registration;</w:t>
      </w:r>
    </w:p>
    <w:p w:rsidR="00C20A1A">
      <w:pPr>
        <w:pStyle w:val="ArticleBJ2L3"/>
      </w:pPr>
      <w:r>
        <w:t xml:space="preserve">promptly make available for inspection by the selling Holders, any </w:t>
      </w:r>
      <w:r>
        <w:rPr>
          <w:b/>
          <w:bCs/>
        </w:rPr>
        <w:t>[managing]</w:t>
      </w:r>
      <w:r>
        <w:t xml:space="preserve"> underwriter(s) participating in any disposition pursuant to such registration statement, and any attorney or accountant or other agent retained by any such underwriter or selected by the selling Holders, all financial and other records, pertinent corporate documents, and properties of the Company, and cause the Company's officers, directors, employees, and independent accountants to supply all information reasonably requested by any such seller, underwriter, attorney, accountant, or agent, in each case, as necessary or advisable to verify the accuracy of the information in such registration statement and to conduct appropriate due diligence in connection therewith;</w:t>
      </w:r>
      <w:r>
        <w:rPr>
          <w:rStyle w:val="FootnoteReference"/>
        </w:rPr>
        <w:footnoteReference w:id="109"/>
      </w:r>
    </w:p>
    <w:p w:rsidR="00C20A1A">
      <w:pPr>
        <w:pStyle w:val="ArticleBJ2L3"/>
      </w:pPr>
      <w:r>
        <w:t>notify each selling Holder, promptly after the Company receives notice thereof, of the time when such registration statement has been declared effective or a supplement to any prospectus forming a part of such registration statement has been filed; and</w:t>
      </w:r>
    </w:p>
    <w:p w:rsidR="00C20A1A">
      <w:pPr>
        <w:pStyle w:val="ArticleBJ2L3"/>
      </w:pPr>
      <w:r>
        <w:t>after such registration statement becomes effective, notify each selling Holder of any request by the SEC or Canadian securities regulators that the Company amend or supplement such registration statement or prospectus.</w:t>
      </w:r>
    </w:p>
    <w:p w:rsidR="00C20A1A">
      <w:pPr>
        <w:pStyle w:val="ArticleBJ2Cont2"/>
      </w:pPr>
      <w:r>
        <w:t>In addition, the Company shall ensure that, at all times after any registration statement covering a public offering of securities of the Company under the Securities Act or Canadian Securities Laws shall have become effective, its insider trading policy shall provide that the Company's directors may implement a trading program under Rule 10b5-1 of the Exchange Act or similar provisions of Canadian Securities Laws.</w:t>
      </w:r>
    </w:p>
    <w:p w:rsidR="00C20A1A">
      <w:pPr>
        <w:pStyle w:val="ArticleBJ2L2"/>
      </w:pPr>
      <w:bookmarkStart w:id="460" w:name="_Ref463460402"/>
      <w:bookmarkStart w:id="461" w:name="_Toc463463946"/>
      <w:r>
        <w:t>Furnish Information</w:t>
      </w:r>
      <w:bookmarkEnd w:id="460"/>
      <w:bookmarkEnd w:id="461"/>
    </w:p>
    <w:p w:rsidR="00C20A1A">
      <w:pPr>
        <w:pStyle w:val="ArticleBJ2Cont2"/>
      </w:pPr>
      <w:r>
        <w:t xml:space="preserve">It shall be a condition precedent to the obligations of the Company to take any action pursuant to this </w:t>
      </w:r>
      <w:r>
        <w:fldChar w:fldCharType="begin"/>
      </w:r>
      <w:r>
        <w:instrText xml:space="preserve"> REF _Ref463459682 \w \h </w:instrText>
      </w:r>
      <w:r>
        <w:fldChar w:fldCharType="separate"/>
      </w:r>
      <w:r w:rsidR="00230E5B">
        <w:t>Schedule D</w:t>
      </w:r>
      <w:r>
        <w:fldChar w:fldCharType="end"/>
      </w:r>
      <w:r>
        <w:t xml:space="preserve"> with respect to the Registrable Securities of any selling Holder that such Holder shall furnish to the Company such information regarding itself, the Registrable Securities held by it, and the intended method of disposition of such securities as is reasonably required to effect the registration of such Holder's Registrable Securities.</w:t>
      </w:r>
    </w:p>
    <w:p w:rsidR="00C20A1A">
      <w:pPr>
        <w:pStyle w:val="ArticleBJ2L2"/>
      </w:pPr>
      <w:bookmarkStart w:id="462" w:name="_Ref463459397"/>
      <w:bookmarkStart w:id="463" w:name="_Toc463463947"/>
      <w:r>
        <w:t>Expenses of Registration</w:t>
      </w:r>
      <w:bookmarkEnd w:id="462"/>
      <w:bookmarkEnd w:id="463"/>
    </w:p>
    <w:p w:rsidR="00C20A1A">
      <w:pPr>
        <w:pStyle w:val="ArticleBJ2Cont2"/>
      </w:pPr>
      <w:r>
        <w:t xml:space="preserve">All expenses (other than Selling Expenses) incurred in connection with registrations, filings, or qualifications pursuant to </w:t>
      </w:r>
      <w:r>
        <w:fldChar w:fldCharType="begin"/>
      </w:r>
      <w:r>
        <w:instrText xml:space="preserve"> REF _Ref463459682 \r \h </w:instrText>
      </w:r>
      <w:r>
        <w:fldChar w:fldCharType="separate"/>
      </w:r>
      <w:r w:rsidR="00230E5B">
        <w:t>Schedule D</w:t>
      </w:r>
      <w:r>
        <w:fldChar w:fldCharType="end"/>
      </w:r>
      <w:r>
        <w:t>, including all registration, filing, and qualification fees; printers' and accounting fees; fees and disbursements of counsel for the Company; and the reasonable fees and disbursements</w:t>
      </w:r>
      <w:r>
        <w:rPr>
          <w:b/>
          <w:bCs/>
        </w:rPr>
        <w:t>[, not to exceed [CDN$ / US$]_____ [per registration],]</w:t>
      </w:r>
      <w:r>
        <w:t xml:space="preserve"> of one counsel for the selling Holders </w:t>
      </w:r>
      <w:r>
        <w:rPr>
          <w:b/>
        </w:rPr>
        <w:t xml:space="preserve">[selected by Holders of a majority of the Registrable Securities to be registered] </w:t>
      </w:r>
      <w:r>
        <w:t>("</w:t>
      </w:r>
      <w:r>
        <w:rPr>
          <w:b/>
          <w:bCs/>
        </w:rPr>
        <w:t>Selling Holder Counsel</w:t>
      </w:r>
      <w:r>
        <w:t xml:space="preserve">"), shall be borne and paid by the Company; </w:t>
      </w:r>
      <w:r>
        <w:rPr>
          <w:i/>
          <w:iCs/>
        </w:rPr>
        <w:t>provided</w:t>
      </w:r>
      <w:r>
        <w:t xml:space="preserve">, </w:t>
      </w:r>
      <w:r>
        <w:rPr>
          <w:i/>
          <w:iCs/>
        </w:rPr>
        <w:t>however</w:t>
      </w:r>
      <w:r>
        <w:t xml:space="preserve">, that the Company shall not be required to pay for any expenses of any registration proceeding begun pursuant to Section </w:t>
      </w:r>
      <w:r>
        <w:rPr>
          <w:cs/>
        </w:rPr>
        <w:t>‎</w:t>
      </w:r>
      <w:r>
        <w:rPr>
          <w:cs/>
        </w:rPr>
        <w:fldChar w:fldCharType="begin"/>
      </w:r>
      <w:r>
        <w:instrText xml:space="preserve"> REF _Ref463459213 \w \h </w:instrText>
      </w:r>
      <w:r>
        <w:rPr>
          <w:cs/>
        </w:rPr>
        <w:fldChar w:fldCharType="separate"/>
      </w:r>
      <w:r w:rsidR="00230E5B">
        <w:t>1.2</w:t>
      </w:r>
      <w:r>
        <w:rPr>
          <w:cs/>
        </w:rPr>
        <w:fldChar w:fldCharType="end"/>
      </w:r>
      <w:r>
        <w:t xml:space="preserve"> of this </w:t>
      </w:r>
      <w:r>
        <w:fldChar w:fldCharType="begin"/>
      </w:r>
      <w:r>
        <w:instrText xml:space="preserve"> REF _Ref463459682 \r \h </w:instrText>
      </w:r>
      <w:r>
        <w:fldChar w:fldCharType="separate"/>
      </w:r>
      <w:r w:rsidR="00230E5B">
        <w:t>Schedule D</w:t>
      </w:r>
      <w:r>
        <w:fldChar w:fldCharType="end"/>
      </w:r>
      <w:r>
        <w:t xml:space="preserve"> if the registration request is subsequently withdrawn at the request of the Holders of a majority of the Registrable Securities to be registered (in which case all selling Holders shall bear such expenses pro rata based upon the number of Registrable Securities that were to be included in the withdrawn registration), unless the Holders of a majority of the Registrable Securities agree to forfeit their right to one registration pursuant to Sections </w:t>
      </w:r>
      <w:r>
        <w:fldChar w:fldCharType="begin"/>
      </w:r>
      <w:r>
        <w:instrText xml:space="preserve"> REF _Ref463459267 \w \h </w:instrText>
      </w:r>
      <w:r>
        <w:fldChar w:fldCharType="separate"/>
      </w:r>
      <w:r w:rsidR="00230E5B">
        <w:t>1.2(a)</w:t>
      </w:r>
      <w:r>
        <w:fldChar w:fldCharType="end"/>
      </w:r>
      <w:r>
        <w:rPr>
          <w:cs/>
        </w:rPr>
        <w:t>‎</w:t>
      </w:r>
      <w:r>
        <w:t xml:space="preserve"> or </w:t>
      </w:r>
      <w:r>
        <w:rPr>
          <w:cs/>
        </w:rPr>
        <w:fldChar w:fldCharType="begin"/>
      </w:r>
      <w:r>
        <w:instrText xml:space="preserve"> REF _Ref463459312 \w \h </w:instrText>
      </w:r>
      <w:r>
        <w:rPr>
          <w:cs/>
        </w:rPr>
        <w:fldChar w:fldCharType="separate"/>
      </w:r>
      <w:r w:rsidR="00230E5B">
        <w:t>1.2(b)</w:t>
      </w:r>
      <w:r>
        <w:rPr>
          <w:cs/>
        </w:rPr>
        <w:fldChar w:fldCharType="end"/>
      </w:r>
      <w:r>
        <w:rPr>
          <w:rFonts w:hint="cs"/>
          <w:rtl/>
          <w:cs/>
        </w:rPr>
        <w:t xml:space="preserve"> </w:t>
      </w:r>
      <w:r>
        <w:t xml:space="preserve">of this </w:t>
      </w:r>
      <w:r>
        <w:fldChar w:fldCharType="begin"/>
      </w:r>
      <w:r>
        <w:instrText xml:space="preserve"> REF _Ref463459682 \r \h </w:instrText>
      </w:r>
      <w:r>
        <w:fldChar w:fldCharType="separate"/>
      </w:r>
      <w:r w:rsidR="00230E5B">
        <w:t>Schedule D</w:t>
      </w:r>
      <w:r>
        <w:fldChar w:fldCharType="end"/>
      </w:r>
      <w:r>
        <w:t>, as the case may be</w:t>
      </w:r>
      <w:r>
        <w:rPr>
          <w:b/>
          <w:bCs/>
        </w:rPr>
        <w:t xml:space="preserve">[; provided further that if, at the time of such withdrawal, the Holders shall have learned of a material adverse change in the condition, business, or prospects of the Company from that known to the Holders at the time of their request and have withdrawn the request with reasonable promptness after learning of such information, then the Holders shall not be required to pay any of such expenses and shall not forfeit their right to one registration pursuant to Sections </w:t>
      </w:r>
      <w:r>
        <w:rPr>
          <w:b/>
          <w:bCs/>
        </w:rPr>
        <w:fldChar w:fldCharType="begin"/>
      </w:r>
      <w:r>
        <w:rPr>
          <w:b/>
          <w:bCs/>
        </w:rPr>
        <w:instrText xml:space="preserve"> REF _Ref463459267 \w \h  \* MERGEFORMAT </w:instrText>
      </w:r>
      <w:r>
        <w:rPr>
          <w:b/>
          <w:bCs/>
        </w:rPr>
        <w:fldChar w:fldCharType="separate"/>
      </w:r>
      <w:r w:rsidR="00230E5B">
        <w:rPr>
          <w:b/>
          <w:bCs/>
        </w:rPr>
        <w:t>1.2(a)</w:t>
      </w:r>
      <w:r>
        <w:rPr>
          <w:b/>
          <w:bCs/>
        </w:rPr>
        <w:fldChar w:fldCharType="end"/>
      </w:r>
      <w:r>
        <w:rPr>
          <w:b/>
          <w:bCs/>
          <w:cs/>
        </w:rPr>
        <w:t>‎</w:t>
      </w:r>
      <w:r>
        <w:rPr>
          <w:b/>
          <w:bCs/>
        </w:rPr>
        <w:t xml:space="preserve"> or </w:t>
      </w:r>
      <w:r>
        <w:rPr>
          <w:b/>
          <w:bCs/>
          <w:cs/>
        </w:rPr>
        <w:t>‎</w:t>
      </w:r>
      <w:r>
        <w:rPr>
          <w:b/>
          <w:bCs/>
          <w:cs/>
        </w:rPr>
        <w:fldChar w:fldCharType="begin"/>
      </w:r>
      <w:r>
        <w:rPr>
          <w:b/>
          <w:bCs/>
        </w:rPr>
        <w:instrText xml:space="preserve"> REF _Ref463459312 \w \h  \* MERGEFORMAT </w:instrText>
      </w:r>
      <w:r>
        <w:rPr>
          <w:b/>
          <w:bCs/>
          <w:cs/>
        </w:rPr>
        <w:fldChar w:fldCharType="separate"/>
      </w:r>
      <w:r w:rsidR="00230E5B">
        <w:rPr>
          <w:b/>
          <w:bCs/>
        </w:rPr>
        <w:t>1.2(b)</w:t>
      </w:r>
      <w:r>
        <w:rPr>
          <w:b/>
          <w:bCs/>
          <w:cs/>
        </w:rPr>
        <w:fldChar w:fldCharType="end"/>
      </w:r>
      <w:r>
        <w:rPr>
          <w:rFonts w:hint="cs"/>
          <w:b/>
          <w:bCs/>
          <w:rtl/>
          <w:cs/>
        </w:rPr>
        <w:t xml:space="preserve"> </w:t>
      </w:r>
      <w:r>
        <w:rPr>
          <w:b/>
          <w:bCs/>
        </w:rPr>
        <w:t xml:space="preserve">of this </w:t>
      </w:r>
      <w:r>
        <w:rPr>
          <w:b/>
          <w:bCs/>
        </w:rPr>
        <w:fldChar w:fldCharType="begin"/>
      </w:r>
      <w:r>
        <w:rPr>
          <w:b/>
          <w:bCs/>
        </w:rPr>
        <w:instrText xml:space="preserve"> REF _Ref463459682 \r \h </w:instrText>
      </w:r>
      <w:r>
        <w:rPr>
          <w:b/>
          <w:bCs/>
        </w:rPr>
        <w:fldChar w:fldCharType="separate"/>
      </w:r>
      <w:r w:rsidR="00230E5B">
        <w:rPr>
          <w:b/>
          <w:bCs/>
        </w:rPr>
        <w:t>Schedule D</w:t>
      </w:r>
      <w:r>
        <w:rPr>
          <w:b/>
          <w:bCs/>
        </w:rPr>
        <w:fldChar w:fldCharType="end"/>
      </w:r>
      <w:r>
        <w:rPr>
          <w:b/>
          <w:bCs/>
        </w:rPr>
        <w:t>]</w:t>
      </w:r>
      <w:r>
        <w:t xml:space="preserve">. All Selling Expenses relating to Registrable Securities registered pursuant to this </w:t>
      </w:r>
      <w:r>
        <w:fldChar w:fldCharType="begin"/>
      </w:r>
      <w:r>
        <w:instrText xml:space="preserve"> REF _Ref463459682 \r \h </w:instrText>
      </w:r>
      <w:r>
        <w:fldChar w:fldCharType="separate"/>
      </w:r>
      <w:r w:rsidR="00230E5B">
        <w:t>Schedule D</w:t>
      </w:r>
      <w:r>
        <w:fldChar w:fldCharType="end"/>
      </w:r>
      <w:r>
        <w:t xml:space="preserve"> </w:t>
      </w:r>
      <w:r>
        <w:rPr>
          <w:b/>
        </w:rPr>
        <w:t xml:space="preserve">[(other than fees and disbursements of counsel to any Holder, other than the Selling Holder Counsel, which shall be borne solely by the Holder </w:t>
      </w:r>
      <w:r>
        <w:rPr>
          <w:b/>
        </w:rPr>
        <w:t xml:space="preserve">engaging such Counsel)] </w:t>
      </w:r>
      <w:r>
        <w:t>shall be borne and paid by the Holders pro rata on the basis of the number of Registrable Securities registered on their behalf.</w:t>
      </w:r>
    </w:p>
    <w:p w:rsidR="00C20A1A">
      <w:pPr>
        <w:pStyle w:val="ArticleBJ2L2"/>
      </w:pPr>
      <w:bookmarkStart w:id="464" w:name="_Toc463463948"/>
      <w:r>
        <w:t>Delay of Registration</w:t>
      </w:r>
      <w:bookmarkEnd w:id="464"/>
    </w:p>
    <w:p w:rsidR="00C20A1A">
      <w:pPr>
        <w:pStyle w:val="ArticleBJ2Cont2"/>
      </w:pPr>
      <w:r>
        <w:t xml:space="preserve">No Holder shall have any right to obtain or seek an injunction restraining or otherwise delaying any registration pursuant to this Agreement as the result of any controversy that might arise with respect to the interpretation or implementation of this </w:t>
      </w:r>
      <w:r>
        <w:fldChar w:fldCharType="begin"/>
      </w:r>
      <w:r>
        <w:instrText xml:space="preserve"> REF _Ref463459682 \w \h </w:instrText>
      </w:r>
      <w:r>
        <w:fldChar w:fldCharType="separate"/>
      </w:r>
      <w:r w:rsidR="00230E5B">
        <w:t>Schedule D</w:t>
      </w:r>
      <w:r>
        <w:fldChar w:fldCharType="end"/>
      </w:r>
      <w:r>
        <w:t>.</w:t>
      </w:r>
    </w:p>
    <w:p w:rsidR="00C20A1A">
      <w:pPr>
        <w:pStyle w:val="ArticleBJ2L2"/>
      </w:pPr>
      <w:bookmarkStart w:id="465" w:name="_Ref463460092"/>
      <w:bookmarkStart w:id="466" w:name="_Toc463463949"/>
      <w:r>
        <w:t>Indemnification</w:t>
      </w:r>
      <w:r>
        <w:rPr>
          <w:rStyle w:val="FootnoteReference"/>
        </w:rPr>
        <w:footnoteReference w:id="110"/>
      </w:r>
      <w:bookmarkEnd w:id="465"/>
      <w:bookmarkEnd w:id="466"/>
    </w:p>
    <w:p w:rsidR="00C20A1A">
      <w:pPr>
        <w:pStyle w:val="ArticleBJ2Cont2"/>
        <w:keepNext/>
      </w:pPr>
      <w:r>
        <w:t xml:space="preserve">If any Registrable Securities are included in a registration statement under this </w:t>
      </w:r>
      <w:r>
        <w:fldChar w:fldCharType="begin"/>
      </w:r>
      <w:r>
        <w:instrText xml:space="preserve"> REF _Ref463459682 \w \h </w:instrText>
      </w:r>
      <w:r>
        <w:fldChar w:fldCharType="separate"/>
      </w:r>
      <w:r w:rsidR="00230E5B">
        <w:t>Schedule D</w:t>
      </w:r>
      <w:r>
        <w:fldChar w:fldCharType="end"/>
      </w:r>
      <w:r>
        <w:t>:</w:t>
      </w:r>
    </w:p>
    <w:p w:rsidR="00C20A1A">
      <w:pPr>
        <w:pStyle w:val="ArticleBJ2L3"/>
      </w:pPr>
      <w:bookmarkStart w:id="467" w:name="_Ref463459991"/>
      <w:r>
        <w:t xml:space="preserve">To the extent permitted by law, the Company will indemnify and hold harmless each selling Holder, and the partners, members, officers, directors, and shareholders of each such Holder; legal counsel and accountants for each such Holder; any underwriter (as defined in the Securities Act or under Canadian Securities Laws) for each such Holder; and each Person, if any, who controls such Holder or underwriter within the meaning of the Securities Act or the Exchange Act or applicable Canadian Securities Laws, against any Damages, and the Company will pay to each such Holder, underwriter, controlling Person, or other aforementioned Person any legal or other expenses reasonably incurred thereby in connection with investigating or defending any claim or proceeding from which Damages may result, as such expenses are incurred; </w:t>
      </w:r>
      <w:r>
        <w:rPr>
          <w:i/>
          <w:iCs/>
        </w:rPr>
        <w:t>provided</w:t>
      </w:r>
      <w:r>
        <w:t xml:space="preserve">, </w:t>
      </w:r>
      <w:r>
        <w:rPr>
          <w:i/>
          <w:iCs/>
        </w:rPr>
        <w:t>however</w:t>
      </w:r>
      <w:r>
        <w:t xml:space="preserve">, that the indemnity agreement contained in this Section </w:t>
      </w:r>
      <w:r>
        <w:rPr>
          <w:cs/>
        </w:rPr>
        <w:t>‎</w:t>
      </w:r>
      <w:r>
        <w:rPr>
          <w:cs/>
        </w:rPr>
        <w:fldChar w:fldCharType="begin"/>
      </w:r>
      <w:r>
        <w:instrText xml:space="preserve"> REF _Ref463459991 \w \h </w:instrText>
      </w:r>
      <w:r>
        <w:rPr>
          <w:cs/>
        </w:rPr>
        <w:fldChar w:fldCharType="separate"/>
      </w:r>
      <w:r w:rsidR="00230E5B">
        <w:t>1.9(a)</w:t>
      </w:r>
      <w:r>
        <w:rPr>
          <w:cs/>
        </w:rPr>
        <w:fldChar w:fldCharType="end"/>
      </w:r>
      <w:r>
        <w:t xml:space="preserve"> of this </w:t>
      </w:r>
      <w:r>
        <w:fldChar w:fldCharType="begin"/>
      </w:r>
      <w:r>
        <w:instrText xml:space="preserve"> REF _Ref463459682 \r \h </w:instrText>
      </w:r>
      <w:r>
        <w:fldChar w:fldCharType="separate"/>
      </w:r>
      <w:r w:rsidR="00230E5B">
        <w:t>Schedule D</w:t>
      </w:r>
      <w:r>
        <w:fldChar w:fldCharType="end"/>
      </w:r>
      <w:r>
        <w:t xml:space="preserve"> shall not apply to amounts paid in settlement of any such claim or proceeding if such settlement is effected without the consent of the Company, which consent shall not be unreasonably withheld, nor shall the Company be liable for any Damages to the extent that they arise out of or are based upon actions or omissions made in reliance upon and in conformity with written information furnished by or on behalf of any such Holder, underwriter, controlling Person, or other aforementioned Person expressly for use in connection with such registration [except to the extent such information has been corrected in a subsequent writing prior to or concurrently with the Sale of Registrable Securities to the Person asserting the claim].</w:t>
      </w:r>
      <w:bookmarkEnd w:id="467"/>
    </w:p>
    <w:p w:rsidR="00C20A1A">
      <w:pPr>
        <w:pStyle w:val="ArticleBJ2L3"/>
      </w:pPr>
      <w:bookmarkStart w:id="468" w:name="_Ref463460029"/>
      <w:r>
        <w:t xml:space="preserve">To the extent permitted by law, each selling Holder, severally and not jointly, will indemnify and hold harmless the Company, and each of its directors, each of its officers who has signed the registration statement, each Person (if any), who controls the Company within the meaning of the Securities Act or applicable Canadian Securities Laws, legal counsel and accountants for the Company, any underwriter (as defined in the Securities Act or applicable Canadian Securities Laws), any other Holder selling securities in such registration statement, and any controlling Person of any such underwriter or other Holder, against any Damages, in each case only to the extent that such Damages arise out of or are based upon actions or omissions made in reliance upon and in conformity with written </w:t>
      </w:r>
      <w:r>
        <w:t xml:space="preserve">information furnished by or on behalf of such selling Holder expressly for use in connection with such registration </w:t>
      </w:r>
      <w:r>
        <w:rPr>
          <w:b/>
        </w:rPr>
        <w:t>[and has not been corrected in a subsequent writing prior to or concurrently with the sale of Registrable Securities to the Person asserting the claim]</w:t>
      </w:r>
      <w:r>
        <w:t xml:space="preserve">; and each such selling Holder will pay to the Company and each other aforementioned Person any legal or other expenses reasonably incurred thereby in connection with investigating or defending any claim or proceeding from which Damages may result, as such expenses are incurred; </w:t>
      </w:r>
      <w:r>
        <w:rPr>
          <w:i/>
          <w:iCs/>
        </w:rPr>
        <w:t>provided</w:t>
      </w:r>
      <w:r>
        <w:t xml:space="preserve">, </w:t>
      </w:r>
      <w:r>
        <w:rPr>
          <w:i/>
          <w:iCs/>
        </w:rPr>
        <w:t>however</w:t>
      </w:r>
      <w:r>
        <w:t xml:space="preserve">, that the indemnity agreement contained in this Section </w:t>
      </w:r>
      <w:r>
        <w:fldChar w:fldCharType="begin"/>
      </w:r>
      <w:r>
        <w:instrText xml:space="preserve"> REF _Ref463460029 \w \h </w:instrText>
      </w:r>
      <w:r>
        <w:fldChar w:fldCharType="separate"/>
      </w:r>
      <w:r w:rsidR="00230E5B">
        <w:t>1.9(b)</w:t>
      </w:r>
      <w:r>
        <w:fldChar w:fldCharType="end"/>
      </w:r>
      <w:r>
        <w:rPr>
          <w:cs/>
        </w:rPr>
        <w:t>‎</w:t>
      </w:r>
      <w:r>
        <w:t xml:space="preserve"> of this </w:t>
      </w:r>
      <w:r>
        <w:fldChar w:fldCharType="begin"/>
      </w:r>
      <w:r>
        <w:instrText xml:space="preserve"> REF _Ref463459682 \r \h </w:instrText>
      </w:r>
      <w:r>
        <w:fldChar w:fldCharType="separate"/>
      </w:r>
      <w:r w:rsidR="00230E5B">
        <w:t>Schedule D</w:t>
      </w:r>
      <w:r>
        <w:fldChar w:fldCharType="end"/>
      </w:r>
      <w:r>
        <w:t xml:space="preserve"> shall not apply to amounts paid in settlement of any such claim or proceeding if such settlement is effected without the consent of the Holder, which consent shall not be unreasonably withheld; and </w:t>
      </w:r>
      <w:r>
        <w:rPr>
          <w:i/>
          <w:iCs/>
        </w:rPr>
        <w:t>provided further</w:t>
      </w:r>
      <w:r>
        <w:t xml:space="preserve"> that in no event shall the aggregate amounts payable by any Holder by way of indemnity or contribution under Sections </w:t>
      </w:r>
      <w:r>
        <w:fldChar w:fldCharType="begin"/>
      </w:r>
      <w:r>
        <w:instrText xml:space="preserve"> REF _Ref463460029 \w \h </w:instrText>
      </w:r>
      <w:r>
        <w:fldChar w:fldCharType="separate"/>
      </w:r>
      <w:r w:rsidR="00230E5B">
        <w:t>1.9(b)</w:t>
      </w:r>
      <w:r>
        <w:fldChar w:fldCharType="end"/>
      </w:r>
      <w:r>
        <w:rPr>
          <w:cs/>
        </w:rPr>
        <w:t>‎</w:t>
      </w:r>
      <w:r>
        <w:t xml:space="preserve"> and </w:t>
      </w:r>
      <w:r>
        <w:fldChar w:fldCharType="begin"/>
      </w:r>
      <w:r>
        <w:instrText xml:space="preserve"> REF _Ref463460068 \w \h </w:instrText>
      </w:r>
      <w:r>
        <w:fldChar w:fldCharType="separate"/>
      </w:r>
      <w:r w:rsidR="00230E5B">
        <w:t>1.9(d)</w:t>
      </w:r>
      <w:r>
        <w:fldChar w:fldCharType="end"/>
      </w:r>
      <w:r>
        <w:rPr>
          <w:cs/>
        </w:rPr>
        <w:t>‎</w:t>
      </w:r>
      <w:r>
        <w:t xml:space="preserve"> of this </w:t>
      </w:r>
      <w:r>
        <w:fldChar w:fldCharType="begin"/>
      </w:r>
      <w:r>
        <w:instrText xml:space="preserve"> REF _Ref463459682 \r \h </w:instrText>
      </w:r>
      <w:r>
        <w:fldChar w:fldCharType="separate"/>
      </w:r>
      <w:r w:rsidR="00230E5B">
        <w:t>Schedule D</w:t>
      </w:r>
      <w:r>
        <w:fldChar w:fldCharType="end"/>
      </w:r>
      <w:r>
        <w:t xml:space="preserve"> exceed the proceeds from the offering received by such Holder (net of any Selling Expenses paid by such Holder), except in the case of fraud or willful misconduct by such Holder.</w:t>
      </w:r>
      <w:bookmarkEnd w:id="468"/>
    </w:p>
    <w:p w:rsidR="00C20A1A">
      <w:pPr>
        <w:pStyle w:val="ArticleBJ2L3"/>
      </w:pPr>
      <w:r>
        <w:t xml:space="preserve">Promptly after receipt by an indemnified party under this Section </w:t>
      </w:r>
      <w:r>
        <w:fldChar w:fldCharType="begin"/>
      </w:r>
      <w:r>
        <w:instrText xml:space="preserve"> REF _Ref463460092 \w \h </w:instrText>
      </w:r>
      <w:r>
        <w:fldChar w:fldCharType="separate"/>
      </w:r>
      <w:r w:rsidR="00230E5B">
        <w:t>1.9</w:t>
      </w:r>
      <w:r>
        <w:fldChar w:fldCharType="end"/>
      </w:r>
      <w:r>
        <w:rPr>
          <w:cs/>
        </w:rPr>
        <w:t>‎</w:t>
      </w:r>
      <w:r>
        <w:t xml:space="preserve"> of this </w:t>
      </w:r>
      <w:r>
        <w:fldChar w:fldCharType="begin"/>
      </w:r>
      <w:r>
        <w:instrText xml:space="preserve"> REF _Ref463459682 \r \h </w:instrText>
      </w:r>
      <w:r>
        <w:fldChar w:fldCharType="separate"/>
      </w:r>
      <w:r w:rsidR="00230E5B">
        <w:t>Schedule D</w:t>
      </w:r>
      <w:r>
        <w:fldChar w:fldCharType="end"/>
      </w:r>
      <w:r>
        <w:t xml:space="preserve"> of notice of the commencement of any action (including any governmental action) for which a party may be entitled to indemnification hereunder, such indemnified party will, if a claim in respect thereof is to be made against any indemnifying party under this Section </w:t>
      </w:r>
      <w:r>
        <w:rPr>
          <w:cs/>
        </w:rPr>
        <w:t>‎</w:t>
      </w:r>
      <w:r>
        <w:rPr>
          <w:cs/>
        </w:rPr>
        <w:fldChar w:fldCharType="begin"/>
      </w:r>
      <w:r>
        <w:instrText xml:space="preserve"> REF _Ref463460092 \w \h </w:instrText>
      </w:r>
      <w:r>
        <w:rPr>
          <w:cs/>
        </w:rPr>
        <w:fldChar w:fldCharType="separate"/>
      </w:r>
      <w:r w:rsidR="00230E5B">
        <w:t>1.9</w:t>
      </w:r>
      <w:r>
        <w:rPr>
          <w:cs/>
        </w:rPr>
        <w:fldChar w:fldCharType="end"/>
      </w:r>
      <w:r>
        <w:rPr>
          <w:rFonts w:hint="cs"/>
          <w:rtl/>
          <w:cs/>
        </w:rPr>
        <w:t xml:space="preserve"> </w:t>
      </w:r>
      <w:r>
        <w:t xml:space="preserve">of this </w:t>
      </w:r>
      <w:r>
        <w:fldChar w:fldCharType="begin"/>
      </w:r>
      <w:r>
        <w:instrText xml:space="preserve"> REF _Ref463459682 \r \h </w:instrText>
      </w:r>
      <w:r>
        <w:fldChar w:fldCharType="separate"/>
      </w:r>
      <w:r w:rsidR="00230E5B">
        <w:t>Schedule D</w:t>
      </w:r>
      <w:r>
        <w:fldChar w:fldCharType="end"/>
      </w:r>
      <w:r>
        <w:t xml:space="preserve">, give the indemnifying party notice of the commencement thereof. The indemnifying party shall have the right to participate in such action and, to the extent the indemnifying party so desires, participate jointly with any other indemnifying party to which notice has been given, and to assume the defense thereof with counsel mutually satisfactory to the parties; </w:t>
      </w:r>
      <w:r>
        <w:rPr>
          <w:i/>
          <w:iCs/>
        </w:rPr>
        <w:t>provided</w:t>
      </w:r>
      <w:r>
        <w:t xml:space="preserve">, </w:t>
      </w:r>
      <w:r>
        <w:rPr>
          <w:i/>
          <w:iCs/>
        </w:rPr>
        <w:t>however</w:t>
      </w:r>
      <w:r>
        <w:t xml:space="preserve">, that an indemnified party (together with all other indemnified parties that may be represented without conflict by one counsel) shall have the right to retain one separate counsel, with the fees and expenses to be paid by the indemnifying party, if representation of such indemnified party by the counsel retained by the indemnifying party would be inappropriate due to actual or potential differing interests between such indemnified party and any other party represented by such counsel in such action. </w:t>
      </w:r>
      <w:r>
        <w:rPr>
          <w:b/>
          <w:bCs/>
        </w:rPr>
        <w:t xml:space="preserve">[The failure to give notice to the indemnifying party within a reasonable time of the commencement of any such action shall relieve such indemnifying party of any liability to the indemnified party under this Section </w:t>
      </w:r>
      <w:r>
        <w:rPr>
          <w:b/>
          <w:bCs/>
        </w:rPr>
        <w:fldChar w:fldCharType="begin"/>
      </w:r>
      <w:r>
        <w:rPr>
          <w:b/>
          <w:bCs/>
        </w:rPr>
        <w:instrText xml:space="preserve"> REF _Ref463460092 \w \h  \* MERGEFORMAT </w:instrText>
      </w:r>
      <w:r>
        <w:rPr>
          <w:b/>
          <w:bCs/>
        </w:rPr>
        <w:fldChar w:fldCharType="separate"/>
      </w:r>
      <w:r w:rsidR="00230E5B">
        <w:rPr>
          <w:b/>
          <w:bCs/>
        </w:rPr>
        <w:t>1.9</w:t>
      </w:r>
      <w:r>
        <w:rPr>
          <w:b/>
          <w:bCs/>
        </w:rPr>
        <w:fldChar w:fldCharType="end"/>
      </w:r>
      <w:r>
        <w:rPr>
          <w:b/>
          <w:bCs/>
          <w:cs/>
        </w:rPr>
        <w:t>‎</w:t>
      </w:r>
      <w:r>
        <w:rPr>
          <w:rFonts w:hint="cs"/>
          <w:b/>
          <w:bCs/>
          <w:rtl/>
          <w:cs/>
        </w:rPr>
        <w:t xml:space="preserve"> </w:t>
      </w:r>
      <w:r w:rsidRPr="002B57CF">
        <w:rPr>
          <w:rFonts w:hint="cs"/>
          <w:b/>
          <w:bCs/>
          <w:szCs w:val="24"/>
          <w:rtl/>
          <w:cs/>
        </w:rPr>
        <w:t>of this</w:t>
      </w:r>
      <w:r>
        <w:rPr>
          <w:rFonts w:hint="cs"/>
          <w:b/>
          <w:bCs/>
          <w:rtl/>
          <w:cs/>
        </w:rPr>
        <w:t xml:space="preserve"> </w:t>
      </w:r>
      <w:r>
        <w:rPr>
          <w:b/>
          <w:bCs/>
          <w:cs/>
        </w:rPr>
        <w:fldChar w:fldCharType="begin"/>
      </w:r>
      <w:r>
        <w:rPr>
          <w:b/>
          <w:bCs/>
        </w:rPr>
        <w:instrText xml:space="preserve"> </w:instrText>
      </w:r>
      <w:r>
        <w:rPr>
          <w:rFonts w:hint="cs"/>
          <w:b/>
          <w:bCs/>
        </w:rPr>
        <w:instrText>REF _Ref463459682 \r \h</w:instrText>
      </w:r>
      <w:r>
        <w:rPr>
          <w:b/>
          <w:bCs/>
        </w:rPr>
        <w:instrText xml:space="preserve"> </w:instrText>
      </w:r>
      <w:r>
        <w:rPr>
          <w:b/>
          <w:bCs/>
          <w:cs/>
        </w:rPr>
        <w:fldChar w:fldCharType="separate"/>
      </w:r>
      <w:r w:rsidR="00230E5B">
        <w:rPr>
          <w:b/>
          <w:bCs/>
        </w:rPr>
        <w:t>Schedule D</w:t>
      </w:r>
      <w:r>
        <w:rPr>
          <w:b/>
          <w:bCs/>
          <w:cs/>
        </w:rPr>
        <w:fldChar w:fldCharType="end"/>
      </w:r>
      <w:r>
        <w:rPr>
          <w:b/>
          <w:bCs/>
        </w:rPr>
        <w:t xml:space="preserve">, [only] to the extent that such failure materially prejudices the indemnifying party's ability to defend such action. The failure to give notice to the indemnifying party will not relieve it of any liability that it may have to any indemnified party otherwise than under this Section </w:t>
      </w:r>
      <w:r>
        <w:rPr>
          <w:b/>
          <w:bCs/>
        </w:rPr>
        <w:fldChar w:fldCharType="begin"/>
      </w:r>
      <w:r>
        <w:rPr>
          <w:b/>
          <w:bCs/>
        </w:rPr>
        <w:instrText xml:space="preserve"> REF _Ref463460092 \w \h  \* MERGEFORMAT </w:instrText>
      </w:r>
      <w:r>
        <w:rPr>
          <w:b/>
          <w:bCs/>
        </w:rPr>
        <w:fldChar w:fldCharType="separate"/>
      </w:r>
      <w:r w:rsidR="00230E5B">
        <w:rPr>
          <w:b/>
          <w:bCs/>
        </w:rPr>
        <w:t>1.9</w:t>
      </w:r>
      <w:r>
        <w:rPr>
          <w:b/>
          <w:bCs/>
        </w:rPr>
        <w:fldChar w:fldCharType="end"/>
      </w:r>
      <w:r>
        <w:rPr>
          <w:b/>
          <w:bCs/>
        </w:rPr>
        <w:t xml:space="preserve"> of this </w:t>
      </w:r>
      <w:r>
        <w:rPr>
          <w:b/>
          <w:bCs/>
        </w:rPr>
        <w:fldChar w:fldCharType="begin"/>
      </w:r>
      <w:r>
        <w:rPr>
          <w:b/>
          <w:bCs/>
        </w:rPr>
        <w:instrText xml:space="preserve"> REF _Ref55402860 \r \h </w:instrText>
      </w:r>
      <w:r>
        <w:rPr>
          <w:b/>
          <w:bCs/>
        </w:rPr>
        <w:fldChar w:fldCharType="separate"/>
      </w:r>
      <w:r w:rsidR="00230E5B">
        <w:rPr>
          <w:b/>
          <w:bCs/>
        </w:rPr>
        <w:t>Schedule D</w:t>
      </w:r>
      <w:r>
        <w:rPr>
          <w:b/>
          <w:bCs/>
        </w:rPr>
        <w:fldChar w:fldCharType="end"/>
      </w:r>
      <w:r>
        <w:rPr>
          <w:b/>
          <w:bCs/>
          <w:cs/>
        </w:rPr>
        <w:t>‎</w:t>
      </w:r>
      <w:r>
        <w:rPr>
          <w:b/>
          <w:bCs/>
        </w:rPr>
        <w:t>.]</w:t>
      </w:r>
    </w:p>
    <w:p w:rsidR="00C20A1A">
      <w:pPr>
        <w:pStyle w:val="ArticleBJ2L3"/>
      </w:pPr>
      <w:bookmarkStart w:id="469" w:name="_Ref463460068"/>
      <w:r>
        <w:t xml:space="preserve">To provide for just and equitable contribution to joint liability under the Securities Act and Canadian Securities Laws in any case in which either: (i) any party otherwise entitled to indemnification hereunder makes a claim for indemnification pursuant to this Section </w:t>
      </w:r>
      <w:r>
        <w:fldChar w:fldCharType="begin"/>
      </w:r>
      <w:r>
        <w:instrText xml:space="preserve"> REF _Ref463460092 \w \h </w:instrText>
      </w:r>
      <w:r>
        <w:fldChar w:fldCharType="separate"/>
      </w:r>
      <w:r w:rsidR="00230E5B">
        <w:t>1.9</w:t>
      </w:r>
      <w:r>
        <w:fldChar w:fldCharType="end"/>
      </w:r>
      <w:r>
        <w:rPr>
          <w:cs/>
        </w:rPr>
        <w:t>‎</w:t>
      </w:r>
      <w:r>
        <w:t xml:space="preserve"> of this </w:t>
      </w:r>
      <w:r>
        <w:fldChar w:fldCharType="begin"/>
      </w:r>
      <w:r>
        <w:instrText xml:space="preserve"> REF _Ref463459682 \r \h </w:instrText>
      </w:r>
      <w:r>
        <w:fldChar w:fldCharType="separate"/>
      </w:r>
      <w:r w:rsidR="00230E5B">
        <w:t>Schedule D</w:t>
      </w:r>
      <w:r>
        <w:fldChar w:fldCharType="end"/>
      </w:r>
      <w:r>
        <w:t xml:space="preserve"> but it is judicially determined (by the entry of a final judgment or decree by a court of competent jurisdiction and the expiration of time to appeal or the denial of the last right of appeal) that such </w:t>
      </w:r>
      <w:r>
        <w:t xml:space="preserve">indemnification may not be enforced in such case, notwithstanding the fact that this Section </w:t>
      </w:r>
      <w:r>
        <w:rPr>
          <w:cs/>
        </w:rPr>
        <w:t>‎</w:t>
      </w:r>
      <w:r>
        <w:rPr>
          <w:cs/>
        </w:rPr>
        <w:fldChar w:fldCharType="begin"/>
      </w:r>
      <w:r>
        <w:instrText xml:space="preserve"> REF _Ref463460092 \w \h </w:instrText>
      </w:r>
      <w:r>
        <w:rPr>
          <w:cs/>
        </w:rPr>
        <w:fldChar w:fldCharType="separate"/>
      </w:r>
      <w:r w:rsidR="00230E5B">
        <w:t>1.9</w:t>
      </w:r>
      <w:r>
        <w:rPr>
          <w:cs/>
        </w:rPr>
        <w:fldChar w:fldCharType="end"/>
      </w:r>
      <w:r>
        <w:t xml:space="preserve"> of this </w:t>
      </w:r>
      <w:r>
        <w:fldChar w:fldCharType="begin"/>
      </w:r>
      <w:r>
        <w:instrText xml:space="preserve"> REF _Ref463459682 \r \h </w:instrText>
      </w:r>
      <w:r>
        <w:fldChar w:fldCharType="separate"/>
      </w:r>
      <w:r w:rsidR="00230E5B">
        <w:t>Schedule D</w:t>
      </w:r>
      <w:r>
        <w:fldChar w:fldCharType="end"/>
      </w:r>
      <w:r>
        <w:t xml:space="preserve"> provides for indemnification in such case, or (ii) contribution under the Securities Act and Canadian Securities Laws may be required on the part of any party hereto for which indemnification is provided under this Section </w:t>
      </w:r>
      <w:r>
        <w:fldChar w:fldCharType="begin"/>
      </w:r>
      <w:r>
        <w:instrText xml:space="preserve"> REF _Ref463460092 \w \h </w:instrText>
      </w:r>
      <w:r>
        <w:fldChar w:fldCharType="separate"/>
      </w:r>
      <w:r w:rsidR="00230E5B">
        <w:t>1.9</w:t>
      </w:r>
      <w:r>
        <w:fldChar w:fldCharType="end"/>
      </w:r>
      <w:r>
        <w:t xml:space="preserve"> of this </w:t>
      </w:r>
      <w:r>
        <w:fldChar w:fldCharType="begin"/>
      </w:r>
      <w:r>
        <w:instrText xml:space="preserve"> REF _Ref463459682 \r \h </w:instrText>
      </w:r>
      <w:r>
        <w:fldChar w:fldCharType="separate"/>
      </w:r>
      <w:r w:rsidR="00230E5B">
        <w:t>Schedule D</w:t>
      </w:r>
      <w:r>
        <w:fldChar w:fldCharType="end"/>
      </w:r>
      <w:r>
        <w:rPr>
          <w:cs/>
        </w:rPr>
        <w:t>‎</w:t>
      </w:r>
      <w:r>
        <w:t xml:space="preserve">, then, and in each such case, such parties will contribute to the aggregate losses, claims, damages, liabilities, or expenses to which they may be subject (after contribution from others) in such proportion as is appropriate to reflect the relative fault of each of the indemnifying party and the indemnified party in connection with the statements, omissions, or other actions that resulted in such loss, claim, damage, liability, or expense, as well as to reflect any other relevant equitable considerations. The relative fault of the indemnifying party and of the indemnified party shall be determined by reference to, among other things, whether the untrue or allegedly untrue statement of a material fact, or the omission or alleged omission of a material fact, relates to information supplied by the indemnifying party or by the indemnified party and the parties' relative intent, knowledge, access to information, and opportunity to correct or prevent such statement or omission; </w:t>
      </w:r>
      <w:r>
        <w:rPr>
          <w:i/>
          <w:iCs/>
        </w:rPr>
        <w:t>provided</w:t>
      </w:r>
      <w:r>
        <w:t xml:space="preserve">, </w:t>
      </w:r>
      <w:r>
        <w:rPr>
          <w:i/>
          <w:iCs/>
        </w:rPr>
        <w:t>however</w:t>
      </w:r>
      <w:r>
        <w:t xml:space="preserve">, that, in any such case (x) no Holder will be required to contribute any amount in excess of the public offering price of all such Registrable Securities offered and sold by such Holder pursuant to such registration statement, and (y) no Person guilty of fraudulent misrepresentation (within the meaning of Section 11(f) of the Securities Act) will be entitled to contribution from any Person who was not guilty of such fraudulent misrepresentation; and </w:t>
      </w:r>
      <w:r>
        <w:rPr>
          <w:i/>
          <w:iCs/>
        </w:rPr>
        <w:t>provided further</w:t>
      </w:r>
      <w:r>
        <w:t xml:space="preserve"> that in no event shall a Holder's liability pursuant to this Section </w:t>
      </w:r>
      <w:r>
        <w:rPr>
          <w:cs/>
        </w:rPr>
        <w:t>‎</w:t>
      </w:r>
      <w:r>
        <w:rPr>
          <w:cs/>
        </w:rPr>
        <w:fldChar w:fldCharType="begin"/>
      </w:r>
      <w:r>
        <w:instrText xml:space="preserve"> REF _Ref463460068 \w \h </w:instrText>
      </w:r>
      <w:r>
        <w:rPr>
          <w:cs/>
        </w:rPr>
        <w:fldChar w:fldCharType="separate"/>
      </w:r>
      <w:r w:rsidR="00230E5B">
        <w:t>1.9(d)</w:t>
      </w:r>
      <w:r>
        <w:rPr>
          <w:cs/>
        </w:rPr>
        <w:fldChar w:fldCharType="end"/>
      </w:r>
      <w:r>
        <w:rPr>
          <w:rFonts w:hint="cs"/>
          <w:rtl/>
          <w:cs/>
        </w:rPr>
        <w:t xml:space="preserve"> </w:t>
      </w:r>
      <w:r>
        <w:t xml:space="preserve">of this </w:t>
      </w:r>
      <w:r>
        <w:fldChar w:fldCharType="begin"/>
      </w:r>
      <w:r>
        <w:instrText xml:space="preserve"> REF _Ref463459682 \r \h </w:instrText>
      </w:r>
      <w:r>
        <w:fldChar w:fldCharType="separate"/>
      </w:r>
      <w:r w:rsidR="00230E5B">
        <w:t>Schedule D</w:t>
      </w:r>
      <w:r>
        <w:fldChar w:fldCharType="end"/>
      </w:r>
      <w:r>
        <w:t xml:space="preserve"> when combined with the amounts paid or payable by such Holder pursuant to Section </w:t>
      </w:r>
      <w:r>
        <w:fldChar w:fldCharType="begin"/>
      </w:r>
      <w:r>
        <w:instrText xml:space="preserve"> REF _Ref463460029 \w \h </w:instrText>
      </w:r>
      <w:r>
        <w:fldChar w:fldCharType="separate"/>
      </w:r>
      <w:r w:rsidR="00230E5B">
        <w:t>1.9(b)</w:t>
      </w:r>
      <w:r>
        <w:fldChar w:fldCharType="end"/>
      </w:r>
      <w:r>
        <w:rPr>
          <w:cs/>
        </w:rPr>
        <w:t>‎</w:t>
      </w:r>
      <w:r>
        <w:rPr>
          <w:rFonts w:hint="cs"/>
          <w:rtl/>
          <w:cs/>
        </w:rPr>
        <w:t xml:space="preserve"> </w:t>
      </w:r>
      <w:r>
        <w:t xml:space="preserve">of this </w:t>
      </w:r>
      <w:r>
        <w:fldChar w:fldCharType="begin"/>
      </w:r>
      <w:r>
        <w:instrText xml:space="preserve"> REF _Ref463459682 \r \h </w:instrText>
      </w:r>
      <w:r>
        <w:fldChar w:fldCharType="separate"/>
      </w:r>
      <w:r w:rsidR="00230E5B">
        <w:t>Schedule D</w:t>
      </w:r>
      <w:r>
        <w:fldChar w:fldCharType="end"/>
      </w:r>
      <w:r>
        <w:t>, exceed the proceeds from the offering received by such Holder (net of any Selling Expenses paid by such Holder), except in the case of willful misconduct or fraud by such Holder.</w:t>
      </w:r>
      <w:bookmarkEnd w:id="469"/>
    </w:p>
    <w:p w:rsidR="00C20A1A" w:rsidRPr="00F82FAB" w:rsidP="00F82FAB">
      <w:pPr>
        <w:pStyle w:val="ArticleBJ2L3"/>
        <w:rPr>
          <w:b/>
        </w:rPr>
      </w:pPr>
      <w:r w:rsidRPr="00F82FAB">
        <w:rPr>
          <w:b/>
        </w:rPr>
        <w:t xml:space="preserve">[Notwithstanding the foregoing, to the extent that the provisions on indemnification and contribution contained in the underwriting agreement entered into in connection with the underwritten public offering are in conflict with the foregoing provisions, the provisions in the underwriting agreement shall control; </w:t>
      </w:r>
      <w:r w:rsidRPr="00F82FAB">
        <w:rPr>
          <w:b/>
          <w:bCs/>
        </w:rPr>
        <w:t>provided, however, that any matter expressly provided for or addressed by the foregoing provisions that is not expressly provided for or addressed by the underwriting agreement shall be controlled by the foregoing provisions.]</w:t>
      </w:r>
    </w:p>
    <w:p w:rsidR="00C20A1A">
      <w:pPr>
        <w:pStyle w:val="ArticleBJ2L3"/>
      </w:pPr>
      <w:r>
        <w:t xml:space="preserve">Unless otherwise superseded by an underwriting agreement entered into in connection with the underwritten public offering, the obligations of the Company and Holders under this Section </w:t>
      </w:r>
      <w:r>
        <w:fldChar w:fldCharType="begin"/>
      </w:r>
      <w:r>
        <w:instrText xml:space="preserve"> REF _Ref463460092 \w \h </w:instrText>
      </w:r>
      <w:r>
        <w:fldChar w:fldCharType="separate"/>
      </w:r>
      <w:r w:rsidR="00230E5B">
        <w:t>1.9</w:t>
      </w:r>
      <w:r>
        <w:fldChar w:fldCharType="end"/>
      </w:r>
      <w:r>
        <w:rPr>
          <w:cs/>
        </w:rPr>
        <w:t>‎</w:t>
      </w:r>
      <w:r>
        <w:t xml:space="preserve"> of this </w:t>
      </w:r>
      <w:r>
        <w:fldChar w:fldCharType="begin"/>
      </w:r>
      <w:r>
        <w:instrText xml:space="preserve"> REF _Ref463459682 \r \h </w:instrText>
      </w:r>
      <w:r>
        <w:fldChar w:fldCharType="separate"/>
      </w:r>
      <w:r w:rsidR="00230E5B">
        <w:t>Schedule D</w:t>
      </w:r>
      <w:r>
        <w:fldChar w:fldCharType="end"/>
      </w:r>
      <w:r>
        <w:t xml:space="preserve"> shall survive the completion of any offering of Registrable Securities in a registration under this </w:t>
      </w:r>
      <w:r>
        <w:fldChar w:fldCharType="begin"/>
      </w:r>
      <w:r>
        <w:instrText xml:space="preserve"> REF _Ref463459682 \w \h </w:instrText>
      </w:r>
      <w:r>
        <w:fldChar w:fldCharType="separate"/>
      </w:r>
      <w:r w:rsidR="00230E5B">
        <w:t>Schedule D</w:t>
      </w:r>
      <w:r>
        <w:fldChar w:fldCharType="end"/>
      </w:r>
      <w:r>
        <w:t>, and otherwise shall survive the termination of this Agreement or any provision(s) of this Agreement.</w:t>
      </w:r>
    </w:p>
    <w:p w:rsidR="00C20A1A">
      <w:pPr>
        <w:pStyle w:val="ArticleBJ2L2"/>
      </w:pPr>
      <w:bookmarkStart w:id="470" w:name="_Toc463463950"/>
      <w:r>
        <w:t>Resale of Securities</w:t>
      </w:r>
      <w:bookmarkEnd w:id="470"/>
    </w:p>
    <w:p w:rsidR="00C20A1A">
      <w:pPr>
        <w:pStyle w:val="ArticleBJ2L3"/>
      </w:pPr>
      <w:r>
        <w:t>With a view to making available to the Holders the benefits of SEC Rule 144 and any other rule or regulation of the SEC that may at any time permit a Holder to sell securities of the Company to the public without registration or pursuant to a registration on Form S 3 or Form F-3, the Company shall, following a registration under the Securities Act:</w:t>
      </w:r>
    </w:p>
    <w:p w:rsidR="00C20A1A">
      <w:pPr>
        <w:pStyle w:val="ArticleBJ2L4"/>
      </w:pPr>
      <w:r>
        <w:t>make and keep available adequate current public information, as those terms are understood and defined in SEC Rule 144, at all times after the effective date of the registration statement filed by the Company for the IPO;</w:t>
      </w:r>
    </w:p>
    <w:p w:rsidR="00C20A1A">
      <w:pPr>
        <w:pStyle w:val="ArticleBJ2L4"/>
      </w:pPr>
      <w:r>
        <w:t>use commercially reasonable efforts to file with the SEC in a timely manner all reports and other documents required of the Company under the Securities Act and the Exchange Act (at any time after the Company has become subject to such reporting requirements); and</w:t>
      </w:r>
    </w:p>
    <w:p w:rsidR="00C20A1A">
      <w:pPr>
        <w:pStyle w:val="ArticleBJ2L4"/>
      </w:pPr>
      <w:r>
        <w:t xml:space="preserve">furnish to any Holder, so long as the Holder owns any Registrable Securities, forthwith upon request (i) to the extent accurate, a written statement by the Company that it has complied with the reporting requirements of SEC Rule 144 (at any time after 90 days after the effective date of the registration statement filed by the Company for the IPO), the Securities Act, and the Exchange Act (at any time after the Company has become subject to such reporting requirements), or that it qualifies as a registrant whose securities may be resold pursuant to Form S 3 or Form F-3 (at any time after the Company so qualifies); </w:t>
      </w:r>
      <w:r>
        <w:rPr>
          <w:b/>
          <w:bCs/>
        </w:rPr>
        <w:t>[(ii) a copy of the most recent annual or quarterly report of the Company and such other reports and documents so filed by the Company;</w:t>
      </w:r>
      <w:r>
        <w:rPr>
          <w:rStyle w:val="FootnoteReference"/>
          <w:b/>
          <w:bCs/>
        </w:rPr>
        <w:footnoteReference w:id="111"/>
      </w:r>
      <w:r>
        <w:rPr>
          <w:b/>
          <w:bCs/>
        </w:rPr>
        <w:t>]</w:t>
      </w:r>
      <w:r>
        <w:t xml:space="preserve"> and (iii) such other information as may be reasonably requested in availing any Holder of any rule or regulation of the SEC that permits the selling of any such securities without registration (at any time after the Company has become subject to the reporting requirements under the Exchange Act) or pursuant to Form S 3 or Form F-3 (at any time after the Company so qualifies to use such form).</w:t>
      </w:r>
    </w:p>
    <w:p w:rsidR="00C20A1A">
      <w:pPr>
        <w:pStyle w:val="ArticleBJ2L3"/>
      </w:pPr>
      <w:r>
        <w:t>At any time that a Holder seeks to rely on the provisions of National Instrument 45-102 or any successor instrument promulgated by the Canadian securities regulators ("</w:t>
      </w:r>
      <w:r>
        <w:rPr>
          <w:b/>
          <w:bCs/>
        </w:rPr>
        <w:t>NI 45-102</w:t>
      </w:r>
      <w:r>
        <w:t>") to resell its Registrable Securities under Canadian Securities Laws, the Company shall ensure that the Company is not in default of Canadian Securities Laws of the Canadian jurisdictions in which the Company is a reporting issuer, and otherwise take such steps as are required to satisfy the other requirements of NI 45-102.</w:t>
      </w:r>
    </w:p>
    <w:p w:rsidR="00C20A1A">
      <w:pPr>
        <w:pStyle w:val="ArticleBJ2L2"/>
      </w:pPr>
      <w:bookmarkStart w:id="471" w:name="_Toc463463951"/>
      <w:bookmarkStart w:id="472" w:name="_Ref463465512"/>
      <w:bookmarkStart w:id="473" w:name="_Ref56327251"/>
      <w:r>
        <w:t>Limitations on Subsequent Registration Rights</w:t>
      </w:r>
      <w:bookmarkEnd w:id="471"/>
      <w:bookmarkEnd w:id="472"/>
      <w:bookmarkEnd w:id="473"/>
    </w:p>
    <w:p w:rsidR="00C20A1A">
      <w:pPr>
        <w:pStyle w:val="ArticleBJ2Cont2"/>
      </w:pPr>
      <w:r>
        <w:t xml:space="preserve">From and after the date of this Agreement, the Company shall not, without the prior written consent of the Holders of </w:t>
      </w:r>
      <w:r w:rsidRPr="00B20595">
        <w:rPr>
          <w:bCs/>
        </w:rPr>
        <w:t>[</w:t>
      </w:r>
      <w:r w:rsidRPr="00B20595">
        <w:rPr>
          <w:bCs/>
          <w:i/>
        </w:rPr>
        <w:t>specify percentage</w:t>
      </w:r>
      <w:r w:rsidRPr="00B20595">
        <w:rPr>
          <w:bCs/>
        </w:rPr>
        <w:t>]</w:t>
      </w:r>
      <w:r>
        <w:t xml:space="preserve"> of the Registrable Securities then outstanding, enter into any agreement with any holder or prospective holder of any securities of the Company that (i) would </w:t>
      </w:r>
      <w:r>
        <w:rPr>
          <w:b/>
          <w:bCs/>
        </w:rPr>
        <w:t>[provide to such holder or prospective holder the right to include securities in any registration on other than either a pro rata basis with respect to the Registrable Securities or on a subordinate basis after all Holders have had the opportunity to include in the registration and offering all Registrable Securities that they wish to so include][allow such holder or prospective holder (i) to include such securities in any registration unless, under the terms of such agreement, such holder or prospective holder may include such securities in any such registration only to the extent that the inclusion of such securities will not reduce the number of the Registrable Securities of the Holders that are included]</w:t>
      </w:r>
      <w:r>
        <w:t xml:space="preserve">; </w:t>
      </w:r>
      <w:r>
        <w:rPr>
          <w:b/>
          <w:bCs/>
        </w:rPr>
        <w:t>[or (ii) allow such holder or prospective holder to initiate a demand for registration of any securities held by such holder or prospective holder]</w:t>
      </w:r>
      <w:r>
        <w:t xml:space="preserve">; provided that this limitation shall not apply to any additional Investor who becomes a party to this Agreement in accordance with Section </w:t>
      </w:r>
      <w:r>
        <w:fldChar w:fldCharType="begin"/>
      </w:r>
      <w:r>
        <w:instrText xml:space="preserve"> REF _Ref464814708 \r \h </w:instrText>
      </w:r>
      <w:r>
        <w:fldChar w:fldCharType="separate"/>
      </w:r>
      <w:r w:rsidR="00230E5B">
        <w:t>6.2</w:t>
      </w:r>
      <w:r>
        <w:fldChar w:fldCharType="end"/>
      </w:r>
      <w:r w:rsidR="00906CA0">
        <w:t xml:space="preserve"> of this Agreement</w:t>
      </w:r>
      <w:r>
        <w:t>.</w:t>
      </w:r>
      <w:r>
        <w:rPr>
          <w:rStyle w:val="FootnoteReference"/>
        </w:rPr>
        <w:footnoteReference w:id="112"/>
      </w:r>
    </w:p>
    <w:p w:rsidR="00C20A1A">
      <w:pPr>
        <w:pStyle w:val="ArticleBJ2L2"/>
      </w:pPr>
      <w:bookmarkStart w:id="474" w:name="_Toc463463952"/>
      <w:bookmarkStart w:id="475" w:name="_Ref463465986"/>
      <w:r>
        <w:t>Termination of Registration Rights</w:t>
      </w:r>
      <w:bookmarkEnd w:id="474"/>
      <w:bookmarkEnd w:id="475"/>
    </w:p>
    <w:p w:rsidR="00C20A1A">
      <w:pPr>
        <w:pStyle w:val="ArticleBJ2Cont2"/>
      </w:pPr>
      <w:r>
        <w:t xml:space="preserve">The right of any Holder to request registration or inclusion of Registrable Securities in any registration pursuant to Sections </w:t>
      </w:r>
      <w:r>
        <w:fldChar w:fldCharType="begin"/>
      </w:r>
      <w:r>
        <w:instrText xml:space="preserve"> REF _Ref463459213 \w \h </w:instrText>
      </w:r>
      <w:r>
        <w:fldChar w:fldCharType="separate"/>
      </w:r>
      <w:r w:rsidR="00230E5B">
        <w:t>1.2</w:t>
      </w:r>
      <w:r>
        <w:fldChar w:fldCharType="end"/>
      </w:r>
      <w:r>
        <w:rPr>
          <w:cs/>
        </w:rPr>
        <w:t>‎</w:t>
      </w:r>
      <w:r>
        <w:t xml:space="preserve"> or </w:t>
      </w:r>
      <w:r>
        <w:rPr>
          <w:cs/>
        </w:rPr>
        <w:t>‎</w:t>
      </w:r>
      <w:r>
        <w:rPr>
          <w:cs/>
        </w:rPr>
        <w:fldChar w:fldCharType="begin"/>
      </w:r>
      <w:r>
        <w:instrText xml:space="preserve"> REF _Ref463459466 \w \h </w:instrText>
      </w:r>
      <w:r>
        <w:rPr>
          <w:cs/>
        </w:rPr>
        <w:fldChar w:fldCharType="separate"/>
      </w:r>
      <w:r w:rsidR="00230E5B">
        <w:t>1.3</w:t>
      </w:r>
      <w:r>
        <w:rPr>
          <w:cs/>
        </w:rPr>
        <w:fldChar w:fldCharType="end"/>
      </w:r>
      <w:r>
        <w:t xml:space="preserve"> of this </w:t>
      </w:r>
      <w:r>
        <w:fldChar w:fldCharType="begin"/>
      </w:r>
      <w:r>
        <w:instrText xml:space="preserve"> REF _Ref463459682 \r \h </w:instrText>
      </w:r>
      <w:r>
        <w:fldChar w:fldCharType="separate"/>
      </w:r>
      <w:r w:rsidR="00230E5B">
        <w:t>Schedule D</w:t>
      </w:r>
      <w:r>
        <w:fldChar w:fldCharType="end"/>
      </w:r>
      <w:r>
        <w:t xml:space="preserve"> shall terminate upon </w:t>
      </w:r>
      <w:r>
        <w:rPr>
          <w:b/>
          <w:bCs/>
        </w:rPr>
        <w:t>[the earliest to occur of]</w:t>
      </w:r>
      <w:r>
        <w:t>:</w:t>
      </w:r>
    </w:p>
    <w:p w:rsidR="00C20A1A" w:rsidP="00396B81">
      <w:pPr>
        <w:pStyle w:val="ArticleBJ2L3"/>
        <w:rPr>
          <w:b/>
          <w:bCs/>
        </w:rPr>
      </w:pPr>
      <w:r>
        <w:rPr>
          <w:b/>
          <w:bCs/>
        </w:rPr>
        <w:t>[the closing of a Deemed Liquidation Event</w:t>
      </w:r>
      <w:r w:rsidRPr="00396B81">
        <w:rPr>
          <w:b/>
          <w:bCs/>
        </w:rPr>
        <w:t>, [in which the consideration received by the Investors in such Deemed Liquidation Event is in the form of cash and/or publicly traded securities, or if the Investors receive registration rights from the acquiring company or other successor to the Company reasonably comparable to those set forth in this</w:t>
      </w:r>
      <w:r>
        <w:rPr>
          <w:b/>
          <w:bCs/>
        </w:rPr>
        <w:t xml:space="preserve"> </w:t>
      </w:r>
      <w:r>
        <w:fldChar w:fldCharType="begin"/>
      </w:r>
      <w:r>
        <w:instrText xml:space="preserve"> REF _Ref463459682 \r \h </w:instrText>
      </w:r>
      <w:r>
        <w:fldChar w:fldCharType="separate"/>
      </w:r>
      <w:r w:rsidR="00230E5B">
        <w:t>Schedule D</w:t>
      </w:r>
      <w:r>
        <w:fldChar w:fldCharType="end"/>
      </w:r>
      <w:r>
        <w:rPr>
          <w:b/>
          <w:bCs/>
        </w:rPr>
        <w:t>;]</w:t>
      </w:r>
    </w:p>
    <w:p w:rsidR="00C20A1A">
      <w:pPr>
        <w:pStyle w:val="ArticleBJ2L3"/>
        <w:keepNext/>
        <w:rPr>
          <w:b/>
          <w:bCs/>
        </w:rPr>
      </w:pPr>
      <w:r>
        <w:rPr>
          <w:b/>
          <w:bCs/>
        </w:rPr>
        <w:t>[such time after the consummation of the IPO as:</w:t>
      </w:r>
    </w:p>
    <w:p w:rsidR="00C20A1A" w:rsidRPr="00396B81" w:rsidP="00396B81">
      <w:pPr>
        <w:pStyle w:val="ArticleBJ2L4"/>
        <w:rPr>
          <w:b/>
        </w:rPr>
      </w:pPr>
      <w:r w:rsidRPr="00396B81">
        <w:rPr>
          <w:b/>
        </w:rPr>
        <w:t xml:space="preserve">SEC Rule 144, Regulation S or another similar exemption under the Securities Act is available for the sale of all of such Holder's shares without limitation during a 3-month period without registration </w:t>
      </w:r>
      <w:r w:rsidRPr="00396B81">
        <w:rPr>
          <w:b/>
          <w:bCs/>
        </w:rPr>
        <w:t>[(and without the requirement for the Company to be in compliance with the current public information required under subsection (c)(1) of SEC Rule 144) and such Holder (together with its "affiliates" determined under SEC Rule 144) holds less than 1% of the outstanding shares of the Company]</w:t>
      </w:r>
      <w:r w:rsidRPr="00396B81">
        <w:rPr>
          <w:b/>
        </w:rPr>
        <w:t>;</w:t>
      </w:r>
      <w:r>
        <w:rPr>
          <w:rStyle w:val="FootnoteReference"/>
          <w:b/>
        </w:rPr>
        <w:footnoteReference w:id="113"/>
      </w:r>
      <w:r w:rsidRPr="00396B81">
        <w:rPr>
          <w:b/>
        </w:rPr>
        <w:t xml:space="preserve"> and</w:t>
      </w:r>
    </w:p>
    <w:p w:rsidR="00C20A1A">
      <w:pPr>
        <w:pStyle w:val="ArticleBJ2L4"/>
      </w:pPr>
      <w:r>
        <w:rPr>
          <w:b/>
          <w:bCs/>
        </w:rPr>
        <w:t xml:space="preserve">the sale of all such Holder's shares would not be a distribution under Section </w:t>
      </w:r>
      <w:r>
        <w:rPr>
          <w:b/>
          <w:bCs/>
        </w:rPr>
        <w:fldChar w:fldCharType="begin"/>
      </w:r>
      <w:r>
        <w:rPr>
          <w:b/>
          <w:bCs/>
        </w:rPr>
        <w:instrText xml:space="preserve"> REF _Ref463460402 \w \h  \* MERGEFORMAT </w:instrText>
      </w:r>
      <w:r>
        <w:rPr>
          <w:b/>
          <w:bCs/>
        </w:rPr>
        <w:fldChar w:fldCharType="separate"/>
      </w:r>
      <w:r w:rsidR="00230E5B">
        <w:rPr>
          <w:b/>
          <w:bCs/>
        </w:rPr>
        <w:t>1.6</w:t>
      </w:r>
      <w:r>
        <w:rPr>
          <w:b/>
          <w:bCs/>
        </w:rPr>
        <w:fldChar w:fldCharType="end"/>
      </w:r>
      <w:r>
        <w:rPr>
          <w:b/>
          <w:bCs/>
        </w:rPr>
        <w:t xml:space="preserve"> or Section 2.6 of NI 45-102, and would not be a control distribution (as defined in NI 45-102); and]</w:t>
      </w:r>
      <w:r>
        <w:rPr>
          <w:rStyle w:val="FootnoteReference"/>
        </w:rPr>
        <w:footnoteReference w:id="114"/>
      </w:r>
    </w:p>
    <w:p w:rsidR="00C20A1A" w:rsidRPr="008A52A2" w:rsidP="008A52A2">
      <w:pPr>
        <w:pStyle w:val="ArticleBJ2L3"/>
        <w:rPr>
          <w:b/>
        </w:rPr>
      </w:pPr>
      <w:r>
        <w:rPr>
          <w:b/>
        </w:rPr>
        <w:t xml:space="preserve">the </w:t>
      </w:r>
      <w:r w:rsidRPr="008A52A2">
        <w:rPr>
          <w:b/>
        </w:rPr>
        <w:t>3rd-5</w:t>
      </w:r>
      <w:r>
        <w:rPr>
          <w:b/>
        </w:rPr>
        <w:t xml:space="preserve">th anniversary of the [IPO] </w:t>
      </w:r>
      <w:r w:rsidRPr="008A52A2">
        <w:rPr>
          <w:b/>
        </w:rPr>
        <w:t>[(or such</w:t>
      </w:r>
      <w:r>
        <w:rPr>
          <w:b/>
        </w:rPr>
        <w:t xml:space="preserve"> later date that is </w:t>
      </w:r>
      <w:r w:rsidRPr="008A52A2">
        <w:rPr>
          <w:b/>
        </w:rPr>
        <w:t>180 days following the expiration of all deferrals of the Company's obligations pursuant to Section 2 t</w:t>
      </w:r>
      <w:r>
        <w:rPr>
          <w:b/>
        </w:rPr>
        <w:t xml:space="preserve">hat remain in effect as of the </w:t>
      </w:r>
      <w:r w:rsidRPr="008A52A2">
        <w:rPr>
          <w:b/>
        </w:rPr>
        <w:t>[3rd-5th] anniversary of the consummation of the IPO)].</w:t>
      </w:r>
    </w:p>
    <w:p w:rsidR="00C20A1A">
      <w:pPr>
        <w:pStyle w:val="ArticleBJ2L2"/>
      </w:pPr>
      <w:bookmarkStart w:id="476" w:name="_Ref463460468"/>
      <w:bookmarkStart w:id="477" w:name="_Toc463463953"/>
      <w:r>
        <w:t>Additional Rights - Canada</w:t>
      </w:r>
      <w:bookmarkEnd w:id="476"/>
      <w:bookmarkEnd w:id="477"/>
    </w:p>
    <w:p w:rsidR="00C20A1A">
      <w:pPr>
        <w:pStyle w:val="ArticleBJ2L3"/>
        <w:keepNext/>
      </w:pPr>
      <w:r>
        <w:t>If:</w:t>
      </w:r>
    </w:p>
    <w:p w:rsidR="00C20A1A">
      <w:pPr>
        <w:pStyle w:val="ArticleBJ2L4"/>
      </w:pPr>
      <w:r>
        <w:t>a public offering is completed under the Securities Act and such public offering is not also made pursuant to a Canadian prospectus in respect of which a receipt or decision document is issued by a Canadian securities regulator;</w:t>
      </w:r>
    </w:p>
    <w:p w:rsidR="00C20A1A">
      <w:pPr>
        <w:pStyle w:val="ArticleBJ2L4"/>
      </w:pPr>
      <w:r>
        <w:t>Common Shares are listed on an exchange or quoted on a market outside of Canada;</w:t>
      </w:r>
    </w:p>
    <w:p w:rsidR="00C20A1A">
      <w:pPr>
        <w:pStyle w:val="ArticleBJ2L4"/>
      </w:pPr>
      <w:r>
        <w:t>a Major Investor who is resident in a Canadian jurisdiction (a "</w:t>
      </w:r>
      <w:r>
        <w:rPr>
          <w:b/>
          <w:bCs/>
        </w:rPr>
        <w:t>Canadian Holder</w:t>
      </w:r>
      <w:r>
        <w:t>") is not permitted under the Canadian Securities Laws of such jurisdiction to sell its Registrable Securities on the exchange or market on which the Common Shares are listed or quoted without filing a prospectus under applicable Canadian Securities Laws; and</w:t>
      </w:r>
    </w:p>
    <w:p w:rsidR="00C20A1A">
      <w:pPr>
        <w:pStyle w:val="ArticleBJ2L4"/>
      </w:pPr>
      <w:r>
        <w:t xml:space="preserve">the Canadian Holder provides a notice to the Company, not earlier than 180 days following the </w:t>
      </w:r>
      <w:r w:rsidR="007C26A1">
        <w:t>U.S.</w:t>
      </w:r>
      <w:r>
        <w:t xml:space="preserve"> public offering, that it wishes to sell Registrable Securities,</w:t>
      </w:r>
    </w:p>
    <w:p w:rsidR="00C20A1A">
      <w:pPr>
        <w:pStyle w:val="ArticleBJ2Cont3"/>
        <w:keepNext/>
      </w:pPr>
      <w:r>
        <w:t>then the Company will either:</w:t>
      </w:r>
    </w:p>
    <w:p w:rsidR="00C20A1A">
      <w:pPr>
        <w:pStyle w:val="ArticleBJ2L5"/>
      </w:pPr>
      <w:r>
        <w:t>obtain, within 60 days following receipt by the Company of the notice from the Canadian Holder, discretionary exemptive relief from the applicable Canadian securities commissions permitting the sale of the Registrable Securities held by the Canadian Holder on the exchange or market on which the Common Shares are listed or quoted without filing a prospectus under applicable Canadian Securities Laws and otherwise subject to such conditions as may be imposed by the applicable Canadian securities regulators and as the Canadian Holder and the Company agree to, acting reasonably; or</w:t>
      </w:r>
    </w:p>
    <w:p w:rsidR="00C20A1A">
      <w:pPr>
        <w:pStyle w:val="ArticleBJ2L5"/>
      </w:pPr>
      <w:r>
        <w:t>use commercially reasonable efforts to become a reporting issuer under the Canadian Securities Laws of any jurisdiction of Canada (at the Company's discretion) within 90 days following receipt by the Company of the notice from the Canadian Holder or as soon thereafter as is reasonably practicable.</w:t>
      </w:r>
    </w:p>
    <w:p w:rsidR="00C20A1A">
      <w:pPr>
        <w:pStyle w:val="ArticleBJ2L2"/>
      </w:pPr>
      <w:bookmarkStart w:id="478" w:name="_Ref463460495"/>
      <w:bookmarkStart w:id="479" w:name="_Toc463463954"/>
      <w:r>
        <w:t>Additional Rights – United States</w:t>
      </w:r>
      <w:bookmarkEnd w:id="478"/>
      <w:bookmarkEnd w:id="479"/>
    </w:p>
    <w:p w:rsidR="00C20A1A">
      <w:pPr>
        <w:pStyle w:val="ArticleBJ2L3"/>
        <w:keepNext/>
      </w:pPr>
      <w:r>
        <w:t>If:</w:t>
      </w:r>
    </w:p>
    <w:p w:rsidR="00C20A1A">
      <w:pPr>
        <w:pStyle w:val="ArticleBJ2L4"/>
      </w:pPr>
      <w:r>
        <w:t>a public offering is completed under Canadian Securities Laws and such public offering is not also made pursuant to a registration statement declared effective by the SEC;</w:t>
      </w:r>
    </w:p>
    <w:p w:rsidR="00C20A1A">
      <w:pPr>
        <w:pStyle w:val="ArticleBJ2L4"/>
      </w:pPr>
      <w:r>
        <w:t>Common Shares are listed on an exchange or quoted on a market outside of the United States;</w:t>
      </w:r>
    </w:p>
    <w:p w:rsidR="00C20A1A">
      <w:pPr>
        <w:pStyle w:val="ArticleBJ2L4"/>
      </w:pPr>
      <w:r>
        <w:t>a Major Investor who is resident in the United States (a "</w:t>
      </w:r>
      <w:r>
        <w:rPr>
          <w:b/>
          <w:bCs/>
        </w:rPr>
        <w:t>US Holder</w:t>
      </w:r>
      <w:r>
        <w:t>") is not permitted under United States securities laws to sell its Registrable Securities on the exchange or market on which the Common Shares are listed or quoted without filing a registration statement under the Securities Act;</w:t>
      </w:r>
    </w:p>
    <w:p w:rsidR="00C20A1A">
      <w:pPr>
        <w:pStyle w:val="ArticleBJ2L4"/>
      </w:pPr>
      <w:r>
        <w:t>the US Holder provides a written notice (the "</w:t>
      </w:r>
      <w:r>
        <w:rPr>
          <w:b/>
          <w:bCs/>
        </w:rPr>
        <w:t>Sale Notice</w:t>
      </w:r>
      <w:r>
        <w:t>") to the Company, not earlier than 180 days following the Canadian public offering, that it wishes to sell Registrable Securities and an opinion of counsel confirming that such US Holder is not permitted under United States securities laws to sell its Registrable Securities on the exchange or market on which the Common Shares are listed or quoted without filing a registration statement under the Securities Act; and</w:t>
      </w:r>
    </w:p>
    <w:p w:rsidR="00C20A1A">
      <w:pPr>
        <w:pStyle w:val="ArticleBJ2L4"/>
      </w:pPr>
      <w:r>
        <w:t xml:space="preserve">the Company does not obtain, within 60 days following receipt by the Company of the Sale Notice, a no-action letter or similar relief from the SEC permitting the sale of the Registrable Securities held by the US Holder on the exchange or market on which the Common Shares are listed or quoted without filing a registration statement and otherwise subject to such </w:t>
      </w:r>
      <w:r>
        <w:t>conditions as may be imposed by the SEC and as the US Holder and the Company agree to, acting reasonably,</w:t>
      </w:r>
    </w:p>
    <w:p w:rsidR="00C20A1A">
      <w:pPr>
        <w:pStyle w:val="ArticleBJ2Cont3"/>
      </w:pPr>
      <w:r>
        <w:t>then the Company will, as promptly as practicable after (and in any case not later than 90 days following) receipt of the Sale Notice file a registration statement under the Securities Act covering the Registrable Securities requested to be registered and use commercially reasonable efforts to effect such registration in a manner that would permit or facilitate the distribution of all or such portion of such Registrable Securities as are specified in the Sale Notice.</w:t>
      </w:r>
    </w:p>
    <w:p w:rsidR="00C20A1A">
      <w:pPr>
        <w:pStyle w:val="ArticleBJ2L2"/>
      </w:pPr>
      <w:r>
        <w:t>Jurisdictional Limitations.</w:t>
      </w:r>
    </w:p>
    <w:p w:rsidR="00C20A1A">
      <w:pPr>
        <w:pStyle w:val="ArticleBJCont2"/>
      </w:pPr>
      <w:r>
        <w:t xml:space="preserve">The Company may determine whether the IPO will be undertaken solely in the United States, solely in Canada, or in both the United States and Canada. If the IPO is undertaken solely in Canada, the Company may determine the provinces and territories in which the Company becomes a reporting issuer. Except pursuant to Sections </w:t>
      </w:r>
      <w:r>
        <w:fldChar w:fldCharType="begin"/>
      </w:r>
      <w:r>
        <w:instrText xml:space="preserve"> REF _Ref463460468 \w \h </w:instrText>
      </w:r>
      <w:r>
        <w:fldChar w:fldCharType="separate"/>
      </w:r>
      <w:r w:rsidR="00230E5B">
        <w:t>1.13</w:t>
      </w:r>
      <w:r>
        <w:fldChar w:fldCharType="end"/>
      </w:r>
      <w:r>
        <w:rPr>
          <w:cs/>
        </w:rPr>
        <w:t>‎</w:t>
      </w:r>
      <w:r>
        <w:t xml:space="preserve"> or </w:t>
      </w:r>
      <w:r>
        <w:rPr>
          <w:cs/>
        </w:rPr>
        <w:t>‎</w:t>
      </w:r>
      <w:r>
        <w:rPr>
          <w:cs/>
        </w:rPr>
        <w:fldChar w:fldCharType="begin"/>
      </w:r>
      <w:r>
        <w:instrText xml:space="preserve"> REF _Ref463460495 \w \h </w:instrText>
      </w:r>
      <w:r>
        <w:rPr>
          <w:cs/>
        </w:rPr>
        <w:fldChar w:fldCharType="separate"/>
      </w:r>
      <w:r w:rsidR="00230E5B">
        <w:t>1.14</w:t>
      </w:r>
      <w:r>
        <w:rPr>
          <w:cs/>
        </w:rPr>
        <w:fldChar w:fldCharType="end"/>
      </w:r>
      <w:r>
        <w:rPr>
          <w:rFonts w:hint="cs"/>
          <w:rtl/>
          <w:cs/>
        </w:rPr>
        <w:t xml:space="preserve"> </w:t>
      </w:r>
      <w:r>
        <w:t xml:space="preserve">of this </w:t>
      </w:r>
      <w:r>
        <w:fldChar w:fldCharType="begin"/>
      </w:r>
      <w:r>
        <w:instrText xml:space="preserve"> REF _Ref463459682 \r \h </w:instrText>
      </w:r>
      <w:r>
        <w:fldChar w:fldCharType="separate"/>
      </w:r>
      <w:r w:rsidR="00230E5B">
        <w:t>Schedule D</w:t>
      </w:r>
      <w:r>
        <w:fldChar w:fldCharType="end"/>
      </w:r>
      <w:r>
        <w:t xml:space="preserve">, if the IPO is made solely in the United States, the Company is not required to file a registration statement in Canada in respect of any demand registration pursuant to Sections </w:t>
      </w:r>
      <w:r>
        <w:fldChar w:fldCharType="begin"/>
      </w:r>
      <w:r>
        <w:instrText xml:space="preserve"> REF _Ref463459267 \w \h </w:instrText>
      </w:r>
      <w:r>
        <w:fldChar w:fldCharType="separate"/>
      </w:r>
      <w:r w:rsidR="00230E5B">
        <w:t>1.2(a)</w:t>
      </w:r>
      <w:r>
        <w:fldChar w:fldCharType="end"/>
      </w:r>
      <w:r>
        <w:rPr>
          <w:cs/>
        </w:rPr>
        <w:t>‎</w:t>
      </w:r>
      <w:r>
        <w:t xml:space="preserve"> or </w:t>
      </w:r>
      <w:r>
        <w:rPr>
          <w:cs/>
        </w:rPr>
        <w:t>‎</w:t>
      </w:r>
      <w:r>
        <w:rPr>
          <w:cs/>
        </w:rPr>
        <w:fldChar w:fldCharType="begin"/>
      </w:r>
      <w:r>
        <w:instrText xml:space="preserve"> REF _Ref463459312 \w \h </w:instrText>
      </w:r>
      <w:r>
        <w:rPr>
          <w:cs/>
        </w:rPr>
        <w:fldChar w:fldCharType="separate"/>
      </w:r>
      <w:r w:rsidR="00230E5B">
        <w:t>1.2(b)</w:t>
      </w:r>
      <w:r>
        <w:rPr>
          <w:cs/>
        </w:rPr>
        <w:fldChar w:fldCharType="end"/>
      </w:r>
      <w:r>
        <w:rPr>
          <w:rFonts w:hint="cs"/>
          <w:rtl/>
          <w:cs/>
        </w:rPr>
        <w:t xml:space="preserve"> </w:t>
      </w:r>
      <w:r>
        <w:t xml:space="preserve">of this </w:t>
      </w:r>
      <w:r>
        <w:fldChar w:fldCharType="begin"/>
      </w:r>
      <w:r>
        <w:instrText xml:space="preserve"> REF _Ref463459682 \r \h </w:instrText>
      </w:r>
      <w:r>
        <w:fldChar w:fldCharType="separate"/>
      </w:r>
      <w:r w:rsidR="00230E5B">
        <w:t>Schedule D</w:t>
      </w:r>
      <w:r>
        <w:fldChar w:fldCharType="end"/>
      </w:r>
      <w:r>
        <w:t xml:space="preserve">, and if the IPO is made solely in Canada, the Company is not required to file a registration statement in the United States, or in any province or territory in which the IPO was not undertaken, in respect of any demand registration pursuant to Sections </w:t>
      </w:r>
      <w:r>
        <w:rPr>
          <w:cs/>
        </w:rPr>
        <w:t>‎</w:t>
      </w:r>
      <w:r>
        <w:fldChar w:fldCharType="begin"/>
      </w:r>
      <w:r>
        <w:instrText xml:space="preserve"> REF _Ref463459267 \w \h </w:instrText>
      </w:r>
      <w:r>
        <w:fldChar w:fldCharType="separate"/>
      </w:r>
      <w:r w:rsidR="00230E5B">
        <w:t>1.2(a)</w:t>
      </w:r>
      <w:r>
        <w:fldChar w:fldCharType="end"/>
      </w:r>
      <w:r>
        <w:rPr>
          <w:cs/>
        </w:rPr>
        <w:t>‎</w:t>
      </w:r>
      <w:r>
        <w:t xml:space="preserve"> or </w:t>
      </w:r>
      <w:r>
        <w:rPr>
          <w:cs/>
        </w:rPr>
        <w:t>‎</w:t>
      </w:r>
      <w:r>
        <w:rPr>
          <w:cs/>
        </w:rPr>
        <w:fldChar w:fldCharType="begin"/>
      </w:r>
      <w:r>
        <w:instrText xml:space="preserve"> REF _Ref463459312 \w \h </w:instrText>
      </w:r>
      <w:r>
        <w:rPr>
          <w:cs/>
        </w:rPr>
        <w:fldChar w:fldCharType="separate"/>
      </w:r>
      <w:r w:rsidR="00230E5B">
        <w:t>1.2(b)</w:t>
      </w:r>
      <w:r>
        <w:rPr>
          <w:cs/>
        </w:rPr>
        <w:fldChar w:fldCharType="end"/>
      </w:r>
      <w:r>
        <w:rPr>
          <w:rFonts w:hint="cs"/>
          <w:rtl/>
          <w:cs/>
        </w:rPr>
        <w:t xml:space="preserve"> </w:t>
      </w:r>
      <w:r>
        <w:t xml:space="preserve">of this </w:t>
      </w:r>
      <w:r>
        <w:fldChar w:fldCharType="begin"/>
      </w:r>
      <w:r>
        <w:instrText xml:space="preserve"> REF _Ref463459682 \r \h </w:instrText>
      </w:r>
      <w:r>
        <w:fldChar w:fldCharType="separate"/>
      </w:r>
      <w:r w:rsidR="00230E5B">
        <w:t>Schedule D</w:t>
      </w:r>
      <w:r>
        <w:fldChar w:fldCharType="end"/>
      </w:r>
      <w:r>
        <w:t>.</w:t>
      </w:r>
    </w:p>
    <w:p w:rsidR="00C20A1A">
      <w:pPr>
        <w:pStyle w:val="ArticleBJ2L2"/>
      </w:pPr>
      <w:r>
        <w:t>Survival</w:t>
      </w:r>
    </w:p>
    <w:p w:rsidR="00C20A1A" w:rsidP="00B22DAD">
      <w:pPr>
        <w:pStyle w:val="ArticleBJ2Cont2"/>
      </w:pPr>
      <w:r>
        <w:t xml:space="preserve">The rights set out in this Schedule will survive termination of this Agreement on the IPO and continue as provided in this </w:t>
      </w:r>
      <w:r>
        <w:fldChar w:fldCharType="begin"/>
      </w:r>
      <w:r>
        <w:instrText xml:space="preserve"> REF _Ref463459682 \r \h </w:instrText>
      </w:r>
      <w:r>
        <w:fldChar w:fldCharType="separate"/>
      </w:r>
      <w:r w:rsidR="00230E5B">
        <w:t>Schedule D</w:t>
      </w:r>
      <w:r>
        <w:fldChar w:fldCharType="end"/>
      </w:r>
      <w:r w:rsidR="00B22DAD">
        <w:t>.</w:t>
      </w:r>
    </w:p>
    <w:sectPr w:rsidSect="00B22DAD">
      <w:footerReference w:type="default" r:id="rId22"/>
      <w:footerReference w:type="first" r:id="rId23"/>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22FF" w:rsidRPr="007C4504" w:rsidP="007C4504">
    <w:pPr>
      <w:pStyle w:val="Footer"/>
    </w:pPr>
    <w:r>
      <w:rPr>
        <w:noProof/>
        <w:lang w:val="en-GB" w:eastAsia="en-GB"/>
      </w:rPr>
      <w:pict>
        <v:shapetype id="_x0000_t202" coordsize="21600,21600" o:spt="202" path="m,l,21600r21600,l21600,xe">
          <v:stroke joinstyle="miter"/>
          <v:path gradientshapeok="t" o:connecttype="rect"/>
        </v:shapetype>
        <v:shape id="zzmpTrailer_1078_19" o:spid="_x0000_s2049"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8240" filled="f" stroked="f">
          <v:textbox inset="0,0,0,0">
            <w:txbxContent>
              <w:p w:rsidR="008022FF" w:rsidP="007C4504">
                <w:pPr>
                  <w:pStyle w:val="MacPacTrailer"/>
                  <w:spacing w:line="20" w:lineRule="exact"/>
                </w:pPr>
              </w:p>
              <w:p w:rsidR="008022FF">
                <w:pPr>
                  <w:pStyle w:val="MacPacTrailer"/>
                </w:pPr>
                <w:r>
                  <w:t>WSLEGAL\058404\00011\16935086v18</w:t>
                </w:r>
              </w:p>
              <w:p w:rsidR="008022FF" w:rsidP="007C4504">
                <w:pPr>
                  <w:pStyle w:val="MacPacTrailer"/>
                  <w:spacing w:line="20" w:lineRule="exact"/>
                </w:pPr>
              </w:p>
              <w:p w:rsidR="008022FF" w:rsidP="007C4504">
                <w:pPr>
                  <w:pStyle w:val="MacPacTrailer"/>
                  <w:spacing w:line="20" w:lineRule="exact"/>
                </w:pPr>
              </w:p>
            </w:txbxContent>
          </v:textbox>
          <w10:wrap anchorx="margin"/>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22FF" w:rsidP="007C4504">
    <w:pPr>
      <w:pStyle w:val="Footer"/>
      <w:ind w:left="-144"/>
    </w:pPr>
    <w:r>
      <w:rPr>
        <w:noProof/>
      </w:rPr>
      <w:pict>
        <v:shapetype id="_x0000_t202" coordsize="21600,21600" o:spt="202" path="m,l,21600r21600,l21600,xe">
          <v:stroke joinstyle="miter"/>
          <v:path gradientshapeok="t" o:connecttype="rect"/>
        </v:shapetype>
        <v:shape id="zzmpTrailer_1078_7B" o:spid="_x0000_s2058"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8022FF" w:rsidP="007C4504">
                <w:pPr>
                  <w:pStyle w:val="MacPacTrailer"/>
                  <w:spacing w:line="20" w:lineRule="exact"/>
                </w:pPr>
              </w:p>
              <w:p w:rsidR="008022FF" w:rsidP="007C4504">
                <w:pPr>
                  <w:pStyle w:val="MacPacTrailer"/>
                </w:pPr>
                <w:r>
                  <w:t>WSLEGAL\058404\00011\16935086v18</w:t>
                </w:r>
              </w:p>
              <w:p w:rsidR="008022FF" w:rsidP="007C4504">
                <w:pPr>
                  <w:pStyle w:val="MacPacTrailer"/>
                  <w:spacing w:line="20" w:lineRule="exact"/>
                </w:pPr>
              </w:p>
              <w:p w:rsidR="008022FF" w:rsidP="007C4504">
                <w:pPr>
                  <w:pStyle w:val="MacPacTrailer"/>
                  <w:spacing w:line="20" w:lineRule="exact"/>
                </w:pPr>
              </w:p>
            </w:txbxContent>
          </v:textbox>
          <w10:wrap anchorx="margin"/>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22FF" w:rsidP="007C4504">
    <w:pPr>
      <w:pStyle w:val="Footer"/>
    </w:pPr>
    <w:r>
      <w:rPr>
        <w:noProof/>
      </w:rPr>
      <w:pict>
        <v:shapetype id="_x0000_t202" coordsize="21600,21600" o:spt="202" path="m,l,21600r21600,l21600,xe">
          <v:stroke joinstyle="miter"/>
          <v:path gradientshapeok="t" o:connecttype="rect"/>
        </v:shapetype>
        <v:shape id="zzmpTrailer_1078_89" o:spid="_x0000_s2059"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48000" filled="f" stroked="f">
          <v:textbox inset="0,0,0,0">
            <w:txbxContent>
              <w:p w:rsidR="008022FF" w:rsidP="007C4504">
                <w:pPr>
                  <w:pStyle w:val="MacPacTrailer"/>
                  <w:spacing w:line="20" w:lineRule="exact"/>
                </w:pPr>
              </w:p>
              <w:p w:rsidR="008022FF" w:rsidP="007C4504">
                <w:pPr>
                  <w:pStyle w:val="MacPacTrailer"/>
                </w:pPr>
                <w:r>
                  <w:t>WSLEGAL\058404\00011\16935086v18</w:t>
                </w:r>
              </w:p>
              <w:p w:rsidR="008022FF" w:rsidP="007C4504">
                <w:pPr>
                  <w:pStyle w:val="MacPacTrailer"/>
                  <w:spacing w:line="20" w:lineRule="exact"/>
                </w:pPr>
              </w:p>
              <w:p w:rsidR="008022FF" w:rsidP="007C4504">
                <w:pPr>
                  <w:pStyle w:val="MacPacTrailer"/>
                  <w:spacing w:line="20" w:lineRule="exact"/>
                </w:pPr>
              </w:p>
            </w:txbxContent>
          </v:textbox>
          <w10:wrap anchorx="margin"/>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22FF" w:rsidP="007C4504">
    <w:pPr>
      <w:pStyle w:val="Footer"/>
      <w:ind w:left="-144"/>
    </w:pPr>
    <w:r>
      <w:rPr>
        <w:noProof/>
      </w:rPr>
      <w:pict>
        <v:shapetype id="_x0000_t202" coordsize="21600,21600" o:spt="202" path="m,l,21600r21600,l21600,xe">
          <v:stroke joinstyle="miter"/>
          <v:path gradientshapeok="t" o:connecttype="rect"/>
        </v:shapetype>
        <v:shape id="zzmpTrailer_1078_8B" o:spid="_x0000_s2060"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8022FF" w:rsidP="007C4504">
                <w:pPr>
                  <w:pStyle w:val="MacPacTrailer"/>
                  <w:spacing w:line="20" w:lineRule="exact"/>
                </w:pPr>
              </w:p>
              <w:p w:rsidR="008022FF" w:rsidP="007C4504">
                <w:pPr>
                  <w:pStyle w:val="MacPacTrailer"/>
                </w:pPr>
                <w:r>
                  <w:t>WSLEGAL\058404\00011\16935086v18</w:t>
                </w:r>
              </w:p>
              <w:p w:rsidR="008022FF" w:rsidP="007C4504">
                <w:pPr>
                  <w:pStyle w:val="MacPacTrailer"/>
                  <w:spacing w:line="20" w:lineRule="exact"/>
                </w:pPr>
              </w:p>
              <w:p w:rsidR="008022FF" w:rsidP="007C4504">
                <w:pPr>
                  <w:pStyle w:val="MacPacTrailer"/>
                  <w:spacing w:line="20" w:lineRule="exact"/>
                </w:pPr>
              </w:p>
            </w:txbxContent>
          </v:textbox>
          <w10:wrap anchorx="margin"/>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22FF" w:rsidP="00B22DAD">
    <w:pPr>
      <w:pStyle w:val="Footer"/>
    </w:pPr>
    <w:r>
      <w:tab/>
      <w:t>-</w:t>
    </w:r>
    <w:r>
      <w:rPr>
        <w:rStyle w:val="PageNumber"/>
        <w:sz w:val="24"/>
      </w:rPr>
      <w:fldChar w:fldCharType="begin"/>
    </w:r>
    <w:r>
      <w:rPr>
        <w:rStyle w:val="PageNumber"/>
        <w:sz w:val="24"/>
      </w:rPr>
      <w:instrText xml:space="preserve"> PAGE  \* MERGEFORMAT </w:instrText>
    </w:r>
    <w:r>
      <w:rPr>
        <w:rStyle w:val="PageNumber"/>
        <w:sz w:val="24"/>
      </w:rPr>
      <w:fldChar w:fldCharType="separate"/>
    </w:r>
    <w:r w:rsidR="00230E5B">
      <w:rPr>
        <w:rStyle w:val="PageNumber"/>
        <w:noProof/>
        <w:sz w:val="24"/>
      </w:rPr>
      <w:t>18</w:t>
    </w:r>
    <w:r>
      <w:rPr>
        <w:rStyle w:val="PageNumber"/>
        <w:sz w:val="24"/>
      </w:rPr>
      <w:fldChar w:fldCharType="end"/>
    </w:r>
    <w:r>
      <w:t>-</w:t>
    </w:r>
    <w:r>
      <w:tab/>
    </w:r>
  </w:p>
  <w:p w:rsidR="008022FF" w:rsidP="007C4504">
    <w:pPr>
      <w:pStyle w:val="Footer"/>
    </w:pPr>
    <w:r>
      <w:rPr>
        <w:noProof/>
      </w:rPr>
      <w:pict>
        <v:shapetype id="_x0000_t202" coordsize="21600,21600" o:spt="202" path="m,l,21600r21600,l21600,xe">
          <v:stroke joinstyle="miter"/>
          <v:path gradientshapeok="t" o:connecttype="rect"/>
        </v:shapetype>
        <v:shape id="zzmpTrailer_1078_99" o:spid="_x0000_s2061"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45952" filled="f" stroked="f">
          <v:textbox inset="0,0,0,0">
            <w:txbxContent>
              <w:p w:rsidR="008022FF" w:rsidP="007C4504">
                <w:pPr>
                  <w:pStyle w:val="MacPacTrailer"/>
                  <w:spacing w:line="20" w:lineRule="exact"/>
                </w:pPr>
              </w:p>
              <w:p w:rsidR="008022FF" w:rsidP="007C4504">
                <w:pPr>
                  <w:pStyle w:val="MacPacTrailer"/>
                </w:pPr>
                <w:r>
                  <w:t>WSLEGAL\058404\00011\16935086v18</w:t>
                </w:r>
              </w:p>
              <w:p w:rsidR="008022FF" w:rsidP="007C4504">
                <w:pPr>
                  <w:pStyle w:val="MacPacTrailer"/>
                  <w:spacing w:line="20" w:lineRule="exact"/>
                </w:pPr>
              </w:p>
              <w:p w:rsidR="008022FF" w:rsidP="007C4504">
                <w:pPr>
                  <w:pStyle w:val="MacPacTrailer"/>
                  <w:spacing w:line="20" w:lineRule="exact"/>
                </w:pPr>
              </w:p>
            </w:txbxContent>
          </v:textbox>
          <w10:wrap anchorx="margin"/>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22FF" w:rsidP="007C4504">
    <w:pPr>
      <w:pStyle w:val="Footer"/>
      <w:ind w:left="-144"/>
    </w:pPr>
    <w:r>
      <w:rPr>
        <w:noProof/>
      </w:rPr>
      <w:pict>
        <v:shapetype id="_x0000_t202" coordsize="21600,21600" o:spt="202" path="m,l,21600r21600,l21600,xe">
          <v:stroke joinstyle="miter"/>
          <v:path gradientshapeok="t" o:connecttype="rect"/>
        </v:shapetype>
        <v:shape id="zzmpTrailer_1078_9B" o:spid="_x0000_s2062"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8022FF" w:rsidP="007C4504">
                <w:pPr>
                  <w:pStyle w:val="MacPacTrailer"/>
                  <w:spacing w:line="20" w:lineRule="exact"/>
                </w:pPr>
              </w:p>
              <w:p w:rsidR="008022FF" w:rsidP="007C4504">
                <w:pPr>
                  <w:pStyle w:val="MacPacTrailer"/>
                </w:pPr>
                <w:r>
                  <w:t>WSLEGAL\058404\00011\16935086v18</w:t>
                </w:r>
              </w:p>
              <w:p w:rsidR="008022FF" w:rsidP="007C4504">
                <w:pPr>
                  <w:pStyle w:val="MacPacTrailer"/>
                  <w:spacing w:line="20" w:lineRule="exact"/>
                </w:pPr>
              </w:p>
              <w:p w:rsidR="008022FF" w:rsidP="007C4504">
                <w:pPr>
                  <w:pStyle w:val="MacPacTrailer"/>
                  <w:spacing w:line="20" w:lineRule="exact"/>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22FF">
    <w:pPr>
      <w:pStyle w:val="Footer"/>
      <w:jc w:val="right"/>
    </w:pPr>
    <w:r>
      <w:t>Canadian Version</w:t>
    </w:r>
  </w:p>
  <w:p w:rsidR="008022FF">
    <w:pPr>
      <w:pStyle w:val="Footer"/>
      <w:jc w:val="right"/>
    </w:pPr>
    <w:r>
      <w:t>Last update: November 2020</w:t>
    </w:r>
  </w:p>
  <w:p w:rsidR="008022FF">
    <w:pPr>
      <w:pStyle w:val="Footer"/>
      <w:ind w:left="-144"/>
    </w:pPr>
    <w:r>
      <w:rPr>
        <w:noProof/>
        <w:lang w:val="en-GB" w:eastAsia="en-GB"/>
      </w:rPr>
      <w:pict>
        <v:shapetype id="_x0000_t202" coordsize="21600,21600" o:spt="202" path="m,l,21600r21600,l21600,xe">
          <v:stroke joinstyle="miter"/>
          <v:path gradientshapeok="t" o:connecttype="rect"/>
        </v:shapetype>
        <v:shape id="zzmpTrailer_1078_1B" o:spid="_x0000_s2050"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8022FF" w:rsidP="007C4504">
                <w:pPr>
                  <w:pStyle w:val="MacPacTrailer"/>
                  <w:spacing w:line="20" w:lineRule="exact"/>
                </w:pPr>
              </w:p>
              <w:p w:rsidR="008022FF">
                <w:pPr>
                  <w:pStyle w:val="MacPacTrailer"/>
                </w:pPr>
                <w:r>
                  <w:t>WSLEGAL\058404\00011\16935086v18</w:t>
                </w:r>
              </w:p>
              <w:p w:rsidR="008022FF" w:rsidP="007C4504">
                <w:pPr>
                  <w:pStyle w:val="MacPacTrailer"/>
                  <w:spacing w:line="20" w:lineRule="exact"/>
                </w:pPr>
              </w:p>
              <w:p w:rsidR="008022FF" w:rsidP="007C4504">
                <w:pPr>
                  <w:pStyle w:val="MacPacTrailer"/>
                  <w:spacing w:line="20" w:lineRule="exact"/>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22FF">
    <w:pPr>
      <w:pStyle w:val="Footer"/>
    </w:pPr>
    <w:r>
      <w:tab/>
      <w:t>-</w:t>
    </w:r>
    <w:r>
      <w:rPr>
        <w:rStyle w:val="PageNumber"/>
      </w:rPr>
      <w:fldChar w:fldCharType="begin"/>
    </w:r>
    <w:r>
      <w:rPr>
        <w:rStyle w:val="PageNumber"/>
      </w:rPr>
      <w:instrText xml:space="preserve"> PAGE  \* MERGEFORMAT </w:instrText>
    </w:r>
    <w:r>
      <w:rPr>
        <w:rStyle w:val="PageNumber"/>
      </w:rPr>
      <w:fldChar w:fldCharType="separate"/>
    </w:r>
    <w:r w:rsidR="00230E5B">
      <w:rPr>
        <w:rStyle w:val="PageNumber"/>
        <w:noProof/>
      </w:rPr>
      <w:t>iii</w:t>
    </w:r>
    <w:r>
      <w:rPr>
        <w:rStyle w:val="PageNumber"/>
      </w:rPr>
      <w:fldChar w:fldCharType="end"/>
    </w:r>
    <w:r>
      <w:t>-</w:t>
    </w:r>
    <w:r>
      <w:tab/>
    </w:r>
  </w:p>
  <w:p w:rsidR="008022FF" w:rsidP="007C4504">
    <w:pPr>
      <w:pStyle w:val="Footer"/>
    </w:pPr>
    <w:r>
      <w:rPr>
        <w:noProof/>
      </w:rPr>
      <w:pict>
        <v:shapetype id="_x0000_t202" coordsize="21600,21600" o:spt="202" path="m,l,21600r21600,l21600,xe">
          <v:stroke joinstyle="miter"/>
          <v:path gradientshapeok="t" o:connecttype="rect"/>
        </v:shapetype>
        <v:shape id="zzmpTrailer_1078_39" o:spid="_x0000_s2051"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8022FF" w:rsidP="007C4504">
                <w:pPr>
                  <w:pStyle w:val="MacPacTrailer"/>
                  <w:spacing w:line="20" w:lineRule="exact"/>
                </w:pPr>
              </w:p>
              <w:p w:rsidR="008022FF" w:rsidP="007C4504">
                <w:pPr>
                  <w:pStyle w:val="MacPacTrailer"/>
                </w:pPr>
                <w:r>
                  <w:t>WSLEGAL\058404\00011\16935086v18</w:t>
                </w:r>
              </w:p>
              <w:p w:rsidR="008022FF" w:rsidP="007C4504">
                <w:pPr>
                  <w:pStyle w:val="MacPacTrailer"/>
                  <w:spacing w:line="20" w:lineRule="exact"/>
                </w:pPr>
              </w:p>
              <w:p w:rsidR="008022FF" w:rsidP="007C4504">
                <w:pPr>
                  <w:pStyle w:val="MacPacTrailer"/>
                  <w:spacing w:line="20" w:lineRule="exact"/>
                </w:pP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22FF" w:rsidP="007C4504">
    <w:pPr>
      <w:pStyle w:val="Footer"/>
      <w:ind w:left="-144"/>
    </w:pPr>
    <w:r>
      <w:rPr>
        <w:noProof/>
      </w:rPr>
      <w:pict>
        <v:shapetype id="_x0000_t202" coordsize="21600,21600" o:spt="202" path="m,l,21600r21600,l21600,xe">
          <v:stroke joinstyle="miter"/>
          <v:path gradientshapeok="t" o:connecttype="rect"/>
        </v:shapetype>
        <v:shape id="zzmpTrailer_1078_3B" o:spid="_x0000_s2052"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8022FF" w:rsidP="007C4504">
                <w:pPr>
                  <w:pStyle w:val="MacPacTrailer"/>
                  <w:spacing w:line="20" w:lineRule="exact"/>
                </w:pPr>
              </w:p>
              <w:p w:rsidR="008022FF" w:rsidP="007C4504">
                <w:pPr>
                  <w:pStyle w:val="MacPacTrailer"/>
                </w:pPr>
                <w:r>
                  <w:t>WSLEGAL\058404\00011\16935086v18</w:t>
                </w:r>
              </w:p>
              <w:p w:rsidR="008022FF" w:rsidP="007C4504">
                <w:pPr>
                  <w:pStyle w:val="MacPacTrailer"/>
                  <w:spacing w:line="20" w:lineRule="exact"/>
                </w:pPr>
              </w:p>
              <w:p w:rsidR="008022FF" w:rsidP="007C4504">
                <w:pPr>
                  <w:pStyle w:val="MacPacTrailer"/>
                  <w:spacing w:line="20" w:lineRule="exact"/>
                </w:pP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22FF">
    <w:pPr>
      <w:pStyle w:val="Footer"/>
    </w:pPr>
    <w:r>
      <w:tab/>
      <w:t>-</w:t>
    </w:r>
    <w:r>
      <w:rPr>
        <w:rStyle w:val="PageNumber"/>
        <w:sz w:val="24"/>
      </w:rPr>
      <w:fldChar w:fldCharType="begin"/>
    </w:r>
    <w:r>
      <w:rPr>
        <w:rStyle w:val="PageNumber"/>
        <w:sz w:val="24"/>
      </w:rPr>
      <w:instrText xml:space="preserve"> PAGE  \* MERGEFORMAT </w:instrText>
    </w:r>
    <w:r>
      <w:rPr>
        <w:rStyle w:val="PageNumber"/>
        <w:sz w:val="24"/>
      </w:rPr>
      <w:fldChar w:fldCharType="separate"/>
    </w:r>
    <w:r w:rsidR="00230E5B">
      <w:rPr>
        <w:rStyle w:val="PageNumber"/>
        <w:noProof/>
        <w:sz w:val="24"/>
      </w:rPr>
      <w:t>9</w:t>
    </w:r>
    <w:r>
      <w:rPr>
        <w:rStyle w:val="PageNumber"/>
        <w:sz w:val="24"/>
      </w:rPr>
      <w:fldChar w:fldCharType="end"/>
    </w:r>
    <w:r>
      <w:t>-</w:t>
    </w:r>
    <w:r>
      <w:tab/>
    </w:r>
  </w:p>
  <w:p w:rsidR="008022FF" w:rsidP="007C4504">
    <w:pPr>
      <w:pStyle w:val="Footer"/>
    </w:pPr>
    <w:r>
      <w:rPr>
        <w:noProof/>
      </w:rPr>
      <w:pict>
        <v:shapetype id="_x0000_t202" coordsize="21600,21600" o:spt="202" path="m,l,21600r21600,l21600,xe">
          <v:stroke joinstyle="miter"/>
          <v:path gradientshapeok="t" o:connecttype="rect"/>
        </v:shapetype>
        <v:shape id="zzmpTrailer_1078_49" o:spid="_x0000_s2053"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8022FF" w:rsidP="007C4504">
                <w:pPr>
                  <w:pStyle w:val="MacPacTrailer"/>
                  <w:spacing w:line="20" w:lineRule="exact"/>
                </w:pPr>
              </w:p>
              <w:p w:rsidR="008022FF" w:rsidP="007C4504">
                <w:pPr>
                  <w:pStyle w:val="MacPacTrailer"/>
                </w:pPr>
                <w:r>
                  <w:t>WSLEGAL\058404\00011\16935086v18</w:t>
                </w:r>
              </w:p>
              <w:p w:rsidR="008022FF" w:rsidP="007C4504">
                <w:pPr>
                  <w:pStyle w:val="MacPacTrailer"/>
                  <w:spacing w:line="20" w:lineRule="exact"/>
                </w:pPr>
              </w:p>
              <w:p w:rsidR="008022FF" w:rsidP="007C4504">
                <w:pPr>
                  <w:pStyle w:val="MacPacTrailer"/>
                  <w:spacing w:line="20" w:lineRule="exact"/>
                </w:pP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22FF" w:rsidP="007C4504">
    <w:pPr>
      <w:pStyle w:val="Footer"/>
      <w:ind w:left="-144"/>
    </w:pPr>
    <w:r>
      <w:rPr>
        <w:noProof/>
      </w:rPr>
      <w:pict>
        <v:shapetype id="_x0000_t202" coordsize="21600,21600" o:spt="202" path="m,l,21600r21600,l21600,xe">
          <v:stroke joinstyle="miter"/>
          <v:path gradientshapeok="t" o:connecttype="rect"/>
        </v:shapetype>
        <v:shape id="zzmpTrailer_1078_4B" o:spid="_x0000_s2054"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8022FF" w:rsidP="007C4504">
                <w:pPr>
                  <w:pStyle w:val="MacPacTrailer"/>
                  <w:spacing w:line="20" w:lineRule="exact"/>
                </w:pPr>
              </w:p>
              <w:p w:rsidR="008022FF" w:rsidP="007C4504">
                <w:pPr>
                  <w:pStyle w:val="MacPacTrailer"/>
                </w:pPr>
                <w:r>
                  <w:t>WSLEGAL\058404\00011\16935086v18</w:t>
                </w:r>
              </w:p>
              <w:p w:rsidR="008022FF" w:rsidP="007C4504">
                <w:pPr>
                  <w:pStyle w:val="MacPacTrailer"/>
                  <w:spacing w:line="20" w:lineRule="exact"/>
                </w:pPr>
              </w:p>
              <w:p w:rsidR="008022FF" w:rsidP="007C4504">
                <w:pPr>
                  <w:pStyle w:val="MacPacTrailer"/>
                  <w:spacing w:line="20" w:lineRule="exact"/>
                </w:pP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22FF">
    <w:pPr>
      <w:pStyle w:val="Footer"/>
      <w:jc w:val="center"/>
      <w:rPr>
        <w:rFonts w:ascii="Times New Roman Bold" w:hAnsi="Times New Roman Bold"/>
        <w:b/>
        <w:smallCaps/>
      </w:rPr>
    </w:pPr>
    <w:r>
      <w:rPr>
        <w:rFonts w:ascii="Times New Roman Bold" w:hAnsi="Times New Roman Bold"/>
        <w:b/>
        <w:smallCaps/>
      </w:rPr>
      <w:t>Signature Page for Adoption Agreement</w:t>
    </w:r>
  </w:p>
  <w:p w:rsidR="008022FF" w:rsidP="007C4504">
    <w:pPr>
      <w:pStyle w:val="Footer"/>
    </w:pPr>
    <w:r>
      <w:rPr>
        <w:noProof/>
      </w:rPr>
      <w:pict>
        <v:shapetype id="_x0000_t202" coordsize="21600,21600" o:spt="202" path="m,l,21600r21600,l21600,xe">
          <v:stroke joinstyle="miter"/>
          <v:path gradientshapeok="t" o:connecttype="rect"/>
        </v:shapetype>
        <v:shape id="zzmpTrailer_1078_59" o:spid="_x0000_s2055"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2096" filled="f" stroked="f">
          <v:textbox inset="0,0,0,0">
            <w:txbxContent>
              <w:p w:rsidR="008022FF" w:rsidP="007C4504">
                <w:pPr>
                  <w:pStyle w:val="MacPacTrailer"/>
                  <w:spacing w:line="20" w:lineRule="exact"/>
                </w:pPr>
              </w:p>
              <w:p w:rsidR="008022FF" w:rsidP="007C4504">
                <w:pPr>
                  <w:pStyle w:val="MacPacTrailer"/>
                </w:pPr>
                <w:r>
                  <w:t>WSLEGAL\058404\00011\16935086v18</w:t>
                </w:r>
              </w:p>
              <w:p w:rsidR="008022FF" w:rsidP="007C4504">
                <w:pPr>
                  <w:pStyle w:val="MacPacTrailer"/>
                  <w:spacing w:line="20" w:lineRule="exact"/>
                </w:pPr>
              </w:p>
              <w:p w:rsidR="008022FF" w:rsidP="007C4504">
                <w:pPr>
                  <w:pStyle w:val="MacPacTrailer"/>
                  <w:spacing w:line="20" w:lineRule="exact"/>
                </w:pP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22FF" w:rsidP="007C4504">
    <w:pPr>
      <w:pStyle w:val="Footer"/>
      <w:ind w:left="-144"/>
    </w:pPr>
    <w:r>
      <w:rPr>
        <w:noProof/>
      </w:rPr>
      <w:pict>
        <v:shapetype id="_x0000_t202" coordsize="21600,21600" o:spt="202" path="m,l,21600r21600,l21600,xe">
          <v:stroke joinstyle="miter"/>
          <v:path gradientshapeok="t" o:connecttype="rect"/>
        </v:shapetype>
        <v:shape id="zzmpTrailer_1078_5B" o:spid="_x0000_s2056"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8022FF" w:rsidP="007C4504">
                <w:pPr>
                  <w:pStyle w:val="MacPacTrailer"/>
                  <w:spacing w:line="20" w:lineRule="exact"/>
                </w:pPr>
              </w:p>
              <w:p w:rsidR="008022FF" w:rsidP="007C4504">
                <w:pPr>
                  <w:pStyle w:val="MacPacTrailer"/>
                </w:pPr>
                <w:r>
                  <w:t>WSLEGAL\058404\00011\16935086v18</w:t>
                </w:r>
              </w:p>
              <w:p w:rsidR="008022FF" w:rsidP="007C4504">
                <w:pPr>
                  <w:pStyle w:val="MacPacTrailer"/>
                  <w:spacing w:line="20" w:lineRule="exact"/>
                </w:pPr>
              </w:p>
              <w:p w:rsidR="008022FF" w:rsidP="007C4504">
                <w:pPr>
                  <w:pStyle w:val="MacPacTrailer"/>
                  <w:spacing w:line="20" w:lineRule="exact"/>
                </w:pP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22FF" w:rsidP="007C4504">
    <w:pPr>
      <w:pStyle w:val="Footer"/>
      <w:ind w:left="-144"/>
    </w:pPr>
    <w:r>
      <w:rPr>
        <w:noProof/>
      </w:rPr>
      <w:pict>
        <v:shapetype id="_x0000_t202" coordsize="21600,21600" o:spt="202" path="m,l,21600r21600,l21600,xe">
          <v:stroke joinstyle="miter"/>
          <v:path gradientshapeok="t" o:connecttype="rect"/>
        </v:shapetype>
        <v:shape id="zzmpTrailer_1078_6B" o:spid="_x0000_s2057"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0048" filled="f" stroked="f">
          <v:textbox inset="0,0,0,0">
            <w:txbxContent>
              <w:p w:rsidR="008022FF" w:rsidP="007C4504">
                <w:pPr>
                  <w:pStyle w:val="MacPacTrailer"/>
                  <w:spacing w:line="20" w:lineRule="exact"/>
                </w:pPr>
              </w:p>
              <w:p w:rsidR="008022FF" w:rsidP="007C4504">
                <w:pPr>
                  <w:pStyle w:val="MacPacTrailer"/>
                </w:pPr>
                <w:r>
                  <w:t>WSLEGAL\058404\00011\16935086v18</w:t>
                </w:r>
              </w:p>
              <w:p w:rsidR="008022FF" w:rsidP="007C4504">
                <w:pPr>
                  <w:pStyle w:val="MacPacTrailer"/>
                  <w:spacing w:line="20" w:lineRule="exact"/>
                </w:pPr>
              </w:p>
              <w:p w:rsidR="008022FF" w:rsidP="007C4504">
                <w:pPr>
                  <w:pStyle w:val="MacPacTrailer"/>
                  <w:spacing w:line="20" w:lineRule="exact"/>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A44D1" w:rsidP="00C20A1A">
      <w:r>
        <w:separator/>
      </w:r>
    </w:p>
  </w:footnote>
  <w:footnote w:type="continuationSeparator" w:id="1">
    <w:p w:rsidR="004A44D1" w:rsidP="00C20A1A">
      <w:r>
        <w:continuationSeparator/>
      </w:r>
    </w:p>
  </w:footnote>
  <w:footnote w:id="2">
    <w:p w:rsidR="008022FF" w:rsidP="00D219CA">
      <w:pPr>
        <w:pStyle w:val="FootnoteText"/>
        <w:tabs>
          <w:tab w:val="clear" w:pos="288"/>
        </w:tabs>
        <w:ind w:left="180" w:hanging="180"/>
      </w:pPr>
      <w:r>
        <w:rPr>
          <w:rStyle w:val="FootnoteReference"/>
        </w:rPr>
        <w:footnoteRef/>
      </w:r>
      <w:r>
        <w:t xml:space="preserve"> </w:t>
      </w:r>
      <w:r>
        <w:tab/>
        <w:t>The CFIUS and the Defense Production Act provisions in the NVCA documents have been omitted from this document.</w:t>
      </w:r>
    </w:p>
  </w:footnote>
  <w:footnote w:id="3">
    <w:p w:rsidR="008022FF" w:rsidP="00D206B0">
      <w:pPr>
        <w:pStyle w:val="FootnoteText"/>
        <w:tabs>
          <w:tab w:val="clear" w:pos="288"/>
        </w:tabs>
        <w:ind w:left="180" w:hanging="180"/>
      </w:pPr>
      <w:r>
        <w:rPr>
          <w:rStyle w:val="FootnoteReference"/>
        </w:rPr>
        <w:footnoteRef/>
      </w:r>
      <w:r>
        <w:tab/>
      </w:r>
      <w:r>
        <w:rPr>
          <w:szCs w:val="16"/>
        </w:rPr>
        <w:t xml:space="preserve">Under the </w:t>
      </w:r>
      <w:r>
        <w:rPr>
          <w:i/>
          <w:iCs/>
          <w:szCs w:val="16"/>
        </w:rPr>
        <w:t>Canada Business Corporations Act</w:t>
      </w:r>
      <w:r>
        <w:rPr>
          <w:szCs w:val="16"/>
        </w:rPr>
        <w:t xml:space="preserve"> ("</w:t>
      </w:r>
      <w:r>
        <w:rPr>
          <w:b/>
          <w:bCs/>
          <w:szCs w:val="16"/>
        </w:rPr>
        <w:t>CBCA</w:t>
      </w:r>
      <w:r>
        <w:rPr>
          <w:szCs w:val="16"/>
        </w:rPr>
        <w:t xml:space="preserve">") and </w:t>
      </w:r>
      <w:r>
        <w:rPr>
          <w:i/>
          <w:iCs/>
          <w:szCs w:val="16"/>
        </w:rPr>
        <w:t>Business Corporations Act</w:t>
      </w:r>
      <w:r>
        <w:rPr>
          <w:szCs w:val="16"/>
        </w:rPr>
        <w:t xml:space="preserve"> (Ontario) ("</w:t>
      </w:r>
      <w:r>
        <w:rPr>
          <w:b/>
          <w:bCs/>
          <w:szCs w:val="16"/>
        </w:rPr>
        <w:t>OBCA</w:t>
      </w:r>
      <w:r>
        <w:rPr>
          <w:szCs w:val="16"/>
        </w:rPr>
        <w:t>"), a unanimous shareholders agreement must be disclosed to any shareholder and to creditors upon request. (OBCA s 145, CBCA s 21(1))</w:t>
      </w:r>
    </w:p>
  </w:footnote>
  <w:footnote w:id="4">
    <w:p w:rsidR="008022FF" w:rsidP="00FF733A">
      <w:pPr>
        <w:pStyle w:val="FootnoteText"/>
      </w:pPr>
      <w:r>
        <w:rPr>
          <w:rStyle w:val="FootnoteReference"/>
        </w:rPr>
        <w:footnoteRef/>
      </w:r>
      <w:r>
        <w:tab/>
      </w:r>
      <w:r w:rsidRPr="00FF733A">
        <w:t>Consideration</w:t>
      </w:r>
      <w:r>
        <w:t xml:space="preserve"> should be given to making this Agreement a "unanimous shareholder agreement" under the CBCA, OBCA or the business corporation statute of the relevant jurisdiction. In order for this Agreement to be a unanimous shareholder agreement, all shareholders must be parties to this Agreement, and it must include a provision restricting the rights of the directors to some, even minor, extent. (CBCA s </w:t>
      </w:r>
      <w:r>
        <w:rPr>
          <w:rFonts w:cs="Times New Roman"/>
        </w:rPr>
        <w:t>146(1)</w:t>
      </w:r>
      <w:r>
        <w:t>, OBCA s 108(2)</w:t>
      </w:r>
      <w:r>
        <w:rPr>
          <w:rFonts w:cs="Times New Roman"/>
        </w:rPr>
        <w:t>.)</w:t>
      </w:r>
    </w:p>
  </w:footnote>
  <w:footnote w:id="5">
    <w:p w:rsidR="008022FF" w:rsidP="00FF733A">
      <w:pPr>
        <w:pStyle w:val="FootnoteText"/>
      </w:pPr>
      <w:r>
        <w:rPr>
          <w:rStyle w:val="FootnoteReference"/>
        </w:rPr>
        <w:footnoteRef/>
      </w:r>
      <w:r>
        <w:tab/>
        <w:t>From Voting Agreement (s. 1.2), a similar definition is used in the Right of First Refusal and Co-Sale Agreement and the Investors' Rights Agreement.</w:t>
      </w:r>
    </w:p>
  </w:footnote>
  <w:footnote w:id="6">
    <w:p w:rsidR="008022FF" w:rsidP="00FF733A">
      <w:pPr>
        <w:pStyle w:val="FootnoteText"/>
      </w:pPr>
      <w:r>
        <w:rPr>
          <w:rStyle w:val="FootnoteReference"/>
        </w:rPr>
        <w:footnoteRef/>
      </w:r>
      <w:r>
        <w:tab/>
        <w:t xml:space="preserve">It may be easier for </w:t>
      </w:r>
      <w:r w:rsidRPr="00FF733A">
        <w:t>consistency</w:t>
      </w:r>
      <w:r>
        <w:t xml:space="preserve"> purposes to refer to the definition of Deemed Liquidation Event in the Articles.</w:t>
      </w:r>
    </w:p>
  </w:footnote>
  <w:footnote w:id="7">
    <w:p w:rsidR="008022FF" w:rsidP="00FF733A">
      <w:pPr>
        <w:pStyle w:val="FootnoteText"/>
      </w:pPr>
      <w:r>
        <w:rPr>
          <w:rStyle w:val="FootnoteReference"/>
        </w:rPr>
        <w:footnoteRef/>
      </w:r>
      <w:r>
        <w:t xml:space="preserve"> </w:t>
      </w:r>
      <w:r>
        <w:tab/>
        <w:t xml:space="preserve">Occasionally, it may </w:t>
      </w:r>
      <w:r w:rsidRPr="00FF733A">
        <w:t>be</w:t>
      </w:r>
      <w:r>
        <w:t xml:space="preserve"> appropriate to specify important assets of the Company.</w:t>
      </w:r>
    </w:p>
  </w:footnote>
  <w:footnote w:id="8">
    <w:p w:rsidR="008022FF" w:rsidP="00FF733A">
      <w:pPr>
        <w:pStyle w:val="FootnoteText"/>
      </w:pPr>
      <w:r>
        <w:rPr>
          <w:rStyle w:val="FootnoteReference"/>
        </w:rPr>
        <w:footnoteRef/>
      </w:r>
      <w:r>
        <w:t xml:space="preserve"> </w:t>
      </w:r>
      <w:r>
        <w:tab/>
        <w:t xml:space="preserve">In a Class A round at a high-tech start-up, it is likely that the only key employees in addition to management, if any, are those who are responsible for developing </w:t>
      </w:r>
      <w:r w:rsidRPr="00FF733A">
        <w:t>the</w:t>
      </w:r>
      <w:r>
        <w:t xml:space="preserve"> Company's key intellectual property assets. It may be simpler for these early-stage companies to list the Key Employees by name. In later rounds, it may be appropriate to include others, e.g., important salespeople or consultants and define Key Employees by function (</w:t>
      </w:r>
      <w:r>
        <w:rPr>
          <w:i/>
          <w:iCs/>
        </w:rPr>
        <w:t>e.g.</w:t>
      </w:r>
      <w:r>
        <w:t>, division director).</w:t>
      </w:r>
    </w:p>
  </w:footnote>
  <w:footnote w:id="9">
    <w:p w:rsidR="008022FF" w:rsidP="00FF733A">
      <w:pPr>
        <w:pStyle w:val="FootnoteText"/>
      </w:pPr>
      <w:r>
        <w:rPr>
          <w:rStyle w:val="FootnoteReference"/>
        </w:rPr>
        <w:footnoteRef/>
      </w:r>
      <w:r>
        <w:t xml:space="preserve"> </w:t>
      </w:r>
      <w:r>
        <w:tab/>
        <w:t>Note that it would be unusual for an employee who is not a shareholder to become a party to this Shareholders Agreement as a Key Holder prior to becoming a Shareholder.</w:t>
      </w:r>
    </w:p>
  </w:footnote>
  <w:footnote w:id="10">
    <w:p w:rsidR="008022FF" w:rsidRPr="00896C8A" w:rsidP="00FF733A">
      <w:pPr>
        <w:pStyle w:val="FootnoteText"/>
        <w:rPr>
          <w:lang w:val="en-CA"/>
        </w:rPr>
      </w:pPr>
      <w:r>
        <w:rPr>
          <w:rStyle w:val="FootnoteReference"/>
        </w:rPr>
        <w:footnoteRef/>
      </w:r>
      <w:r>
        <w:tab/>
      </w:r>
      <w:r>
        <w:rPr>
          <w:lang w:val="en-CA"/>
        </w:rPr>
        <w:t xml:space="preserve">If the holders of Class A </w:t>
      </w:r>
      <w:r w:rsidRPr="00FF733A">
        <w:t>Preferred</w:t>
      </w:r>
      <w:r>
        <w:rPr>
          <w:lang w:val="en-CA"/>
        </w:rPr>
        <w:t xml:space="preserve"> Shares are not given the right to elect directors in the Articles, refer instead to the Investor designees in this Agreement.</w:t>
      </w:r>
    </w:p>
  </w:footnote>
  <w:footnote w:id="11">
    <w:p w:rsidR="008022FF" w:rsidP="00FF733A">
      <w:pPr>
        <w:pStyle w:val="FootnoteText"/>
      </w:pPr>
      <w:r>
        <w:rPr>
          <w:rStyle w:val="FootnoteReference"/>
        </w:rPr>
        <w:footnoteRef/>
      </w:r>
      <w:r>
        <w:t xml:space="preserve"> </w:t>
      </w:r>
      <w:r>
        <w:tab/>
        <w:t>Note that this definition is unnecessary unless there are multiple classes of preferred sharex.</w:t>
      </w:r>
    </w:p>
  </w:footnote>
  <w:footnote w:id="12">
    <w:p w:rsidR="008022FF">
      <w:pPr>
        <w:pStyle w:val="FootnoteText"/>
      </w:pPr>
      <w:r>
        <w:rPr>
          <w:rStyle w:val="FootnoteReference"/>
        </w:rPr>
        <w:footnoteRef/>
      </w:r>
      <w:r>
        <w:tab/>
        <w:t xml:space="preserve">This definition should be modified appropriately if transfers by holders other than Key Holders will be subject to rights of first refusal and co-sale. See footnote </w:t>
      </w:r>
      <w:r>
        <w:fldChar w:fldCharType="begin"/>
      </w:r>
      <w:r>
        <w:instrText xml:space="preserve"> NOTEREF _Ref56149522 \h </w:instrText>
      </w:r>
      <w:r>
        <w:fldChar w:fldCharType="separate"/>
      </w:r>
      <w:r w:rsidR="00230E5B">
        <w:t>67</w:t>
      </w:r>
      <w:r>
        <w:fldChar w:fldCharType="end"/>
      </w:r>
      <w:r>
        <w:t>. Also note that this definition permits sales by Key Holders of any Preferred Shares owned by Key Holders and any Common Shares received upon conversion of any Preferred Shares owned by Key Holders, on the theory that those shares have been purchased and should be treated the same as Investor Preferred Shares.</w:t>
      </w:r>
    </w:p>
  </w:footnote>
  <w:footnote w:id="13">
    <w:p w:rsidR="008022FF">
      <w:pPr>
        <w:pStyle w:val="FootnoteText"/>
      </w:pPr>
      <w:r>
        <w:rPr>
          <w:rStyle w:val="FootnoteReference"/>
        </w:rPr>
        <w:footnoteRef/>
      </w:r>
      <w:r>
        <w:t xml:space="preserve"> </w:t>
      </w:r>
      <w:r>
        <w:tab/>
        <w:t>This is not an NVCA provision.</w:t>
      </w:r>
    </w:p>
  </w:footnote>
  <w:footnote w:id="14">
    <w:p w:rsidR="008022FF">
      <w:pPr>
        <w:pStyle w:val="FootnoteText"/>
      </w:pPr>
      <w:r>
        <w:rPr>
          <w:rStyle w:val="FootnoteReference"/>
        </w:rPr>
        <w:footnoteRef/>
      </w:r>
      <w:r>
        <w:t xml:space="preserve"> </w:t>
      </w:r>
      <w:r>
        <w:tab/>
        <w:t>If there are other key documents (e.g. side letters) that are part of the transaction, consider including them in a definition of Transaction Documents.</w:t>
      </w:r>
    </w:p>
  </w:footnote>
  <w:footnote w:id="15">
    <w:p w:rsidR="008022FF">
      <w:pPr>
        <w:pStyle w:val="FootnoteText"/>
      </w:pPr>
      <w:r>
        <w:rPr>
          <w:rStyle w:val="FootnoteReference"/>
        </w:rPr>
        <w:footnoteRef/>
      </w:r>
      <w:r>
        <w:tab/>
        <w:t>The drafter should ensure that the relevant signatories to the current agreement have authority to terminate or amend the Prior Agreement under the terms of the Prior Agreement.</w:t>
      </w:r>
    </w:p>
  </w:footnote>
  <w:footnote w:id="16">
    <w:p w:rsidR="008022FF" w:rsidP="00FF733A">
      <w:pPr>
        <w:pStyle w:val="FootnoteText"/>
      </w:pPr>
      <w:r>
        <w:rPr>
          <w:rStyle w:val="FootnoteReference"/>
        </w:rPr>
        <w:footnoteRef/>
      </w:r>
      <w:r>
        <w:tab/>
        <w:t xml:space="preserve">This is not an NVCA provision. These requirements </w:t>
      </w:r>
      <w:r w:rsidRPr="00FF733A">
        <w:t>are</w:t>
      </w:r>
      <w:r>
        <w:t xml:space="preserve"> set out in s. 146</w:t>
      </w:r>
      <w:r>
        <w:rPr>
          <w:rFonts w:cs="Times New Roman"/>
        </w:rPr>
        <w:t xml:space="preserve"> of the CBCA and s. 108 of the OBCA.</w:t>
      </w:r>
    </w:p>
  </w:footnote>
  <w:footnote w:id="17">
    <w:p w:rsidR="008022FF" w:rsidP="00C968F6">
      <w:pPr>
        <w:pStyle w:val="FootnoteText"/>
      </w:pPr>
      <w:r>
        <w:rPr>
          <w:rStyle w:val="FootnoteReference"/>
        </w:rPr>
        <w:footnoteRef/>
      </w:r>
      <w:r>
        <w:tab/>
        <w:t xml:space="preserve">Section 2.1(d) will only be effective as a matter of law if this </w:t>
      </w:r>
      <w:r w:rsidRPr="00C968F6">
        <w:t>Agreement</w:t>
      </w:r>
      <w:r>
        <w:t xml:space="preserve"> is a unanimous shareholders agreement under the CBCA, OBCA or other applicable business corporations statute.</w:t>
      </w:r>
    </w:p>
  </w:footnote>
  <w:footnote w:id="18">
    <w:p w:rsidR="008022FF" w:rsidP="00C968F6">
      <w:pPr>
        <w:pStyle w:val="FootnoteText"/>
      </w:pPr>
      <w:r>
        <w:rPr>
          <w:rStyle w:val="FootnoteReference"/>
        </w:rPr>
        <w:footnoteRef/>
      </w:r>
      <w:r>
        <w:tab/>
        <w:t xml:space="preserve">This is not an NVCA provision. To permit a company to issue shares in reliance on the private issuer exemption under Canadian securities laws (see section 2.4(1)(b)(i) of National Instrument 45-106), the company's </w:t>
      </w:r>
      <w:r w:rsidRPr="00C968F6">
        <w:t>articles</w:t>
      </w:r>
      <w:r>
        <w:t xml:space="preserve"> frequently contain a transfer restriction requiring that any transfer of securities, other than non-convertible debt securities, be approved by the board or a majority of the shareholders. This "</w:t>
      </w:r>
      <w:r>
        <w:rPr>
          <w:b/>
          <w:bCs/>
        </w:rPr>
        <w:t>Deemed Consent to Transfer</w:t>
      </w:r>
      <w:r>
        <w:t>" provision is intended to address that transfer restriction so that board or shareholder approval does not need to be obtained separately so long as the requirements of this Agreement are satisfied.</w:t>
      </w:r>
    </w:p>
  </w:footnote>
  <w:footnote w:id="19">
    <w:p w:rsidR="008022FF" w:rsidP="005F658C">
      <w:pPr>
        <w:pStyle w:val="FootnoteText"/>
        <w:tabs>
          <w:tab w:val="clear" w:pos="288"/>
        </w:tabs>
        <w:ind w:left="360" w:hanging="360"/>
      </w:pPr>
      <w:r>
        <w:rPr>
          <w:rStyle w:val="FootnoteReference"/>
        </w:rPr>
        <w:footnoteRef/>
      </w:r>
      <w:r>
        <w:tab/>
        <w:t>Careful consideration should be given to ensure that the shareholders agreement does not contradict class or series votes created by the Articles. In particular, if the Articles provide for the creation of an additional classes (e.g., Class A-1) to effectuate "pay-to-play" provisions, care should be taken to ensure that such shares are also included in the appropriate places in this Agreement.</w:t>
      </w:r>
    </w:p>
  </w:footnote>
  <w:footnote w:id="20">
    <w:p w:rsidR="008022FF" w:rsidP="005F658C">
      <w:pPr>
        <w:pStyle w:val="FootnoteText"/>
        <w:tabs>
          <w:tab w:val="clear" w:pos="288"/>
        </w:tabs>
        <w:ind w:left="360" w:hanging="360"/>
      </w:pPr>
      <w:r>
        <w:rPr>
          <w:rStyle w:val="FootnoteReference"/>
        </w:rPr>
        <w:footnoteRef/>
      </w:r>
      <w:r>
        <w:t xml:space="preserve"> </w:t>
      </w:r>
      <w:r>
        <w:tab/>
      </w:r>
      <w:r w:rsidRPr="0041670C">
        <w:t>Drafters should be mindful that the total number of directors will generally be determined by the Company's Articles (which either allow for a (i) a minimum and maximum number of directors, or (ii) a fixed number of directors), as well as any protective provisions set forth in the Articles or this Agreement regarding increasing/decreasing the Board size.</w:t>
      </w:r>
    </w:p>
  </w:footnote>
  <w:footnote w:id="21">
    <w:p w:rsidR="008022FF" w:rsidP="005F658C">
      <w:pPr>
        <w:pStyle w:val="FootnoteText"/>
        <w:tabs>
          <w:tab w:val="clear" w:pos="288"/>
        </w:tabs>
        <w:ind w:left="360" w:hanging="360"/>
        <w:rPr>
          <w:b/>
          <w:bCs/>
        </w:rPr>
      </w:pPr>
      <w:r>
        <w:rPr>
          <w:rStyle w:val="FootnoteReference"/>
        </w:rPr>
        <w:footnoteRef/>
      </w:r>
      <w:r>
        <w:tab/>
        <w:t xml:space="preserve">The number of permutations of Board composition are almost limitless. Some of the more common requirements are set forth in Section </w:t>
      </w:r>
      <w:r>
        <w:fldChar w:fldCharType="begin"/>
      </w:r>
      <w:r>
        <w:instrText xml:space="preserve"> REF _Ref448392685 \n \h </w:instrText>
      </w:r>
      <w:r>
        <w:fldChar w:fldCharType="separate"/>
      </w:r>
      <w:r w:rsidR="00230E5B">
        <w:t>3.2</w:t>
      </w:r>
      <w:r>
        <w:fldChar w:fldCharType="end"/>
      </w:r>
      <w:r>
        <w:t xml:space="preserve">. Note also that some business corporation statutes require a certain number of Canadian resident directors to be in attendance at any board meeting. The percentage is 25% for the CBCA (s. </w:t>
      </w:r>
      <w:r>
        <w:rPr>
          <w:rFonts w:cs="Times New Roman"/>
        </w:rPr>
        <w:t>105(3)</w:t>
      </w:r>
      <w:r>
        <w:t xml:space="preserve">) and OBCA (s. </w:t>
      </w:r>
      <w:r>
        <w:rPr>
          <w:rFonts w:cs="Times New Roman"/>
        </w:rPr>
        <w:t>118(3)</w:t>
      </w:r>
      <w:r>
        <w:t>).</w:t>
      </w:r>
    </w:p>
  </w:footnote>
  <w:footnote w:id="22">
    <w:p w:rsidR="008022FF" w:rsidP="005F658C">
      <w:pPr>
        <w:pStyle w:val="FootnoteText"/>
        <w:tabs>
          <w:tab w:val="clear" w:pos="288"/>
        </w:tabs>
        <w:ind w:left="360" w:hanging="360"/>
      </w:pPr>
      <w:r>
        <w:rPr>
          <w:rStyle w:val="FootnoteReference"/>
        </w:rPr>
        <w:footnoteRef/>
      </w:r>
      <w:r>
        <w:tab/>
        <w:t>Careful consideration should be given whenever an individual is named to serve as a director who may have the ability to continue to serve at his or her pleasure. Alternative 1 provides that a founder director shall be elected by the majority of the Key Holders' shares or the common shares, depending upon which alternative is selected, but in fact the designated founder may have sufficient shares to control that vote. Alternative 2 has a variety of choices: the first ties the Board seat to continued status as an officer or employee, which may be within the control of the majority of the Board; the other alternatives tie the right to designate a director only to continued minimum holdings of shares.</w:t>
      </w:r>
    </w:p>
  </w:footnote>
  <w:footnote w:id="23">
    <w:p w:rsidR="008022FF" w:rsidP="005F658C">
      <w:pPr>
        <w:pStyle w:val="FootnoteText"/>
        <w:tabs>
          <w:tab w:val="clear" w:pos="288"/>
        </w:tabs>
        <w:ind w:left="360" w:hanging="360"/>
      </w:pPr>
      <w:r>
        <w:rPr>
          <w:rStyle w:val="FootnoteReference"/>
        </w:rPr>
        <w:footnoteRef/>
      </w:r>
      <w:r>
        <w:t xml:space="preserve"> </w:t>
      </w:r>
      <w:r>
        <w:tab/>
        <w:t xml:space="preserve">Note the importance of following the formalities for resignations and removals of directors to ensure the valid composition of the Board. For example, if a director who wishes to resign simply ceases to act as a director, but does not tender his/her resignation to the Company or is not properly removed from the Board, he or she will continue to be a director. Accordingly, written consents that do not include his or her signature will likely not be considered unanimous and, therefore, be ineffective. Moreover, if the director does not properly resign, a vacancy may not exist that the remaining directors are able to fill. </w:t>
      </w:r>
    </w:p>
  </w:footnote>
  <w:footnote w:id="24">
    <w:p w:rsidR="008022FF" w:rsidP="005F658C">
      <w:pPr>
        <w:pStyle w:val="FootnoteText"/>
        <w:tabs>
          <w:tab w:val="clear" w:pos="288"/>
        </w:tabs>
        <w:ind w:left="360" w:hanging="360"/>
      </w:pPr>
      <w:r>
        <w:rPr>
          <w:rStyle w:val="FootnoteReference"/>
        </w:rPr>
        <w:footnoteRef/>
      </w:r>
      <w:r>
        <w:tab/>
        <w:t>Alternatively, the agreement can enumerate the identity of each group whose consent is necessary to remove each director, but care should be given to ensure that the consent requirements conform to the exact subsets entitled to designate directors, e.g., "the holders of a majority of the Shares held by the Key Holders who are then providing services to the Company as officers, employees or consultants."</w:t>
      </w:r>
    </w:p>
  </w:footnote>
  <w:footnote w:id="25">
    <w:p w:rsidR="008022FF" w:rsidP="005F658C">
      <w:pPr>
        <w:pStyle w:val="FootnoteText"/>
        <w:tabs>
          <w:tab w:val="clear" w:pos="288"/>
        </w:tabs>
        <w:ind w:left="360" w:hanging="360"/>
      </w:pPr>
      <w:r>
        <w:rPr>
          <w:rStyle w:val="FootnoteReference"/>
        </w:rPr>
        <w:footnoteRef/>
      </w:r>
      <w:r>
        <w:tab/>
        <w:t>For flexibility reasons it may be useful to permit the Board to fill the vacancy in addition to the right of the Shareholders to do so. If so, the drafter should provide that the individual to fill the vacancy must be approved by the Person who has the right to nominate that director pursuant to this Shareholders Agreement, and should take care that the provision is in accord with the Articles, the By-laws and the applicable corporation's statute. See Section 111 of the CBCA or Section 124 of the OBCA.</w:t>
      </w:r>
    </w:p>
  </w:footnote>
  <w:footnote w:id="26">
    <w:p w:rsidR="008022FF" w:rsidP="005F658C">
      <w:pPr>
        <w:pStyle w:val="FootnoteText"/>
        <w:tabs>
          <w:tab w:val="clear" w:pos="288"/>
        </w:tabs>
        <w:ind w:left="360" w:hanging="360"/>
      </w:pPr>
      <w:r>
        <w:rPr>
          <w:rStyle w:val="FootnoteReference"/>
        </w:rPr>
        <w:footnoteRef/>
      </w:r>
      <w:r>
        <w:t xml:space="preserve"> </w:t>
      </w:r>
      <w:r>
        <w:tab/>
        <w:t>Note that a director who is designated by agreement of multiple parties can be removed only by the consent of each of those parties, unless this Agreement has been revised to provide otherwise.</w:t>
      </w:r>
    </w:p>
  </w:footnote>
  <w:footnote w:id="27">
    <w:p w:rsidR="008022FF" w:rsidP="005F658C">
      <w:pPr>
        <w:pStyle w:val="FootnoteText"/>
        <w:tabs>
          <w:tab w:val="clear" w:pos="288"/>
        </w:tabs>
        <w:ind w:left="360" w:hanging="360"/>
      </w:pPr>
      <w:r>
        <w:rPr>
          <w:rStyle w:val="FootnoteReference"/>
        </w:rPr>
        <w:footnoteRef/>
      </w:r>
      <w:r>
        <w:t xml:space="preserve"> </w:t>
      </w:r>
      <w:r>
        <w:tab/>
        <w:t>Appropriate for later stage companies and/or larger boards.</w:t>
      </w:r>
    </w:p>
  </w:footnote>
  <w:footnote w:id="28">
    <w:p w:rsidR="008022FF" w:rsidRPr="007258D3" w:rsidP="005F658C">
      <w:pPr>
        <w:pStyle w:val="FootnoteText"/>
      </w:pPr>
      <w:r>
        <w:rPr>
          <w:rStyle w:val="FootnoteReference"/>
        </w:rPr>
        <w:footnoteRef/>
      </w:r>
      <w:r>
        <w:t xml:space="preserve"> </w:t>
      </w:r>
      <w:r>
        <w:tab/>
        <w:t xml:space="preserve">There is a divergence of interest between the Company and the investors with respect to whether specified corporate acts should be subject to approval by the investors' designee to the Board. Other formulations could be: requiring the vote of a supermajority of the Board, or a majority of the non-management directors. There may be other deal-specific provisions to include in this list; by contrast, there may be provisions listed here that are not appropriate for a given transaction. These provisions should also be harmonized with the special investor approval rights (so-called "protective provisions") in the Articles, to avoid overlap. In determining whether shareholder approval (the protective provisions in the Articles) or director approval is appropriate for a given matter, consider (1) that the directors, unlike investors, have fiduciary duties; (2) that, as a practical matter, Board approval is easier to obtain than shareholder approval; and (3) the proportion of preferred shares held by funds whose partners sit on the Board. </w:t>
      </w:r>
    </w:p>
  </w:footnote>
  <w:footnote w:id="29">
    <w:p w:rsidR="008022FF" w:rsidP="005F658C">
      <w:pPr>
        <w:pStyle w:val="FootnoteText"/>
      </w:pPr>
      <w:r>
        <w:rPr>
          <w:rStyle w:val="FootnoteReference"/>
        </w:rPr>
        <w:footnoteRef/>
      </w:r>
      <w:r>
        <w:tab/>
        <w:t xml:space="preserve">The provisions in this Section </w:t>
      </w:r>
      <w:r>
        <w:fldChar w:fldCharType="begin"/>
      </w:r>
      <w:r>
        <w:instrText xml:space="preserve"> REF _Ref464809997 \r \h </w:instrText>
      </w:r>
      <w:r>
        <w:fldChar w:fldCharType="separate"/>
      </w:r>
      <w:r w:rsidR="00230E5B">
        <w:t>3.8</w:t>
      </w:r>
      <w:r>
        <w:fldChar w:fldCharType="end"/>
      </w:r>
      <w:r>
        <w:t xml:space="preserve"> are the same as the "Protective Provisions" in the model share conditions/Articles. In Canadian transactions, the protective provisions are normally included in the shareholders agreement rather than in the Articles.</w:t>
      </w:r>
    </w:p>
  </w:footnote>
  <w:footnote w:id="30">
    <w:p w:rsidR="008022FF" w:rsidP="005F658C">
      <w:pPr>
        <w:pStyle w:val="FootnoteText"/>
      </w:pPr>
      <w:r>
        <w:rPr>
          <w:rStyle w:val="FootnoteReference"/>
        </w:rPr>
        <w:footnoteRef/>
      </w:r>
      <w:r>
        <w:tab/>
        <w:t>Note that this approval threshold for a Deemed Liquidation Event will also need to be consistent with the Drag Along approval threshold.</w:t>
      </w:r>
    </w:p>
  </w:footnote>
  <w:footnote w:id="31">
    <w:p w:rsidR="008022FF" w:rsidRPr="00EE3553">
      <w:pPr>
        <w:pStyle w:val="FootnoteText"/>
      </w:pPr>
      <w:r>
        <w:rPr>
          <w:rStyle w:val="FootnoteReference"/>
        </w:rPr>
        <w:footnoteRef/>
      </w:r>
      <w:r>
        <w:tab/>
        <w:t>Inclusion of a requirement that Board approval include approval by a Class A Preferred Director is frequently seen as a compromise between requiring approval of the holders of Class A Preferred Shares (</w:t>
      </w:r>
      <w:r>
        <w:rPr>
          <w:i/>
        </w:rPr>
        <w:t>qua-</w:t>
      </w:r>
      <w:r>
        <w:t xml:space="preserve">stockholders) </w:t>
      </w:r>
      <w:r w:rsidRPr="00EE3553">
        <w:t>and simply requiring Board approval.</w:t>
      </w:r>
      <w:r>
        <w:t xml:space="preserve"> However, prior to inclusion of the bracketed language, consideration should be given to the fact that any board-level approval of the Preferred Director </w:t>
      </w:r>
      <w:r w:rsidRPr="00EE3553">
        <w:t>(as opposed to stockholder approval by</w:t>
      </w:r>
      <w:r>
        <w:t xml:space="preserve"> the holders of Class A Preferred Shares) will be in such director's capacity as a member of the board of directors and therefore subject to such director's fiduciary duties to the corporation.</w:t>
      </w:r>
    </w:p>
  </w:footnote>
  <w:footnote w:id="32">
    <w:p w:rsidR="008022FF" w:rsidP="005F658C">
      <w:pPr>
        <w:pStyle w:val="FootnoteText"/>
        <w:tabs>
          <w:tab w:val="clear" w:pos="288"/>
        </w:tabs>
        <w:ind w:left="360" w:hanging="360"/>
      </w:pPr>
      <w:r>
        <w:rPr>
          <w:rStyle w:val="FootnoteReference"/>
        </w:rPr>
        <w:footnoteRef/>
      </w:r>
      <w:r>
        <w:tab/>
        <w:t>Consider the practical implications and whether this is necessary if there is a fixed number of authorized common shares.</w:t>
      </w:r>
    </w:p>
  </w:footnote>
  <w:footnote w:id="33">
    <w:p w:rsidR="008022FF" w:rsidP="00606E4A">
      <w:pPr>
        <w:pStyle w:val="FootnoteText"/>
      </w:pPr>
      <w:r>
        <w:rPr>
          <w:rStyle w:val="FootnoteReference"/>
        </w:rPr>
        <w:footnoteRef/>
      </w:r>
      <w:r>
        <w:t xml:space="preserve"> </w:t>
      </w:r>
      <w:r>
        <w:tab/>
        <w:t xml:space="preserve">This </w:t>
      </w:r>
      <w:r w:rsidRPr="00606E4A">
        <w:t>provision</w:t>
      </w:r>
      <w:r>
        <w:t xml:space="preserve"> is sometimes addressed in the Articles rather than in this Agreement. Handling these matters in the Articles may change the votes required to approve a matter.</w:t>
      </w:r>
    </w:p>
  </w:footnote>
  <w:footnote w:id="34">
    <w:p w:rsidR="008022FF" w:rsidP="005F658C">
      <w:pPr>
        <w:pStyle w:val="FootnoteText"/>
      </w:pPr>
      <w:r>
        <w:rPr>
          <w:rStyle w:val="FootnoteReference"/>
        </w:rPr>
        <w:footnoteRef/>
      </w:r>
      <w:r>
        <w:tab/>
        <w:t>The share-ownership minimum for receiving financial information is negotiable, but is often set at the holdings of the smallest venture capital investor. It should be set high enough to avoid burdensome disclosure requirements on the Company, but low enough to provide investors with information if they really need it.</w:t>
      </w:r>
    </w:p>
  </w:footnote>
  <w:footnote w:id="35">
    <w:p w:rsidR="008022FF" w:rsidP="005F658C">
      <w:pPr>
        <w:pStyle w:val="FootnoteText"/>
      </w:pPr>
      <w:r>
        <w:rPr>
          <w:rStyle w:val="FootnoteReference"/>
        </w:rPr>
        <w:footnoteRef/>
      </w:r>
      <w:r>
        <w:tab/>
        <w:t>This provision grants the Board the discretion to define "competitor" rather than using the defined term Competitor, but there are alternative ways that are more investor-friendly. For example, "competitors" could be defined as a select group of companies on a schedule.</w:t>
      </w:r>
    </w:p>
  </w:footnote>
  <w:footnote w:id="36">
    <w:p w:rsidR="008022FF" w:rsidP="005F658C">
      <w:pPr>
        <w:pStyle w:val="FootnoteText"/>
      </w:pPr>
      <w:r>
        <w:rPr>
          <w:rStyle w:val="FootnoteReference"/>
        </w:rPr>
        <w:footnoteRef/>
      </w:r>
      <w:r>
        <w:tab/>
        <w:t>Consider the Company's stage of development, costs, and timing associated with audited financial statements as well as the use of nationally vs. regionally recognized accountants. Further, as a practical matter, "nationally recognized" accounting firms may not readily accept engagements by early stage companies.</w:t>
      </w:r>
    </w:p>
  </w:footnote>
  <w:footnote w:id="37">
    <w:p w:rsidR="008022FF" w:rsidP="005F658C">
      <w:pPr>
        <w:pStyle w:val="FootnoteText"/>
      </w:pPr>
      <w:r>
        <w:rPr>
          <w:rStyle w:val="FootnoteReference"/>
        </w:rPr>
        <w:footnoteRef/>
      </w:r>
      <w:r>
        <w:tab/>
        <w:t>The Company is obliged to deliver annual financial statements to all shareholders. (CBCA s 155, 159, OBCA s 154(1), 154(3))</w:t>
      </w:r>
    </w:p>
  </w:footnote>
  <w:footnote w:id="38">
    <w:p w:rsidR="008022FF" w:rsidP="005F658C">
      <w:pPr>
        <w:pStyle w:val="FootnoteText"/>
      </w:pPr>
      <w:r>
        <w:rPr>
          <w:rStyle w:val="FootnoteReference"/>
        </w:rPr>
        <w:footnoteRef/>
      </w:r>
      <w:r>
        <w:tab/>
        <w:t>Some investors request that the Company provide information relating to material litigation, regulatory matters, material defaults under credit facilities, and other material events and occurrences. Note, however, that if the investing entity is entitled to a Board seat, there is little need (at least for that particular investor) to impose these additional reporting obligations on the Company.</w:t>
      </w:r>
    </w:p>
  </w:footnote>
  <w:footnote w:id="39">
    <w:p w:rsidR="008022FF" w:rsidP="005F658C">
      <w:pPr>
        <w:pStyle w:val="FootnoteText"/>
      </w:pPr>
      <w:r>
        <w:rPr>
          <w:rStyle w:val="FootnoteReference"/>
        </w:rPr>
        <w:footnoteRef/>
      </w:r>
      <w:r>
        <w:tab/>
        <w:t>This is not an NVCA provision. Under the CBCA and OBCA, audited financial statements must be prepared unless all shareholders (including non-voting shareholders) waive the audit requirement annually. (CBCA s 163, OBCA s 148)</w:t>
      </w:r>
    </w:p>
  </w:footnote>
  <w:footnote w:id="40">
    <w:p w:rsidR="008022FF" w:rsidP="005F658C">
      <w:pPr>
        <w:pStyle w:val="FootnoteText"/>
      </w:pPr>
      <w:r>
        <w:rPr>
          <w:rStyle w:val="FootnoteReference"/>
        </w:rPr>
        <w:footnoteRef/>
      </w:r>
      <w:r>
        <w:tab/>
        <w:t>If the party with an observer is a strategic (vs. traditional venture) investor, consider other appropriate limitations, such as for competition or other conflicts of interest.</w:t>
      </w:r>
    </w:p>
  </w:footnote>
  <w:footnote w:id="41">
    <w:p w:rsidR="008022FF" w:rsidP="005F658C">
      <w:pPr>
        <w:pStyle w:val="FootnoteText"/>
      </w:pPr>
      <w:r>
        <w:rPr>
          <w:rStyle w:val="FootnoteReference"/>
        </w:rPr>
        <w:footnoteRef/>
      </w:r>
      <w:r>
        <w:tab/>
        <w:t>Because the Company will be a reporting company under the Exchange Act following any registered public offering, the Company will be required to limit information provided to shareholders to the information filed with the SEC under the Exchange Act.</w:t>
      </w:r>
    </w:p>
  </w:footnote>
  <w:footnote w:id="42">
    <w:p w:rsidR="008022FF" w:rsidP="005F658C">
      <w:pPr>
        <w:pStyle w:val="FootnoteText"/>
      </w:pPr>
      <w:r>
        <w:rPr>
          <w:rStyle w:val="FootnoteReference"/>
        </w:rPr>
        <w:footnoteRef/>
      </w:r>
      <w:r>
        <w:tab/>
        <w:t>Consider including language to prohibit disclosure of confidential information to any competitor. In Canada, it is common for the Board to control to whom information can be provided and what information can be disclosed to prospective purchasers.</w:t>
      </w:r>
    </w:p>
  </w:footnote>
  <w:footnote w:id="43">
    <w:p w:rsidR="008022FF" w:rsidP="005F658C">
      <w:pPr>
        <w:pStyle w:val="FootnoteText"/>
      </w:pPr>
      <w:r>
        <w:rPr>
          <w:rStyle w:val="FootnoteReference"/>
        </w:rPr>
        <w:footnoteRef/>
      </w:r>
      <w:r>
        <w:tab/>
        <w:t>The bracketed language is a (pro-investor) provision intended to give Investors the ability to provide such information to prospective limited partners, members and other investors which may be important to an Investor, though note that companies may be uncomfortable extending the group which has access to their confidential information this far and may prefer to deal with this issue on a case by case basis.</w:t>
      </w:r>
    </w:p>
  </w:footnote>
  <w:footnote w:id="44">
    <w:p w:rsidR="008022FF" w:rsidP="005F658C">
      <w:pPr>
        <w:pStyle w:val="FootnoteText"/>
        <w:tabs>
          <w:tab w:val="clear" w:pos="288"/>
        </w:tabs>
        <w:ind w:left="360" w:hanging="360"/>
      </w:pPr>
      <w:r>
        <w:rPr>
          <w:rStyle w:val="FootnoteReference"/>
        </w:rPr>
        <w:footnoteRef/>
      </w:r>
      <w:r>
        <w:t xml:space="preserve"> </w:t>
      </w:r>
      <w:r>
        <w:tab/>
      </w:r>
      <w:r w:rsidRPr="007B6B3B">
        <w:t xml:space="preserve">When the </w:t>
      </w:r>
      <w:r>
        <w:t xml:space="preserve">venture </w:t>
      </w:r>
      <w:r w:rsidRPr="007B6B3B">
        <w:t xml:space="preserve">fund is also an indemnified party under the indemnification agreement, it may be appropriate for the D&amp;O policy to include an endorsement extending coverage to the </w:t>
      </w:r>
      <w:r>
        <w:t xml:space="preserve">venture </w:t>
      </w:r>
      <w:r w:rsidRPr="007B6B3B">
        <w:t>fund.</w:t>
      </w:r>
    </w:p>
  </w:footnote>
  <w:footnote w:id="45">
    <w:p w:rsidR="008022FF" w:rsidP="005F658C">
      <w:pPr>
        <w:pStyle w:val="FootnoteText"/>
        <w:tabs>
          <w:tab w:val="clear" w:pos="288"/>
        </w:tabs>
        <w:ind w:left="360" w:hanging="360"/>
      </w:pPr>
      <w:r>
        <w:rPr>
          <w:rStyle w:val="FootnoteReference"/>
        </w:rPr>
        <w:footnoteRef/>
      </w:r>
      <w:r>
        <w:t xml:space="preserve"> </w:t>
      </w:r>
      <w:r>
        <w:tab/>
      </w:r>
      <w:r w:rsidRPr="007B6B3B">
        <w:t>Key person insurance does not necessarily make sense for every company. A benefit of key person insurance is that, if done correctly, the proceeds payable are not taxable income to the Company. Such notice and consent is typically required in order to obtain the favorable tax treatment. Discuss with the Company's insurance broker.</w:t>
      </w:r>
    </w:p>
  </w:footnote>
  <w:footnote w:id="46">
    <w:p w:rsidR="008022FF" w:rsidP="005F658C">
      <w:pPr>
        <w:pStyle w:val="FootnoteText"/>
        <w:tabs>
          <w:tab w:val="clear" w:pos="288"/>
        </w:tabs>
        <w:ind w:left="360" w:hanging="360"/>
      </w:pPr>
      <w:r>
        <w:rPr>
          <w:rStyle w:val="FootnoteReference"/>
        </w:rPr>
        <w:footnoteRef/>
      </w:r>
      <w:r>
        <w:t xml:space="preserve"> </w:t>
      </w:r>
      <w:r>
        <w:tab/>
        <w:t>You must look to the law of the jurisdictions where the employee is based in order to determine what is permissible with respect to non-compete provisions. Such provisions (other than in connection with the sale of a business) are prohibited in California and may not be enforceable in other jurisdictions. In addition, some investors do not require such agreements on principled grounds or for fear that employees will request additional consideration in exchange for signing a non-compete/non-solicit (and indeed the agreement may be invalid absent such additional consideration). Others take the view that it should be up to the Board on a case-by-case basis to determine whether any particular key employee is required to sign such an agreement. Non-competes in the United States typically have a 1 year duration, although state law may permit up to 2 years. In Canada, non-competes (other than in connection with the sale of a business) typically have up to a 1 year duration for members of senior management, with shorter durations for lower level employees.</w:t>
      </w:r>
    </w:p>
  </w:footnote>
  <w:footnote w:id="47">
    <w:p w:rsidR="008022FF" w:rsidP="005F658C">
      <w:pPr>
        <w:pStyle w:val="FootnoteText"/>
        <w:tabs>
          <w:tab w:val="left" w:pos="0"/>
          <w:tab w:val="clear" w:pos="288"/>
        </w:tabs>
        <w:ind w:left="360" w:hanging="360"/>
      </w:pPr>
      <w:r>
        <w:rPr>
          <w:rStyle w:val="FootnoteReference"/>
        </w:rPr>
        <w:footnoteRef/>
      </w:r>
      <w:r>
        <w:t xml:space="preserve"> </w:t>
      </w:r>
      <w:r>
        <w:tab/>
      </w:r>
      <w:r w:rsidRPr="00E961C0">
        <w:t>Consultants rarely h</w:t>
      </w:r>
      <w:r>
        <w:t xml:space="preserve">ave a standard </w:t>
      </w:r>
      <w:r w:rsidRPr="00E961C0">
        <w:t>4 year schedule with a cliff, and awards grants to existing employees often do not have a vesting cliff. If it is important to the investors to set forth a standard "consultant" and "existing employee" vesting schedules, work with the Company to determine what is appropriate and revise the section appropriately to separately reflect the same.</w:t>
      </w:r>
    </w:p>
  </w:footnote>
  <w:footnote w:id="48">
    <w:p w:rsidR="008022FF" w:rsidP="005F658C">
      <w:pPr>
        <w:pStyle w:val="FootnoteText"/>
        <w:tabs>
          <w:tab w:val="clear" w:pos="288"/>
        </w:tabs>
        <w:ind w:left="360" w:hanging="360"/>
      </w:pPr>
      <w:r>
        <w:rPr>
          <w:rStyle w:val="FootnoteReference"/>
        </w:rPr>
        <w:footnoteRef/>
      </w:r>
      <w:r>
        <w:t xml:space="preserve"> </w:t>
      </w:r>
      <w:r>
        <w:tab/>
      </w:r>
      <w:r w:rsidRPr="000302C7">
        <w:t>Lawyers may want to consider prohibiting subsequent issuances of restricted stock or grant of stock options containing any provisions for acceleration upon any event or circumstances (beyond those already provided in any previously-approved equity or option plan) without the approval of the Board of Directors[, including the Requisite Preferred Director Vote].</w:t>
      </w:r>
    </w:p>
  </w:footnote>
  <w:footnote w:id="49">
    <w:p w:rsidR="008022FF" w:rsidP="005F658C">
      <w:pPr>
        <w:pStyle w:val="FootnoteText"/>
      </w:pPr>
      <w:r>
        <w:rPr>
          <w:rStyle w:val="FootnoteReference"/>
        </w:rPr>
        <w:footnoteRef/>
      </w:r>
      <w:r>
        <w:t xml:space="preserve"> </w:t>
      </w:r>
      <w:r>
        <w:tab/>
        <w:t>Investors at times find that their interests are not perfectly aligned with those of management when it comes to the Sale of a Company and/or that the matters of concern to them (</w:t>
      </w:r>
      <w:r>
        <w:rPr>
          <w:i/>
          <w:iCs/>
        </w:rPr>
        <w:t>e.g.</w:t>
      </w:r>
      <w:r>
        <w:t>, escrow provisions) are not necessarily important to management; providing for separate investor counsel ensures that someone is looking out for their interests at a crucial time.</w:t>
      </w:r>
    </w:p>
  </w:footnote>
  <w:footnote w:id="50">
    <w:p w:rsidR="008022FF" w:rsidP="005F658C">
      <w:pPr>
        <w:pStyle w:val="FootnoteText"/>
        <w:ind w:left="360" w:hanging="360"/>
      </w:pPr>
      <w:r>
        <w:rPr>
          <w:rStyle w:val="FootnoteReference"/>
        </w:rPr>
        <w:footnoteRef/>
      </w:r>
      <w:r>
        <w:t xml:space="preserve"> </w:t>
      </w:r>
      <w:r>
        <w:tab/>
        <w:t>This provision is designed to reinforce the priority of the Company's indemnification of an investor director and to ensure that the investing entity itself is in direct contractual privity with the Company with respect to such priority (in contrast to an indemnification agreement between the Company and the individual director themselves). The square bracketed language in the sentence has been added because the third party beneficiary rule does not apply in Canada.</w:t>
      </w:r>
    </w:p>
  </w:footnote>
  <w:footnote w:id="51">
    <w:p w:rsidR="008022FF" w:rsidP="005F658C">
      <w:pPr>
        <w:pStyle w:val="FootnoteText"/>
        <w:tabs>
          <w:tab w:val="clear" w:pos="288"/>
        </w:tabs>
        <w:ind w:left="360" w:hanging="360"/>
      </w:pPr>
      <w:r>
        <w:rPr>
          <w:rStyle w:val="FootnoteReference"/>
        </w:rPr>
        <w:footnoteRef/>
      </w:r>
      <w:r>
        <w:t xml:space="preserve"> </w:t>
      </w:r>
      <w:r>
        <w:tab/>
        <w:t>Or broaden to all investors if investor set are all professional investors.</w:t>
      </w:r>
    </w:p>
  </w:footnote>
  <w:footnote w:id="52">
    <w:p w:rsidR="008022FF" w:rsidP="005F658C">
      <w:pPr>
        <w:pStyle w:val="FootnoteText"/>
      </w:pPr>
      <w:r>
        <w:rPr>
          <w:rStyle w:val="FootnoteReference"/>
        </w:rPr>
        <w:footnoteRef/>
      </w:r>
      <w:r>
        <w:tab/>
      </w:r>
      <w:r>
        <w:rPr>
          <w:szCs w:val="16"/>
        </w:rPr>
        <w:t>This section sets forth the period during which the investors and other holders will be prohibited from selling their securities following the IPO and potentially other registrations. A lock-up agreement will typically be required by the underwriter and is usually set at 180 days for an IPO. However, Investors and the Company may want to consider staged released from the lock-up (e.g., tied to stock price performance), in order to mitigate the impact of a 180-day cliff. Because the principal investors in the Company will almost certainly be required to provide a lock-up agreement, the greatest value of the lock-up provision may be to ensure a similar lock-up of shares held by the smaller holders of Company share.</w:t>
      </w:r>
      <w:r>
        <w:t xml:space="preserve"> </w:t>
      </w:r>
      <w:r w:rsidRPr="00B534A9">
        <w:rPr>
          <w:szCs w:val="16"/>
        </w:rPr>
        <w:t xml:space="preserve">Note, however, that if some investors are released from the lock-up and sell under Rule 144, it can protect the Company and directors from potential Section 11 liability. </w:t>
      </w:r>
      <w:r w:rsidRPr="00B534A9">
        <w:rPr>
          <w:i/>
          <w:szCs w:val="16"/>
        </w:rPr>
        <w:t>See Krim v. pcOrder.com, Inc. 402 F.3d 489 (5th Cir. 2015)</w:t>
      </w:r>
      <w:r w:rsidRPr="00B534A9">
        <w:rPr>
          <w:szCs w:val="16"/>
        </w:rPr>
        <w:t xml:space="preserve"> (holding that investors lack standing to bring a Section 11 claim where they cannot show with </w:t>
      </w:r>
      <w:r>
        <w:rPr>
          <w:szCs w:val="16"/>
        </w:rPr>
        <w:t xml:space="preserve">100% </w:t>
      </w:r>
      <w:r w:rsidRPr="00B534A9">
        <w:rPr>
          <w:szCs w:val="16"/>
        </w:rPr>
        <w:t>certainty that the shares they acquired in the open market were in fact registered in the allegedly false or misleading registration statement).</w:t>
      </w:r>
    </w:p>
  </w:footnote>
  <w:footnote w:id="53">
    <w:p w:rsidR="008022FF" w:rsidP="005F658C">
      <w:pPr>
        <w:pStyle w:val="FootnoteText"/>
      </w:pPr>
      <w:r>
        <w:rPr>
          <w:rStyle w:val="FootnoteReference"/>
        </w:rPr>
        <w:footnoteRef/>
      </w:r>
      <w:r>
        <w:tab/>
      </w:r>
      <w:r w:rsidRPr="00C760E3">
        <w:t xml:space="preserve">The bracketed language provides for additional lock-ups for registrations other than the IPO. Some investors may have issues with being locked-up for any registration other than the IPO, but others may prefer to have this provision in order to help ensure the success of any subsequent offering. A compromise position might be to say that with respect to any offering other than the IPO the Holders would be subject to a lock-up if requested by the managing underwriter and approved by </w:t>
      </w:r>
      <w:r>
        <w:t>Shareholders holding</w:t>
      </w:r>
      <w:r w:rsidRPr="00C760E3">
        <w:t xml:space="preserve"> [X]</w:t>
      </w:r>
      <w:r>
        <w:t>% of the Registrable Securities.</w:t>
      </w:r>
    </w:p>
  </w:footnote>
  <w:footnote w:id="54">
    <w:p w:rsidR="008022FF" w:rsidP="005F658C">
      <w:pPr>
        <w:pStyle w:val="FootnoteText"/>
      </w:pPr>
      <w:r>
        <w:rPr>
          <w:rStyle w:val="FootnoteReference"/>
        </w:rPr>
        <w:footnoteRef/>
      </w:r>
      <w:r>
        <w:t xml:space="preserve"> </w:t>
      </w:r>
      <w:r>
        <w:tab/>
        <w:t>The bracketed language is intended to address rules designed to limit conflicts of interest between the investment banking divisions of financial institutions by prohibiting the publication or other distribution of a research report or the making of a public appearance concerning a subject Company by a member during a "quiet period" prior to and after the expiration, waiver or termination of a lock-up agreement or any other agreement that the member has entered into with a subject company or its shareholders that restricts or prohibits the sale of securities held by the subject company or its shareholders after the completion of a securities offering, unless the securities are "actively traded" within the meaning of Rule 101(c)(l) of Regulation M under the Exchange Act.</w:t>
      </w:r>
    </w:p>
  </w:footnote>
  <w:footnote w:id="55">
    <w:p w:rsidR="008022FF" w:rsidP="005F658C">
      <w:pPr>
        <w:pStyle w:val="FootnoteText"/>
      </w:pPr>
      <w:r>
        <w:rPr>
          <w:rStyle w:val="FootnoteReference"/>
        </w:rPr>
        <w:footnoteRef/>
      </w:r>
      <w:r>
        <w:t xml:space="preserve"> </w:t>
      </w:r>
      <w:r>
        <w:tab/>
        <w:t>Investors will want to exempt any Shares acquired in the IPO or in the public market after the IPO from the lock-up provisions, so that they are not disadvantaged relative to other public market purchasers.</w:t>
      </w:r>
    </w:p>
  </w:footnote>
  <w:footnote w:id="56">
    <w:p w:rsidR="008022FF" w:rsidP="005F658C">
      <w:pPr>
        <w:pStyle w:val="FootnoteText"/>
      </w:pPr>
      <w:r>
        <w:rPr>
          <w:rStyle w:val="FootnoteReference"/>
        </w:rPr>
        <w:footnoteRef/>
      </w:r>
      <w:r>
        <w:t xml:space="preserve"> </w:t>
      </w:r>
      <w:r>
        <w:tab/>
      </w:r>
      <w:r w:rsidRPr="00F758D3">
        <w:t>An alternative, commonly used provision makes this a requirement rather than a reasonable efforts standard. A potential problem with such formulation is that if not all larger shareholders are parties to this agreement or otherwise subject to the same restrictions then the failure to obtain a lock-up from even a single one of those shareholders would invalidate the entire provision. Consider also including a covenant requiring all future shareholders to sign a similar market stand-off provision.</w:t>
      </w:r>
    </w:p>
  </w:footnote>
  <w:footnote w:id="57">
    <w:p w:rsidR="008022FF" w:rsidP="005F658C">
      <w:pPr>
        <w:pStyle w:val="FootnoteText"/>
      </w:pPr>
      <w:r>
        <w:rPr>
          <w:rStyle w:val="FootnoteReference"/>
        </w:rPr>
        <w:footnoteRef/>
      </w:r>
      <w:r>
        <w:t xml:space="preserve"> </w:t>
      </w:r>
      <w:r>
        <w:tab/>
      </w:r>
      <w:r w:rsidRPr="003C6328">
        <w:t xml:space="preserve">Sometimes </w:t>
      </w:r>
      <w:r w:rsidRPr="003C6328">
        <w:rPr>
          <w:i/>
        </w:rPr>
        <w:t>de minimis</w:t>
      </w:r>
      <w:r w:rsidRPr="003C6328">
        <w:t xml:space="preserve"> thresholds are negotiated so that smaller employee shareholders in need of liquidity can be released without destroying all of the lock-ups and the offering. Note, however, that based on recent experience with dealing with IPO underwriters, who are objecting to small holders not being subject to lock-ups, some funds are requiring that all shareholders be subject to lock-ups. Lawyers should be aware that even if this last bracketed sentence is included in this Agreement</w:t>
      </w:r>
      <w:r>
        <w:t xml:space="preserve">, some </w:t>
      </w:r>
      <w:r w:rsidRPr="003C6328">
        <w:t>underwriters will object to including similar language regarding discretionary waivers in the lock-up agreements they require in connection with an IPO. Investors having the benefit of the bracketed sentence can be reluctant to agree to a lock-up agreement less favorable, creating an issue that needs to be resolved to successfully complete the IPO.</w:t>
      </w:r>
    </w:p>
  </w:footnote>
  <w:footnote w:id="58">
    <w:p w:rsidR="008022FF" w:rsidP="005F658C">
      <w:pPr>
        <w:pStyle w:val="FootnoteText"/>
      </w:pPr>
      <w:r>
        <w:rPr>
          <w:rStyle w:val="FootnoteReference"/>
        </w:rPr>
        <w:footnoteRef/>
      </w:r>
      <w:r>
        <w:t xml:space="preserve"> </w:t>
      </w:r>
      <w:r>
        <w:tab/>
        <w:t>This Agreement does not prohibit share transfers. It requires Key Holders to offer their shares to the Company and the Investors, on a right-to-match basis, before Key Holders can sell to third parties. There are no restrictions on the Investors' rights to sell their shares, other than securities law compliance. Note that the Articles of Canadian companies often contain restrictions on share transfers to which all shareholders are subject (e.g., requiring director or shareholder approval of transfers).</w:t>
      </w:r>
    </w:p>
  </w:footnote>
  <w:footnote w:id="59">
    <w:p w:rsidR="008022FF" w:rsidP="005F658C">
      <w:pPr>
        <w:pStyle w:val="FootnoteText"/>
        <w:tabs>
          <w:tab w:val="clear" w:pos="288"/>
        </w:tabs>
        <w:ind w:left="360" w:hanging="360"/>
      </w:pPr>
      <w:r>
        <w:rPr>
          <w:rStyle w:val="FootnoteReference"/>
        </w:rPr>
        <w:footnoteRef/>
      </w:r>
      <w:r>
        <w:t xml:space="preserve"> </w:t>
      </w:r>
      <w:r>
        <w:tab/>
        <w:t>The distribution date is the date the security was first issued. See National Instrument 45-106.</w:t>
      </w:r>
    </w:p>
  </w:footnote>
  <w:footnote w:id="60">
    <w:p w:rsidR="008022FF">
      <w:pPr>
        <w:pStyle w:val="FootnoteText"/>
      </w:pPr>
      <w:r>
        <w:rPr>
          <w:rStyle w:val="FootnoteReference"/>
        </w:rPr>
        <w:footnoteRef/>
      </w:r>
      <w:r>
        <w:t xml:space="preserve"> </w:t>
      </w:r>
      <w:r>
        <w:tab/>
        <w:t xml:space="preserve">Without this limitation, the other limitations on subsequent registration rights in Section </w:t>
      </w:r>
      <w:r>
        <w:fldChar w:fldCharType="begin"/>
      </w:r>
      <w:r>
        <w:instrText xml:space="preserve"> REF _Ref56327251 \r \h </w:instrText>
      </w:r>
      <w:r>
        <w:fldChar w:fldCharType="separate"/>
      </w:r>
      <w:r w:rsidR="00230E5B">
        <w:t>1.11</w:t>
      </w:r>
      <w:r>
        <w:fldChar w:fldCharType="end"/>
      </w:r>
      <w:r>
        <w:t xml:space="preserve"> of </w:t>
      </w:r>
      <w:r>
        <w:fldChar w:fldCharType="begin"/>
      </w:r>
      <w:r>
        <w:instrText xml:space="preserve"> REF _Ref56327231 \r \h </w:instrText>
      </w:r>
      <w:r>
        <w:fldChar w:fldCharType="separate"/>
      </w:r>
      <w:r w:rsidR="00230E5B">
        <w:t>Schedule D</w:t>
      </w:r>
      <w:r>
        <w:fldChar w:fldCharType="end"/>
      </w:r>
      <w:r>
        <w:t xml:space="preserve"> are effectively moot; confirm and conform appropriately.</w:t>
      </w:r>
    </w:p>
  </w:footnote>
  <w:footnote w:id="61">
    <w:p w:rsidR="008022FF" w:rsidP="005F658C">
      <w:pPr>
        <w:pStyle w:val="FootnoteText"/>
      </w:pPr>
      <w:r>
        <w:rPr>
          <w:rStyle w:val="FootnoteReference"/>
        </w:rPr>
        <w:footnoteRef/>
      </w:r>
      <w:r>
        <w:t xml:space="preserve"> </w:t>
      </w:r>
      <w:r>
        <w:tab/>
        <w:t>This "pre-emptive" right is provided to only a few select investors ("</w:t>
      </w:r>
      <w:r>
        <w:rPr>
          <w:b/>
          <w:bCs/>
        </w:rPr>
        <w:t>Major Investors</w:t>
      </w:r>
      <w:r>
        <w:t>"), to avoid unduly complicating subsequent financing rounds.</w:t>
      </w:r>
    </w:p>
  </w:footnote>
  <w:footnote w:id="62">
    <w:p w:rsidR="008022FF" w:rsidP="005F658C">
      <w:pPr>
        <w:pStyle w:val="FootnoteText"/>
      </w:pPr>
      <w:r>
        <w:rPr>
          <w:rStyle w:val="FootnoteReference"/>
        </w:rPr>
        <w:footnoteRef/>
      </w:r>
      <w:r>
        <w:t xml:space="preserve"> </w:t>
      </w:r>
      <w:r>
        <w:tab/>
        <w:t>The Board may elect to reserve only a portion of the round for existing investors, with the balance to be offered exclusively to new investors. If so, then the phrase "set aside by the Board for purchase by existing investors" or similar language should be inserted immediately before the footnote reference above. (See similar language in definition of "Offered Securities" in pay-to-play section ("</w:t>
      </w:r>
      <w:r>
        <w:rPr>
          <w:b/>
          <w:bCs/>
        </w:rPr>
        <w:t>Special Mandatory Conversion</w:t>
      </w:r>
      <w:r>
        <w:t xml:space="preserve">") of Model Articles.) Some investors might view a provision authorizing the Board to allocate only a portion of the New Securities for purchase under Section </w:t>
      </w:r>
      <w:r>
        <w:fldChar w:fldCharType="begin"/>
      </w:r>
      <w:r>
        <w:instrText xml:space="preserve"> REF _Ref466990184 \r \h </w:instrText>
      </w:r>
      <w:r>
        <w:fldChar w:fldCharType="separate"/>
      </w:r>
      <w:r w:rsidR="00230E5B">
        <w:t>6.5</w:t>
      </w:r>
      <w:r>
        <w:fldChar w:fldCharType="end"/>
      </w:r>
      <w:r>
        <w:t xml:space="preserve"> as eviscerating the investors' right of first offer unless a minimum portion of the new offering must be set aside. Consequently, existing shareholders will usually be entitled to subscribe for all New Securities but will waive their rights in order to facilitate investment by new investors.</w:t>
      </w:r>
    </w:p>
  </w:footnote>
  <w:footnote w:id="63">
    <w:p w:rsidR="008022FF" w:rsidP="005F658C">
      <w:pPr>
        <w:pStyle w:val="FootnoteText"/>
      </w:pPr>
      <w:r>
        <w:rPr>
          <w:rStyle w:val="FootnoteReference"/>
        </w:rPr>
        <w:footnoteRef/>
      </w:r>
      <w:r>
        <w:t xml:space="preserve"> </w:t>
      </w:r>
      <w:r>
        <w:tab/>
        <w:t>The definition of this pro rata participation concept can be subject to negotiation. The numerator is generally based on common share ownership or entitlement and should only include amounts held by the investor, including any common share that the investor may have purchased as a common share (for example, in a secondary transaction). The denominator is usually the fully diluted common shares of the Company before the issuance but can sometimes be cut back to exclude certain options or warrants, thereby increasing the number of shares available for purchase by holders of the purchase right, or can be limited (as in the alternative bracketed language) to securities held by the group with the purchase right (here, Major Investors), thereby making the purchase right a preemptive right in favor of such group.</w:t>
      </w:r>
    </w:p>
  </w:footnote>
  <w:footnote w:id="64">
    <w:p w:rsidR="008022FF" w:rsidP="005F658C">
      <w:pPr>
        <w:pStyle w:val="FootnoteText"/>
      </w:pPr>
      <w:r>
        <w:rPr>
          <w:rStyle w:val="FootnoteReference"/>
        </w:rPr>
        <w:footnoteRef/>
      </w:r>
      <w:r>
        <w:t xml:space="preserve"> </w:t>
      </w:r>
      <w:r>
        <w:tab/>
        <w:t>This is commonly referred to as a "gobble-up," "over allotment," or "oversubscription" provision and allows investors to purchase shares not purchased by other investors entitled to purchase rights. This is usually easy to negotiate, but some companies may resist allowing investors to exceed their current percentage ownership in the Company (which could limit shares available to potential new investors).</w:t>
      </w:r>
    </w:p>
  </w:footnote>
  <w:footnote w:id="65">
    <w:p w:rsidR="008022FF" w:rsidP="005F658C">
      <w:pPr>
        <w:pStyle w:val="FootnoteText"/>
      </w:pPr>
      <w:r>
        <w:rPr>
          <w:rStyle w:val="FootnoteReference"/>
        </w:rPr>
        <w:footnoteRef/>
      </w:r>
      <w:r>
        <w:t xml:space="preserve"> </w:t>
      </w:r>
      <w:r>
        <w:tab/>
        <w:t>These provisions should generally be consistent with the carve-outs to antidilution protection contained in the Articles. However, additional exclusions may be negotiated, and more Company flexibility may be afforded here than in the similar antidilution carve-outs in the Articles, since preemptive rights are usually considered a less important investor right than a conversion price adjustment.</w:t>
      </w:r>
    </w:p>
  </w:footnote>
  <w:footnote w:id="66">
    <w:p w:rsidR="008022FF" w:rsidP="005F658C">
      <w:pPr>
        <w:pStyle w:val="FootnoteText"/>
      </w:pPr>
      <w:r>
        <w:rPr>
          <w:rStyle w:val="FootnoteReference"/>
        </w:rPr>
        <w:footnoteRef/>
      </w:r>
      <w:r>
        <w:t xml:space="preserve"> </w:t>
      </w:r>
      <w:r>
        <w:tab/>
        <w:t xml:space="preserve">If this provision is included in the Agreement, careful attention should be paid to the denominator used in the calculation of the pro rata participation right. Note that this language will not work if Section </w:t>
      </w:r>
      <w:r>
        <w:rPr>
          <w:cs/>
        </w:rPr>
        <w:t>‎</w:t>
      </w:r>
      <w:r>
        <w:rPr>
          <w:cs/>
        </w:rPr>
        <w:fldChar w:fldCharType="begin"/>
      </w:r>
      <w:r>
        <w:instrText xml:space="preserve"> REF _Ref466989721 \r \h </w:instrText>
      </w:r>
      <w:r>
        <w:rPr>
          <w:cs/>
        </w:rPr>
        <w:fldChar w:fldCharType="separate"/>
      </w:r>
      <w:r w:rsidR="00230E5B">
        <w:t>6.3</w:t>
      </w:r>
      <w:r>
        <w:rPr>
          <w:cs/>
        </w:rPr>
        <w:fldChar w:fldCharType="end"/>
      </w:r>
      <w:r>
        <w:t xml:space="preserve"> has set up to give all investors a preemptive right. See footnote 53 and 54</w:t>
      </w:r>
      <w:r>
        <w:fldChar w:fldCharType="begin"/>
      </w:r>
      <w:r>
        <w:instrText xml:space="preserve"> NOTEREF _Ref467999400 \h </w:instrText>
      </w:r>
      <w:r w:rsidR="00230E5B">
        <w:fldChar w:fldCharType="separate"/>
      </w:r>
      <w:r w:rsidR="00230E5B">
        <w:t>61</w:t>
      </w:r>
      <w:r>
        <w:fldChar w:fldCharType="end"/>
      </w:r>
      <w:r>
        <w:t>.</w:t>
      </w:r>
    </w:p>
  </w:footnote>
  <w:footnote w:id="67">
    <w:p w:rsidR="008022FF" w:rsidP="005F658C">
      <w:pPr>
        <w:pStyle w:val="FootnoteText"/>
      </w:pPr>
      <w:r>
        <w:rPr>
          <w:rStyle w:val="FootnoteReference"/>
        </w:rPr>
        <w:footnoteRef/>
      </w:r>
      <w:r>
        <w:tab/>
        <w:t>Note that securities of a number of Canadian jurisdictions include insider trading provisions that may be applicable in the context of privately-held companies. Those insider trading provisions could, at least in theory, have implications for the parties exercising or being subject to rights of first refusal where there is an imbalance in the amount of information known by the parties that might affect their determination of the value of the shares being transferred. For example, where a shareholder exercises/triggers the right of first refusal by offering to sell his shares to the other shareholders, and a shareholder in receipt of that offer knows material (favorable) information about the company that the selling shareholder does not know, the insider trading provisions would require the other shareholder to either disclose that information to the selling shareholder, or decline to purchase the shares. The drafters of this model agreement are unaware of any case law or regulatory action in this regard.</w:t>
      </w:r>
    </w:p>
  </w:footnote>
  <w:footnote w:id="68">
    <w:p w:rsidR="008022FF" w:rsidP="005F658C">
      <w:pPr>
        <w:pStyle w:val="FootnoteText"/>
      </w:pPr>
      <w:r>
        <w:rPr>
          <w:rStyle w:val="FootnoteReference"/>
        </w:rPr>
        <w:footnoteRef/>
      </w:r>
      <w:r>
        <w:tab/>
        <w:t>This form assumes that only transfers by Key Holders will be subject to rights of first refusal and co-sale. In certain circumstances, the Company or other Investors may request that the Investors and all other Shareholders also be subject to the same limitations on transfer as the Key Holders. Some Investors may feel that imposing ROFR/co-sale obligations on other Investors and Shareholders is necessary to protect the Preferred Shares liquidation preference against acquisitions structured as a take-over bid because that would not ordinarily trigger application of the liquidation preference in the Company's articles (but note that co-sale provisions would ordinarily provide the Investors with the same purchase price paid to the holders of Common Shares, rather than a higher price reflecting the liquidation preferences of the Preferred Shares). In other cases, Investors may wish to impose such restrictions on one another as means to police the composition of the Company's shareholders, or to ensure that they have "first dibs" if and when other Investors sell their shares.</w:t>
      </w:r>
    </w:p>
  </w:footnote>
  <w:footnote w:id="69">
    <w:p w:rsidR="008022FF" w:rsidP="005F658C">
      <w:pPr>
        <w:pStyle w:val="FootnoteText"/>
      </w:pPr>
      <w:r>
        <w:rPr>
          <w:rStyle w:val="FootnoteReference"/>
        </w:rPr>
        <w:footnoteRef/>
      </w:r>
      <w:r>
        <w:tab/>
        <w:t>The "all or nothing" concept contained in this paragraph makes the right of first refusal provisions less onerous for the Key Holder, in that the Company and the Investors cannot simply chip away at the deal he or she has struck with the Prospective Transferee; they must either purchase all of the Transfer Shares or let the sale to the Prospective Transferee proceed undisturbed, subject to the Right of Co-Sale. This paragraph would be particularly valuable to a Key Holder that had a controlling interest in the Company and was only able to attract a purchaser by offering to sell that interest to one party (who would not be interested in purchasing a smaller interest). If this paragraph is included, it is probably a good idea to include the preceding paragraph regarding undersubscriptions so that one Investor cannot cause everyone to lose their right of first refusal by refusing to purchase its pro rata share.</w:t>
      </w:r>
    </w:p>
  </w:footnote>
  <w:footnote w:id="70">
    <w:p w:rsidR="008022FF" w:rsidP="005F658C">
      <w:pPr>
        <w:pStyle w:val="FootnoteText"/>
      </w:pPr>
      <w:r>
        <w:rPr>
          <w:rStyle w:val="FootnoteReference"/>
        </w:rPr>
        <w:footnoteRef/>
      </w:r>
      <w:r>
        <w:tab/>
        <w:t>This provision allows the investors to receive their liquidation preference in the event that the majority shareholder sell their shares directly to a third party.</w:t>
      </w:r>
    </w:p>
  </w:footnote>
  <w:footnote w:id="71">
    <w:p w:rsidR="008022FF" w:rsidP="005F658C">
      <w:pPr>
        <w:pStyle w:val="FootnoteText"/>
      </w:pPr>
      <w:r>
        <w:rPr>
          <w:rStyle w:val="FootnoteReference"/>
        </w:rPr>
        <w:footnoteRef/>
      </w:r>
      <w:r>
        <w:tab/>
        <w:t>Use the bracketed language if you use Section 2.3.4 (Allocation of Escrow) from the Model Share Terms.</w:t>
      </w:r>
    </w:p>
  </w:footnote>
  <w:footnote w:id="72">
    <w:p w:rsidR="008022FF" w:rsidP="005F658C">
      <w:pPr>
        <w:pStyle w:val="FootnoteText"/>
      </w:pPr>
      <w:r>
        <w:rPr>
          <w:rStyle w:val="FootnoteReference"/>
        </w:rPr>
        <w:footnoteRef/>
      </w:r>
      <w:r>
        <w:tab/>
        <w:t>Logistical considerations may make a 60-day period more reasonable.</w:t>
      </w:r>
    </w:p>
  </w:footnote>
  <w:footnote w:id="73">
    <w:p w:rsidR="008022FF" w:rsidP="005F658C">
      <w:pPr>
        <w:pStyle w:val="FootnoteText"/>
      </w:pPr>
      <w:r>
        <w:rPr>
          <w:rStyle w:val="FootnoteReference"/>
        </w:rPr>
        <w:footnoteRef/>
      </w:r>
      <w:r>
        <w:tab/>
        <w:t>The Drag Along has been drafted on the basis that this Agreement is a unanimous shareholders agreement and all Shareholders are parties to this Agreement.</w:t>
      </w:r>
    </w:p>
  </w:footnote>
  <w:footnote w:id="74">
    <w:p w:rsidR="008022FF" w:rsidP="005F658C">
      <w:pPr>
        <w:pStyle w:val="FootnoteText"/>
      </w:pPr>
      <w:r>
        <w:rPr>
          <w:rStyle w:val="FootnoteReference"/>
        </w:rPr>
        <w:footnoteRef/>
      </w:r>
      <w:r>
        <w:tab/>
        <w:t xml:space="preserve">Careful attention should be paid to the drafting as to what comprises the votes necessary to trigger the drag, including ensuring they do not conflict with the protective provisions, etc. </w:t>
      </w:r>
    </w:p>
  </w:footnote>
  <w:footnote w:id="75">
    <w:p w:rsidR="008022FF" w:rsidP="005F658C">
      <w:pPr>
        <w:pStyle w:val="FootnoteText"/>
      </w:pPr>
      <w:r>
        <w:rPr>
          <w:rStyle w:val="FootnoteReference"/>
        </w:rPr>
        <w:footnoteRef/>
      </w:r>
      <w:r>
        <w:t xml:space="preserve"> </w:t>
      </w:r>
      <w:r>
        <w:tab/>
        <w:t>A waiver of these rights may not be enforceable under applicable Canadian Law.</w:t>
      </w:r>
    </w:p>
  </w:footnote>
  <w:footnote w:id="76">
    <w:p w:rsidR="008022FF" w:rsidP="005F658C">
      <w:pPr>
        <w:pStyle w:val="FootnoteText"/>
      </w:pPr>
      <w:r>
        <w:rPr>
          <w:rStyle w:val="FootnoteReference"/>
        </w:rPr>
        <w:footnoteRef/>
      </w:r>
      <w:r>
        <w:tab/>
        <w:t>Drafter should assess and make determination as to whether any or all of the listed conditions are appropriate for the relevant transaction. The non-bracketed conditions are the ones typically considered minimal to ensure that no one is treated unfairly as a result of invocation of the drag-along.</w:t>
      </w:r>
    </w:p>
  </w:footnote>
  <w:footnote w:id="77">
    <w:p w:rsidR="008022FF">
      <w:pPr>
        <w:pStyle w:val="FootnoteText"/>
      </w:pPr>
      <w:r>
        <w:rPr>
          <w:rStyle w:val="FootnoteReference"/>
        </w:rPr>
        <w:footnoteRef/>
      </w:r>
      <w:r>
        <w:t xml:space="preserve"> </w:t>
      </w:r>
      <w:r>
        <w:tab/>
        <w:t xml:space="preserve">This bracketed material is an alternative to </w:t>
      </w:r>
      <w:r>
        <w:fldChar w:fldCharType="begin"/>
      </w:r>
      <w:r>
        <w:instrText xml:space="preserve"> REF _Ref56327500 \r \h </w:instrText>
      </w:r>
      <w:r>
        <w:fldChar w:fldCharType="separate"/>
      </w:r>
      <w:r w:rsidR="00230E5B">
        <w:t>6.11</w:t>
      </w:r>
      <w:r>
        <w:fldChar w:fldCharType="end"/>
      </w:r>
      <w:r w:rsidR="00E25A0B">
        <w:t>(g)</w:t>
      </w:r>
      <w:r>
        <w:t>.</w:t>
      </w:r>
    </w:p>
  </w:footnote>
  <w:footnote w:id="78">
    <w:p w:rsidR="008022FF" w:rsidP="005F658C">
      <w:pPr>
        <w:pStyle w:val="FootnoteText"/>
      </w:pPr>
      <w:r>
        <w:rPr>
          <w:rStyle w:val="FootnoteReference"/>
        </w:rPr>
        <w:footnoteRef/>
      </w:r>
      <w:r>
        <w:tab/>
        <w:t>The reason for this provision is that the "Deemed Liquidation Event" provisions of the Articles cannot completely provide for the allocation of the purchase price paid in a sale of the Company if the sale is structured as a sale of shares by the Company's shareholders. This is because the Company may not be a party to the Change of Control transaction and will not have the opportunity to ensure that the purchase price is allocated as dictated in the Articles. This covenant is intended to prevent a group of controlling shareholders from circumventing the liquidation preference provision by structuring the sale as a Change of Control if those shareholders do not otherwise have sufficient voting power to amend the definition of a "Deemed Liquidation Event." Co-sale provisions do not provide adequate protection for such a scenario either because (a) the co-sale right does not apply to the holders of preferred shares; or (b) if co-sale rights do apply, the preferred shareholders exercising those rights might receive the same purchase price for their preferred shares as the selling common shareholders receive for this common share, thereby losing the benefits of their liquidation preferences.</w:t>
      </w:r>
    </w:p>
  </w:footnote>
  <w:footnote w:id="79">
    <w:p w:rsidR="008022FF" w:rsidP="005F658C">
      <w:pPr>
        <w:pStyle w:val="FootnoteText"/>
        <w:tabs>
          <w:tab w:val="clear" w:pos="288"/>
        </w:tabs>
        <w:ind w:left="360" w:hanging="360"/>
      </w:pPr>
      <w:r>
        <w:rPr>
          <w:rStyle w:val="FootnoteReference"/>
        </w:rPr>
        <w:footnoteRef/>
      </w:r>
      <w:r>
        <w:t xml:space="preserve"> </w:t>
      </w:r>
      <w:r>
        <w:tab/>
        <w:t>Rule 506 offerings are offerings to U.S. shareholders pursuant to certain ex</w:t>
      </w:r>
      <w:r w:rsidR="00DC5FC8">
        <w:t>em</w:t>
      </w:r>
      <w:r>
        <w:t xml:space="preserve">ptions </w:t>
      </w:r>
      <w:r w:rsidR="00DC5FC8">
        <w:t xml:space="preserve">from </w:t>
      </w:r>
      <w:r>
        <w:t>U.S. registration (prospectus) requirements. There are other U.S. ex</w:t>
      </w:r>
      <w:r w:rsidR="00DC5FC8">
        <w:t>em</w:t>
      </w:r>
      <w:r>
        <w:t>ptions available. As a result, it may not be necessary to include this Article, especially if there are no U.S. investors in the Company. This provision has been drafted to facilitate to the greatest extent possible issuers conducting Rule 506 offerings based on the presumption that its shareholders are not "bad actors."  The rule does not preclude selling securities to bad actors and, therefore, this representation is not strictly necessary for purposes of the transaction in which the shareholder becomes a party to this Agreement.  However, it is advisable for issuers to determine in advance whether a party that will become a shareholder is a bad actor to avoid being precluded from relying on Rule 506 for future offerings or future sales in the same offering if the bad actor is or becomes a 20% beneficial owner of the issuer's voting securities.]</w:t>
      </w:r>
    </w:p>
  </w:footnote>
  <w:footnote w:id="80">
    <w:p w:rsidR="008022FF" w:rsidP="005F658C">
      <w:pPr>
        <w:pStyle w:val="FootnoteText"/>
        <w:ind w:left="360" w:hanging="360"/>
      </w:pPr>
      <w:r>
        <w:rPr>
          <w:rStyle w:val="FootnoteReference"/>
        </w:rPr>
        <w:footnoteRef/>
      </w:r>
      <w:r>
        <w:t xml:space="preserve"> </w:t>
      </w:r>
      <w:r>
        <w:tab/>
        <w:t>Although Rule 506(d) does not disqualify issuers for "bad acts" occurring prior to September 23, 2013, this representation addresses "bad acts" both before and after that date. If disclosure of a "bad act" by an investor prior to September 23, 2013 is required, this representation can be modified accordingly.</w:t>
      </w:r>
    </w:p>
  </w:footnote>
  <w:footnote w:id="81">
    <w:p w:rsidR="008022FF" w:rsidP="005F658C">
      <w:pPr>
        <w:pStyle w:val="FootnoteText"/>
        <w:tabs>
          <w:tab w:val="clear" w:pos="288"/>
        </w:tabs>
        <w:ind w:left="360" w:hanging="360"/>
      </w:pPr>
      <w:r>
        <w:rPr>
          <w:rStyle w:val="FootnoteReference"/>
        </w:rPr>
        <w:footnoteRef/>
      </w:r>
      <w:r>
        <w:rPr>
          <w:szCs w:val="16"/>
        </w:rPr>
        <w:t xml:space="preserve">  </w:t>
      </w:r>
      <w:r>
        <w:rPr>
          <w:szCs w:val="16"/>
        </w:rPr>
        <w:tab/>
      </w:r>
      <w:r w:rsidRPr="00531145">
        <w:rPr>
          <w:szCs w:val="16"/>
        </w:rPr>
        <w:t>The intent of this covenant is to reduce the burden on issuers in ascertaining the "bad actor" status of its s</w:t>
      </w:r>
      <w:r>
        <w:rPr>
          <w:szCs w:val="16"/>
        </w:rPr>
        <w:t>hare</w:t>
      </w:r>
      <w:r w:rsidRPr="00531145">
        <w:rPr>
          <w:szCs w:val="16"/>
        </w:rPr>
        <w:t xml:space="preserve">holders for Rule 506 offerings. A Compliance and Disclosure Interpretation promulgated by the Securities and Exchange Commission (Question 260.14) states that, "[a]n issuer may reasonably rely on a covered </w:t>
      </w:r>
      <w:r>
        <w:rPr>
          <w:szCs w:val="16"/>
        </w:rPr>
        <w:t>person</w:t>
      </w:r>
      <w:r w:rsidRPr="00531145">
        <w:rPr>
          <w:szCs w:val="16"/>
        </w:rPr>
        <w:t>'s agreement to provide notice of a potential or actual bad actor triggering event. . . ." It also notes, however, that if an offering is continuous, delayed or long-lived, the issuer must update its inquiry through bring-down representations, negative consent letters or other reasonable means.</w:t>
      </w:r>
    </w:p>
  </w:footnote>
  <w:footnote w:id="82">
    <w:p w:rsidR="008022FF" w:rsidP="005F658C">
      <w:pPr>
        <w:pStyle w:val="FootnoteText"/>
        <w:tabs>
          <w:tab w:val="clear" w:pos="288"/>
        </w:tabs>
        <w:ind w:left="360" w:hanging="360"/>
      </w:pPr>
      <w:r>
        <w:rPr>
          <w:rStyle w:val="FootnoteReference"/>
        </w:rPr>
        <w:footnoteRef/>
      </w:r>
      <w:r>
        <w:tab/>
        <w:t xml:space="preserve">The proxy is intended to give the holder of voting rights a tool to force other shareholders to abide by the terms of this Agreement, even if the other shareholders do not agree or refuse to take the action the holder requires. Many shareholders will not give up the right to determine if the actions sought to be taken by the holder of voting rights comply with the terms of this Agreement. There may be a difference of opinion, for example, as to whether a proposed sale of the Company meets all conditions sufficient to fall with the definition of that term. Some practitioners believe the proxy would likely be used in situations when there is a dispute as to which actions are required, and that any exercise of the proxy could be hazardous to the holder of the right at that time. Accordingly, the proxy may not be very useful in the very situations when it might be invoked. Shareholders should also ensure that the giving of the power of attorney does not impair or terminate any other powers of attorney given by the shareholder, including powers of attorney given for medical reasons under substitute decision legislation such as the </w:t>
      </w:r>
      <w:r>
        <w:rPr>
          <w:i/>
          <w:iCs/>
        </w:rPr>
        <w:t xml:space="preserve">Substitute Decisions Act </w:t>
      </w:r>
      <w:r>
        <w:t>(Ontario).</w:t>
      </w:r>
    </w:p>
  </w:footnote>
  <w:footnote w:id="83">
    <w:p w:rsidR="008022FF" w:rsidP="005F658C">
      <w:pPr>
        <w:pStyle w:val="FootnoteText"/>
        <w:tabs>
          <w:tab w:val="clear" w:pos="288"/>
        </w:tabs>
        <w:ind w:left="360" w:hanging="360"/>
      </w:pPr>
      <w:r>
        <w:rPr>
          <w:rStyle w:val="FootnoteReference"/>
        </w:rPr>
        <w:footnoteRef/>
      </w:r>
      <w:r>
        <w:tab/>
        <w:t>Some shareholder agreements require a "qualified public offering" for the termination of the agreement. The blocking rights contained in the Articles and this Agreement, however, should provide sufficient protection to the Investors. Retaining a "qualified public offering" requirement in the shareholder agreement creates possible blocking rights for individual investors not contemplated by the Articles, and in any event gives rise to the need to obtain additional waivers and consents when one should be sufficient.</w:t>
      </w:r>
    </w:p>
  </w:footnote>
  <w:footnote w:id="84">
    <w:p w:rsidR="008022FF" w:rsidP="005F658C">
      <w:pPr>
        <w:pStyle w:val="FootnoteText"/>
        <w:tabs>
          <w:tab w:val="clear" w:pos="288"/>
        </w:tabs>
        <w:ind w:left="360" w:hanging="360"/>
      </w:pPr>
      <w:r>
        <w:rPr>
          <w:rStyle w:val="FootnoteReference"/>
        </w:rPr>
        <w:footnoteRef/>
      </w:r>
      <w:r>
        <w:t xml:space="preserve"> </w:t>
      </w:r>
      <w:r>
        <w:tab/>
        <w:t>It can be a point of negotiation as to whether a Key Holder transferee should be required to take share subject to the first refusal and co-sale restrictions of the agreement.</w:t>
      </w:r>
    </w:p>
  </w:footnote>
  <w:footnote w:id="85">
    <w:p w:rsidR="008022FF" w:rsidP="005F658C">
      <w:pPr>
        <w:pStyle w:val="FootnoteText"/>
        <w:tabs>
          <w:tab w:val="clear" w:pos="288"/>
        </w:tabs>
        <w:ind w:left="360" w:hanging="360"/>
      </w:pPr>
      <w:r>
        <w:rPr>
          <w:rStyle w:val="FootnoteReference"/>
        </w:rPr>
        <w:footnoteRef/>
      </w:r>
      <w:r>
        <w:tab/>
        <w:t>After choosing the applicable law, the parties should determine whether such law imposes any particular requirements, such as special legends or other notices, in order to make restrictions on transfer of shares effective. The common Canadian practice is for the governing law to be the jurisdiction in which the Company's registered office and principal place of business is located.</w:t>
      </w:r>
    </w:p>
  </w:footnote>
  <w:footnote w:id="86">
    <w:p w:rsidR="008022FF" w:rsidP="005F658C">
      <w:pPr>
        <w:pStyle w:val="FootnoteText"/>
        <w:tabs>
          <w:tab w:val="clear" w:pos="288"/>
        </w:tabs>
        <w:ind w:left="360" w:hanging="360"/>
      </w:pPr>
      <w:r>
        <w:rPr>
          <w:rStyle w:val="FootnoteReference"/>
        </w:rPr>
        <w:footnoteRef/>
      </w:r>
      <w:r>
        <w:t xml:space="preserve"> </w:t>
      </w:r>
      <w:r>
        <w:tab/>
        <w:t>Consider moving the counsel cc address to the schedules for investors, since often more than one.</w:t>
      </w:r>
    </w:p>
  </w:footnote>
  <w:footnote w:id="87">
    <w:p w:rsidR="008022FF" w:rsidP="005F658C">
      <w:pPr>
        <w:pStyle w:val="FootnoteText"/>
        <w:tabs>
          <w:tab w:val="clear" w:pos="288"/>
        </w:tabs>
        <w:ind w:left="360" w:hanging="360"/>
      </w:pPr>
      <w:r>
        <w:rPr>
          <w:rStyle w:val="FootnoteReference"/>
        </w:rPr>
        <w:footnoteRef/>
      </w:r>
      <w:r>
        <w:tab/>
        <w:t>To the extent there are rights of individual parties to designate directors, care should be taken to ensure that the amendment section requires the vote of such party to amend the relevant sections of the document.</w:t>
      </w:r>
    </w:p>
  </w:footnote>
  <w:footnote w:id="88">
    <w:p w:rsidR="008022FF" w:rsidP="005F658C">
      <w:pPr>
        <w:pStyle w:val="FootnoteText"/>
        <w:tabs>
          <w:tab w:val="clear" w:pos="288"/>
        </w:tabs>
        <w:ind w:left="360" w:hanging="360"/>
      </w:pPr>
      <w:r>
        <w:rPr>
          <w:rStyle w:val="FootnoteReference"/>
        </w:rPr>
        <w:footnoteRef/>
      </w:r>
      <w:r>
        <w:t xml:space="preserve"> </w:t>
      </w:r>
      <w:r>
        <w:tab/>
      </w:r>
      <w:r w:rsidRPr="002B3052">
        <w:t xml:space="preserve">Note that this parenthetical allows all investors with </w:t>
      </w:r>
      <w:r>
        <w:t>pre</w:t>
      </w:r>
      <w:r w:rsidR="00350426">
        <w:t>-</w:t>
      </w:r>
      <w:r>
        <w:t>emptive</w:t>
      </w:r>
      <w:r w:rsidRPr="002B3052">
        <w:t xml:space="preserve"> rights to vote for a waiver of </w:t>
      </w:r>
      <w:r>
        <w:t>pre</w:t>
      </w:r>
      <w:r w:rsidR="00350426">
        <w:t>-</w:t>
      </w:r>
      <w:r>
        <w:t>emptive</w:t>
      </w:r>
      <w:r w:rsidRPr="002B3052">
        <w:t xml:space="preserve"> rights, including investors who participate in a financing for which such rights are waived. This allows flexibility in structuring future investment rounds, but could result in some investors losing </w:t>
      </w:r>
      <w:r>
        <w:t>pre</w:t>
      </w:r>
      <w:r w:rsidR="00350426">
        <w:t>-</w:t>
      </w:r>
      <w:r>
        <w:t xml:space="preserve">emptive </w:t>
      </w:r>
      <w:r w:rsidRPr="002B3052">
        <w:t>rights in a round where other investors are participating.</w:t>
      </w:r>
    </w:p>
  </w:footnote>
  <w:footnote w:id="89">
    <w:p w:rsidR="008022FF" w:rsidP="005F658C">
      <w:pPr>
        <w:pStyle w:val="FootnoteText"/>
        <w:tabs>
          <w:tab w:val="clear" w:pos="288"/>
        </w:tabs>
        <w:ind w:left="360" w:hanging="360"/>
      </w:pPr>
      <w:r>
        <w:rPr>
          <w:rStyle w:val="FootnoteReference"/>
        </w:rPr>
        <w:footnoteRef/>
      </w:r>
      <w:r>
        <w:tab/>
        <w:t>Waiver of jury trial is a common U.S. provision because of U.S. laws that permit juries for commercial matters. There is no harm in including it in a Canadian document.</w:t>
      </w:r>
    </w:p>
  </w:footnote>
  <w:footnote w:id="90">
    <w:p w:rsidR="008022FF" w:rsidP="005F658C">
      <w:pPr>
        <w:pStyle w:val="FootnoteText"/>
        <w:tabs>
          <w:tab w:val="clear" w:pos="288"/>
        </w:tabs>
        <w:ind w:left="360" w:hanging="360"/>
      </w:pPr>
      <w:r>
        <w:rPr>
          <w:rStyle w:val="FootnoteReference"/>
        </w:rPr>
        <w:footnoteRef/>
      </w:r>
      <w:r>
        <w:t xml:space="preserve"> </w:t>
      </w:r>
      <w:r>
        <w:tab/>
        <w:t>Some lawyers prefer to include a binding arbitration provision as the sole means of dispute resolution on the theory that arbitration is confidential and may be less expensive and more efficient. Some investors, however, dislike arbitration because the result cannot be appealed.</w:t>
      </w:r>
    </w:p>
  </w:footnote>
  <w:footnote w:id="91">
    <w:p w:rsidR="008022FF" w:rsidP="005F658C">
      <w:pPr>
        <w:pStyle w:val="FootnoteText"/>
        <w:ind w:left="360" w:hanging="360"/>
      </w:pPr>
      <w:r>
        <w:rPr>
          <w:rStyle w:val="FootnoteReference"/>
        </w:rPr>
        <w:footnoteRef/>
      </w:r>
      <w:r>
        <w:tab/>
        <w:t>Arbitration procedure to be established on a case by case basis depending on circumstances.</w:t>
      </w:r>
    </w:p>
  </w:footnote>
  <w:footnote w:id="92">
    <w:p w:rsidR="008022FF" w:rsidP="000E301C">
      <w:pPr>
        <w:pStyle w:val="FootnoteText"/>
        <w:ind w:left="180" w:hanging="180"/>
      </w:pPr>
      <w:r>
        <w:rPr>
          <w:rStyle w:val="FootnoteReference"/>
        </w:rPr>
        <w:footnoteRef/>
      </w:r>
      <w:r>
        <w:t xml:space="preserve"> </w:t>
      </w:r>
      <w:r>
        <w:tab/>
        <w:t>Registration rights are a U.S. concept that enables a trade of securities to be registered under registration statements to permit shares to be publicly tradeable. That concept is similar to the Canadian concept of qualifying a distribution of securities under a prospectus. These rights are much less important in Canada because once a company is public in Canada, shareholders are generally free to sell their shares publicly without any prospectus filing requirements. The principal exception in Canada is for control block holders, who may wish to sell their shares by way of a prospectus. In those circumstances, the shareholder will want registration rights. Shareholders may also wish to piggy back on the Company's offerings. In Canadian venture deals that do not include a U.S. investor, registration rights are generally not included. In some cases, the investment documents simply include a provision that states that the company may not grant registration rights to subsequent investors unless substantially the same rights are granted to existing investors.</w:t>
      </w:r>
    </w:p>
  </w:footnote>
  <w:footnote w:id="93">
    <w:p w:rsidR="008022FF" w:rsidP="000E301C">
      <w:pPr>
        <w:pStyle w:val="FootnoteText"/>
        <w:ind w:left="180" w:hanging="180"/>
      </w:pPr>
      <w:r>
        <w:rPr>
          <w:rStyle w:val="FootnoteReference"/>
        </w:rPr>
        <w:footnoteRef/>
      </w:r>
      <w:r>
        <w:t xml:space="preserve"> </w:t>
      </w:r>
      <w:r>
        <w:tab/>
        <w:t>If the Articles contains a "pay-to-play" provision, consider whether shares issued upon a "Special Mandatory Conversion" pursuant thereto should lose their status as Registrable Securities. See Section 5A (Special Mandatory Conversion) of Part C of Article Four of the Model Articles.</w:t>
      </w:r>
    </w:p>
  </w:footnote>
  <w:footnote w:id="94">
    <w:p w:rsidR="008022FF" w:rsidP="000E301C">
      <w:pPr>
        <w:pStyle w:val="FootnoteText"/>
        <w:ind w:left="180" w:hanging="180"/>
      </w:pPr>
      <w:r>
        <w:rPr>
          <w:rStyle w:val="FootnoteReference"/>
        </w:rPr>
        <w:footnoteRef/>
      </w:r>
      <w:r>
        <w:t xml:space="preserve"> </w:t>
      </w:r>
      <w:r>
        <w:tab/>
        <w:t>Typically, Key Holders of common shares are not granted registration rights. In certain instances it may be appropriate to grant Key Holders (</w:t>
      </w:r>
      <w:r>
        <w:rPr>
          <w:i/>
          <w:iCs/>
        </w:rPr>
        <w:t>e.g.</w:t>
      </w:r>
      <w:r>
        <w:t>, founders, significant early-round angel investors) piggyback and/or S-3/F-3 registration rights, although often they will be subordinate to investors on underwriter cutbacks. If such rights are granted, provision must be made throughout this form to include such rights and provide for appropriate cutbacks and limitations and protection in the event of amendments and waivers.</w:t>
      </w:r>
    </w:p>
  </w:footnote>
  <w:footnote w:id="95">
    <w:p w:rsidR="008022FF" w:rsidP="000E301C">
      <w:pPr>
        <w:pStyle w:val="FootnoteText"/>
        <w:ind w:left="180" w:hanging="180"/>
      </w:pPr>
      <w:r>
        <w:rPr>
          <w:rStyle w:val="FootnoteReference"/>
        </w:rPr>
        <w:footnoteRef/>
      </w:r>
      <w:r>
        <w:t xml:space="preserve"> </w:t>
      </w:r>
      <w:r>
        <w:tab/>
        <w:t>Registrable Securities are defined in terms of common shares because preferred shares of venture-capital-backed companies are usually not sold or marketed at an IPO. The language "issued or issuable" should be present so that the definition works regardless of whether or not the preferred shares have yet been converted. Note that the effect of the transferability section is such that certain sizeable transfers of shares pursuant to available exemptions under the Securities Act or Canadian Securities Laws will not remove the registration rights associated with those shares.</w:t>
      </w:r>
    </w:p>
  </w:footnote>
  <w:footnote w:id="96">
    <w:p w:rsidR="008022FF">
      <w:pPr>
        <w:pStyle w:val="FootnoteText"/>
      </w:pPr>
      <w:r>
        <w:rPr>
          <w:rStyle w:val="FootnoteReference"/>
        </w:rPr>
        <w:footnoteRef/>
      </w:r>
      <w:r>
        <w:t xml:space="preserve"> As investors' counsel, to prevent inadvertent perpetual roll-forward, consider inserting a date certain that reflects the agreed upon time frame.</w:t>
      </w:r>
    </w:p>
  </w:footnote>
  <w:footnote w:id="97">
    <w:p w:rsidR="008022FF" w:rsidP="000E301C">
      <w:pPr>
        <w:pStyle w:val="FootnoteText"/>
        <w:ind w:left="180" w:hanging="180"/>
      </w:pPr>
      <w:r>
        <w:rPr>
          <w:rStyle w:val="FootnoteReference"/>
        </w:rPr>
        <w:footnoteRef/>
      </w:r>
      <w:r>
        <w:t xml:space="preserve"> </w:t>
      </w:r>
      <w:r>
        <w:tab/>
        <w:t xml:space="preserve">The starting time period for initiating registration rights usually has these two components. The first time period is designed to allow the investors to force the Company to go public if it has not already done so (3 to 5 years is common for this), although practically speaking this rarely, if ever, happens. The second time period is set around the expiration of any underwriter lock-ups after an IPO, which usually expire 180 days after the IPO. See Section </w:t>
      </w:r>
      <w:r>
        <w:fldChar w:fldCharType="begin"/>
      </w:r>
      <w:r>
        <w:instrText xml:space="preserve"> REF _Ref468260686 \r \h </w:instrText>
      </w:r>
      <w:r>
        <w:fldChar w:fldCharType="separate"/>
      </w:r>
      <w:r w:rsidR="00230E5B">
        <w:t>5.10</w:t>
      </w:r>
      <w:r>
        <w:fldChar w:fldCharType="end"/>
      </w:r>
      <w:r>
        <w:t xml:space="preserve"> of the Agreement.</w:t>
      </w:r>
    </w:p>
  </w:footnote>
  <w:footnote w:id="98">
    <w:p w:rsidR="008022FF" w:rsidP="000E301C">
      <w:pPr>
        <w:pStyle w:val="FootnoteText"/>
        <w:ind w:left="180" w:hanging="180"/>
      </w:pPr>
      <w:r>
        <w:rPr>
          <w:rStyle w:val="FootnoteReference"/>
        </w:rPr>
        <w:footnoteRef/>
      </w:r>
      <w:r>
        <w:t xml:space="preserve"> </w:t>
      </w:r>
      <w:r>
        <w:tab/>
        <w:t>As with all percentage vote thresholds, consideration will need to be given to whether any single investor can either control or block the vote. When dealing with multiple classes of preferred shares, it is important to understand the composition of the shareholder base to ensure that each class is getting the rights it bargained for. The Company will want this percentage to be high enough so that a significant portion of the investor base is behind the demand to cause the Company to effect a registered offering, particularly an IPO. Companies typically will resist allowing a single minority investor to cause a registration. Experienced investors will want to ensure that less experienced investors do not have the right to cause a demand registration. In some cases, holders of different classes of preferred shares may request the right for that class to initiate a certain number of demand registrations. Companies typically will resist this due to the cost and diversion of management resources when multiple constituencies have this right.</w:t>
      </w:r>
    </w:p>
  </w:footnote>
  <w:footnote w:id="99">
    <w:p w:rsidR="008022FF" w:rsidP="000E301C">
      <w:pPr>
        <w:pStyle w:val="FootnoteText"/>
        <w:ind w:left="180" w:hanging="180"/>
      </w:pPr>
      <w:r>
        <w:rPr>
          <w:rStyle w:val="FootnoteReference"/>
        </w:rPr>
        <w:footnoteRef/>
      </w:r>
      <w:r>
        <w:t xml:space="preserve"> </w:t>
      </w:r>
      <w:r>
        <w:tab/>
        <w:t>Most Canadian tech companies go public in Canada. However, there are three options: (a) Canada only, (b) U.S. only, or (c) both Canada and the U.S. If the Company has gone public in one, then the deemed registration must be made for that jurisdiction. The Agreement should be modified to reflect that eventuality if it is possible in the circumstances. See Section 1.15.</w:t>
      </w:r>
    </w:p>
  </w:footnote>
  <w:footnote w:id="100">
    <w:p w:rsidR="008022FF" w:rsidP="000E301C">
      <w:pPr>
        <w:pStyle w:val="FootnoteText"/>
        <w:ind w:left="180" w:hanging="180"/>
      </w:pPr>
      <w:r>
        <w:rPr>
          <w:rStyle w:val="FootnoteReference"/>
        </w:rPr>
        <w:footnoteRef/>
      </w:r>
      <w:r>
        <w:t xml:space="preserve"> </w:t>
      </w:r>
      <w:r>
        <w:tab/>
        <w:t>A trigger threshold may be negotiated and can range from 20% to 100% of total Registrable Securities for demand registrations. However, some companies do not impose a threshold, relying instead on the minimum offering size.</w:t>
      </w:r>
    </w:p>
  </w:footnote>
  <w:footnote w:id="101">
    <w:p w:rsidR="008022FF">
      <w:pPr>
        <w:pStyle w:val="FootnoteText"/>
      </w:pPr>
      <w:r>
        <w:rPr>
          <w:rStyle w:val="FootnoteReference"/>
        </w:rPr>
        <w:footnoteRef/>
      </w:r>
      <w:r>
        <w:t xml:space="preserve"> As S-3 rights are not a large imposition, and the $ threshold exists, consider no % floor.</w:t>
      </w:r>
    </w:p>
  </w:footnote>
  <w:footnote w:id="102">
    <w:p w:rsidR="008022FF" w:rsidP="000E301C">
      <w:pPr>
        <w:pStyle w:val="FootnoteText"/>
        <w:ind w:left="180" w:hanging="180"/>
      </w:pPr>
      <w:r>
        <w:rPr>
          <w:rStyle w:val="FootnoteReference"/>
        </w:rPr>
        <w:footnoteRef/>
      </w:r>
      <w:r>
        <w:t xml:space="preserve"> </w:t>
      </w:r>
      <w:r>
        <w:tab/>
        <w:t>This section is designed to give the Company a "blackout" period pursuant to which it can suspend registrations due to the timing of certain other corporate events that could affect its shares. A broader, more pro-Company alternative to listing specific, limited situations in which the Company can suspend registration is to provide more generally: "it would be materially detrimental to the Company and its shareholders for such registration statement to be filed and it is therefore necessary to defer the filing of such registration statement."</w:t>
      </w:r>
    </w:p>
  </w:footnote>
  <w:footnote w:id="103">
    <w:p w:rsidR="008022FF" w:rsidP="000E301C">
      <w:pPr>
        <w:pStyle w:val="FootnoteText"/>
        <w:ind w:left="180" w:hanging="180"/>
      </w:pPr>
      <w:r>
        <w:rPr>
          <w:rStyle w:val="FootnoteReference"/>
        </w:rPr>
        <w:footnoteRef/>
      </w:r>
      <w:r>
        <w:t xml:space="preserve"> </w:t>
      </w:r>
      <w:r>
        <w:tab/>
        <w:t>It is common to limit use of the blackout provisions to one time in any 12-month period. Some companies seek blackouts twice in 12 months or one time for every registration, but investors generally view this as too restrictive on investors (especially when combined with the delay period for Company registrations and the lock-up period). A common formulation is to permit one blackout of up to 120 days in any 12-month period. However, it provides greater flexibility to the Company and may also be better for the investors to provide instead for two 60-day periods in any 12-month period, which the Company can combine if necessary to achieve a total blackout of 120 days.</w:t>
      </w:r>
    </w:p>
  </w:footnote>
  <w:footnote w:id="104">
    <w:p w:rsidR="008022FF" w:rsidP="000E301C">
      <w:pPr>
        <w:pStyle w:val="FootnoteText"/>
        <w:ind w:left="180" w:hanging="180"/>
      </w:pPr>
      <w:r>
        <w:rPr>
          <w:rStyle w:val="FootnoteReference"/>
        </w:rPr>
        <w:footnoteRef/>
      </w:r>
      <w:r>
        <w:t xml:space="preserve"> </w:t>
      </w:r>
      <w:r>
        <w:tab/>
        <w:t xml:space="preserve">Note that the alternative carve-out provision from the limitation on the Company's right to register securities for its own account during a blackout period does not include a carve-out for a registration relating to a SEC Rule 145 transaction. From the investors' perspective, although it may be acceptable for the Company to delay a resale registration in the circumstances set forth in this provision, those circumstances should not entitle the Company to file, </w:t>
      </w:r>
      <w:r>
        <w:rPr>
          <w:i/>
          <w:iCs/>
        </w:rPr>
        <w:t>e.g.</w:t>
      </w:r>
      <w:r>
        <w:t>, a Form S-4 for a Rule 145 transaction, in priority to a registration requested by the Holders of Registrable Securities. However, from the Company's perspective, the inability to file the Form S-4 could be a hindrance to an acquisition.</w:t>
      </w:r>
    </w:p>
  </w:footnote>
  <w:footnote w:id="105">
    <w:p w:rsidR="008022FF" w:rsidP="000E301C">
      <w:pPr>
        <w:pStyle w:val="FootnoteText"/>
        <w:ind w:left="180" w:hanging="180"/>
      </w:pPr>
      <w:r>
        <w:rPr>
          <w:rStyle w:val="FootnoteReference"/>
        </w:rPr>
        <w:footnoteRef/>
      </w:r>
      <w:r>
        <w:t xml:space="preserve"> </w:t>
      </w:r>
      <w:r>
        <w:tab/>
        <w:t>This language is commonly referred to as the "underwriter cutback" section. In some offerings, an underwriter may determine it can successfully market only a certain number of securities and must therefore reduce the size of the overall registration. When this happens, the holders of Registrable Securities are generally entitled to include their shares before anybody else (consider whether later classes may want priority over earlier classes). If there is not enough room for these holders, the cutback should be pro rata based on shares held and not "shares requested to be included" (which only creates a race to request and an incentive to request all amounts held every time). Also, if Key Holders have been given registration rights, consider priority of cutback for such Key Holders.</w:t>
      </w:r>
    </w:p>
  </w:footnote>
  <w:footnote w:id="106">
    <w:p w:rsidR="008022FF" w:rsidP="000E301C">
      <w:pPr>
        <w:pStyle w:val="FootnoteText"/>
        <w:ind w:left="180" w:hanging="180"/>
      </w:pPr>
      <w:r>
        <w:rPr>
          <w:rStyle w:val="FootnoteReference"/>
        </w:rPr>
        <w:footnoteRef/>
      </w:r>
      <w:r>
        <w:t xml:space="preserve"> </w:t>
      </w:r>
      <w:r>
        <w:tab/>
        <w:t>This section simply lists the undertakings of the Company in the event of a registration. As a practical matter, this language will be superseded by any underwriting agreement as part of an underwritten offering.</w:t>
      </w:r>
    </w:p>
  </w:footnote>
  <w:footnote w:id="107">
    <w:p w:rsidR="008022FF" w:rsidP="000E301C">
      <w:pPr>
        <w:pStyle w:val="FootnoteText"/>
        <w:ind w:left="180" w:hanging="180"/>
      </w:pPr>
      <w:r>
        <w:rPr>
          <w:rStyle w:val="FootnoteReference"/>
        </w:rPr>
        <w:footnoteRef/>
      </w:r>
      <w:r>
        <w:t xml:space="preserve"> </w:t>
      </w:r>
      <w:r>
        <w:tab/>
        <w:t>Much ink has been spilled addressing the distinctions, or lack thereof, among the "best efforts," "commercially reasonable efforts," "reasonable efforts," and similar performance standards. This Agreement uses "commercially reasonable efforts" as the default performance standard.</w:t>
      </w:r>
    </w:p>
  </w:footnote>
  <w:footnote w:id="108">
    <w:p w:rsidR="008022FF" w:rsidP="000E301C">
      <w:pPr>
        <w:pStyle w:val="FootnoteText"/>
        <w:ind w:left="180" w:hanging="180"/>
      </w:pPr>
      <w:r>
        <w:rPr>
          <w:rStyle w:val="FootnoteReference"/>
        </w:rPr>
        <w:footnoteRef/>
      </w:r>
      <w:r>
        <w:t xml:space="preserve"> </w:t>
      </w:r>
      <w:r>
        <w:tab/>
        <w:t>This is generally viewed as a burdensome requirement for a Company, so it is often carved out of required registrations.</w:t>
      </w:r>
    </w:p>
  </w:footnote>
  <w:footnote w:id="109">
    <w:p w:rsidR="008022FF" w:rsidP="000E301C">
      <w:pPr>
        <w:pStyle w:val="FootnoteText"/>
        <w:ind w:left="180" w:hanging="180"/>
      </w:pPr>
      <w:r>
        <w:rPr>
          <w:rStyle w:val="FootnoteReference"/>
        </w:rPr>
        <w:footnoteRef/>
      </w:r>
      <w:r>
        <w:t xml:space="preserve"> </w:t>
      </w:r>
      <w:r>
        <w:tab/>
        <w:t>This inspection right is necessary to enable the selling Holders and underwriters to undertake their due diligence investigation in connection with the distribution. In facilitating the due diligence investigations, the Company must be sensitive to its obligations under Regulation FD under the Securities Act and similar rules under Canadian Securities Laws.</w:t>
      </w:r>
    </w:p>
  </w:footnote>
  <w:footnote w:id="110">
    <w:p w:rsidR="008022FF" w:rsidP="000E301C">
      <w:pPr>
        <w:pStyle w:val="FootnoteText"/>
        <w:ind w:left="180" w:hanging="180"/>
      </w:pPr>
      <w:r>
        <w:rPr>
          <w:rStyle w:val="FootnoteReference"/>
        </w:rPr>
        <w:footnoteRef/>
      </w:r>
      <w:r>
        <w:t xml:space="preserve"> </w:t>
      </w:r>
      <w:r>
        <w:tab/>
        <w:t>Note that as a practical matter underwriting agreements also provide for indemnification obligations, and therefore it is important to review the indemnification provisions carefully in connection with underwritten public offerings.</w:t>
      </w:r>
    </w:p>
  </w:footnote>
  <w:footnote w:id="111">
    <w:p w:rsidR="008022FF" w:rsidP="000E301C">
      <w:pPr>
        <w:pStyle w:val="FootnoteText"/>
        <w:ind w:left="180" w:hanging="180"/>
      </w:pPr>
      <w:r>
        <w:rPr>
          <w:rStyle w:val="FootnoteReference"/>
        </w:rPr>
        <w:footnoteRef/>
      </w:r>
      <w:r>
        <w:t xml:space="preserve"> </w:t>
      </w:r>
      <w:r>
        <w:tab/>
        <w:t>The value and necessity of obligations to provide copies of SEC filed documents is questionable given the availability of all such documents on EDGAR.</w:t>
      </w:r>
    </w:p>
  </w:footnote>
  <w:footnote w:id="112">
    <w:p w:rsidR="008022FF" w:rsidP="000E301C">
      <w:pPr>
        <w:pStyle w:val="FootnoteText"/>
        <w:ind w:left="180" w:hanging="180"/>
      </w:pPr>
      <w:r>
        <w:rPr>
          <w:rStyle w:val="FootnoteReference"/>
        </w:rPr>
        <w:footnoteRef/>
      </w:r>
      <w:r>
        <w:t xml:space="preserve"> </w:t>
      </w:r>
      <w:r>
        <w:tab/>
        <w:t>Attention should be given to ensure that this provision does not provide any particular investor with a blocking right on future securities issuances beyond what is included in the Articles.</w:t>
      </w:r>
    </w:p>
  </w:footnote>
  <w:footnote w:id="113">
    <w:p w:rsidR="008022FF">
      <w:pPr>
        <w:pStyle w:val="FootnoteText"/>
      </w:pPr>
      <w:r>
        <w:rPr>
          <w:rStyle w:val="FootnoteReference"/>
        </w:rPr>
        <w:footnoteRef/>
      </w:r>
      <w:r>
        <w:t xml:space="preserve"> </w:t>
      </w:r>
      <w:r w:rsidRPr="00396B81">
        <w:t>This language is intended to preserve registration rights for larger holders who may be subject to lock ups and other constraints on transferability including volume limitations and/or spikes. See also footnote</w:t>
      </w:r>
      <w:r>
        <w:t xml:space="preserve"> 103.</w:t>
      </w:r>
    </w:p>
  </w:footnote>
  <w:footnote w:id="114">
    <w:p w:rsidR="008022FF" w:rsidP="000E301C">
      <w:pPr>
        <w:pStyle w:val="FootnoteText"/>
        <w:ind w:left="180" w:hanging="180"/>
      </w:pPr>
      <w:r>
        <w:rPr>
          <w:rStyle w:val="FootnoteReference"/>
        </w:rPr>
        <w:footnoteRef/>
      </w:r>
      <w:r>
        <w:t xml:space="preserve"> </w:t>
      </w:r>
      <w:r>
        <w:tab/>
        <w:t xml:space="preserve">Investors should be aware of definitions providing that shares cease to be registrable when they "may" be sold to the public under </w:t>
      </w:r>
      <w:r w:rsidR="00714B04">
        <w:t>U.S.</w:t>
      </w:r>
      <w:r>
        <w:t xml:space="preserve"> securities laws without limitation as to amount (most often couched in the Rule 144 context) and under Canadian securities laws without being considered a distribution under NI 45-102. This variation may not be acceptable to investors, for several reasons. First, investors specifically negotiate for registration rights so that they are afforded the opportunity for a marketed and orderly exit from their investment, and the exemptions afforded by Rule 144, Regulation S or NI 45-102 should not change this. Second, this provision could result in differing treatment of investors in that certain investors may be affiliates of the Company (due to, for example, Board representation or percentage of share ownership) for whom Rule 144 may not be available for sale of all shares without volume limitations, resulting in no loss of registration rights, while other investors who are not affiliates of the Company and for whom Rule 144 would become available for sale of all shares without volume limitations would lose registration rights. Finally, depending on factors such as holding periods, lock-up periods, and market volumes, investors may lose their registration rights without any real opportunity to exercise them if the rights expire when shares become salable on an unlimited basis under Rule 144. This final point is particularly true with the reduction of the holding period under Rule 144 for unlimited resales of securities (other than for affiliates) to 1 year. Sometimes investors agree to minimum ownership thresholds such that holders of securities available for sale under Rule 144 who hold less than a specified percentage (usually 1-5%) of the Company lose registration rights. The idea behind this is that these smaller holders really should be using Rule 144 as an exit strategy. If investors can get comfortable with the percentage threshold (which may be difficult since they will have to estimate some amount of dilution for additional financings and a possible IPO), this can be beneficial to the investors as well since it will reduce the crowd on the registration statement. In addition, some investors have expressed concern with termination of their registration rights even when all of their shares could be sold under Rule 144 since there may still be practical issues with such sales in large volumes (</w:t>
      </w:r>
      <w:r>
        <w:rPr>
          <w:i/>
          <w:iCs/>
        </w:rPr>
        <w:t>e.g.</w:t>
      </w:r>
      <w:r>
        <w:t>, someone holding 5-9%) even though they are legally permissible and some investors feel it may also be in the Company's interest to have them sell as part of an offering rather than dump the shares on the market. Investors also worry about such a termination provision in the event that they remain subject to continuing lock-ups for registrations other than the IPO (see footnote 33) as that can impact their ability to sell outside of the registration.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22FF">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22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22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2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BE845BD0"/>
    <w:lvl w:ilvl="0">
      <w:start w:val="1"/>
      <w:numFmt w:val="decimal"/>
      <w:lvlText w:val="%1."/>
      <w:lvlJc w:val="left"/>
      <w:pPr>
        <w:tabs>
          <w:tab w:val="num" w:pos="1800"/>
        </w:tabs>
        <w:ind w:left="1800" w:hanging="360"/>
      </w:pPr>
    </w:lvl>
  </w:abstractNum>
  <w:abstractNum w:abstractNumId="1">
    <w:nsid w:val="FFFFFF7D"/>
    <w:multiLevelType w:val="singleLevel"/>
    <w:tmpl w:val="A162CA68"/>
    <w:lvl w:ilvl="0">
      <w:start w:val="1"/>
      <w:numFmt w:val="decimal"/>
      <w:lvlText w:val="%1."/>
      <w:lvlJc w:val="left"/>
      <w:pPr>
        <w:tabs>
          <w:tab w:val="num" w:pos="1440"/>
        </w:tabs>
        <w:ind w:left="1440" w:hanging="360"/>
      </w:pPr>
    </w:lvl>
  </w:abstractNum>
  <w:abstractNum w:abstractNumId="2">
    <w:nsid w:val="FFFFFF7E"/>
    <w:multiLevelType w:val="singleLevel"/>
    <w:tmpl w:val="766CA662"/>
    <w:lvl w:ilvl="0">
      <w:start w:val="1"/>
      <w:numFmt w:val="decimal"/>
      <w:lvlText w:val="%1."/>
      <w:lvlJc w:val="left"/>
      <w:pPr>
        <w:tabs>
          <w:tab w:val="num" w:pos="1080"/>
        </w:tabs>
        <w:ind w:left="1080" w:hanging="360"/>
      </w:pPr>
    </w:lvl>
  </w:abstractNum>
  <w:abstractNum w:abstractNumId="3">
    <w:nsid w:val="FFFFFF7F"/>
    <w:multiLevelType w:val="singleLevel"/>
    <w:tmpl w:val="7886163C"/>
    <w:lvl w:ilvl="0">
      <w:start w:val="1"/>
      <w:numFmt w:val="decimal"/>
      <w:lvlText w:val="%1."/>
      <w:lvlJc w:val="left"/>
      <w:pPr>
        <w:tabs>
          <w:tab w:val="num" w:pos="720"/>
        </w:tabs>
        <w:ind w:left="720" w:hanging="360"/>
      </w:pPr>
    </w:lvl>
  </w:abstractNum>
  <w:abstractNum w:abstractNumId="4">
    <w:nsid w:val="FFFFFF80"/>
    <w:multiLevelType w:val="singleLevel"/>
    <w:tmpl w:val="B2DC29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578277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5385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DAE98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3627B46"/>
    <w:lvl w:ilvl="0">
      <w:start w:val="1"/>
      <w:numFmt w:val="decimal"/>
      <w:lvlText w:val="%1."/>
      <w:lvlJc w:val="left"/>
      <w:pPr>
        <w:tabs>
          <w:tab w:val="num" w:pos="360"/>
        </w:tabs>
        <w:ind w:left="360" w:hanging="360"/>
      </w:pPr>
    </w:lvl>
  </w:abstractNum>
  <w:abstractNum w:abstractNumId="9">
    <w:nsid w:val="FFFFFF89"/>
    <w:multiLevelType w:val="singleLevel"/>
    <w:tmpl w:val="0A00E85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9B09FC"/>
    <w:multiLevelType w:val="multilevel"/>
    <w:tmpl w:val="BB80C72C"/>
    <w:name w:val="zzmpArticleBJ||ArticleBJ|2|1|1|4|10|41||1|12|33||1|12|32||1|12|32||1|12|32||1|12|32||1|12|32||1|12|32||mpNA||"/>
    <w:lvl w:ilvl="0">
      <w:start w:val="1"/>
      <w:numFmt w:val="decimal"/>
      <w:pStyle w:val="ArticleBJL1"/>
      <w:suff w:val="nothing"/>
      <w:lvlText w:val="Article %1"/>
      <w:lvlJc w:val="left"/>
      <w:pPr>
        <w:tabs>
          <w:tab w:val="num" w:pos="720"/>
        </w:tabs>
        <w:ind w:left="0" w:firstLine="0"/>
      </w:pPr>
      <w:rPr>
        <w:b/>
        <w:i w:val="0"/>
        <w:caps/>
        <w:smallCaps w:val="0"/>
        <w:strike w:val="0"/>
        <w:dstrike w:val="0"/>
        <w:outline w:val="0"/>
        <w:shadow w:val="0"/>
        <w:emboss w:val="0"/>
        <w:imprint w:val="0"/>
        <w:vanish w:val="0"/>
        <w:color w:val="auto"/>
        <w:u w:val="none"/>
        <w:effect w:val="none"/>
        <w:vertAlign w:val="baseline"/>
      </w:rPr>
    </w:lvl>
    <w:lvl w:ilvl="1">
      <w:start w:val="1"/>
      <w:numFmt w:val="decimal"/>
      <w:pStyle w:val="ArticleBJL2"/>
      <w:isLgl/>
      <w:lvlText w:val="%1.%2"/>
      <w:lvlJc w:val="left"/>
      <w:pPr>
        <w:tabs>
          <w:tab w:val="num" w:pos="720"/>
        </w:tabs>
        <w:ind w:left="0" w:firstLine="0"/>
      </w:pPr>
      <w:rPr>
        <w:b/>
        <w:i w:val="0"/>
        <w:caps w:val="0"/>
        <w:strike w:val="0"/>
        <w:dstrike w:val="0"/>
        <w:outline w:val="0"/>
        <w:shadow w:val="0"/>
        <w:emboss w:val="0"/>
        <w:imprint w:val="0"/>
        <w:vanish w:val="0"/>
        <w:color w:val="auto"/>
        <w:u w:val="none"/>
        <w:effect w:val="none"/>
        <w:vertAlign w:val="baseline"/>
      </w:rPr>
    </w:lvl>
    <w:lvl w:ilvl="2">
      <w:start w:val="1"/>
      <w:numFmt w:val="lowerLetter"/>
      <w:pStyle w:val="ArticleBJL3"/>
      <w:lvlText w:val="(%3)"/>
      <w:lvlJc w:val="left"/>
      <w:pPr>
        <w:tabs>
          <w:tab w:val="num" w:pos="1440"/>
        </w:tabs>
        <w:ind w:left="1440" w:hanging="720"/>
      </w:pPr>
      <w:rPr>
        <w:b w:val="0"/>
        <w:i w:val="0"/>
        <w:caps w:val="0"/>
        <w:strike w:val="0"/>
        <w:dstrike w:val="0"/>
        <w:outline w:val="0"/>
        <w:shadow w:val="0"/>
        <w:emboss w:val="0"/>
        <w:imprint w:val="0"/>
        <w:vanish w:val="0"/>
        <w:color w:val="auto"/>
        <w:u w:val="none"/>
        <w:effect w:val="none"/>
        <w:vertAlign w:val="baseline"/>
      </w:rPr>
    </w:lvl>
    <w:lvl w:ilvl="3">
      <w:start w:val="1"/>
      <w:numFmt w:val="lowerRoman"/>
      <w:pStyle w:val="ArticleBJL4"/>
      <w:lvlText w:val="(%4)"/>
      <w:lvlJc w:val="left"/>
      <w:pPr>
        <w:tabs>
          <w:tab w:val="num" w:pos="2160"/>
        </w:tabs>
        <w:ind w:left="2160" w:hanging="720"/>
      </w:pPr>
      <w:rPr>
        <w:b w:val="0"/>
        <w:i w:val="0"/>
        <w:caps w:val="0"/>
        <w:strike w:val="0"/>
        <w:dstrike w:val="0"/>
        <w:outline w:val="0"/>
        <w:shadow w:val="0"/>
        <w:emboss w:val="0"/>
        <w:imprint w:val="0"/>
        <w:vanish w:val="0"/>
        <w:color w:val="auto"/>
        <w:u w:val="none"/>
        <w:effect w:val="none"/>
        <w:vertAlign w:val="baseline"/>
      </w:rPr>
    </w:lvl>
    <w:lvl w:ilvl="4">
      <w:start w:val="1"/>
      <w:numFmt w:val="upperLetter"/>
      <w:pStyle w:val="ArticleBJL5"/>
      <w:lvlText w:val="(%5)"/>
      <w:lvlJc w:val="left"/>
      <w:pPr>
        <w:tabs>
          <w:tab w:val="num" w:pos="2880"/>
        </w:tabs>
        <w:ind w:left="2880" w:hanging="720"/>
      </w:pPr>
      <w:rPr>
        <w:b w:val="0"/>
        <w:i w:val="0"/>
        <w:caps w:val="0"/>
        <w:strike w:val="0"/>
        <w:dstrike w:val="0"/>
        <w:outline w:val="0"/>
        <w:shadow w:val="0"/>
        <w:emboss w:val="0"/>
        <w:imprint w:val="0"/>
        <w:vanish w:val="0"/>
        <w:color w:val="auto"/>
        <w:u w:val="none"/>
        <w:effect w:val="none"/>
        <w:vertAlign w:val="baseline"/>
      </w:rPr>
    </w:lvl>
    <w:lvl w:ilvl="5">
      <w:start w:val="1"/>
      <w:numFmt w:val="decimal"/>
      <w:pStyle w:val="ArticleBJL6"/>
      <w:lvlText w:val="(%6)"/>
      <w:lvlJc w:val="left"/>
      <w:pPr>
        <w:tabs>
          <w:tab w:val="num" w:pos="3600"/>
        </w:tabs>
        <w:ind w:left="3600" w:hanging="720"/>
      </w:pPr>
      <w:rPr>
        <w:b w:val="0"/>
        <w:i w:val="0"/>
        <w:caps w:val="0"/>
        <w:strike w:val="0"/>
        <w:dstrike w:val="0"/>
        <w:outline w:val="0"/>
        <w:shadow w:val="0"/>
        <w:emboss w:val="0"/>
        <w:imprint w:val="0"/>
        <w:vanish w:val="0"/>
        <w:color w:val="auto"/>
        <w:u w:val="none"/>
        <w:effect w:val="none"/>
        <w:vertAlign w:val="baseline"/>
      </w:rPr>
    </w:lvl>
    <w:lvl w:ilvl="6">
      <w:start w:val="1"/>
      <w:numFmt w:val="lowerLetter"/>
      <w:pStyle w:val="ArticleBJL7"/>
      <w:lvlText w:val="%7)"/>
      <w:lvlJc w:val="left"/>
      <w:pPr>
        <w:tabs>
          <w:tab w:val="num" w:pos="4320"/>
        </w:tabs>
        <w:ind w:left="4320" w:hanging="720"/>
      </w:pPr>
      <w:rPr>
        <w:b w:val="0"/>
        <w:i w:val="0"/>
        <w:caps w:val="0"/>
        <w:strike w:val="0"/>
        <w:dstrike w:val="0"/>
        <w:outline w:val="0"/>
        <w:shadow w:val="0"/>
        <w:emboss w:val="0"/>
        <w:imprint w:val="0"/>
        <w:vanish w:val="0"/>
        <w:color w:val="auto"/>
        <w:u w:val="none"/>
        <w:effect w:val="none"/>
        <w:vertAlign w:val="baseline"/>
      </w:rPr>
    </w:lvl>
    <w:lvl w:ilvl="7">
      <w:start w:val="1"/>
      <w:numFmt w:val="lowerRoman"/>
      <w:pStyle w:val="ArticleBJL8"/>
      <w:lvlText w:val="%8)"/>
      <w:lvlJc w:val="left"/>
      <w:pPr>
        <w:tabs>
          <w:tab w:val="num" w:pos="5040"/>
        </w:tabs>
        <w:ind w:left="5040" w:hanging="720"/>
      </w:pPr>
      <w:rPr>
        <w:b w:val="0"/>
        <w:i w:val="0"/>
        <w:caps w:val="0"/>
        <w:strike w:val="0"/>
        <w:dstrike w:val="0"/>
        <w:outline w:val="0"/>
        <w:shadow w:val="0"/>
        <w:emboss w:val="0"/>
        <w:imprint w:val="0"/>
        <w:vanish w:val="0"/>
        <w:color w:val="auto"/>
        <w:u w:val="none"/>
        <w:effect w:val="none"/>
        <w:vertAlign w:val="baseline"/>
      </w:rPr>
    </w:lvl>
    <w:lvl w:ilvl="8">
      <w:start w:val="1"/>
      <w:numFmt w:val="lowerRoman"/>
      <w:lvlText w:val="%9."/>
      <w:lvlJc w:val="left"/>
      <w:pPr>
        <w:tabs>
          <w:tab w:val="num" w:pos="3240"/>
        </w:tabs>
        <w:ind w:left="3240" w:hanging="360"/>
      </w:pPr>
    </w:lvl>
  </w:abstractNum>
  <w:abstractNum w:abstractNumId="11">
    <w:nsid w:val="17F71162"/>
    <w:multiLevelType w:val="multilevel"/>
    <w:tmpl w:val="A2D0A6FA"/>
    <w:name w:val="zzmpRecitals||Recitals|3|1|1|1|2|32||1|12|33||1|12|32||1|12|32||1|12|32||1|12|32||1|12|32||1|12|32||mpNA||"/>
    <w:lvl w:ilvl="0">
      <w:start w:val="1"/>
      <w:numFmt w:val="upperLetter"/>
      <w:pStyle w:val="RecitalsL1"/>
      <w:lvlText w:val="%1."/>
      <w:lvlJc w:val="left"/>
      <w:pPr>
        <w:tabs>
          <w:tab w:val="num" w:pos="720"/>
        </w:tabs>
        <w:ind w:left="720" w:hanging="720"/>
      </w:pPr>
      <w:rPr>
        <w:b w:val="0"/>
        <w:i w:val="0"/>
        <w:caps w:val="0"/>
        <w:smallCaps w:val="0"/>
        <w:color w:val="auto"/>
        <w:u w:val="none"/>
      </w:rPr>
    </w:lvl>
    <w:lvl w:ilvl="1">
      <w:start w:val="1"/>
      <w:numFmt w:val="decimalZero"/>
      <w:pStyle w:val="RecitalsL2"/>
      <w:isLgl/>
      <w:lvlText w:val="%1.%2"/>
      <w:lvlJc w:val="left"/>
      <w:pPr>
        <w:tabs>
          <w:tab w:val="num" w:pos="720"/>
        </w:tabs>
        <w:ind w:left="720" w:hanging="720"/>
      </w:pPr>
      <w:rPr>
        <w:b/>
        <w:i w:val="0"/>
        <w:caps w:val="0"/>
        <w:color w:val="auto"/>
        <w:u w:val="none"/>
      </w:rPr>
    </w:lvl>
    <w:lvl w:ilvl="2">
      <w:start w:val="1"/>
      <w:numFmt w:val="lowerLetter"/>
      <w:pStyle w:val="RecitalsL3"/>
      <w:lvlText w:val="(%3)"/>
      <w:lvlJc w:val="left"/>
      <w:pPr>
        <w:tabs>
          <w:tab w:val="num" w:pos="1440"/>
        </w:tabs>
        <w:ind w:left="1440" w:hanging="720"/>
      </w:pPr>
      <w:rPr>
        <w:b w:val="0"/>
        <w:i w:val="0"/>
        <w:caps w:val="0"/>
        <w:color w:val="auto"/>
        <w:u w:val="none"/>
      </w:rPr>
    </w:lvl>
    <w:lvl w:ilvl="3">
      <w:start w:val="1"/>
      <w:numFmt w:val="lowerRoman"/>
      <w:pStyle w:val="RecitalsL4"/>
      <w:lvlText w:val="(%4)"/>
      <w:lvlJc w:val="left"/>
      <w:pPr>
        <w:tabs>
          <w:tab w:val="num" w:pos="2160"/>
        </w:tabs>
        <w:ind w:left="2160" w:hanging="720"/>
      </w:pPr>
      <w:rPr>
        <w:b w:val="0"/>
        <w:i w:val="0"/>
        <w:caps w:val="0"/>
        <w:color w:val="auto"/>
        <w:u w:val="none"/>
      </w:rPr>
    </w:lvl>
    <w:lvl w:ilvl="4">
      <w:start w:val="1"/>
      <w:numFmt w:val="upperLetter"/>
      <w:pStyle w:val="RecitalsL5"/>
      <w:lvlText w:val="(%5)"/>
      <w:lvlJc w:val="left"/>
      <w:pPr>
        <w:tabs>
          <w:tab w:val="num" w:pos="2880"/>
        </w:tabs>
        <w:ind w:left="2880" w:hanging="720"/>
      </w:pPr>
      <w:rPr>
        <w:b w:val="0"/>
        <w:i w:val="0"/>
        <w:caps w:val="0"/>
        <w:color w:val="auto"/>
        <w:u w:val="none"/>
      </w:rPr>
    </w:lvl>
    <w:lvl w:ilvl="5">
      <w:start w:val="1"/>
      <w:numFmt w:val="decimal"/>
      <w:pStyle w:val="RecitalsL6"/>
      <w:lvlText w:val="(%6)"/>
      <w:lvlJc w:val="left"/>
      <w:pPr>
        <w:tabs>
          <w:tab w:val="num" w:pos="3600"/>
        </w:tabs>
        <w:ind w:left="3600" w:hanging="720"/>
      </w:pPr>
      <w:rPr>
        <w:b w:val="0"/>
        <w:i w:val="0"/>
        <w:caps w:val="0"/>
        <w:color w:val="auto"/>
        <w:u w:val="none"/>
      </w:rPr>
    </w:lvl>
    <w:lvl w:ilvl="6">
      <w:start w:val="1"/>
      <w:numFmt w:val="lowerLetter"/>
      <w:pStyle w:val="RecitalsL7"/>
      <w:lvlText w:val="%7)"/>
      <w:lvlJc w:val="left"/>
      <w:pPr>
        <w:tabs>
          <w:tab w:val="num" w:pos="4320"/>
        </w:tabs>
        <w:ind w:left="4320" w:hanging="720"/>
      </w:pPr>
      <w:rPr>
        <w:b w:val="0"/>
        <w:i w:val="0"/>
        <w:caps w:val="0"/>
        <w:color w:val="auto"/>
        <w:u w:val="none"/>
      </w:rPr>
    </w:lvl>
    <w:lvl w:ilvl="7">
      <w:start w:val="1"/>
      <w:numFmt w:val="lowerRoman"/>
      <w:pStyle w:val="RecitalsL8"/>
      <w:lvlText w:val="%8)"/>
      <w:lvlJc w:val="left"/>
      <w:pPr>
        <w:tabs>
          <w:tab w:val="num" w:pos="5040"/>
        </w:tabs>
        <w:ind w:left="5040" w:hanging="720"/>
      </w:pPr>
      <w:rPr>
        <w:b w:val="0"/>
        <w:i w:val="0"/>
        <w:caps w:val="0"/>
        <w:color w:val="auto"/>
        <w:u w:val="none"/>
      </w:rPr>
    </w:lvl>
    <w:lvl w:ilvl="8">
      <w:start w:val="1"/>
      <w:numFmt w:val="lowerRoman"/>
      <w:lvlText w:val="%9."/>
      <w:lvlJc w:val="left"/>
      <w:pPr>
        <w:tabs>
          <w:tab w:val="num" w:pos="3240"/>
        </w:tabs>
        <w:ind w:left="3240" w:hanging="360"/>
      </w:pPr>
    </w:lvl>
  </w:abstractNum>
  <w:abstractNum w:abstractNumId="12">
    <w:nsid w:val="26816CEB"/>
    <w:multiLevelType w:val="hybridMultilevel"/>
    <w:tmpl w:val="A8A653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116441"/>
    <w:multiLevelType w:val="multilevel"/>
    <w:tmpl w:val="FD147F60"/>
    <w:name w:val="zzmpArticleBJ2||ArticleBJ2|3|1|1|4|10|41||1|12|33||1|12|32||1|12|32||1|12|32||1|12|32||1|12|32||1|12|32||mpNA||"/>
    <w:lvl w:ilvl="0">
      <w:start w:val="1"/>
      <w:numFmt w:val="decimal"/>
      <w:pStyle w:val="ArticleBJ2L1"/>
      <w:suff w:val="nothing"/>
      <w:lvlText w:val="Article %1"/>
      <w:lvlJc w:val="left"/>
      <w:pPr>
        <w:tabs>
          <w:tab w:val="num" w:pos="720"/>
        </w:tabs>
        <w:ind w:left="0" w:firstLine="0"/>
      </w:pPr>
      <w:rPr>
        <w:b/>
        <w:i w:val="0"/>
        <w:caps/>
        <w:smallCaps w:val="0"/>
        <w:color w:val="auto"/>
        <w:u w:val="none"/>
      </w:rPr>
    </w:lvl>
    <w:lvl w:ilvl="1">
      <w:start w:val="1"/>
      <w:numFmt w:val="decimal"/>
      <w:pStyle w:val="ArticleBJ2L2"/>
      <w:isLgl/>
      <w:lvlText w:val="%1.%2"/>
      <w:lvlJc w:val="left"/>
      <w:pPr>
        <w:tabs>
          <w:tab w:val="num" w:pos="720"/>
        </w:tabs>
        <w:ind w:left="0" w:firstLine="0"/>
      </w:pPr>
      <w:rPr>
        <w:b/>
        <w:i w:val="0"/>
        <w:caps w:val="0"/>
        <w:color w:val="auto"/>
        <w:u w:val="none"/>
      </w:rPr>
    </w:lvl>
    <w:lvl w:ilvl="2">
      <w:start w:val="1"/>
      <w:numFmt w:val="lowerLetter"/>
      <w:pStyle w:val="ArticleBJ2L3"/>
      <w:lvlText w:val="(%3)"/>
      <w:lvlJc w:val="left"/>
      <w:pPr>
        <w:tabs>
          <w:tab w:val="num" w:pos="1440"/>
        </w:tabs>
        <w:ind w:left="1440" w:hanging="720"/>
      </w:pPr>
      <w:rPr>
        <w:b w:val="0"/>
        <w:i w:val="0"/>
        <w:caps w:val="0"/>
        <w:color w:val="auto"/>
        <w:u w:val="none"/>
      </w:rPr>
    </w:lvl>
    <w:lvl w:ilvl="3">
      <w:start w:val="1"/>
      <w:numFmt w:val="lowerRoman"/>
      <w:pStyle w:val="ArticleBJ2L4"/>
      <w:lvlText w:val="(%4)"/>
      <w:lvlJc w:val="left"/>
      <w:pPr>
        <w:tabs>
          <w:tab w:val="num" w:pos="2160"/>
        </w:tabs>
        <w:ind w:left="2160" w:hanging="720"/>
      </w:pPr>
      <w:rPr>
        <w:b w:val="0"/>
        <w:i w:val="0"/>
        <w:caps w:val="0"/>
        <w:color w:val="auto"/>
        <w:u w:val="none"/>
      </w:rPr>
    </w:lvl>
    <w:lvl w:ilvl="4">
      <w:start w:val="1"/>
      <w:numFmt w:val="upperLetter"/>
      <w:pStyle w:val="ArticleBJ2L5"/>
      <w:lvlText w:val="(%5)"/>
      <w:lvlJc w:val="left"/>
      <w:pPr>
        <w:tabs>
          <w:tab w:val="num" w:pos="2880"/>
        </w:tabs>
        <w:ind w:left="2880" w:hanging="720"/>
      </w:pPr>
      <w:rPr>
        <w:b w:val="0"/>
        <w:i w:val="0"/>
        <w:caps w:val="0"/>
        <w:color w:val="auto"/>
        <w:u w:val="none"/>
      </w:rPr>
    </w:lvl>
    <w:lvl w:ilvl="5">
      <w:start w:val="1"/>
      <w:numFmt w:val="decimal"/>
      <w:pStyle w:val="ArticleBJ2L6"/>
      <w:lvlText w:val="(%6)"/>
      <w:lvlJc w:val="left"/>
      <w:pPr>
        <w:tabs>
          <w:tab w:val="num" w:pos="3600"/>
        </w:tabs>
        <w:ind w:left="3600" w:hanging="720"/>
      </w:pPr>
      <w:rPr>
        <w:b w:val="0"/>
        <w:i w:val="0"/>
        <w:caps w:val="0"/>
        <w:color w:val="auto"/>
        <w:u w:val="none"/>
      </w:rPr>
    </w:lvl>
    <w:lvl w:ilvl="6">
      <w:start w:val="1"/>
      <w:numFmt w:val="lowerLetter"/>
      <w:pStyle w:val="ArticleBJ2L7"/>
      <w:lvlText w:val="%7)"/>
      <w:lvlJc w:val="left"/>
      <w:pPr>
        <w:tabs>
          <w:tab w:val="num" w:pos="4320"/>
        </w:tabs>
        <w:ind w:left="4320" w:hanging="720"/>
      </w:pPr>
      <w:rPr>
        <w:b w:val="0"/>
        <w:i w:val="0"/>
        <w:caps w:val="0"/>
        <w:color w:val="auto"/>
        <w:u w:val="none"/>
      </w:rPr>
    </w:lvl>
    <w:lvl w:ilvl="7">
      <w:start w:val="1"/>
      <w:numFmt w:val="lowerRoman"/>
      <w:pStyle w:val="ArticleBJ2L8"/>
      <w:lvlText w:val="%8)"/>
      <w:lvlJc w:val="left"/>
      <w:pPr>
        <w:tabs>
          <w:tab w:val="num" w:pos="5040"/>
        </w:tabs>
        <w:ind w:left="5040" w:hanging="720"/>
      </w:pPr>
      <w:rPr>
        <w:b w:val="0"/>
        <w:i w:val="0"/>
        <w:caps w:val="0"/>
        <w:color w:val="auto"/>
        <w:u w:val="none"/>
      </w:rPr>
    </w:lvl>
    <w:lvl w:ilvl="8">
      <w:start w:val="1"/>
      <w:numFmt w:val="lowerRoman"/>
      <w:lvlText w:val="%9."/>
      <w:lvlJc w:val="left"/>
      <w:pPr>
        <w:tabs>
          <w:tab w:val="num" w:pos="3240"/>
        </w:tabs>
        <w:ind w:left="3240" w:hanging="360"/>
      </w:pPr>
    </w:lvl>
  </w:abstractNum>
  <w:abstractNum w:abstractNumId="14">
    <w:nsid w:val="34C1058D"/>
    <w:multiLevelType w:val="multilevel"/>
    <w:tmpl w:val="F2CC0966"/>
    <w:name w:val="Legal2"/>
    <w:lvl w:ilvl="0">
      <w:start w:val="1"/>
      <w:numFmt w:val="decimal"/>
      <w:lvlText w:val="%1."/>
      <w:lvlJc w:val="left"/>
      <w:pPr>
        <w:tabs>
          <w:tab w:val="num" w:pos="1440"/>
        </w:tabs>
        <w:ind w:left="0" w:firstLine="72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1"/>
      <w:numFmt w:val="decimal"/>
      <w:isLgl/>
      <w:lvlText w:val="%1.%2"/>
      <w:lvlJc w:val="left"/>
      <w:pPr>
        <w:tabs>
          <w:tab w:val="num" w:pos="2160"/>
        </w:tabs>
        <w:ind w:left="0" w:firstLine="1440"/>
      </w:pPr>
      <w:rPr>
        <w:rFonts w:hint="default"/>
        <w:b w:val="0"/>
        <w:i w:val="0"/>
        <w:caps w:val="0"/>
        <w:strike w:val="0"/>
        <w:dstrike w:val="0"/>
        <w:outline w:val="0"/>
        <w:shadow w:val="0"/>
        <w:emboss w:val="0"/>
        <w:imprint w:val="0"/>
        <w:vanish w:val="0"/>
        <w:color w:val="auto"/>
        <w:u w:val="none"/>
        <w:effect w:val="none"/>
        <w:vertAlign w:val="baseline"/>
      </w:rPr>
    </w:lvl>
    <w:lvl w:ilvl="2">
      <w:start w:val="1"/>
      <w:numFmt w:val="lowerLetter"/>
      <w:lvlText w:val="(%3)"/>
      <w:lvlJc w:val="left"/>
      <w:pPr>
        <w:tabs>
          <w:tab w:val="num" w:pos="2880"/>
        </w:tabs>
        <w:ind w:left="0" w:firstLine="2160"/>
      </w:pPr>
      <w:rPr>
        <w:rFonts w:hint="default"/>
        <w:b w:val="0"/>
        <w:i w:val="0"/>
        <w:caps w:val="0"/>
        <w:strike w:val="0"/>
        <w:dstrike w:val="0"/>
        <w:outline w:val="0"/>
        <w:shadow w:val="0"/>
        <w:emboss w:val="0"/>
        <w:imprint w:val="0"/>
        <w:vanish w:val="0"/>
        <w:color w:val="auto"/>
        <w:u w:val="none"/>
        <w:effect w:val="none"/>
        <w:vertAlign w:val="baseline"/>
      </w:rPr>
    </w:lvl>
    <w:lvl w:ilvl="3">
      <w:start w:val="1"/>
      <w:numFmt w:val="lowerRoman"/>
      <w:lvlText w:val="(%4)"/>
      <w:lvlJc w:val="left"/>
      <w:pPr>
        <w:tabs>
          <w:tab w:val="num" w:pos="3600"/>
        </w:tabs>
        <w:ind w:left="0" w:firstLine="2880"/>
      </w:pPr>
      <w:rPr>
        <w:rFonts w:hint="default"/>
        <w:b w:val="0"/>
        <w:i w:val="0"/>
        <w:caps w:val="0"/>
        <w:strike w:val="0"/>
        <w:dstrike w:val="0"/>
        <w:outline w:val="0"/>
        <w:shadow w:val="0"/>
        <w:emboss w:val="0"/>
        <w:imprint w:val="0"/>
        <w:vanish w:val="0"/>
        <w:color w:val="auto"/>
        <w:u w:val="none"/>
        <w:effect w:val="none"/>
        <w:vertAlign w:val="baseline"/>
      </w:rPr>
    </w:lvl>
    <w:lvl w:ilvl="4">
      <w:start w:val="1"/>
      <w:numFmt w:val="upperLetter"/>
      <w:lvlText w:val="(%5)"/>
      <w:lvlJc w:val="left"/>
      <w:pPr>
        <w:tabs>
          <w:tab w:val="num" w:pos="2880"/>
        </w:tabs>
        <w:ind w:left="2880" w:hanging="720"/>
      </w:pPr>
      <w:rPr>
        <w:rFonts w:hint="default"/>
        <w:b w:val="0"/>
        <w:i w:val="0"/>
        <w:caps w:val="0"/>
        <w:strike w:val="0"/>
        <w:dstrike w:val="0"/>
        <w:outline w:val="0"/>
        <w:shadow w:val="0"/>
        <w:emboss w:val="0"/>
        <w:imprint w:val="0"/>
        <w:vanish w:val="0"/>
        <w:color w:val="auto"/>
        <w:u w:val="none"/>
        <w:effect w:val="none"/>
        <w:vertAlign w:val="baseline"/>
      </w:rPr>
    </w:lvl>
    <w:lvl w:ilvl="5">
      <w:start w:val="1"/>
      <w:numFmt w:val="decimal"/>
      <w:lvlText w:val="(%6)"/>
      <w:lvlJc w:val="left"/>
      <w:pPr>
        <w:tabs>
          <w:tab w:val="num" w:pos="3600"/>
        </w:tabs>
        <w:ind w:left="3600" w:hanging="720"/>
      </w:pPr>
      <w:rPr>
        <w:rFonts w:hint="default"/>
        <w:b w:val="0"/>
        <w:i w:val="0"/>
        <w:caps w:val="0"/>
        <w:strike w:val="0"/>
        <w:dstrike w:val="0"/>
        <w:outline w:val="0"/>
        <w:shadow w:val="0"/>
        <w:emboss w:val="0"/>
        <w:imprint w:val="0"/>
        <w:vanish w:val="0"/>
        <w:color w:val="auto"/>
        <w:u w:val="none"/>
        <w:effect w:val="none"/>
        <w:vertAlign w:val="baseline"/>
      </w:rPr>
    </w:lvl>
    <w:lvl w:ilvl="6">
      <w:start w:val="1"/>
      <w:numFmt w:val="lowerLetter"/>
      <w:lvlText w:val="%7)"/>
      <w:lvlJc w:val="left"/>
      <w:pPr>
        <w:tabs>
          <w:tab w:val="num" w:pos="4320"/>
        </w:tabs>
        <w:ind w:left="4320" w:hanging="720"/>
      </w:pPr>
      <w:rPr>
        <w:rFonts w:hint="default"/>
        <w:b w:val="0"/>
        <w:i w:val="0"/>
        <w:caps w:val="0"/>
        <w:strike w:val="0"/>
        <w:dstrike w:val="0"/>
        <w:outline w:val="0"/>
        <w:shadow w:val="0"/>
        <w:emboss w:val="0"/>
        <w:imprint w:val="0"/>
        <w:vanish w:val="0"/>
        <w:color w:val="auto"/>
        <w:u w:val="none"/>
        <w:effect w:val="none"/>
        <w:vertAlign w:val="baseline"/>
      </w:rPr>
    </w:lvl>
    <w:lvl w:ilvl="7">
      <w:start w:val="1"/>
      <w:numFmt w:val="lowerRoman"/>
      <w:lvlText w:val="%8)"/>
      <w:lvlJc w:val="left"/>
      <w:pPr>
        <w:tabs>
          <w:tab w:val="num" w:pos="1440"/>
        </w:tabs>
        <w:ind w:left="1440" w:hanging="720"/>
      </w:pPr>
      <w:rPr>
        <w:rFonts w:hint="default"/>
        <w:b w:val="0"/>
        <w:i w:val="0"/>
        <w:caps w:val="0"/>
        <w:strike w:val="0"/>
        <w:dstrike w:val="0"/>
        <w:outline w:val="0"/>
        <w:shadow w:val="0"/>
        <w:emboss w:val="0"/>
        <w:imprint w:val="0"/>
        <w:vanish w:val="0"/>
        <w:color w:val="auto"/>
        <w:u w:val="none"/>
        <w:effect w:val="none"/>
        <w:vertAlign w:val="baseline"/>
      </w:rPr>
    </w:lvl>
    <w:lvl w:ilvl="8">
      <w:start w:val="1"/>
      <w:numFmt w:val="upperLetter"/>
      <w:lvlText w:val="%9)"/>
      <w:lvlJc w:val="left"/>
      <w:pPr>
        <w:tabs>
          <w:tab w:val="num" w:pos="2160"/>
        </w:tabs>
        <w:ind w:left="2160" w:hanging="720"/>
      </w:pPr>
      <w:rPr>
        <w:rFonts w:hint="default"/>
        <w:b w:val="0"/>
        <w:i w:val="0"/>
        <w:caps w:val="0"/>
        <w:strike w:val="0"/>
        <w:dstrike w:val="0"/>
        <w:outline w:val="0"/>
        <w:shadow w:val="0"/>
        <w:emboss w:val="0"/>
        <w:imprint w:val="0"/>
        <w:vanish w:val="0"/>
        <w:color w:val="auto"/>
        <w:u w:val="none"/>
        <w:effect w:val="none"/>
        <w:vertAlign w:val="baseline"/>
      </w:rPr>
    </w:lvl>
  </w:abstractNum>
  <w:abstractNum w:abstractNumId="15">
    <w:nsid w:val="40704B2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4A8E6559"/>
    <w:multiLevelType w:val="multilevel"/>
    <w:tmpl w:val="C5E6A8B4"/>
    <w:name w:val="zzmpScheduleAr||Schedule (ArtSty)|3|1|1|5|2|45||1|12|33||1|12|33||1|12|33||1|12|32||1|12|32||1|12|32||1|12|32||1|12|32||"/>
    <w:lvl w:ilvl="0">
      <w:start w:val="1"/>
      <w:numFmt w:val="upperLetter"/>
      <w:pStyle w:val="ScheduleArL1"/>
      <w:suff w:val="nothing"/>
      <w:lvlText w:val="Schedule %1"/>
      <w:lvlJc w:val="left"/>
      <w:pPr>
        <w:tabs>
          <w:tab w:val="num" w:pos="720"/>
        </w:tabs>
        <w:ind w:left="0" w:firstLine="0"/>
      </w:pPr>
      <w:rPr>
        <w:b/>
        <w:i w:val="0"/>
        <w:caps/>
        <w:smallCaps w:val="0"/>
        <w:color w:val="auto"/>
        <w:u w:val="single"/>
      </w:rPr>
    </w:lvl>
    <w:lvl w:ilvl="1">
      <w:start w:val="1"/>
      <w:numFmt w:val="decimal"/>
      <w:pStyle w:val="ScheduleArL2"/>
      <w:isLgl/>
      <w:lvlText w:val="%1.%2"/>
      <w:lvlJc w:val="left"/>
      <w:pPr>
        <w:tabs>
          <w:tab w:val="num" w:pos="1440"/>
        </w:tabs>
        <w:ind w:left="1440" w:hanging="720"/>
      </w:pPr>
      <w:rPr>
        <w:b/>
        <w:i w:val="0"/>
        <w:caps w:val="0"/>
        <w:color w:val="auto"/>
        <w:u w:val="none"/>
      </w:rPr>
    </w:lvl>
    <w:lvl w:ilvl="2">
      <w:start w:val="1"/>
      <w:numFmt w:val="decimal"/>
      <w:pStyle w:val="ScheduleArL3"/>
      <w:isLgl/>
      <w:lvlText w:val="%1.%2.%3"/>
      <w:lvlJc w:val="left"/>
      <w:pPr>
        <w:tabs>
          <w:tab w:val="num" w:pos="2160"/>
        </w:tabs>
        <w:ind w:left="2160" w:hanging="720"/>
      </w:pPr>
      <w:rPr>
        <w:b/>
        <w:i w:val="0"/>
        <w:caps w:val="0"/>
        <w:color w:val="auto"/>
        <w:u w:val="none"/>
      </w:rPr>
    </w:lvl>
    <w:lvl w:ilvl="3">
      <w:start w:val="1"/>
      <w:numFmt w:val="lowerLetter"/>
      <w:pStyle w:val="ScheduleArL4"/>
      <w:lvlText w:val="(%4)"/>
      <w:lvlJc w:val="left"/>
      <w:pPr>
        <w:tabs>
          <w:tab w:val="num" w:pos="2880"/>
        </w:tabs>
        <w:ind w:left="2880" w:hanging="720"/>
      </w:pPr>
      <w:rPr>
        <w:b/>
        <w:i w:val="0"/>
        <w:caps w:val="0"/>
        <w:color w:val="auto"/>
        <w:u w:val="none"/>
      </w:rPr>
    </w:lvl>
    <w:lvl w:ilvl="4">
      <w:start w:val="1"/>
      <w:numFmt w:val="lowerRoman"/>
      <w:pStyle w:val="ScheduleArL5"/>
      <w:lvlText w:val="(%5)"/>
      <w:lvlJc w:val="left"/>
      <w:pPr>
        <w:tabs>
          <w:tab w:val="num" w:pos="3600"/>
        </w:tabs>
        <w:ind w:left="3600" w:hanging="720"/>
      </w:pPr>
      <w:rPr>
        <w:b w:val="0"/>
        <w:i w:val="0"/>
        <w:caps w:val="0"/>
        <w:color w:val="auto"/>
        <w:u w:val="none"/>
      </w:rPr>
    </w:lvl>
    <w:lvl w:ilvl="5">
      <w:start w:val="1"/>
      <w:numFmt w:val="decimal"/>
      <w:pStyle w:val="ScheduleArL6"/>
      <w:lvlText w:val="(%6)"/>
      <w:lvlJc w:val="left"/>
      <w:pPr>
        <w:tabs>
          <w:tab w:val="num" w:pos="4320"/>
        </w:tabs>
        <w:ind w:left="4320" w:hanging="720"/>
      </w:pPr>
      <w:rPr>
        <w:b w:val="0"/>
        <w:i w:val="0"/>
        <w:caps w:val="0"/>
        <w:color w:val="auto"/>
        <w:u w:val="none"/>
      </w:rPr>
    </w:lvl>
    <w:lvl w:ilvl="6">
      <w:start w:val="1"/>
      <w:numFmt w:val="lowerLetter"/>
      <w:pStyle w:val="ScheduleArL7"/>
      <w:lvlText w:val="(%7)"/>
      <w:lvlJc w:val="left"/>
      <w:pPr>
        <w:tabs>
          <w:tab w:val="num" w:pos="2160"/>
        </w:tabs>
        <w:ind w:left="2160" w:hanging="720"/>
      </w:pPr>
      <w:rPr>
        <w:b w:val="0"/>
        <w:i w:val="0"/>
        <w:caps w:val="0"/>
        <w:color w:val="auto"/>
        <w:u w:val="none"/>
      </w:rPr>
    </w:lvl>
    <w:lvl w:ilvl="7">
      <w:start w:val="1"/>
      <w:numFmt w:val="lowerRoman"/>
      <w:pStyle w:val="ScheduleArL8"/>
      <w:lvlText w:val="(%8)"/>
      <w:lvlJc w:val="left"/>
      <w:pPr>
        <w:tabs>
          <w:tab w:val="num" w:pos="2880"/>
        </w:tabs>
        <w:ind w:left="2880" w:hanging="720"/>
      </w:pPr>
      <w:rPr>
        <w:b w:val="0"/>
        <w:i w:val="0"/>
        <w:caps w:val="0"/>
        <w:color w:val="auto"/>
        <w:u w:val="none"/>
      </w:rPr>
    </w:lvl>
    <w:lvl w:ilvl="8">
      <w:start w:val="1"/>
      <w:numFmt w:val="decimal"/>
      <w:pStyle w:val="ScheduleArL9"/>
      <w:lvlText w:val="(%9)"/>
      <w:lvlJc w:val="left"/>
      <w:pPr>
        <w:tabs>
          <w:tab w:val="num" w:pos="3600"/>
        </w:tabs>
        <w:ind w:left="3600" w:hanging="720"/>
      </w:pPr>
      <w:rPr>
        <w:b w:val="0"/>
        <w:i w:val="0"/>
        <w:caps w:val="0"/>
        <w:color w:val="auto"/>
        <w:u w:val="none"/>
      </w:rPr>
    </w:lvl>
  </w:abstractNum>
  <w:abstractNum w:abstractNumId="17">
    <w:nsid w:val="572C6BCD"/>
    <w:multiLevelType w:val="hybridMultilevel"/>
    <w:tmpl w:val="D684FD54"/>
    <w:lvl w:ilvl="0">
      <w:start w:val="1"/>
      <w:numFmt w:val="bullet"/>
      <w:pStyle w:val="CheckBox"/>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59804FB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B4A65E5"/>
    <w:multiLevelType w:val="multilevel"/>
    <w:tmpl w:val="D32A8EA0"/>
    <w:name w:val="Addendum"/>
    <w:lvl w:ilvl="0">
      <w:start w:val="3"/>
      <w:numFmt w:val="decimal"/>
      <w:pStyle w:val="AddendumL1"/>
      <w:lvlText w:val="%1."/>
      <w:lvlJc w:val="left"/>
      <w:pPr>
        <w:tabs>
          <w:tab w:val="num" w:pos="1440"/>
        </w:tabs>
        <w:ind w:left="0" w:firstLine="720"/>
      </w:pPr>
      <w:rPr>
        <w:rFonts w:hint="default"/>
        <w:b w:val="0"/>
        <w:i w:val="0"/>
        <w:caps w:val="0"/>
        <w:smallCaps w:val="0"/>
        <w:color w:val="auto"/>
        <w:u w:val="none"/>
      </w:rPr>
    </w:lvl>
    <w:lvl w:ilvl="1">
      <w:start w:val="1"/>
      <w:numFmt w:val="decimal"/>
      <w:pStyle w:val="AddendumL2"/>
      <w:isLgl/>
      <w:lvlText w:val="%1.%2"/>
      <w:lvlJc w:val="left"/>
      <w:pPr>
        <w:tabs>
          <w:tab w:val="num" w:pos="2160"/>
        </w:tabs>
        <w:ind w:left="0" w:firstLine="1440"/>
      </w:pPr>
      <w:rPr>
        <w:rFonts w:hint="default"/>
        <w:b w:val="0"/>
        <w:i w:val="0"/>
        <w:caps w:val="0"/>
        <w:color w:val="auto"/>
        <w:u w:val="none"/>
      </w:rPr>
    </w:lvl>
    <w:lvl w:ilvl="2">
      <w:start w:val="1"/>
      <w:numFmt w:val="lowerLetter"/>
      <w:pStyle w:val="AddendumL3"/>
      <w:lvlText w:val="(%3)"/>
      <w:lvlJc w:val="left"/>
      <w:pPr>
        <w:tabs>
          <w:tab w:val="num" w:pos="1440"/>
        </w:tabs>
        <w:ind w:left="1440" w:hanging="720"/>
      </w:pPr>
      <w:rPr>
        <w:rFonts w:hint="default"/>
        <w:b/>
        <w:i w:val="0"/>
        <w:caps w:val="0"/>
        <w:color w:val="auto"/>
        <w:u w:val="none"/>
      </w:rPr>
    </w:lvl>
    <w:lvl w:ilvl="3">
      <w:start w:val="1"/>
      <w:numFmt w:val="lowerRoman"/>
      <w:pStyle w:val="AddendumL4"/>
      <w:lvlText w:val="(%4)"/>
      <w:lvlJc w:val="left"/>
      <w:pPr>
        <w:tabs>
          <w:tab w:val="num" w:pos="2160"/>
        </w:tabs>
        <w:ind w:left="2160" w:hanging="720"/>
      </w:pPr>
      <w:rPr>
        <w:rFonts w:hint="default"/>
        <w:b/>
        <w:i w:val="0"/>
        <w:caps w:val="0"/>
        <w:color w:val="auto"/>
        <w:u w:val="none"/>
      </w:rPr>
    </w:lvl>
    <w:lvl w:ilvl="4">
      <w:start w:val="1"/>
      <w:numFmt w:val="upperLetter"/>
      <w:pStyle w:val="AddendumL5"/>
      <w:lvlText w:val="(%5)"/>
      <w:lvlJc w:val="left"/>
      <w:pPr>
        <w:tabs>
          <w:tab w:val="num" w:pos="2880"/>
        </w:tabs>
        <w:ind w:left="2880" w:hanging="720"/>
      </w:pPr>
      <w:rPr>
        <w:rFonts w:hint="default"/>
        <w:b w:val="0"/>
        <w:i w:val="0"/>
        <w:caps w:val="0"/>
        <w:color w:val="auto"/>
        <w:u w:val="none"/>
      </w:rPr>
    </w:lvl>
    <w:lvl w:ilvl="5">
      <w:start w:val="1"/>
      <w:numFmt w:val="decimal"/>
      <w:pStyle w:val="AddendumL6"/>
      <w:lvlText w:val="(%6)"/>
      <w:lvlJc w:val="left"/>
      <w:pPr>
        <w:tabs>
          <w:tab w:val="num" w:pos="3600"/>
        </w:tabs>
        <w:ind w:left="3600" w:hanging="720"/>
      </w:pPr>
      <w:rPr>
        <w:rFonts w:hint="default"/>
        <w:b w:val="0"/>
        <w:i w:val="0"/>
        <w:caps w:val="0"/>
        <w:color w:val="auto"/>
        <w:u w:val="none"/>
      </w:rPr>
    </w:lvl>
    <w:lvl w:ilvl="6">
      <w:start w:val="1"/>
      <w:numFmt w:val="lowerLetter"/>
      <w:pStyle w:val="AddendumL7"/>
      <w:lvlText w:val="%7)"/>
      <w:lvlJc w:val="left"/>
      <w:pPr>
        <w:tabs>
          <w:tab w:val="num" w:pos="4320"/>
        </w:tabs>
        <w:ind w:left="4320" w:hanging="720"/>
      </w:pPr>
      <w:rPr>
        <w:rFonts w:hint="default"/>
        <w:b w:val="0"/>
        <w:i w:val="0"/>
        <w:caps w:val="0"/>
        <w:color w:val="auto"/>
        <w:u w:val="none"/>
      </w:rPr>
    </w:lvl>
    <w:lvl w:ilvl="7">
      <w:start w:val="1"/>
      <w:numFmt w:val="lowerRoman"/>
      <w:pStyle w:val="AddendumL8"/>
      <w:lvlText w:val="%8)"/>
      <w:lvlJc w:val="left"/>
      <w:pPr>
        <w:tabs>
          <w:tab w:val="num" w:pos="1440"/>
        </w:tabs>
        <w:ind w:left="1440" w:hanging="720"/>
      </w:pPr>
      <w:rPr>
        <w:rFonts w:hint="default"/>
        <w:b w:val="0"/>
        <w:i w:val="0"/>
        <w:caps w:val="0"/>
        <w:color w:val="auto"/>
        <w:u w:val="none"/>
      </w:rPr>
    </w:lvl>
    <w:lvl w:ilvl="8">
      <w:start w:val="1"/>
      <w:numFmt w:val="upperLetter"/>
      <w:pStyle w:val="AddendumL9"/>
      <w:lvlText w:val="%9)"/>
      <w:lvlJc w:val="left"/>
      <w:pPr>
        <w:tabs>
          <w:tab w:val="num" w:pos="2160"/>
        </w:tabs>
        <w:ind w:left="2160" w:hanging="720"/>
      </w:pPr>
      <w:rPr>
        <w:rFonts w:hint="default"/>
        <w:b w:val="0"/>
        <w:i w:val="0"/>
        <w:caps w:val="0"/>
        <w:color w:val="auto"/>
        <w:u w:val="none"/>
      </w:rPr>
    </w:lvl>
  </w:abstractNum>
  <w:abstractNum w:abstractNumId="20">
    <w:nsid w:val="5E4E2073"/>
    <w:multiLevelType w:val="multilevel"/>
    <w:tmpl w:val="B5260830"/>
    <w:name w:val="zzmpExhibit||Exhibit|3|1|1|5|2|37||1|10|36||1|12|33||1|12|33||1|12|32||1|12|32||1|12|32||1|12|32||1|12|32||"/>
    <w:lvl w:ilvl="0">
      <w:start w:val="1"/>
      <w:numFmt w:val="upperLetter"/>
      <w:pStyle w:val="ExhibitL1"/>
      <w:suff w:val="nothing"/>
      <w:lvlText w:val="Exhibit %1"/>
      <w:lvlJc w:val="left"/>
      <w:pPr>
        <w:tabs>
          <w:tab w:val="num" w:pos="720"/>
        </w:tabs>
        <w:ind w:left="0" w:firstLine="0"/>
      </w:pPr>
      <w:rPr>
        <w:rFonts w:ascii="Times New Roman" w:hAnsi="Times New Roman" w:cs="Times New Roman"/>
        <w:b/>
        <w:i w:val="0"/>
        <w:caps/>
        <w:smallCaps w:val="0"/>
        <w:color w:val="auto"/>
        <w:sz w:val="22"/>
        <w:u w:val="single"/>
      </w:rPr>
    </w:lvl>
    <w:lvl w:ilvl="1">
      <w:start w:val="1"/>
      <w:numFmt w:val="decimal"/>
      <w:pStyle w:val="ExhibitL2"/>
      <w:isLgl/>
      <w:lvlText w:val="%1.%2"/>
      <w:lvlJc w:val="left"/>
      <w:pPr>
        <w:tabs>
          <w:tab w:val="num" w:pos="1440"/>
        </w:tabs>
        <w:ind w:left="0" w:firstLine="720"/>
      </w:pPr>
      <w:rPr>
        <w:b w:val="0"/>
        <w:i w:val="0"/>
        <w:caps w:val="0"/>
        <w:color w:val="auto"/>
        <w:sz w:val="22"/>
        <w:u w:val="none"/>
      </w:rPr>
    </w:lvl>
    <w:lvl w:ilvl="2">
      <w:start w:val="1"/>
      <w:numFmt w:val="decimal"/>
      <w:pStyle w:val="ExhibitL3"/>
      <w:isLgl/>
      <w:lvlText w:val="%1.%2.%3"/>
      <w:lvlJc w:val="left"/>
      <w:pPr>
        <w:tabs>
          <w:tab w:val="num" w:pos="2160"/>
        </w:tabs>
        <w:ind w:left="2160" w:hanging="720"/>
      </w:pPr>
      <w:rPr>
        <w:b/>
        <w:i w:val="0"/>
        <w:caps w:val="0"/>
        <w:color w:val="auto"/>
        <w:sz w:val="22"/>
        <w:u w:val="none"/>
      </w:rPr>
    </w:lvl>
    <w:lvl w:ilvl="3">
      <w:start w:val="1"/>
      <w:numFmt w:val="lowerLetter"/>
      <w:pStyle w:val="ExhibitL4"/>
      <w:lvlText w:val="(%4)"/>
      <w:lvlJc w:val="left"/>
      <w:pPr>
        <w:tabs>
          <w:tab w:val="num" w:pos="2880"/>
        </w:tabs>
        <w:ind w:left="2880" w:hanging="720"/>
      </w:pPr>
      <w:rPr>
        <w:b/>
        <w:i w:val="0"/>
        <w:caps w:val="0"/>
        <w:color w:val="auto"/>
        <w:sz w:val="22"/>
        <w:u w:val="none"/>
      </w:rPr>
    </w:lvl>
    <w:lvl w:ilvl="4">
      <w:start w:val="1"/>
      <w:numFmt w:val="lowerRoman"/>
      <w:pStyle w:val="ExhibitL5"/>
      <w:lvlText w:val="(%5)"/>
      <w:lvlJc w:val="left"/>
      <w:pPr>
        <w:tabs>
          <w:tab w:val="num" w:pos="3600"/>
        </w:tabs>
        <w:ind w:left="3600" w:hanging="720"/>
      </w:pPr>
      <w:rPr>
        <w:b w:val="0"/>
        <w:i w:val="0"/>
        <w:caps w:val="0"/>
        <w:color w:val="auto"/>
        <w:u w:val="none"/>
      </w:rPr>
    </w:lvl>
    <w:lvl w:ilvl="5">
      <w:start w:val="1"/>
      <w:numFmt w:val="decimal"/>
      <w:pStyle w:val="ExhibitL6"/>
      <w:lvlText w:val="(%6)"/>
      <w:lvlJc w:val="left"/>
      <w:pPr>
        <w:tabs>
          <w:tab w:val="num" w:pos="4320"/>
        </w:tabs>
        <w:ind w:left="4320" w:hanging="720"/>
      </w:pPr>
      <w:rPr>
        <w:b w:val="0"/>
        <w:i w:val="0"/>
        <w:caps w:val="0"/>
        <w:color w:val="auto"/>
        <w:u w:val="none"/>
      </w:rPr>
    </w:lvl>
    <w:lvl w:ilvl="6">
      <w:start w:val="1"/>
      <w:numFmt w:val="lowerLetter"/>
      <w:pStyle w:val="ExhibitL7"/>
      <w:lvlText w:val="(%7)"/>
      <w:lvlJc w:val="left"/>
      <w:pPr>
        <w:tabs>
          <w:tab w:val="num" w:pos="2160"/>
        </w:tabs>
        <w:ind w:left="2160" w:hanging="720"/>
      </w:pPr>
      <w:rPr>
        <w:b w:val="0"/>
        <w:i w:val="0"/>
        <w:caps w:val="0"/>
        <w:color w:val="auto"/>
        <w:u w:val="none"/>
      </w:rPr>
    </w:lvl>
    <w:lvl w:ilvl="7">
      <w:start w:val="1"/>
      <w:numFmt w:val="lowerRoman"/>
      <w:pStyle w:val="ExhibitL8"/>
      <w:lvlText w:val="(%8)"/>
      <w:lvlJc w:val="left"/>
      <w:pPr>
        <w:tabs>
          <w:tab w:val="num" w:pos="2880"/>
        </w:tabs>
        <w:ind w:left="2880" w:hanging="720"/>
      </w:pPr>
      <w:rPr>
        <w:b w:val="0"/>
        <w:i w:val="0"/>
        <w:caps w:val="0"/>
        <w:color w:val="auto"/>
        <w:u w:val="none"/>
      </w:rPr>
    </w:lvl>
    <w:lvl w:ilvl="8">
      <w:start w:val="1"/>
      <w:numFmt w:val="decimal"/>
      <w:pStyle w:val="ExhibitL9"/>
      <w:lvlText w:val="(%9)"/>
      <w:lvlJc w:val="left"/>
      <w:pPr>
        <w:tabs>
          <w:tab w:val="num" w:pos="3600"/>
        </w:tabs>
        <w:ind w:left="3600" w:hanging="720"/>
      </w:pPr>
      <w:rPr>
        <w:b w:val="0"/>
        <w:i w:val="0"/>
        <w:caps w:val="0"/>
        <w:color w:val="auto"/>
        <w:u w:val="none"/>
      </w:rPr>
    </w:lvl>
  </w:abstractNum>
  <w:abstractNum w:abstractNumId="21">
    <w:nsid w:val="7F471ED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21"/>
  </w:num>
  <w:num w:numId="3">
    <w:abstractNumId w:val="15"/>
  </w:num>
  <w:num w:numId="4">
    <w:abstractNumId w:val="19"/>
  </w:num>
  <w:num w:numId="5">
    <w:abstractNumId w:val="11"/>
  </w:num>
  <w:num w:numId="6">
    <w:abstractNumId w:val="20"/>
  </w:num>
  <w:num w:numId="7">
    <w:abstractNumId w:val="17"/>
  </w:num>
  <w:num w:numId="8">
    <w:abstractNumId w:val="16"/>
  </w:num>
  <w:num w:numId="9">
    <w:abstractNumId w:val="10"/>
  </w:num>
  <w:num w:numId="10">
    <w:abstractNumId w:val="9"/>
  </w:num>
  <w:num w:numId="11">
    <w:abstractNumId w:val="13"/>
  </w:num>
  <w:num w:numId="12">
    <w:abstractNumId w:val="12"/>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825" w:allStyles="1" w:alternateStyleNames="0" w:clearFormatting="1" w:customStyles="0" w:directFormattingOnNumbering="0" w:directFormattingOnParagraphs="0" w:directFormattingOnRuns="0" w:directFormattingOnTables="1" w:headingStyles="1" w:latentStyles="1" w:numberingStyles="0" w:stylesInUse="0" w:tableStyles="0" w:top3HeadingStyles="1" w:visibleStyles="0"/>
  <w:stylePaneSortMethod w:val="name"/>
  <w:defaultTabStop w:val="720"/>
  <w:drawingGridHorizontalSpacing w:val="120"/>
  <w:displayHorizontalDrawingGridEvery w:val="2"/>
  <w:characterSpacingControl w:val="doNotCompress"/>
  <w:footnotePr>
    <w:footnote w:id="0"/>
    <w:footnote w:id="1"/>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F36"/>
    <w:rsid w:val="000023AB"/>
    <w:rsid w:val="00003589"/>
    <w:rsid w:val="00006A0F"/>
    <w:rsid w:val="00014015"/>
    <w:rsid w:val="00022143"/>
    <w:rsid w:val="00027D93"/>
    <w:rsid w:val="000302C7"/>
    <w:rsid w:val="00030B25"/>
    <w:rsid w:val="00045213"/>
    <w:rsid w:val="0005177D"/>
    <w:rsid w:val="0005185C"/>
    <w:rsid w:val="00052F60"/>
    <w:rsid w:val="000630A4"/>
    <w:rsid w:val="00066A8E"/>
    <w:rsid w:val="0009138B"/>
    <w:rsid w:val="00091E57"/>
    <w:rsid w:val="00092A8A"/>
    <w:rsid w:val="000A2EFF"/>
    <w:rsid w:val="000B7F7C"/>
    <w:rsid w:val="000C6488"/>
    <w:rsid w:val="000C71DA"/>
    <w:rsid w:val="000D4586"/>
    <w:rsid w:val="000E0228"/>
    <w:rsid w:val="000E301C"/>
    <w:rsid w:val="000F5E4E"/>
    <w:rsid w:val="00101CC9"/>
    <w:rsid w:val="00102A30"/>
    <w:rsid w:val="00103DD1"/>
    <w:rsid w:val="001065ED"/>
    <w:rsid w:val="001122C0"/>
    <w:rsid w:val="001240DB"/>
    <w:rsid w:val="0013489D"/>
    <w:rsid w:val="0013542D"/>
    <w:rsid w:val="00136C9D"/>
    <w:rsid w:val="00147F4C"/>
    <w:rsid w:val="00155A9E"/>
    <w:rsid w:val="0016494F"/>
    <w:rsid w:val="00184DF9"/>
    <w:rsid w:val="001B43BE"/>
    <w:rsid w:val="001C3D04"/>
    <w:rsid w:val="001D3FDF"/>
    <w:rsid w:val="001F15D4"/>
    <w:rsid w:val="001F1E58"/>
    <w:rsid w:val="001F6D2B"/>
    <w:rsid w:val="002047E4"/>
    <w:rsid w:val="00221470"/>
    <w:rsid w:val="00230E5B"/>
    <w:rsid w:val="00232461"/>
    <w:rsid w:val="0024442C"/>
    <w:rsid w:val="00252FA4"/>
    <w:rsid w:val="00266C9D"/>
    <w:rsid w:val="002750F7"/>
    <w:rsid w:val="00291F36"/>
    <w:rsid w:val="00293FA3"/>
    <w:rsid w:val="002A6C2C"/>
    <w:rsid w:val="002B1530"/>
    <w:rsid w:val="002B3052"/>
    <w:rsid w:val="002B48D5"/>
    <w:rsid w:val="002B57CF"/>
    <w:rsid w:val="002C46FB"/>
    <w:rsid w:val="002C7711"/>
    <w:rsid w:val="002D2A5C"/>
    <w:rsid w:val="002D52B2"/>
    <w:rsid w:val="002D78FC"/>
    <w:rsid w:val="002F3BCC"/>
    <w:rsid w:val="0031115B"/>
    <w:rsid w:val="00314B5F"/>
    <w:rsid w:val="00335888"/>
    <w:rsid w:val="00335DFD"/>
    <w:rsid w:val="00340596"/>
    <w:rsid w:val="00345594"/>
    <w:rsid w:val="00350426"/>
    <w:rsid w:val="00351615"/>
    <w:rsid w:val="003649EA"/>
    <w:rsid w:val="00373387"/>
    <w:rsid w:val="00385A27"/>
    <w:rsid w:val="00396418"/>
    <w:rsid w:val="00396B81"/>
    <w:rsid w:val="003C0FC2"/>
    <w:rsid w:val="003C6328"/>
    <w:rsid w:val="003D3465"/>
    <w:rsid w:val="003E741E"/>
    <w:rsid w:val="00402336"/>
    <w:rsid w:val="004076C2"/>
    <w:rsid w:val="00413885"/>
    <w:rsid w:val="0041670C"/>
    <w:rsid w:val="00423D67"/>
    <w:rsid w:val="0042643F"/>
    <w:rsid w:val="00430B59"/>
    <w:rsid w:val="00433C1B"/>
    <w:rsid w:val="00441923"/>
    <w:rsid w:val="00455F34"/>
    <w:rsid w:val="00475142"/>
    <w:rsid w:val="00477C3C"/>
    <w:rsid w:val="00480F0D"/>
    <w:rsid w:val="00497A44"/>
    <w:rsid w:val="004A44D1"/>
    <w:rsid w:val="004E121C"/>
    <w:rsid w:val="004E6A76"/>
    <w:rsid w:val="00511BDB"/>
    <w:rsid w:val="005121D7"/>
    <w:rsid w:val="005203CB"/>
    <w:rsid w:val="00531145"/>
    <w:rsid w:val="005318FB"/>
    <w:rsid w:val="00543888"/>
    <w:rsid w:val="005457A8"/>
    <w:rsid w:val="005533BD"/>
    <w:rsid w:val="005709C6"/>
    <w:rsid w:val="00583182"/>
    <w:rsid w:val="005A0909"/>
    <w:rsid w:val="005A4467"/>
    <w:rsid w:val="005B0E61"/>
    <w:rsid w:val="005B340A"/>
    <w:rsid w:val="005B42CE"/>
    <w:rsid w:val="005C18C8"/>
    <w:rsid w:val="005C2162"/>
    <w:rsid w:val="005E77B8"/>
    <w:rsid w:val="005F5D46"/>
    <w:rsid w:val="005F658C"/>
    <w:rsid w:val="00603231"/>
    <w:rsid w:val="00606E4A"/>
    <w:rsid w:val="00607CF6"/>
    <w:rsid w:val="006105F2"/>
    <w:rsid w:val="00613911"/>
    <w:rsid w:val="00627313"/>
    <w:rsid w:val="00634FA4"/>
    <w:rsid w:val="00635C8A"/>
    <w:rsid w:val="00640B91"/>
    <w:rsid w:val="00644D93"/>
    <w:rsid w:val="0064732B"/>
    <w:rsid w:val="00654B57"/>
    <w:rsid w:val="00656256"/>
    <w:rsid w:val="0066127A"/>
    <w:rsid w:val="00667ECA"/>
    <w:rsid w:val="00674B38"/>
    <w:rsid w:val="00681610"/>
    <w:rsid w:val="00682437"/>
    <w:rsid w:val="0068780E"/>
    <w:rsid w:val="006941C4"/>
    <w:rsid w:val="006B583D"/>
    <w:rsid w:val="006B5D5A"/>
    <w:rsid w:val="006D088F"/>
    <w:rsid w:val="006D60F7"/>
    <w:rsid w:val="006E0572"/>
    <w:rsid w:val="00712099"/>
    <w:rsid w:val="00713BE4"/>
    <w:rsid w:val="00714B04"/>
    <w:rsid w:val="00714EA8"/>
    <w:rsid w:val="00717312"/>
    <w:rsid w:val="007258D3"/>
    <w:rsid w:val="00726E7C"/>
    <w:rsid w:val="007306E3"/>
    <w:rsid w:val="007447F7"/>
    <w:rsid w:val="007640B4"/>
    <w:rsid w:val="00765FD9"/>
    <w:rsid w:val="00771E14"/>
    <w:rsid w:val="00783066"/>
    <w:rsid w:val="00785A52"/>
    <w:rsid w:val="007868E5"/>
    <w:rsid w:val="007A11CE"/>
    <w:rsid w:val="007B0252"/>
    <w:rsid w:val="007B0B53"/>
    <w:rsid w:val="007B5C44"/>
    <w:rsid w:val="007B6B3B"/>
    <w:rsid w:val="007B774F"/>
    <w:rsid w:val="007C0DDF"/>
    <w:rsid w:val="007C26A1"/>
    <w:rsid w:val="007C3406"/>
    <w:rsid w:val="007C4504"/>
    <w:rsid w:val="007D0E1C"/>
    <w:rsid w:val="007D2665"/>
    <w:rsid w:val="007D4868"/>
    <w:rsid w:val="007E3CF2"/>
    <w:rsid w:val="007F2A86"/>
    <w:rsid w:val="007F7C1C"/>
    <w:rsid w:val="008022FF"/>
    <w:rsid w:val="00803132"/>
    <w:rsid w:val="0080509D"/>
    <w:rsid w:val="0081118D"/>
    <w:rsid w:val="0081229B"/>
    <w:rsid w:val="00824CBE"/>
    <w:rsid w:val="008306AA"/>
    <w:rsid w:val="008361C5"/>
    <w:rsid w:val="00840458"/>
    <w:rsid w:val="00843115"/>
    <w:rsid w:val="00845DD8"/>
    <w:rsid w:val="00846BD0"/>
    <w:rsid w:val="00865317"/>
    <w:rsid w:val="008908B9"/>
    <w:rsid w:val="00896C8A"/>
    <w:rsid w:val="008A51AC"/>
    <w:rsid w:val="008A52A2"/>
    <w:rsid w:val="008A52C3"/>
    <w:rsid w:val="008D486F"/>
    <w:rsid w:val="008E01FD"/>
    <w:rsid w:val="00906CA0"/>
    <w:rsid w:val="00910E58"/>
    <w:rsid w:val="009142B7"/>
    <w:rsid w:val="0091655A"/>
    <w:rsid w:val="0093015F"/>
    <w:rsid w:val="0093066C"/>
    <w:rsid w:val="00935809"/>
    <w:rsid w:val="00942993"/>
    <w:rsid w:val="0094350A"/>
    <w:rsid w:val="00944DCC"/>
    <w:rsid w:val="009461F3"/>
    <w:rsid w:val="0095349D"/>
    <w:rsid w:val="00955DB4"/>
    <w:rsid w:val="00957B80"/>
    <w:rsid w:val="0096008D"/>
    <w:rsid w:val="009670E2"/>
    <w:rsid w:val="00981C49"/>
    <w:rsid w:val="00982272"/>
    <w:rsid w:val="00985E5F"/>
    <w:rsid w:val="00986C6E"/>
    <w:rsid w:val="00997792"/>
    <w:rsid w:val="009A1EDD"/>
    <w:rsid w:val="009A277A"/>
    <w:rsid w:val="009B2FF5"/>
    <w:rsid w:val="009B3054"/>
    <w:rsid w:val="009B77C2"/>
    <w:rsid w:val="009B79B1"/>
    <w:rsid w:val="009C4A45"/>
    <w:rsid w:val="009D2E9F"/>
    <w:rsid w:val="009F3FBE"/>
    <w:rsid w:val="009F4AFF"/>
    <w:rsid w:val="009F4D93"/>
    <w:rsid w:val="009F4E0D"/>
    <w:rsid w:val="00A0014D"/>
    <w:rsid w:val="00A027AA"/>
    <w:rsid w:val="00A13BDE"/>
    <w:rsid w:val="00A261CA"/>
    <w:rsid w:val="00A3155D"/>
    <w:rsid w:val="00A33685"/>
    <w:rsid w:val="00A34EBE"/>
    <w:rsid w:val="00A434F3"/>
    <w:rsid w:val="00A43ED4"/>
    <w:rsid w:val="00A61A5D"/>
    <w:rsid w:val="00A63760"/>
    <w:rsid w:val="00A676FD"/>
    <w:rsid w:val="00A73FDF"/>
    <w:rsid w:val="00A911DF"/>
    <w:rsid w:val="00A9450C"/>
    <w:rsid w:val="00A95D2F"/>
    <w:rsid w:val="00AB6A23"/>
    <w:rsid w:val="00AC57C1"/>
    <w:rsid w:val="00AC5D9A"/>
    <w:rsid w:val="00AD4DF9"/>
    <w:rsid w:val="00B20595"/>
    <w:rsid w:val="00B22DAD"/>
    <w:rsid w:val="00B2677B"/>
    <w:rsid w:val="00B44048"/>
    <w:rsid w:val="00B44C13"/>
    <w:rsid w:val="00B52910"/>
    <w:rsid w:val="00B534A9"/>
    <w:rsid w:val="00B618F3"/>
    <w:rsid w:val="00B62DDC"/>
    <w:rsid w:val="00B66F7D"/>
    <w:rsid w:val="00B70EB5"/>
    <w:rsid w:val="00B77C66"/>
    <w:rsid w:val="00B9044F"/>
    <w:rsid w:val="00B9239C"/>
    <w:rsid w:val="00B96430"/>
    <w:rsid w:val="00BB492E"/>
    <w:rsid w:val="00BC361D"/>
    <w:rsid w:val="00BC61E6"/>
    <w:rsid w:val="00BC76B1"/>
    <w:rsid w:val="00BD4055"/>
    <w:rsid w:val="00BD6EF7"/>
    <w:rsid w:val="00BE025D"/>
    <w:rsid w:val="00BE27A4"/>
    <w:rsid w:val="00BE4362"/>
    <w:rsid w:val="00BF13F1"/>
    <w:rsid w:val="00C02BBD"/>
    <w:rsid w:val="00C1566B"/>
    <w:rsid w:val="00C20A1A"/>
    <w:rsid w:val="00C21F9C"/>
    <w:rsid w:val="00C23778"/>
    <w:rsid w:val="00C3603A"/>
    <w:rsid w:val="00C40869"/>
    <w:rsid w:val="00C4666E"/>
    <w:rsid w:val="00C61876"/>
    <w:rsid w:val="00C62383"/>
    <w:rsid w:val="00C624B1"/>
    <w:rsid w:val="00C62958"/>
    <w:rsid w:val="00C760E3"/>
    <w:rsid w:val="00C8154F"/>
    <w:rsid w:val="00C81BCC"/>
    <w:rsid w:val="00C968F6"/>
    <w:rsid w:val="00CB3DDF"/>
    <w:rsid w:val="00CD342B"/>
    <w:rsid w:val="00CD4622"/>
    <w:rsid w:val="00CD738E"/>
    <w:rsid w:val="00CF3C64"/>
    <w:rsid w:val="00D01351"/>
    <w:rsid w:val="00D206B0"/>
    <w:rsid w:val="00D219CA"/>
    <w:rsid w:val="00D53CBD"/>
    <w:rsid w:val="00D53E6D"/>
    <w:rsid w:val="00D5522F"/>
    <w:rsid w:val="00D5525A"/>
    <w:rsid w:val="00D56018"/>
    <w:rsid w:val="00D61923"/>
    <w:rsid w:val="00D61AD6"/>
    <w:rsid w:val="00D63169"/>
    <w:rsid w:val="00D64B89"/>
    <w:rsid w:val="00D67B41"/>
    <w:rsid w:val="00D7148E"/>
    <w:rsid w:val="00D71B22"/>
    <w:rsid w:val="00D71D3F"/>
    <w:rsid w:val="00D8327F"/>
    <w:rsid w:val="00D92231"/>
    <w:rsid w:val="00DA7E6A"/>
    <w:rsid w:val="00DB46B3"/>
    <w:rsid w:val="00DB6015"/>
    <w:rsid w:val="00DC3024"/>
    <w:rsid w:val="00DC5FC8"/>
    <w:rsid w:val="00DC616F"/>
    <w:rsid w:val="00DD05C0"/>
    <w:rsid w:val="00DD59EE"/>
    <w:rsid w:val="00DF026A"/>
    <w:rsid w:val="00DF2D74"/>
    <w:rsid w:val="00DF53C4"/>
    <w:rsid w:val="00E012FE"/>
    <w:rsid w:val="00E055A6"/>
    <w:rsid w:val="00E12610"/>
    <w:rsid w:val="00E163E9"/>
    <w:rsid w:val="00E17DB0"/>
    <w:rsid w:val="00E20565"/>
    <w:rsid w:val="00E24990"/>
    <w:rsid w:val="00E25A0B"/>
    <w:rsid w:val="00E27BEB"/>
    <w:rsid w:val="00E3075C"/>
    <w:rsid w:val="00E341B2"/>
    <w:rsid w:val="00E358F3"/>
    <w:rsid w:val="00E450A4"/>
    <w:rsid w:val="00E60862"/>
    <w:rsid w:val="00E61482"/>
    <w:rsid w:val="00E649FC"/>
    <w:rsid w:val="00E961C0"/>
    <w:rsid w:val="00EC0D01"/>
    <w:rsid w:val="00EC3B45"/>
    <w:rsid w:val="00EC4BDF"/>
    <w:rsid w:val="00EE0EAB"/>
    <w:rsid w:val="00EE3322"/>
    <w:rsid w:val="00EE3553"/>
    <w:rsid w:val="00EE5198"/>
    <w:rsid w:val="00F10187"/>
    <w:rsid w:val="00F1321E"/>
    <w:rsid w:val="00F1479C"/>
    <w:rsid w:val="00F3785C"/>
    <w:rsid w:val="00F55111"/>
    <w:rsid w:val="00F65C57"/>
    <w:rsid w:val="00F66A2A"/>
    <w:rsid w:val="00F741BC"/>
    <w:rsid w:val="00F758D3"/>
    <w:rsid w:val="00F82FAB"/>
    <w:rsid w:val="00F90F47"/>
    <w:rsid w:val="00F917E6"/>
    <w:rsid w:val="00FB0CDA"/>
    <w:rsid w:val="00FD293F"/>
    <w:rsid w:val="00FE54E4"/>
    <w:rsid w:val="00FE5C08"/>
    <w:rsid w:val="00FF1F34"/>
    <w:rsid w:val="00FF25B0"/>
    <w:rsid w:val="00FF2EFF"/>
    <w:rsid w:val="00FF6BB4"/>
    <w:rsid w:val="00FF733A"/>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5:docId w15:val="{2184F160-030E-4300-89AD-CCDA0A8AA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9" w:unhideWhenUsed="1"/>
    <w:lsdException w:name="caption" w:semiHidden="1" w:uiPriority="35" w:unhideWhenUsed="1" w:qFormat="1"/>
    <w:lsdException w:name="table of figures" w:semiHidden="1" w:unhideWhenUsed="1"/>
    <w:lsdException w:name="envelope address" w:semiHidden="1" w:uiPriority="99"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uiPriority="99"/>
    <w:lsdException w:name="Body Text First Indent 2" w:semiHidden="1" w:uiPriority="99"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uiPriority="13"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jc w:val="both"/>
    </w:pPr>
    <w:rPr>
      <w:rFonts w:eastAsiaTheme="minorHAnsi" w:cstheme="minorBidi"/>
      <w:sz w:val="24"/>
      <w:szCs w:val="24"/>
    </w:rPr>
  </w:style>
  <w:style w:type="paragraph" w:styleId="Heading1">
    <w:name w:val="heading 1"/>
    <w:basedOn w:val="Normal"/>
    <w:next w:val="BodyText"/>
    <w:link w:val="Heading1Char"/>
    <w:uiPriority w:val="9"/>
    <w:qFormat/>
    <w:pPr>
      <w:keepNext/>
      <w:spacing w:after="240"/>
      <w:jc w:val="center"/>
      <w:outlineLvl w:val="0"/>
    </w:pPr>
    <w:rPr>
      <w:rFonts w:eastAsiaTheme="majorEastAsia" w:cstheme="majorBidi"/>
      <w:b/>
      <w:bCs/>
      <w:caps/>
      <w:szCs w:val="28"/>
      <w:u w:val="single"/>
    </w:rPr>
  </w:style>
  <w:style w:type="paragraph" w:styleId="Heading2">
    <w:name w:val="heading 2"/>
    <w:basedOn w:val="Normal"/>
    <w:next w:val="BodyText"/>
    <w:link w:val="Heading2Char"/>
    <w:uiPriority w:val="9"/>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heme="minorHAnsi" w:cstheme="minorBidi"/>
      <w:sz w:val="24"/>
      <w:szCs w:val="24"/>
    </w:rPr>
  </w:style>
  <w:style w:type="paragraph" w:styleId="Footer">
    <w:name w:val="footer"/>
    <w:basedOn w:val="Normal"/>
    <w:link w:val="FooterChar"/>
    <w:uiPriority w:val="99"/>
    <w:unhideWhenUsed/>
    <w:qFormat/>
    <w:pPr>
      <w:tabs>
        <w:tab w:val="center" w:pos="4680"/>
        <w:tab w:val="right" w:pos="9360"/>
      </w:tabs>
      <w:jc w:val="left"/>
    </w:pPr>
    <w:rPr>
      <w:sz w:val="20"/>
    </w:rPr>
  </w:style>
  <w:style w:type="character" w:customStyle="1" w:styleId="FooterChar">
    <w:name w:val="Footer Char"/>
    <w:basedOn w:val="DefaultParagraphFont"/>
    <w:link w:val="Footer"/>
    <w:uiPriority w:val="99"/>
    <w:rPr>
      <w:rFonts w:eastAsiaTheme="minorHAnsi" w:cstheme="minorBidi"/>
      <w:szCs w:val="24"/>
    </w:rPr>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basedOn w:val="DefaultParagraphFont"/>
    <w:link w:val="BodyText"/>
    <w:rPr>
      <w:sz w:val="24"/>
      <w:szCs w:val="24"/>
    </w:rPr>
  </w:style>
  <w:style w:type="character" w:styleId="PageNumber">
    <w:name w:val="page number"/>
    <w:basedOn w:val="DefaultParagraphFont"/>
    <w:unhideWhenUsed/>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basedOn w:val="DefaultParagraphFont"/>
    <w:link w:val="Quote"/>
    <w:uiPriority w:val="13"/>
    <w:rPr>
      <w:rFonts w:eastAsiaTheme="minorHAnsi" w:cstheme="minorBidi"/>
      <w:iCs/>
      <w:sz w:val="24"/>
      <w:szCs w:val="24"/>
    </w:r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basedOn w:val="BodyTextChar"/>
    <w:link w:val="BodyTextFirstIndent"/>
    <w:rPr>
      <w:sz w:val="24"/>
      <w:szCs w:val="24"/>
    </w:rPr>
  </w:style>
  <w:style w:type="paragraph" w:styleId="BodyTextIndent">
    <w:name w:val="Body Text Indent"/>
    <w:basedOn w:val="Normal"/>
    <w:link w:val="BodyTextIndentChar"/>
    <w:unhideWhenUsed/>
    <w:pPr>
      <w:spacing w:after="240"/>
      <w:ind w:left="720" w:right="720"/>
    </w:pPr>
  </w:style>
  <w:style w:type="character" w:customStyle="1" w:styleId="BodyTextIndentChar">
    <w:name w:val="Body Text Indent Char"/>
    <w:basedOn w:val="DefaultParagraphFont"/>
    <w:link w:val="BodyTextIndent"/>
    <w:rPr>
      <w:rFonts w:eastAsiaTheme="minorHAnsi" w:cstheme="minorBidi"/>
      <w:sz w:val="24"/>
      <w:szCs w:val="24"/>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character" w:customStyle="1" w:styleId="Heading1Char">
    <w:name w:val="Heading 1 Char"/>
    <w:basedOn w:val="DefaultParagraphFont"/>
    <w:link w:val="Heading1"/>
    <w:uiPriority w:val="9"/>
    <w:rPr>
      <w:rFonts w:eastAsiaTheme="majorEastAsia" w:cstheme="majorBidi"/>
      <w:b/>
      <w:bCs/>
      <w:caps/>
      <w:sz w:val="24"/>
      <w:szCs w:val="28"/>
      <w:u w:val="single"/>
    </w:rPr>
  </w:style>
  <w:style w:type="character" w:customStyle="1" w:styleId="Heading2Char">
    <w:name w:val="Heading 2 Char"/>
    <w:basedOn w:val="DefaultParagraphFont"/>
    <w:link w:val="Heading2"/>
    <w:uiPriority w:val="9"/>
    <w:rPr>
      <w:rFonts w:eastAsiaTheme="majorEastAsia" w:cstheme="majorBidi"/>
      <w:b/>
      <w:bCs/>
      <w:sz w:val="24"/>
      <w:szCs w:val="26"/>
    </w:rPr>
  </w:style>
  <w:style w:type="character" w:customStyle="1" w:styleId="Heading3Char">
    <w:name w:val="Heading 3 Char"/>
    <w:basedOn w:val="DefaultParagraphFont"/>
    <w:link w:val="Heading3"/>
    <w:uiPriority w:val="9"/>
    <w:semiHidden/>
    <w:rPr>
      <w:rFonts w:eastAsiaTheme="majorEastAsia" w:cstheme="majorBidi"/>
      <w:b/>
      <w:bCs/>
      <w:i/>
      <w:sz w:val="24"/>
      <w:szCs w:val="24"/>
    </w:rPr>
  </w:style>
  <w:style w:type="character" w:customStyle="1" w:styleId="Heading4Char">
    <w:name w:val="Heading 4 Char"/>
    <w:basedOn w:val="DefaultParagraphFont"/>
    <w:link w:val="Heading4"/>
    <w:uiPriority w:val="9"/>
    <w:semiHidden/>
    <w:rPr>
      <w:rFonts w:eastAsiaTheme="majorEastAsia" w:cstheme="majorBidi"/>
      <w:bCs/>
      <w:i/>
      <w:iCs/>
      <w:sz w:val="24"/>
      <w:szCs w:val="24"/>
    </w:rPr>
  </w:style>
  <w:style w:type="character" w:customStyle="1" w:styleId="Heading5Char">
    <w:name w:val="Heading 5 Char"/>
    <w:basedOn w:val="DefaultParagraphFont"/>
    <w:link w:val="Heading5"/>
    <w:uiPriority w:val="9"/>
    <w:semiHidden/>
    <w:rPr>
      <w:rFonts w:eastAsiaTheme="majorEastAsia" w:cstheme="majorBidi"/>
      <w:sz w:val="24"/>
      <w:szCs w:val="24"/>
      <w:u w:val="single"/>
    </w:rPr>
  </w:style>
  <w:style w:type="character" w:customStyle="1" w:styleId="Heading6Char">
    <w:name w:val="Heading 6 Char"/>
    <w:basedOn w:val="DefaultParagraphFont"/>
    <w:link w:val="Heading6"/>
    <w:uiPriority w:val="9"/>
    <w:semiHidden/>
    <w:rPr>
      <w:rFonts w:eastAsiaTheme="majorEastAsia" w:cstheme="majorBidi"/>
      <w:b/>
      <w:i/>
      <w:iCs/>
      <w:sz w:val="24"/>
      <w:szCs w:val="24"/>
    </w:rPr>
  </w:style>
  <w:style w:type="character" w:customStyle="1" w:styleId="Heading7Char">
    <w:name w:val="Heading 7 Char"/>
    <w:basedOn w:val="DefaultParagraphFont"/>
    <w:link w:val="Heading7"/>
    <w:uiPriority w:val="9"/>
    <w:semiHidden/>
    <w:rPr>
      <w:rFonts w:eastAsiaTheme="majorEastAsia" w:cstheme="majorBidi"/>
      <w:iCs/>
      <w:sz w:val="24"/>
      <w:szCs w:val="24"/>
      <w:u w:val="single"/>
    </w:rPr>
  </w:style>
  <w:style w:type="character" w:customStyle="1" w:styleId="Heading8Char">
    <w:name w:val="Heading 8 Char"/>
    <w:basedOn w:val="DefaultParagraphFont"/>
    <w:link w:val="Heading8"/>
    <w:uiPriority w:val="9"/>
    <w:semiHidden/>
    <w:rPr>
      <w:rFonts w:eastAsiaTheme="majorEastAsia" w:cstheme="majorBidi"/>
      <w:i/>
      <w:sz w:val="24"/>
    </w:rPr>
  </w:style>
  <w:style w:type="character" w:customStyle="1" w:styleId="Heading9Char">
    <w:name w:val="Heading 9 Char"/>
    <w:basedOn w:val="DefaultParagraphFont"/>
    <w:link w:val="Heading9"/>
    <w:uiPriority w:val="9"/>
    <w:semiHidden/>
    <w:rPr>
      <w:rFonts w:eastAsiaTheme="majorEastAsia" w:cstheme="majorBidi"/>
      <w:iCs/>
      <w:sz w:val="24"/>
    </w:rPr>
  </w:style>
  <w:style w:type="numbering" w:styleId="ArticleSection">
    <w:name w:val="Outline List 3"/>
    <w:basedOn w:val="NoList"/>
    <w:uiPriority w:val="99"/>
    <w:semiHidden/>
    <w:unhideWhenUsed/>
    <w:pPr>
      <w:numPr>
        <w:numId w:val="3"/>
      </w:numPr>
    </w:p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customStyle="1" w:styleId="DeliveryPhrase">
    <w:name w:val="Delivery Phrase"/>
    <w:basedOn w:val="Normal"/>
    <w:next w:val="BodyText"/>
    <w:uiPriority w:val="3"/>
    <w:qFormat/>
    <w:pPr>
      <w:spacing w:before="240" w:after="240"/>
    </w:pPr>
    <w:rPr>
      <w:b/>
      <w:caps/>
    </w:r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heme="majorEastAsia" w:cstheme="majorBidi"/>
    </w:rPr>
  </w:style>
  <w:style w:type="paragraph" w:styleId="FootnoteText">
    <w:name w:val="footnote text"/>
    <w:basedOn w:val="Normal"/>
    <w:link w:val="FootnoteTextChar"/>
    <w:uiPriority w:val="99"/>
    <w:unhideWhenUsed/>
    <w:rsid w:val="00FF733A"/>
    <w:pPr>
      <w:tabs>
        <w:tab w:val="left" w:pos="288"/>
      </w:tabs>
      <w:ind w:left="288" w:hanging="288"/>
    </w:pPr>
    <w:rPr>
      <w:sz w:val="16"/>
      <w:szCs w:val="20"/>
    </w:rPr>
  </w:style>
  <w:style w:type="character" w:customStyle="1" w:styleId="FootnoteTextChar">
    <w:name w:val="Footnote Text Char"/>
    <w:basedOn w:val="DefaultParagraphFont"/>
    <w:link w:val="FootnoteText"/>
    <w:uiPriority w:val="99"/>
    <w:rsid w:val="00FF733A"/>
    <w:rPr>
      <w:rFonts w:eastAsiaTheme="minorHAnsi" w:cstheme="minorBidi"/>
      <w:sz w:val="16"/>
    </w:rPr>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basedOn w:val="DefaultParagraphFont"/>
    <w:link w:val="HeaderNumbers"/>
    <w:uiPriority w:val="10"/>
    <w:semiHidden/>
    <w:rPr>
      <w:rFonts w:eastAsiaTheme="minorHAnsi" w:cstheme="minorBidi"/>
      <w:sz w:val="24"/>
      <w:szCs w:val="24"/>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TOAHeading">
    <w:name w:val="toa heading"/>
    <w:basedOn w:val="Normal"/>
    <w:next w:val="Normal"/>
    <w:uiPriority w:val="99"/>
    <w:qFormat/>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rsid w:val="00475142"/>
    <w:pPr>
      <w:keepNext/>
      <w:keepLines/>
      <w:tabs>
        <w:tab w:val="left" w:pos="720"/>
        <w:tab w:val="right" w:leader="dot" w:pos="9288"/>
      </w:tabs>
      <w:spacing w:before="240"/>
      <w:jc w:val="left"/>
    </w:pPr>
    <w:rPr>
      <w:rFonts w:ascii="Times New Roman Bold" w:hAnsi="Times New Roman Bold" w:cs="Times New Roman"/>
      <w:b/>
    </w:rPr>
  </w:style>
  <w:style w:type="paragraph" w:styleId="TOC2">
    <w:name w:val="toc 2"/>
    <w:basedOn w:val="Normal"/>
    <w:next w:val="TOC3"/>
    <w:uiPriority w:val="39"/>
    <w:qFormat/>
    <w:rsid w:val="00475142"/>
    <w:pPr>
      <w:keepLines/>
      <w:tabs>
        <w:tab w:val="right" w:leader="dot" w:pos="9288"/>
      </w:tabs>
      <w:ind w:left="1440" w:right="720" w:hanging="720"/>
    </w:pPr>
  </w:style>
  <w:style w:type="paragraph" w:styleId="TOC3">
    <w:name w:val="toc 3"/>
    <w:basedOn w:val="Normal"/>
    <w:next w:val="TOC4"/>
    <w:uiPriority w:val="39"/>
    <w:pPr>
      <w:keepLines/>
      <w:tabs>
        <w:tab w:val="right" w:leader="dot" w:pos="9288"/>
      </w:tabs>
      <w:spacing w:after="120"/>
      <w:ind w:left="1440" w:right="720" w:hanging="720"/>
    </w:pPr>
  </w:style>
  <w:style w:type="paragraph" w:styleId="TOC4">
    <w:name w:val="toc 4"/>
    <w:basedOn w:val="Normal"/>
    <w:next w:val="Normal"/>
    <w:uiPriority w:val="39"/>
    <w:pPr>
      <w:keepLines/>
      <w:tabs>
        <w:tab w:val="right" w:leader="dot" w:pos="9288"/>
      </w:tabs>
      <w:spacing w:after="120"/>
      <w:ind w:left="1800" w:right="720" w:hanging="720"/>
    </w:pPr>
  </w:style>
  <w:style w:type="paragraph" w:styleId="TOC9">
    <w:name w:val="toc 9"/>
    <w:basedOn w:val="Normal"/>
    <w:next w:val="Normal"/>
    <w:uiPriority w:val="39"/>
    <w:unhideWhenUsed/>
    <w:pPr>
      <w:spacing w:after="100"/>
      <w:ind w:left="1920"/>
    </w:pPr>
  </w:style>
  <w:style w:type="paragraph" w:styleId="TOC5">
    <w:name w:val="toc 5"/>
    <w:basedOn w:val="Normal"/>
    <w:next w:val="Normal"/>
    <w:uiPriority w:val="39"/>
    <w:unhideWhenUsed/>
    <w:pPr>
      <w:spacing w:after="100"/>
      <w:ind w:left="960"/>
    </w:pPr>
  </w:style>
  <w:style w:type="paragraph" w:styleId="TOC6">
    <w:name w:val="toc 6"/>
    <w:basedOn w:val="Normal"/>
    <w:next w:val="Normal"/>
    <w:uiPriority w:val="39"/>
    <w:unhideWhenUsed/>
    <w:pPr>
      <w:spacing w:after="100"/>
      <w:ind w:left="1200"/>
    </w:pPr>
  </w:style>
  <w:style w:type="paragraph" w:styleId="TOC7">
    <w:name w:val="toc 7"/>
    <w:basedOn w:val="Normal"/>
    <w:next w:val="Normal"/>
    <w:uiPriority w:val="39"/>
    <w:unhideWhenUsed/>
    <w:pPr>
      <w:spacing w:after="100"/>
      <w:ind w:left="1440"/>
    </w:pPr>
  </w:style>
  <w:style w:type="paragraph" w:styleId="TOC8">
    <w:name w:val="toc 8"/>
    <w:basedOn w:val="Normal"/>
    <w:next w:val="Normal"/>
    <w:uiPriority w:val="39"/>
    <w:unhideWhenUsed/>
    <w:pPr>
      <w:spacing w:after="100"/>
      <w:ind w:left="1680"/>
    </w:pPr>
  </w:style>
  <w:style w:type="paragraph" w:customStyle="1" w:styleId="AddendumCont1">
    <w:name w:val="Addendum Cont 1"/>
    <w:basedOn w:val="Normal"/>
    <w:link w:val="AddendumCont1Char"/>
    <w:pPr>
      <w:spacing w:after="240"/>
      <w:ind w:firstLine="1440"/>
    </w:pPr>
    <w:rPr>
      <w:rFonts w:eastAsia="Times New Roman" w:cs="Times New Roman"/>
      <w:szCs w:val="20"/>
    </w:rPr>
  </w:style>
  <w:style w:type="character" w:customStyle="1" w:styleId="AddendumCont1Char">
    <w:name w:val="Addendum Cont 1 Char"/>
    <w:basedOn w:val="DefaultParagraphFont"/>
    <w:link w:val="AddendumCont1"/>
    <w:rPr>
      <w:sz w:val="24"/>
    </w:rPr>
  </w:style>
  <w:style w:type="paragraph" w:customStyle="1" w:styleId="AddendumCont2">
    <w:name w:val="Addendum Cont 2"/>
    <w:basedOn w:val="AddendumCont1"/>
    <w:link w:val="AddendumCont2Char"/>
    <w:pPr>
      <w:ind w:firstLine="2160"/>
    </w:pPr>
  </w:style>
  <w:style w:type="character" w:customStyle="1" w:styleId="AddendumCont2Char">
    <w:name w:val="Addendum Cont 2 Char"/>
    <w:basedOn w:val="DefaultParagraphFont"/>
    <w:link w:val="AddendumCont2"/>
    <w:rPr>
      <w:sz w:val="24"/>
    </w:rPr>
  </w:style>
  <w:style w:type="paragraph" w:customStyle="1" w:styleId="AddendumCont3">
    <w:name w:val="Addendum Cont 3"/>
    <w:basedOn w:val="AddendumCont2"/>
    <w:link w:val="AddendumCont3Char"/>
    <w:pPr>
      <w:ind w:left="1440" w:firstLine="0"/>
    </w:pPr>
  </w:style>
  <w:style w:type="character" w:customStyle="1" w:styleId="AddendumCont3Char">
    <w:name w:val="Addendum Cont 3 Char"/>
    <w:basedOn w:val="DefaultParagraphFont"/>
    <w:link w:val="AddendumCont3"/>
    <w:rPr>
      <w:sz w:val="24"/>
    </w:rPr>
  </w:style>
  <w:style w:type="paragraph" w:customStyle="1" w:styleId="AddendumCont4">
    <w:name w:val="Addendum Cont 4"/>
    <w:basedOn w:val="AddendumCont3"/>
    <w:link w:val="AddendumCont4Char"/>
    <w:pPr>
      <w:ind w:left="2160"/>
    </w:pPr>
  </w:style>
  <w:style w:type="character" w:customStyle="1" w:styleId="AddendumCont4Char">
    <w:name w:val="Addendum Cont 4 Char"/>
    <w:basedOn w:val="DefaultParagraphFont"/>
    <w:link w:val="AddendumCont4"/>
    <w:rPr>
      <w:sz w:val="24"/>
    </w:rPr>
  </w:style>
  <w:style w:type="paragraph" w:customStyle="1" w:styleId="AddendumCont5">
    <w:name w:val="Addendum Cont 5"/>
    <w:basedOn w:val="AddendumCont4"/>
    <w:link w:val="AddendumCont5Char"/>
    <w:pPr>
      <w:ind w:left="2880"/>
    </w:pPr>
  </w:style>
  <w:style w:type="character" w:customStyle="1" w:styleId="AddendumCont5Char">
    <w:name w:val="Addendum Cont 5 Char"/>
    <w:basedOn w:val="DefaultParagraphFont"/>
    <w:link w:val="AddendumCont5"/>
    <w:rPr>
      <w:sz w:val="24"/>
    </w:rPr>
  </w:style>
  <w:style w:type="paragraph" w:customStyle="1" w:styleId="AddendumCont6">
    <w:name w:val="Addendum Cont 6"/>
    <w:basedOn w:val="AddendumCont5"/>
    <w:link w:val="AddendumCont6Char"/>
    <w:pPr>
      <w:ind w:left="3600"/>
    </w:pPr>
  </w:style>
  <w:style w:type="character" w:customStyle="1" w:styleId="AddendumCont6Char">
    <w:name w:val="Addendum Cont 6 Char"/>
    <w:basedOn w:val="DefaultParagraphFont"/>
    <w:link w:val="AddendumCont6"/>
    <w:rPr>
      <w:sz w:val="24"/>
    </w:rPr>
  </w:style>
  <w:style w:type="paragraph" w:customStyle="1" w:styleId="AddendumCont7">
    <w:name w:val="Addendum Cont 7"/>
    <w:basedOn w:val="AddendumCont6"/>
    <w:link w:val="AddendumCont7Char"/>
    <w:pPr>
      <w:ind w:left="4320"/>
    </w:pPr>
  </w:style>
  <w:style w:type="character" w:customStyle="1" w:styleId="AddendumCont7Char">
    <w:name w:val="Addendum Cont 7 Char"/>
    <w:basedOn w:val="DefaultParagraphFont"/>
    <w:link w:val="AddendumCont7"/>
    <w:rPr>
      <w:sz w:val="24"/>
    </w:rPr>
  </w:style>
  <w:style w:type="paragraph" w:customStyle="1" w:styleId="AddendumCont8">
    <w:name w:val="Addendum Cont 8"/>
    <w:basedOn w:val="AddendumCont7"/>
    <w:link w:val="AddendumCont8Char"/>
    <w:pPr>
      <w:ind w:left="1440"/>
    </w:pPr>
  </w:style>
  <w:style w:type="character" w:customStyle="1" w:styleId="AddendumCont8Char">
    <w:name w:val="Addendum Cont 8 Char"/>
    <w:basedOn w:val="DefaultParagraphFont"/>
    <w:link w:val="AddendumCont8"/>
    <w:rPr>
      <w:sz w:val="24"/>
    </w:rPr>
  </w:style>
  <w:style w:type="paragraph" w:customStyle="1" w:styleId="AddendumCont9">
    <w:name w:val="Addendum Cont 9"/>
    <w:basedOn w:val="AddendumCont8"/>
    <w:link w:val="AddendumCont9Char"/>
    <w:pPr>
      <w:ind w:left="2160"/>
    </w:pPr>
  </w:style>
  <w:style w:type="character" w:customStyle="1" w:styleId="AddendumCont9Char">
    <w:name w:val="Addendum Cont 9 Char"/>
    <w:basedOn w:val="DefaultParagraphFont"/>
    <w:link w:val="AddendumCont9"/>
    <w:rPr>
      <w:sz w:val="24"/>
    </w:rPr>
  </w:style>
  <w:style w:type="paragraph" w:customStyle="1" w:styleId="AddendumL1">
    <w:name w:val="Addendum_L1"/>
    <w:basedOn w:val="Normal"/>
    <w:link w:val="AddendumL1Char"/>
    <w:pPr>
      <w:keepNext/>
      <w:numPr>
        <w:numId w:val="4"/>
      </w:numPr>
      <w:spacing w:after="240"/>
      <w:outlineLvl w:val="0"/>
    </w:pPr>
    <w:rPr>
      <w:rFonts w:eastAsia="Times New Roman" w:cs="Times New Roman"/>
      <w:szCs w:val="20"/>
      <w:u w:val="single"/>
    </w:rPr>
  </w:style>
  <w:style w:type="character" w:customStyle="1" w:styleId="AddendumL1Char">
    <w:name w:val="Addendum_L1 Char"/>
    <w:basedOn w:val="DefaultParagraphFont"/>
    <w:link w:val="AddendumL1"/>
    <w:rPr>
      <w:sz w:val="24"/>
      <w:u w:val="single"/>
    </w:rPr>
  </w:style>
  <w:style w:type="paragraph" w:customStyle="1" w:styleId="AddendumL2">
    <w:name w:val="Addendum_L2"/>
    <w:basedOn w:val="AddendumL1"/>
    <w:link w:val="AddendumL2Char"/>
    <w:pPr>
      <w:numPr>
        <w:ilvl w:val="1"/>
      </w:numPr>
      <w:jc w:val="left"/>
      <w:outlineLvl w:val="1"/>
    </w:pPr>
  </w:style>
  <w:style w:type="character" w:customStyle="1" w:styleId="AddendumL2Char">
    <w:name w:val="Addendum_L2 Char"/>
    <w:basedOn w:val="DefaultParagraphFont"/>
    <w:link w:val="AddendumL2"/>
    <w:rPr>
      <w:sz w:val="24"/>
      <w:u w:val="single"/>
    </w:rPr>
  </w:style>
  <w:style w:type="paragraph" w:customStyle="1" w:styleId="AddendumL3">
    <w:name w:val="Addendum_L3"/>
    <w:basedOn w:val="AddendumL2"/>
    <w:link w:val="AddendumL3Char"/>
    <w:pPr>
      <w:numPr>
        <w:ilvl w:val="2"/>
      </w:numPr>
      <w:jc w:val="both"/>
      <w:outlineLvl w:val="2"/>
    </w:pPr>
    <w:rPr>
      <w:b/>
      <w:u w:val="none"/>
    </w:rPr>
  </w:style>
  <w:style w:type="character" w:customStyle="1" w:styleId="AddendumL3Char">
    <w:name w:val="Addendum_L3 Char"/>
    <w:basedOn w:val="DefaultParagraphFont"/>
    <w:link w:val="AddendumL3"/>
    <w:rPr>
      <w:b/>
      <w:sz w:val="24"/>
    </w:rPr>
  </w:style>
  <w:style w:type="paragraph" w:customStyle="1" w:styleId="AddendumL4">
    <w:name w:val="Addendum_L4"/>
    <w:basedOn w:val="AddendumL3"/>
    <w:link w:val="AddendumL4Char"/>
    <w:pPr>
      <w:numPr>
        <w:ilvl w:val="3"/>
      </w:numPr>
      <w:outlineLvl w:val="3"/>
    </w:pPr>
  </w:style>
  <w:style w:type="character" w:customStyle="1" w:styleId="AddendumL4Char">
    <w:name w:val="Addendum_L4 Char"/>
    <w:basedOn w:val="DefaultParagraphFont"/>
    <w:link w:val="AddendumL4"/>
    <w:rPr>
      <w:b/>
      <w:sz w:val="24"/>
    </w:rPr>
  </w:style>
  <w:style w:type="paragraph" w:customStyle="1" w:styleId="AddendumL5">
    <w:name w:val="Addendum_L5"/>
    <w:basedOn w:val="AddendumL4"/>
    <w:link w:val="AddendumL5Char"/>
    <w:pPr>
      <w:keepNext w:val="0"/>
      <w:numPr>
        <w:ilvl w:val="4"/>
      </w:numPr>
      <w:outlineLvl w:val="4"/>
    </w:pPr>
    <w:rPr>
      <w:b w:val="0"/>
    </w:rPr>
  </w:style>
  <w:style w:type="character" w:customStyle="1" w:styleId="AddendumL5Char">
    <w:name w:val="Addendum_L5 Char"/>
    <w:basedOn w:val="DefaultParagraphFont"/>
    <w:link w:val="AddendumL5"/>
    <w:rPr>
      <w:sz w:val="24"/>
    </w:rPr>
  </w:style>
  <w:style w:type="paragraph" w:customStyle="1" w:styleId="AddendumL6">
    <w:name w:val="Addendum_L6"/>
    <w:basedOn w:val="AddendumL5"/>
    <w:link w:val="AddendumL6Char"/>
    <w:pPr>
      <w:numPr>
        <w:ilvl w:val="5"/>
      </w:numPr>
      <w:outlineLvl w:val="5"/>
    </w:pPr>
  </w:style>
  <w:style w:type="character" w:customStyle="1" w:styleId="AddendumL6Char">
    <w:name w:val="Addendum_L6 Char"/>
    <w:basedOn w:val="DefaultParagraphFont"/>
    <w:link w:val="AddendumL6"/>
    <w:rPr>
      <w:sz w:val="24"/>
    </w:rPr>
  </w:style>
  <w:style w:type="paragraph" w:customStyle="1" w:styleId="AddendumL7">
    <w:name w:val="Addendum_L7"/>
    <w:basedOn w:val="AddendumL6"/>
    <w:link w:val="AddendumL7Char"/>
    <w:pPr>
      <w:numPr>
        <w:ilvl w:val="6"/>
      </w:numPr>
      <w:outlineLvl w:val="6"/>
    </w:pPr>
  </w:style>
  <w:style w:type="character" w:customStyle="1" w:styleId="AddendumL7Char">
    <w:name w:val="Addendum_L7 Char"/>
    <w:basedOn w:val="DefaultParagraphFont"/>
    <w:link w:val="AddendumL7"/>
    <w:rPr>
      <w:sz w:val="24"/>
    </w:rPr>
  </w:style>
  <w:style w:type="paragraph" w:customStyle="1" w:styleId="AddendumL8">
    <w:name w:val="Addendum_L8"/>
    <w:basedOn w:val="AddendumL7"/>
    <w:link w:val="AddendumL8Char"/>
    <w:pPr>
      <w:numPr>
        <w:ilvl w:val="7"/>
      </w:numPr>
      <w:outlineLvl w:val="7"/>
    </w:pPr>
  </w:style>
  <w:style w:type="character" w:customStyle="1" w:styleId="AddendumL8Char">
    <w:name w:val="Addendum_L8 Char"/>
    <w:basedOn w:val="DefaultParagraphFont"/>
    <w:link w:val="AddendumL8"/>
    <w:rPr>
      <w:sz w:val="24"/>
    </w:rPr>
  </w:style>
  <w:style w:type="paragraph" w:customStyle="1" w:styleId="AddendumL9">
    <w:name w:val="Addendum_L9"/>
    <w:basedOn w:val="AddendumL8"/>
    <w:link w:val="AddendumL9Char"/>
    <w:pPr>
      <w:numPr>
        <w:ilvl w:val="8"/>
      </w:numPr>
      <w:outlineLvl w:val="8"/>
    </w:pPr>
  </w:style>
  <w:style w:type="character" w:customStyle="1" w:styleId="AddendumL9Char">
    <w:name w:val="Addendum_L9 Char"/>
    <w:basedOn w:val="DefaultParagraphFont"/>
    <w:link w:val="AddendumL9"/>
    <w:rPr>
      <w:sz w:val="24"/>
    </w:rPr>
  </w:style>
  <w:style w:type="paragraph" w:styleId="List">
    <w:name w:val="List"/>
    <w:basedOn w:val="Normal"/>
    <w:semiHidden/>
    <w:unhideWhenUsed/>
    <w:rsid w:val="002C46FB"/>
    <w:pPr>
      <w:ind w:left="360" w:hanging="360"/>
      <w:contextualSpacing/>
    </w:pPr>
  </w:style>
  <w:style w:type="paragraph" w:styleId="ListBullet">
    <w:name w:val="List Bullet"/>
    <w:basedOn w:val="Normal"/>
    <w:semiHidden/>
    <w:unhideWhenUsed/>
    <w:rsid w:val="002C46FB"/>
    <w:pPr>
      <w:numPr>
        <w:numId w:val="10"/>
      </w:numPr>
      <w:contextualSpacing/>
    </w:pPr>
  </w:style>
  <w:style w:type="paragraph" w:customStyle="1" w:styleId="RecitalsCont1">
    <w:name w:val="Recitals Cont 1"/>
    <w:basedOn w:val="Normal"/>
    <w:link w:val="RecitalsCont1Char"/>
    <w:pPr>
      <w:spacing w:after="240"/>
      <w:jc w:val="left"/>
    </w:pPr>
    <w:rPr>
      <w:rFonts w:eastAsia="Times New Roman" w:cs="Times New Roman"/>
      <w:szCs w:val="20"/>
    </w:rPr>
  </w:style>
  <w:style w:type="character" w:customStyle="1" w:styleId="RecitalsCont1Char">
    <w:name w:val="Recitals Cont 1 Char"/>
    <w:basedOn w:val="BodyTextChar"/>
    <w:link w:val="RecitalsCont1"/>
    <w:rPr>
      <w:sz w:val="24"/>
      <w:szCs w:val="24"/>
    </w:rPr>
  </w:style>
  <w:style w:type="paragraph" w:customStyle="1" w:styleId="RecitalsCont2">
    <w:name w:val="Recitals Cont 2"/>
    <w:basedOn w:val="RecitalsCont1"/>
    <w:link w:val="RecitalsCont2Char"/>
    <w:pPr>
      <w:ind w:left="720"/>
      <w:jc w:val="both"/>
    </w:pPr>
  </w:style>
  <w:style w:type="character" w:customStyle="1" w:styleId="RecitalsCont2Char">
    <w:name w:val="Recitals Cont 2 Char"/>
    <w:basedOn w:val="BodyTextChar"/>
    <w:link w:val="RecitalsCont2"/>
    <w:rPr>
      <w:sz w:val="24"/>
      <w:szCs w:val="24"/>
    </w:rPr>
  </w:style>
  <w:style w:type="paragraph" w:customStyle="1" w:styleId="RecitalsCont3">
    <w:name w:val="Recitals Cont 3"/>
    <w:basedOn w:val="RecitalsCont2"/>
    <w:link w:val="RecitalsCont3Char"/>
    <w:pPr>
      <w:ind w:left="1440"/>
    </w:pPr>
  </w:style>
  <w:style w:type="character" w:customStyle="1" w:styleId="RecitalsCont3Char">
    <w:name w:val="Recitals Cont 3 Char"/>
    <w:basedOn w:val="BodyTextChar"/>
    <w:link w:val="RecitalsCont3"/>
    <w:rPr>
      <w:sz w:val="24"/>
      <w:szCs w:val="24"/>
    </w:rPr>
  </w:style>
  <w:style w:type="paragraph" w:customStyle="1" w:styleId="RecitalsCont4">
    <w:name w:val="Recitals Cont 4"/>
    <w:basedOn w:val="RecitalsCont3"/>
    <w:link w:val="RecitalsCont4Char"/>
    <w:pPr>
      <w:ind w:left="2160"/>
    </w:pPr>
  </w:style>
  <w:style w:type="character" w:customStyle="1" w:styleId="RecitalsCont4Char">
    <w:name w:val="Recitals Cont 4 Char"/>
    <w:basedOn w:val="BodyTextChar"/>
    <w:link w:val="RecitalsCont4"/>
    <w:rPr>
      <w:sz w:val="24"/>
      <w:szCs w:val="24"/>
    </w:rPr>
  </w:style>
  <w:style w:type="paragraph" w:customStyle="1" w:styleId="RecitalsCont5">
    <w:name w:val="Recitals Cont 5"/>
    <w:basedOn w:val="RecitalsCont4"/>
    <w:link w:val="RecitalsCont5Char"/>
    <w:pPr>
      <w:ind w:left="2880"/>
    </w:pPr>
  </w:style>
  <w:style w:type="character" w:customStyle="1" w:styleId="RecitalsCont5Char">
    <w:name w:val="Recitals Cont 5 Char"/>
    <w:basedOn w:val="BodyTextChar"/>
    <w:link w:val="RecitalsCont5"/>
    <w:rPr>
      <w:sz w:val="24"/>
      <w:szCs w:val="24"/>
    </w:rPr>
  </w:style>
  <w:style w:type="paragraph" w:customStyle="1" w:styleId="RecitalsCont6">
    <w:name w:val="Recitals Cont 6"/>
    <w:basedOn w:val="RecitalsCont5"/>
    <w:link w:val="RecitalsCont6Char"/>
    <w:pPr>
      <w:ind w:left="3600"/>
    </w:pPr>
  </w:style>
  <w:style w:type="character" w:customStyle="1" w:styleId="RecitalsCont6Char">
    <w:name w:val="Recitals Cont 6 Char"/>
    <w:basedOn w:val="BodyTextChar"/>
    <w:link w:val="RecitalsCont6"/>
    <w:rPr>
      <w:sz w:val="24"/>
      <w:szCs w:val="24"/>
    </w:rPr>
  </w:style>
  <w:style w:type="paragraph" w:customStyle="1" w:styleId="RecitalsCont7">
    <w:name w:val="Recitals Cont 7"/>
    <w:basedOn w:val="RecitalsCont6"/>
    <w:link w:val="RecitalsCont7Char"/>
    <w:pPr>
      <w:ind w:left="4320"/>
    </w:pPr>
  </w:style>
  <w:style w:type="character" w:customStyle="1" w:styleId="RecitalsCont7Char">
    <w:name w:val="Recitals Cont 7 Char"/>
    <w:basedOn w:val="BodyTextChar"/>
    <w:link w:val="RecitalsCont7"/>
    <w:rPr>
      <w:sz w:val="24"/>
      <w:szCs w:val="24"/>
    </w:rPr>
  </w:style>
  <w:style w:type="paragraph" w:customStyle="1" w:styleId="RecitalsCont8">
    <w:name w:val="Recitals Cont 8"/>
    <w:basedOn w:val="RecitalsCont7"/>
    <w:link w:val="RecitalsCont8Char"/>
    <w:pPr>
      <w:ind w:left="5040"/>
    </w:pPr>
  </w:style>
  <w:style w:type="character" w:customStyle="1" w:styleId="RecitalsCont8Char">
    <w:name w:val="Recitals Cont 8 Char"/>
    <w:basedOn w:val="BodyTextChar"/>
    <w:link w:val="RecitalsCont8"/>
    <w:rPr>
      <w:sz w:val="24"/>
      <w:szCs w:val="24"/>
    </w:rPr>
  </w:style>
  <w:style w:type="paragraph" w:customStyle="1" w:styleId="RecitalsL1">
    <w:name w:val="Recitals_L1"/>
    <w:basedOn w:val="Normal"/>
    <w:next w:val="RecitalsL2"/>
    <w:link w:val="RecitalsL1Char"/>
    <w:pPr>
      <w:numPr>
        <w:numId w:val="5"/>
      </w:numPr>
      <w:spacing w:after="240"/>
      <w:outlineLvl w:val="0"/>
    </w:pPr>
    <w:rPr>
      <w:rFonts w:eastAsia="Times New Roman" w:cs="Times New Roman"/>
      <w:szCs w:val="20"/>
    </w:rPr>
  </w:style>
  <w:style w:type="character" w:customStyle="1" w:styleId="RecitalsL1Char">
    <w:name w:val="Recitals_L1 Char"/>
    <w:basedOn w:val="DefaultParagraphFont"/>
    <w:link w:val="RecitalsL1"/>
    <w:rPr>
      <w:sz w:val="24"/>
    </w:rPr>
  </w:style>
  <w:style w:type="paragraph" w:customStyle="1" w:styleId="RecitalsL2">
    <w:name w:val="Recitals_L2"/>
    <w:basedOn w:val="RecitalsL1"/>
    <w:link w:val="RecitalsL2Char"/>
    <w:pPr>
      <w:keepNext/>
      <w:numPr>
        <w:ilvl w:val="1"/>
      </w:numPr>
      <w:outlineLvl w:val="1"/>
    </w:pPr>
    <w:rPr>
      <w:b/>
    </w:rPr>
  </w:style>
  <w:style w:type="character" w:customStyle="1" w:styleId="RecitalsL2Char">
    <w:name w:val="Recitals_L2 Char"/>
    <w:basedOn w:val="DefaultParagraphFont"/>
    <w:link w:val="RecitalsL2"/>
    <w:rPr>
      <w:b/>
      <w:sz w:val="24"/>
    </w:rPr>
  </w:style>
  <w:style w:type="paragraph" w:customStyle="1" w:styleId="RecitalsL3">
    <w:name w:val="Recitals_L3"/>
    <w:basedOn w:val="RecitalsL2"/>
    <w:link w:val="RecitalsL3Char"/>
    <w:pPr>
      <w:keepNext w:val="0"/>
      <w:numPr>
        <w:ilvl w:val="2"/>
      </w:numPr>
      <w:outlineLvl w:val="2"/>
    </w:pPr>
    <w:rPr>
      <w:b w:val="0"/>
    </w:rPr>
  </w:style>
  <w:style w:type="character" w:customStyle="1" w:styleId="RecitalsL3Char">
    <w:name w:val="Recitals_L3 Char"/>
    <w:basedOn w:val="DefaultParagraphFont"/>
    <w:link w:val="RecitalsL3"/>
    <w:rPr>
      <w:sz w:val="24"/>
    </w:rPr>
  </w:style>
  <w:style w:type="paragraph" w:customStyle="1" w:styleId="RecitalsL4">
    <w:name w:val="Recitals_L4"/>
    <w:basedOn w:val="RecitalsL3"/>
    <w:link w:val="RecitalsL4Char"/>
    <w:pPr>
      <w:numPr>
        <w:ilvl w:val="3"/>
      </w:numPr>
      <w:outlineLvl w:val="3"/>
    </w:pPr>
  </w:style>
  <w:style w:type="character" w:customStyle="1" w:styleId="RecitalsL4Char">
    <w:name w:val="Recitals_L4 Char"/>
    <w:basedOn w:val="DefaultParagraphFont"/>
    <w:link w:val="RecitalsL4"/>
    <w:rPr>
      <w:sz w:val="24"/>
    </w:rPr>
  </w:style>
  <w:style w:type="paragraph" w:customStyle="1" w:styleId="RecitalsL5">
    <w:name w:val="Recitals_L5"/>
    <w:basedOn w:val="RecitalsL4"/>
    <w:link w:val="RecitalsL5Char"/>
    <w:pPr>
      <w:numPr>
        <w:ilvl w:val="4"/>
      </w:numPr>
      <w:outlineLvl w:val="4"/>
    </w:pPr>
  </w:style>
  <w:style w:type="character" w:customStyle="1" w:styleId="RecitalsL5Char">
    <w:name w:val="Recitals_L5 Char"/>
    <w:basedOn w:val="DefaultParagraphFont"/>
    <w:link w:val="RecitalsL5"/>
    <w:rPr>
      <w:sz w:val="24"/>
    </w:rPr>
  </w:style>
  <w:style w:type="paragraph" w:customStyle="1" w:styleId="RecitalsL6">
    <w:name w:val="Recitals_L6"/>
    <w:basedOn w:val="RecitalsL5"/>
    <w:link w:val="RecitalsL6Char"/>
    <w:pPr>
      <w:numPr>
        <w:ilvl w:val="5"/>
      </w:numPr>
      <w:outlineLvl w:val="5"/>
    </w:pPr>
  </w:style>
  <w:style w:type="character" w:customStyle="1" w:styleId="RecitalsL6Char">
    <w:name w:val="Recitals_L6 Char"/>
    <w:basedOn w:val="DefaultParagraphFont"/>
    <w:link w:val="RecitalsL6"/>
    <w:rPr>
      <w:sz w:val="24"/>
    </w:rPr>
  </w:style>
  <w:style w:type="paragraph" w:customStyle="1" w:styleId="RecitalsL7">
    <w:name w:val="Recitals_L7"/>
    <w:basedOn w:val="RecitalsL6"/>
    <w:link w:val="RecitalsL7Char"/>
    <w:pPr>
      <w:numPr>
        <w:ilvl w:val="6"/>
      </w:numPr>
      <w:outlineLvl w:val="6"/>
    </w:pPr>
  </w:style>
  <w:style w:type="character" w:customStyle="1" w:styleId="RecitalsL7Char">
    <w:name w:val="Recitals_L7 Char"/>
    <w:basedOn w:val="DefaultParagraphFont"/>
    <w:link w:val="RecitalsL7"/>
    <w:rPr>
      <w:sz w:val="24"/>
    </w:rPr>
  </w:style>
  <w:style w:type="paragraph" w:customStyle="1" w:styleId="RecitalsL8">
    <w:name w:val="Recitals_L8"/>
    <w:basedOn w:val="RecitalsL7"/>
    <w:link w:val="RecitalsL8Char"/>
    <w:pPr>
      <w:numPr>
        <w:ilvl w:val="7"/>
      </w:numPr>
      <w:outlineLvl w:val="7"/>
    </w:pPr>
  </w:style>
  <w:style w:type="character" w:customStyle="1" w:styleId="RecitalsL8Char">
    <w:name w:val="Recitals_L8 Char"/>
    <w:basedOn w:val="DefaultParagraphFont"/>
    <w:link w:val="RecitalsL8"/>
    <w:rPr>
      <w:sz w:val="24"/>
    </w:rPr>
  </w:style>
  <w:style w:type="paragraph" w:customStyle="1" w:styleId="ExhibitCont1">
    <w:name w:val="Exhibit Cont 1"/>
    <w:basedOn w:val="Normal"/>
    <w:link w:val="ExhibitCont1Char"/>
    <w:pPr>
      <w:spacing w:after="240"/>
      <w:jc w:val="left"/>
    </w:pPr>
    <w:rPr>
      <w:rFonts w:eastAsia="Times New Roman" w:cs="Times New Roman"/>
      <w:sz w:val="22"/>
    </w:rPr>
  </w:style>
  <w:style w:type="character" w:customStyle="1" w:styleId="ExhibitCont1Char">
    <w:name w:val="Exhibit Cont 1 Char"/>
    <w:basedOn w:val="BodyTextChar"/>
    <w:link w:val="ExhibitCont1"/>
    <w:rPr>
      <w:sz w:val="22"/>
      <w:szCs w:val="24"/>
    </w:rPr>
  </w:style>
  <w:style w:type="paragraph" w:customStyle="1" w:styleId="ExhibitCont2">
    <w:name w:val="Exhibit Cont 2"/>
    <w:basedOn w:val="ExhibitCont1"/>
    <w:link w:val="ExhibitCont2Char"/>
    <w:pPr>
      <w:ind w:firstLine="1440"/>
    </w:pPr>
  </w:style>
  <w:style w:type="character" w:customStyle="1" w:styleId="ExhibitCont2Char">
    <w:name w:val="Exhibit Cont 2 Char"/>
    <w:basedOn w:val="BodyTextChar"/>
    <w:link w:val="ExhibitCont2"/>
    <w:rPr>
      <w:sz w:val="22"/>
      <w:szCs w:val="24"/>
    </w:rPr>
  </w:style>
  <w:style w:type="paragraph" w:customStyle="1" w:styleId="ExhibitCont3">
    <w:name w:val="Exhibit Cont 3"/>
    <w:basedOn w:val="ExhibitCont2"/>
    <w:link w:val="ExhibitCont3Char"/>
    <w:pPr>
      <w:ind w:left="2160" w:firstLine="0"/>
    </w:pPr>
  </w:style>
  <w:style w:type="character" w:customStyle="1" w:styleId="ExhibitCont3Char">
    <w:name w:val="Exhibit Cont 3 Char"/>
    <w:basedOn w:val="BodyTextChar"/>
    <w:link w:val="ExhibitCont3"/>
    <w:rPr>
      <w:sz w:val="22"/>
      <w:szCs w:val="24"/>
    </w:rPr>
  </w:style>
  <w:style w:type="paragraph" w:customStyle="1" w:styleId="ExhibitCont4">
    <w:name w:val="Exhibit Cont 4"/>
    <w:basedOn w:val="ExhibitCont3"/>
    <w:link w:val="ExhibitCont4Char"/>
    <w:pPr>
      <w:ind w:left="2880"/>
    </w:pPr>
  </w:style>
  <w:style w:type="character" w:customStyle="1" w:styleId="ExhibitCont4Char">
    <w:name w:val="Exhibit Cont 4 Char"/>
    <w:basedOn w:val="BodyTextChar"/>
    <w:link w:val="ExhibitCont4"/>
    <w:rPr>
      <w:sz w:val="22"/>
      <w:szCs w:val="24"/>
    </w:rPr>
  </w:style>
  <w:style w:type="paragraph" w:customStyle="1" w:styleId="ExhibitCont5">
    <w:name w:val="Exhibit Cont 5"/>
    <w:basedOn w:val="ExhibitCont4"/>
    <w:link w:val="ExhibitCont5Char"/>
    <w:pPr>
      <w:ind w:left="3600"/>
      <w:jc w:val="both"/>
    </w:pPr>
    <w:rPr>
      <w:sz w:val="24"/>
    </w:rPr>
  </w:style>
  <w:style w:type="character" w:customStyle="1" w:styleId="ExhibitCont5Char">
    <w:name w:val="Exhibit Cont 5 Char"/>
    <w:basedOn w:val="BodyTextChar"/>
    <w:link w:val="ExhibitCont5"/>
    <w:rPr>
      <w:sz w:val="24"/>
      <w:szCs w:val="24"/>
    </w:rPr>
  </w:style>
  <w:style w:type="paragraph" w:customStyle="1" w:styleId="ExhibitCont6">
    <w:name w:val="Exhibit Cont 6"/>
    <w:basedOn w:val="ExhibitCont5"/>
    <w:link w:val="ExhibitCont6Char"/>
    <w:pPr>
      <w:ind w:left="4320"/>
    </w:pPr>
  </w:style>
  <w:style w:type="character" w:customStyle="1" w:styleId="ExhibitCont6Char">
    <w:name w:val="Exhibit Cont 6 Char"/>
    <w:basedOn w:val="BodyTextChar"/>
    <w:link w:val="ExhibitCont6"/>
    <w:rPr>
      <w:sz w:val="24"/>
      <w:szCs w:val="24"/>
    </w:rPr>
  </w:style>
  <w:style w:type="paragraph" w:customStyle="1" w:styleId="ExhibitCont7">
    <w:name w:val="Exhibit Cont 7"/>
    <w:basedOn w:val="ExhibitCont6"/>
    <w:link w:val="ExhibitCont7Char"/>
    <w:pPr>
      <w:ind w:left="2160"/>
    </w:pPr>
  </w:style>
  <w:style w:type="character" w:customStyle="1" w:styleId="ExhibitCont7Char">
    <w:name w:val="Exhibit Cont 7 Char"/>
    <w:basedOn w:val="BodyTextChar"/>
    <w:link w:val="ExhibitCont7"/>
    <w:rPr>
      <w:sz w:val="24"/>
      <w:szCs w:val="24"/>
    </w:rPr>
  </w:style>
  <w:style w:type="paragraph" w:customStyle="1" w:styleId="ExhibitCont8">
    <w:name w:val="Exhibit Cont 8"/>
    <w:basedOn w:val="ExhibitCont7"/>
    <w:link w:val="ExhibitCont8Char"/>
    <w:pPr>
      <w:ind w:left="2880"/>
    </w:pPr>
  </w:style>
  <w:style w:type="character" w:customStyle="1" w:styleId="ExhibitCont8Char">
    <w:name w:val="Exhibit Cont 8 Char"/>
    <w:basedOn w:val="BodyTextChar"/>
    <w:link w:val="ExhibitCont8"/>
    <w:rPr>
      <w:sz w:val="24"/>
      <w:szCs w:val="24"/>
    </w:rPr>
  </w:style>
  <w:style w:type="paragraph" w:customStyle="1" w:styleId="ExhibitCont9">
    <w:name w:val="Exhibit Cont 9"/>
    <w:basedOn w:val="ExhibitCont8"/>
    <w:link w:val="ExhibitCont9Char"/>
    <w:pPr>
      <w:ind w:left="3600"/>
    </w:pPr>
  </w:style>
  <w:style w:type="character" w:customStyle="1" w:styleId="ExhibitCont9Char">
    <w:name w:val="Exhibit Cont 9 Char"/>
    <w:basedOn w:val="BodyTextChar"/>
    <w:link w:val="ExhibitCont9"/>
    <w:rPr>
      <w:sz w:val="24"/>
      <w:szCs w:val="24"/>
    </w:rPr>
  </w:style>
  <w:style w:type="paragraph" w:customStyle="1" w:styleId="ExhibitL1">
    <w:name w:val="Exhibit_L1"/>
    <w:basedOn w:val="Normal"/>
    <w:next w:val="ExhibitL2"/>
    <w:link w:val="ExhibitL1Char"/>
    <w:pPr>
      <w:keepNext/>
      <w:numPr>
        <w:numId w:val="6"/>
      </w:numPr>
      <w:spacing w:before="240" w:after="240"/>
      <w:jc w:val="center"/>
      <w:outlineLvl w:val="0"/>
    </w:pPr>
    <w:rPr>
      <w:rFonts w:eastAsia="Times New Roman" w:cs="Times New Roman"/>
      <w:b/>
      <w:sz w:val="22"/>
      <w:szCs w:val="20"/>
      <w:u w:val="single"/>
    </w:rPr>
  </w:style>
  <w:style w:type="character" w:customStyle="1" w:styleId="ExhibitL1Char">
    <w:name w:val="Exhibit_L1 Char"/>
    <w:basedOn w:val="DefaultParagraphFont"/>
    <w:link w:val="ExhibitL1"/>
    <w:rPr>
      <w:b/>
      <w:sz w:val="22"/>
      <w:u w:val="single"/>
    </w:rPr>
  </w:style>
  <w:style w:type="paragraph" w:customStyle="1" w:styleId="ExhibitL2">
    <w:name w:val="Exhibit_L2"/>
    <w:basedOn w:val="ExhibitL1"/>
    <w:link w:val="ExhibitL2Char"/>
    <w:pPr>
      <w:numPr>
        <w:ilvl w:val="1"/>
      </w:numPr>
      <w:spacing w:before="0"/>
      <w:jc w:val="both"/>
      <w:outlineLvl w:val="1"/>
    </w:pPr>
    <w:rPr>
      <w:b w:val="0"/>
    </w:rPr>
  </w:style>
  <w:style w:type="character" w:customStyle="1" w:styleId="ExhibitL2Char">
    <w:name w:val="Exhibit_L2 Char"/>
    <w:basedOn w:val="DefaultParagraphFont"/>
    <w:link w:val="ExhibitL2"/>
    <w:rPr>
      <w:sz w:val="22"/>
      <w:u w:val="single"/>
    </w:rPr>
  </w:style>
  <w:style w:type="paragraph" w:customStyle="1" w:styleId="ExhibitL3">
    <w:name w:val="Exhibit_L3"/>
    <w:basedOn w:val="ExhibitL2"/>
    <w:link w:val="ExhibitL3Char"/>
    <w:pPr>
      <w:numPr>
        <w:ilvl w:val="2"/>
      </w:numPr>
      <w:jc w:val="left"/>
      <w:outlineLvl w:val="2"/>
    </w:pPr>
    <w:rPr>
      <w:b/>
      <w:u w:val="none"/>
    </w:rPr>
  </w:style>
  <w:style w:type="character" w:customStyle="1" w:styleId="ExhibitL3Char">
    <w:name w:val="Exhibit_L3 Char"/>
    <w:basedOn w:val="DefaultParagraphFont"/>
    <w:link w:val="ExhibitL3"/>
    <w:rPr>
      <w:b/>
      <w:sz w:val="22"/>
    </w:rPr>
  </w:style>
  <w:style w:type="paragraph" w:customStyle="1" w:styleId="ExhibitL4">
    <w:name w:val="Exhibit_L4"/>
    <w:basedOn w:val="ExhibitL3"/>
    <w:link w:val="ExhibitL4Char"/>
    <w:pPr>
      <w:numPr>
        <w:ilvl w:val="3"/>
      </w:numPr>
      <w:outlineLvl w:val="3"/>
    </w:pPr>
  </w:style>
  <w:style w:type="character" w:customStyle="1" w:styleId="ExhibitL4Char">
    <w:name w:val="Exhibit_L4 Char"/>
    <w:basedOn w:val="DefaultParagraphFont"/>
    <w:link w:val="ExhibitL4"/>
    <w:rPr>
      <w:b/>
      <w:sz w:val="22"/>
    </w:rPr>
  </w:style>
  <w:style w:type="paragraph" w:customStyle="1" w:styleId="ExhibitL5">
    <w:name w:val="Exhibit_L5"/>
    <w:basedOn w:val="ExhibitL4"/>
    <w:link w:val="ExhibitL5Char"/>
    <w:pPr>
      <w:keepNext w:val="0"/>
      <w:numPr>
        <w:ilvl w:val="4"/>
      </w:numPr>
      <w:jc w:val="both"/>
      <w:outlineLvl w:val="4"/>
    </w:pPr>
    <w:rPr>
      <w:b w:val="0"/>
      <w:sz w:val="24"/>
    </w:rPr>
  </w:style>
  <w:style w:type="character" w:customStyle="1" w:styleId="ExhibitL5Char">
    <w:name w:val="Exhibit_L5 Char"/>
    <w:basedOn w:val="DefaultParagraphFont"/>
    <w:link w:val="ExhibitL5"/>
    <w:rPr>
      <w:sz w:val="24"/>
    </w:rPr>
  </w:style>
  <w:style w:type="paragraph" w:customStyle="1" w:styleId="ExhibitL6">
    <w:name w:val="Exhibit_L6"/>
    <w:basedOn w:val="ExhibitL5"/>
    <w:link w:val="ExhibitL6Char"/>
    <w:pPr>
      <w:numPr>
        <w:ilvl w:val="5"/>
      </w:numPr>
      <w:outlineLvl w:val="5"/>
    </w:pPr>
  </w:style>
  <w:style w:type="character" w:customStyle="1" w:styleId="ExhibitL6Char">
    <w:name w:val="Exhibit_L6 Char"/>
    <w:basedOn w:val="DefaultParagraphFont"/>
    <w:link w:val="ExhibitL6"/>
    <w:rPr>
      <w:sz w:val="24"/>
    </w:rPr>
  </w:style>
  <w:style w:type="paragraph" w:customStyle="1" w:styleId="ExhibitL7">
    <w:name w:val="Exhibit_L7"/>
    <w:basedOn w:val="ExhibitL6"/>
    <w:link w:val="ExhibitL7Char"/>
    <w:pPr>
      <w:numPr>
        <w:ilvl w:val="6"/>
      </w:numPr>
      <w:outlineLvl w:val="6"/>
    </w:pPr>
  </w:style>
  <w:style w:type="character" w:customStyle="1" w:styleId="ExhibitL7Char">
    <w:name w:val="Exhibit_L7 Char"/>
    <w:basedOn w:val="DefaultParagraphFont"/>
    <w:link w:val="ExhibitL7"/>
    <w:rPr>
      <w:sz w:val="24"/>
    </w:rPr>
  </w:style>
  <w:style w:type="paragraph" w:customStyle="1" w:styleId="ExhibitL8">
    <w:name w:val="Exhibit_L8"/>
    <w:basedOn w:val="ExhibitL7"/>
    <w:link w:val="ExhibitL8Char"/>
    <w:pPr>
      <w:numPr>
        <w:ilvl w:val="7"/>
      </w:numPr>
      <w:outlineLvl w:val="7"/>
    </w:pPr>
  </w:style>
  <w:style w:type="character" w:customStyle="1" w:styleId="ExhibitL8Char">
    <w:name w:val="Exhibit_L8 Char"/>
    <w:basedOn w:val="DefaultParagraphFont"/>
    <w:link w:val="ExhibitL8"/>
    <w:rPr>
      <w:sz w:val="24"/>
    </w:rPr>
  </w:style>
  <w:style w:type="paragraph" w:customStyle="1" w:styleId="ExhibitL9">
    <w:name w:val="Exhibit_L9"/>
    <w:basedOn w:val="ExhibitL8"/>
    <w:link w:val="ExhibitL9Char"/>
    <w:pPr>
      <w:numPr>
        <w:ilvl w:val="8"/>
      </w:numPr>
      <w:outlineLvl w:val="8"/>
    </w:pPr>
  </w:style>
  <w:style w:type="character" w:customStyle="1" w:styleId="ExhibitL9Char">
    <w:name w:val="Exhibit_L9 Char"/>
    <w:basedOn w:val="DefaultParagraphFont"/>
    <w:link w:val="ExhibitL9"/>
    <w:rPr>
      <w:sz w:val="24"/>
    </w:rPr>
  </w:style>
  <w:style w:type="paragraph" w:customStyle="1" w:styleId="CheckBox">
    <w:name w:val="Check Box"/>
    <w:basedOn w:val="BodyText"/>
    <w:uiPriority w:val="1"/>
    <w:qFormat/>
    <w:pPr>
      <w:numPr>
        <w:numId w:val="7"/>
      </w:numPr>
      <w:tabs>
        <w:tab w:val="left" w:pos="720"/>
      </w:tabs>
      <w:ind w:left="1800" w:hanging="720"/>
    </w:pPr>
    <w:rPr>
      <w:sz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ArCont1">
    <w:name w:val="ScheduleAr Cont 1"/>
    <w:basedOn w:val="Normal"/>
    <w:link w:val="ScheduleArCont1Char"/>
    <w:pPr>
      <w:spacing w:after="240"/>
      <w:jc w:val="left"/>
    </w:pPr>
    <w:rPr>
      <w:rFonts w:eastAsia="Times New Roman" w:cs="Times New Roman"/>
      <w:szCs w:val="20"/>
    </w:rPr>
  </w:style>
  <w:style w:type="character" w:customStyle="1" w:styleId="ScheduleArCont1Char">
    <w:name w:val="ScheduleAr Cont 1 Char"/>
    <w:basedOn w:val="BodyTextChar"/>
    <w:link w:val="ScheduleArCont1"/>
    <w:rPr>
      <w:sz w:val="24"/>
      <w:szCs w:val="24"/>
    </w:rPr>
  </w:style>
  <w:style w:type="paragraph" w:customStyle="1" w:styleId="ScheduleArCont2">
    <w:name w:val="ScheduleAr Cont 2"/>
    <w:basedOn w:val="ScheduleArCont1"/>
    <w:link w:val="ScheduleArCont2Char"/>
    <w:pPr>
      <w:ind w:left="1440"/>
      <w:jc w:val="both"/>
    </w:pPr>
  </w:style>
  <w:style w:type="character" w:customStyle="1" w:styleId="ScheduleArCont2Char">
    <w:name w:val="ScheduleAr Cont 2 Char"/>
    <w:basedOn w:val="BodyTextChar"/>
    <w:link w:val="ScheduleArCont2"/>
    <w:rPr>
      <w:sz w:val="24"/>
      <w:szCs w:val="24"/>
    </w:rPr>
  </w:style>
  <w:style w:type="paragraph" w:customStyle="1" w:styleId="ScheduleArCont3">
    <w:name w:val="ScheduleAr Cont 3"/>
    <w:basedOn w:val="ScheduleArCont2"/>
    <w:link w:val="ScheduleArCont3Char"/>
    <w:pPr>
      <w:ind w:left="2160"/>
    </w:pPr>
  </w:style>
  <w:style w:type="character" w:customStyle="1" w:styleId="ScheduleArCont3Char">
    <w:name w:val="ScheduleAr Cont 3 Char"/>
    <w:basedOn w:val="BodyTextChar"/>
    <w:link w:val="ScheduleArCont3"/>
    <w:rPr>
      <w:sz w:val="24"/>
      <w:szCs w:val="24"/>
    </w:rPr>
  </w:style>
  <w:style w:type="paragraph" w:customStyle="1" w:styleId="ScheduleArCont4">
    <w:name w:val="ScheduleAr Cont 4"/>
    <w:basedOn w:val="ScheduleArCont3"/>
    <w:link w:val="ScheduleArCont4Char"/>
    <w:pPr>
      <w:ind w:left="2880"/>
    </w:pPr>
  </w:style>
  <w:style w:type="character" w:customStyle="1" w:styleId="ScheduleArCont4Char">
    <w:name w:val="ScheduleAr Cont 4 Char"/>
    <w:basedOn w:val="BodyTextChar"/>
    <w:link w:val="ScheduleArCont4"/>
    <w:rPr>
      <w:sz w:val="24"/>
      <w:szCs w:val="24"/>
    </w:rPr>
  </w:style>
  <w:style w:type="paragraph" w:customStyle="1" w:styleId="ScheduleArCont5">
    <w:name w:val="ScheduleAr Cont 5"/>
    <w:basedOn w:val="ScheduleArCont4"/>
    <w:link w:val="ScheduleArCont5Char"/>
    <w:pPr>
      <w:ind w:left="3600"/>
    </w:pPr>
  </w:style>
  <w:style w:type="character" w:customStyle="1" w:styleId="ScheduleArCont5Char">
    <w:name w:val="ScheduleAr Cont 5 Char"/>
    <w:basedOn w:val="BodyTextChar"/>
    <w:link w:val="ScheduleArCont5"/>
    <w:rPr>
      <w:sz w:val="24"/>
      <w:szCs w:val="24"/>
    </w:rPr>
  </w:style>
  <w:style w:type="paragraph" w:customStyle="1" w:styleId="ScheduleArCont6">
    <w:name w:val="ScheduleAr Cont 6"/>
    <w:basedOn w:val="ScheduleArCont5"/>
    <w:link w:val="ScheduleArCont6Char"/>
    <w:pPr>
      <w:ind w:left="4320"/>
    </w:pPr>
  </w:style>
  <w:style w:type="character" w:customStyle="1" w:styleId="ScheduleArCont6Char">
    <w:name w:val="ScheduleAr Cont 6 Char"/>
    <w:basedOn w:val="BodyTextChar"/>
    <w:link w:val="ScheduleArCont6"/>
    <w:rPr>
      <w:sz w:val="24"/>
      <w:szCs w:val="24"/>
    </w:rPr>
  </w:style>
  <w:style w:type="paragraph" w:customStyle="1" w:styleId="ScheduleArCont7">
    <w:name w:val="ScheduleAr Cont 7"/>
    <w:basedOn w:val="ScheduleArCont6"/>
    <w:link w:val="ScheduleArCont7Char"/>
    <w:pPr>
      <w:ind w:left="2160"/>
    </w:pPr>
  </w:style>
  <w:style w:type="character" w:customStyle="1" w:styleId="ScheduleArCont7Char">
    <w:name w:val="ScheduleAr Cont 7 Char"/>
    <w:basedOn w:val="BodyTextChar"/>
    <w:link w:val="ScheduleArCont7"/>
    <w:rPr>
      <w:sz w:val="24"/>
      <w:szCs w:val="24"/>
    </w:rPr>
  </w:style>
  <w:style w:type="paragraph" w:customStyle="1" w:styleId="ScheduleArCont8">
    <w:name w:val="ScheduleAr Cont 8"/>
    <w:basedOn w:val="ScheduleArCont7"/>
    <w:link w:val="ScheduleArCont8Char"/>
    <w:pPr>
      <w:ind w:left="2880"/>
    </w:pPr>
  </w:style>
  <w:style w:type="character" w:customStyle="1" w:styleId="ScheduleArCont8Char">
    <w:name w:val="ScheduleAr Cont 8 Char"/>
    <w:basedOn w:val="BodyTextChar"/>
    <w:link w:val="ScheduleArCont8"/>
    <w:rPr>
      <w:sz w:val="24"/>
      <w:szCs w:val="24"/>
    </w:rPr>
  </w:style>
  <w:style w:type="paragraph" w:customStyle="1" w:styleId="ScheduleArCont9">
    <w:name w:val="ScheduleAr Cont 9"/>
    <w:basedOn w:val="ScheduleArCont8"/>
    <w:link w:val="ScheduleArCont9Char"/>
    <w:pPr>
      <w:ind w:left="3600"/>
    </w:pPr>
  </w:style>
  <w:style w:type="character" w:customStyle="1" w:styleId="ScheduleArCont9Char">
    <w:name w:val="ScheduleAr Cont 9 Char"/>
    <w:basedOn w:val="BodyTextChar"/>
    <w:link w:val="ScheduleArCont9"/>
    <w:rPr>
      <w:sz w:val="24"/>
      <w:szCs w:val="24"/>
    </w:rPr>
  </w:style>
  <w:style w:type="paragraph" w:customStyle="1" w:styleId="ScheduleArL1">
    <w:name w:val="ScheduleAr_L1"/>
    <w:basedOn w:val="Normal"/>
    <w:next w:val="ScheduleArL2"/>
    <w:link w:val="ScheduleArL1Char"/>
    <w:pPr>
      <w:keepNext/>
      <w:numPr>
        <w:numId w:val="8"/>
      </w:numPr>
      <w:spacing w:before="240" w:after="240"/>
      <w:jc w:val="center"/>
      <w:outlineLvl w:val="0"/>
    </w:pPr>
    <w:rPr>
      <w:rFonts w:eastAsia="Times New Roman" w:cs="Times New Roman"/>
      <w:b/>
      <w:caps/>
      <w:szCs w:val="20"/>
      <w:u w:val="single"/>
    </w:rPr>
  </w:style>
  <w:style w:type="character" w:customStyle="1" w:styleId="ScheduleArL1Char">
    <w:name w:val="ScheduleAr_L1 Char"/>
    <w:basedOn w:val="DefaultParagraphFont"/>
    <w:link w:val="ScheduleArL1"/>
    <w:rPr>
      <w:b/>
      <w:caps/>
      <w:sz w:val="24"/>
      <w:u w:val="single"/>
    </w:rPr>
  </w:style>
  <w:style w:type="paragraph" w:customStyle="1" w:styleId="ScheduleArL2">
    <w:name w:val="ScheduleAr_L2"/>
    <w:basedOn w:val="ScheduleArL1"/>
    <w:link w:val="ScheduleArL2Char"/>
    <w:pPr>
      <w:numPr>
        <w:ilvl w:val="1"/>
      </w:numPr>
      <w:spacing w:before="0"/>
      <w:jc w:val="both"/>
      <w:outlineLvl w:val="1"/>
    </w:pPr>
    <w:rPr>
      <w:caps w:val="0"/>
      <w:u w:val="none"/>
    </w:rPr>
  </w:style>
  <w:style w:type="character" w:customStyle="1" w:styleId="ScheduleArL2Char">
    <w:name w:val="ScheduleAr_L2 Char"/>
    <w:basedOn w:val="DefaultParagraphFont"/>
    <w:link w:val="ScheduleArL2"/>
    <w:rPr>
      <w:b/>
      <w:sz w:val="24"/>
    </w:rPr>
  </w:style>
  <w:style w:type="paragraph" w:customStyle="1" w:styleId="ScheduleArL3">
    <w:name w:val="ScheduleAr_L3"/>
    <w:basedOn w:val="ScheduleArL2"/>
    <w:link w:val="ScheduleArL3Char"/>
    <w:pPr>
      <w:numPr>
        <w:ilvl w:val="2"/>
      </w:numPr>
      <w:outlineLvl w:val="2"/>
    </w:pPr>
  </w:style>
  <w:style w:type="character" w:customStyle="1" w:styleId="ScheduleArL3Char">
    <w:name w:val="ScheduleAr_L3 Char"/>
    <w:basedOn w:val="DefaultParagraphFont"/>
    <w:link w:val="ScheduleArL3"/>
    <w:rPr>
      <w:b/>
      <w:sz w:val="24"/>
    </w:rPr>
  </w:style>
  <w:style w:type="paragraph" w:customStyle="1" w:styleId="ScheduleArL4">
    <w:name w:val="ScheduleAr_L4"/>
    <w:basedOn w:val="ScheduleArL3"/>
    <w:link w:val="ScheduleArL4Char"/>
    <w:pPr>
      <w:numPr>
        <w:ilvl w:val="3"/>
      </w:numPr>
      <w:outlineLvl w:val="3"/>
    </w:pPr>
  </w:style>
  <w:style w:type="character" w:customStyle="1" w:styleId="ScheduleArL4Char">
    <w:name w:val="ScheduleAr_L4 Char"/>
    <w:basedOn w:val="DefaultParagraphFont"/>
    <w:link w:val="ScheduleArL4"/>
    <w:rPr>
      <w:b/>
      <w:sz w:val="24"/>
    </w:rPr>
  </w:style>
  <w:style w:type="paragraph" w:customStyle="1" w:styleId="ScheduleArL5">
    <w:name w:val="ScheduleAr_L5"/>
    <w:basedOn w:val="ScheduleArL4"/>
    <w:link w:val="ScheduleArL5Char"/>
    <w:pPr>
      <w:keepNext w:val="0"/>
      <w:numPr>
        <w:ilvl w:val="4"/>
      </w:numPr>
      <w:outlineLvl w:val="4"/>
    </w:pPr>
    <w:rPr>
      <w:b w:val="0"/>
    </w:rPr>
  </w:style>
  <w:style w:type="character" w:customStyle="1" w:styleId="ScheduleArL5Char">
    <w:name w:val="ScheduleAr_L5 Char"/>
    <w:basedOn w:val="DefaultParagraphFont"/>
    <w:link w:val="ScheduleArL5"/>
    <w:rPr>
      <w:sz w:val="24"/>
    </w:rPr>
  </w:style>
  <w:style w:type="paragraph" w:customStyle="1" w:styleId="ScheduleArL6">
    <w:name w:val="ScheduleAr_L6"/>
    <w:basedOn w:val="ScheduleArL5"/>
    <w:link w:val="ScheduleArL6Char"/>
    <w:pPr>
      <w:numPr>
        <w:ilvl w:val="5"/>
      </w:numPr>
      <w:outlineLvl w:val="5"/>
    </w:pPr>
  </w:style>
  <w:style w:type="character" w:customStyle="1" w:styleId="ScheduleArL6Char">
    <w:name w:val="ScheduleAr_L6 Char"/>
    <w:basedOn w:val="DefaultParagraphFont"/>
    <w:link w:val="ScheduleArL6"/>
    <w:rPr>
      <w:sz w:val="24"/>
    </w:rPr>
  </w:style>
  <w:style w:type="paragraph" w:customStyle="1" w:styleId="ScheduleArL7">
    <w:name w:val="ScheduleAr_L7"/>
    <w:basedOn w:val="ScheduleArL6"/>
    <w:link w:val="ScheduleArL7Char"/>
    <w:pPr>
      <w:numPr>
        <w:ilvl w:val="6"/>
      </w:numPr>
      <w:outlineLvl w:val="6"/>
    </w:pPr>
  </w:style>
  <w:style w:type="character" w:customStyle="1" w:styleId="ScheduleArL7Char">
    <w:name w:val="ScheduleAr_L7 Char"/>
    <w:basedOn w:val="DefaultParagraphFont"/>
    <w:link w:val="ScheduleArL7"/>
    <w:rPr>
      <w:sz w:val="24"/>
    </w:rPr>
  </w:style>
  <w:style w:type="paragraph" w:customStyle="1" w:styleId="ScheduleArL8">
    <w:name w:val="ScheduleAr_L8"/>
    <w:basedOn w:val="ScheduleArL7"/>
    <w:link w:val="ScheduleArL8Char"/>
    <w:pPr>
      <w:numPr>
        <w:ilvl w:val="7"/>
      </w:numPr>
      <w:outlineLvl w:val="7"/>
    </w:pPr>
  </w:style>
  <w:style w:type="character" w:customStyle="1" w:styleId="ScheduleArL8Char">
    <w:name w:val="ScheduleAr_L8 Char"/>
    <w:basedOn w:val="DefaultParagraphFont"/>
    <w:link w:val="ScheduleArL8"/>
    <w:rPr>
      <w:sz w:val="24"/>
    </w:rPr>
  </w:style>
  <w:style w:type="paragraph" w:customStyle="1" w:styleId="ScheduleArL9">
    <w:name w:val="ScheduleAr_L9"/>
    <w:basedOn w:val="ScheduleArL8"/>
    <w:link w:val="ScheduleArL9Char"/>
    <w:pPr>
      <w:numPr>
        <w:ilvl w:val="8"/>
      </w:numPr>
      <w:outlineLvl w:val="8"/>
    </w:pPr>
  </w:style>
  <w:style w:type="character" w:customStyle="1" w:styleId="ScheduleArL9Char">
    <w:name w:val="ScheduleAr_L9 Char"/>
    <w:basedOn w:val="DefaultParagraphFont"/>
    <w:link w:val="ScheduleArL9"/>
    <w:rPr>
      <w:sz w:val="24"/>
    </w:rPr>
  </w:style>
  <w:style w:type="character" w:styleId="FootnoteReference">
    <w:name w:val="footnote reference"/>
    <w:basedOn w:val="DefaultParagraphFont"/>
    <w:unhideWhenUsed/>
    <w:rPr>
      <w:vertAlign w:val="superscript"/>
    </w:rPr>
  </w:style>
  <w:style w:type="paragraph" w:customStyle="1" w:styleId="BodyTextFirstLine11pt">
    <w:name w:val="Body Text First Line 11pt"/>
    <w:basedOn w:val="BodyTextFirstIndent"/>
    <w:uiPriority w:val="1"/>
    <w:qFormat/>
    <w:rPr>
      <w:sz w:val="22"/>
    </w:rPr>
  </w:style>
  <w:style w:type="character" w:styleId="Hyperlink">
    <w:name w:val="Hyperlink"/>
    <w:basedOn w:val="DefaultParagraphFont"/>
    <w:uiPriority w:val="99"/>
    <w:unhideWhenUsed/>
    <w:rPr>
      <w:color w:val="0000FF" w:themeColor="hyperlink"/>
      <w:u w:val="single"/>
    </w:rPr>
  </w:style>
  <w:style w:type="paragraph" w:customStyle="1" w:styleId="MacPacTrailer">
    <w:name w:val="MacPac Trailer"/>
    <w:rsid w:val="007C4504"/>
    <w:pPr>
      <w:widowControl w:val="0"/>
      <w:spacing w:line="200" w:lineRule="exact"/>
    </w:pPr>
    <w:rPr>
      <w:sz w:val="16"/>
      <w:szCs w:val="22"/>
    </w:rPr>
  </w:style>
  <w:style w:type="character" w:styleId="PlaceholderText">
    <w:name w:val="Placeholder Text"/>
    <w:basedOn w:val="DefaultParagraphFont"/>
    <w:uiPriority w:val="99"/>
    <w:semiHidden/>
    <w:rPr>
      <w:color w:val="808080"/>
    </w:rPr>
  </w:style>
  <w:style w:type="paragraph" w:customStyle="1" w:styleId="ArticleBJCont1">
    <w:name w:val="ArticleBJ Cont 1"/>
    <w:basedOn w:val="Normal"/>
    <w:link w:val="ArticleBJCont1Char"/>
    <w:pPr>
      <w:spacing w:after="240"/>
    </w:pPr>
    <w:rPr>
      <w:rFonts w:eastAsia="Times New Roman" w:cs="Times New Roman"/>
      <w:szCs w:val="20"/>
    </w:rPr>
  </w:style>
  <w:style w:type="character" w:customStyle="1" w:styleId="ArticleBJCont1Char">
    <w:name w:val="ArticleBJ Cont 1 Char"/>
    <w:basedOn w:val="DefaultParagraphFont"/>
    <w:link w:val="ArticleBJCont1"/>
    <w:rPr>
      <w:sz w:val="24"/>
    </w:rPr>
  </w:style>
  <w:style w:type="paragraph" w:customStyle="1" w:styleId="ArticleBJCont2">
    <w:name w:val="ArticleBJ Cont 2"/>
    <w:basedOn w:val="ArticleBJCont1"/>
    <w:link w:val="ArticleBJCont2Char"/>
  </w:style>
  <w:style w:type="character" w:customStyle="1" w:styleId="ArticleBJCont2Char">
    <w:name w:val="ArticleBJ Cont 2 Char"/>
    <w:basedOn w:val="DefaultParagraphFont"/>
    <w:link w:val="ArticleBJCont2"/>
    <w:rPr>
      <w:sz w:val="24"/>
    </w:rPr>
  </w:style>
  <w:style w:type="paragraph" w:customStyle="1" w:styleId="ArticleBJCont3">
    <w:name w:val="ArticleBJ Cont 3"/>
    <w:basedOn w:val="ArticleBJCont2"/>
    <w:link w:val="ArticleBJCont3Char"/>
    <w:pPr>
      <w:ind w:left="1440"/>
    </w:pPr>
  </w:style>
  <w:style w:type="character" w:customStyle="1" w:styleId="ArticleBJCont3Char">
    <w:name w:val="ArticleBJ Cont 3 Char"/>
    <w:basedOn w:val="DefaultParagraphFont"/>
    <w:link w:val="ArticleBJCont3"/>
    <w:rPr>
      <w:sz w:val="24"/>
    </w:rPr>
  </w:style>
  <w:style w:type="paragraph" w:customStyle="1" w:styleId="ArticleBJCont4">
    <w:name w:val="ArticleBJ Cont 4"/>
    <w:basedOn w:val="ArticleBJCont3"/>
    <w:link w:val="ArticleBJCont4Char"/>
    <w:pPr>
      <w:ind w:left="2160"/>
    </w:pPr>
  </w:style>
  <w:style w:type="character" w:customStyle="1" w:styleId="ArticleBJCont4Char">
    <w:name w:val="ArticleBJ Cont 4 Char"/>
    <w:basedOn w:val="DefaultParagraphFont"/>
    <w:link w:val="ArticleBJCont4"/>
    <w:rPr>
      <w:sz w:val="24"/>
    </w:rPr>
  </w:style>
  <w:style w:type="paragraph" w:customStyle="1" w:styleId="ArticleBJCont5">
    <w:name w:val="ArticleBJ Cont 5"/>
    <w:basedOn w:val="ArticleBJCont4"/>
    <w:link w:val="ArticleBJCont5Char"/>
    <w:pPr>
      <w:ind w:left="2880"/>
    </w:pPr>
  </w:style>
  <w:style w:type="character" w:customStyle="1" w:styleId="ArticleBJCont5Char">
    <w:name w:val="ArticleBJ Cont 5 Char"/>
    <w:basedOn w:val="DefaultParagraphFont"/>
    <w:link w:val="ArticleBJCont5"/>
    <w:rPr>
      <w:sz w:val="24"/>
    </w:rPr>
  </w:style>
  <w:style w:type="paragraph" w:customStyle="1" w:styleId="ArticleBJCont6">
    <w:name w:val="ArticleBJ Cont 6"/>
    <w:basedOn w:val="ArticleBJCont5"/>
    <w:link w:val="ArticleBJCont6Char"/>
    <w:pPr>
      <w:ind w:left="3600"/>
    </w:pPr>
  </w:style>
  <w:style w:type="character" w:customStyle="1" w:styleId="ArticleBJCont6Char">
    <w:name w:val="ArticleBJ Cont 6 Char"/>
    <w:basedOn w:val="DefaultParagraphFont"/>
    <w:link w:val="ArticleBJCont6"/>
    <w:rPr>
      <w:sz w:val="24"/>
    </w:rPr>
  </w:style>
  <w:style w:type="paragraph" w:customStyle="1" w:styleId="ArticleBJCont7">
    <w:name w:val="ArticleBJ Cont 7"/>
    <w:basedOn w:val="ArticleBJCont6"/>
    <w:link w:val="ArticleBJCont7Char"/>
    <w:pPr>
      <w:ind w:left="4320"/>
    </w:pPr>
  </w:style>
  <w:style w:type="character" w:customStyle="1" w:styleId="ArticleBJCont7Char">
    <w:name w:val="ArticleBJ Cont 7 Char"/>
    <w:basedOn w:val="DefaultParagraphFont"/>
    <w:link w:val="ArticleBJCont7"/>
    <w:rPr>
      <w:sz w:val="24"/>
    </w:rPr>
  </w:style>
  <w:style w:type="paragraph" w:customStyle="1" w:styleId="ArticleBJCont8">
    <w:name w:val="ArticleBJ Cont 8"/>
    <w:basedOn w:val="ArticleBJCont7"/>
    <w:link w:val="ArticleBJCont8Char"/>
    <w:pPr>
      <w:ind w:left="5040"/>
    </w:pPr>
  </w:style>
  <w:style w:type="character" w:customStyle="1" w:styleId="ArticleBJCont8Char">
    <w:name w:val="ArticleBJ Cont 8 Char"/>
    <w:basedOn w:val="DefaultParagraphFont"/>
    <w:link w:val="ArticleBJCont8"/>
    <w:rPr>
      <w:sz w:val="24"/>
    </w:rPr>
  </w:style>
  <w:style w:type="paragraph" w:customStyle="1" w:styleId="ArticleBJL1">
    <w:name w:val="ArticleBJ_L1"/>
    <w:basedOn w:val="Normal"/>
    <w:next w:val="ArticleBJL2"/>
    <w:link w:val="ArticleBJL1Char"/>
    <w:pPr>
      <w:keepNext/>
      <w:numPr>
        <w:numId w:val="9"/>
      </w:numPr>
      <w:spacing w:before="240" w:after="240"/>
      <w:jc w:val="center"/>
      <w:outlineLvl w:val="0"/>
    </w:pPr>
    <w:rPr>
      <w:rFonts w:eastAsia="Times New Roman" w:cs="Times New Roman"/>
      <w:b/>
      <w:caps/>
      <w:szCs w:val="20"/>
    </w:rPr>
  </w:style>
  <w:style w:type="character" w:customStyle="1" w:styleId="ArticleBJL1Char">
    <w:name w:val="ArticleBJ_L1 Char"/>
    <w:basedOn w:val="DefaultParagraphFont"/>
    <w:link w:val="ArticleBJL1"/>
    <w:rPr>
      <w:b/>
      <w:caps/>
      <w:sz w:val="24"/>
    </w:rPr>
  </w:style>
  <w:style w:type="paragraph" w:customStyle="1" w:styleId="ArticleBJL2">
    <w:name w:val="ArticleBJ_L2"/>
    <w:basedOn w:val="ArticleBJL1"/>
    <w:link w:val="ArticleBJL2Char"/>
    <w:pPr>
      <w:numPr>
        <w:ilvl w:val="1"/>
      </w:numPr>
      <w:spacing w:before="0"/>
      <w:jc w:val="both"/>
      <w:outlineLvl w:val="1"/>
    </w:pPr>
    <w:rPr>
      <w:caps w:val="0"/>
    </w:rPr>
  </w:style>
  <w:style w:type="character" w:customStyle="1" w:styleId="ArticleBJL2Char">
    <w:name w:val="ArticleBJ_L2 Char"/>
    <w:basedOn w:val="DefaultParagraphFont"/>
    <w:link w:val="ArticleBJL2"/>
    <w:rPr>
      <w:b/>
      <w:sz w:val="24"/>
    </w:rPr>
  </w:style>
  <w:style w:type="paragraph" w:customStyle="1" w:styleId="ArticleBJL3">
    <w:name w:val="ArticleBJ_L3"/>
    <w:basedOn w:val="ArticleBJL2"/>
    <w:link w:val="ArticleBJL3Char"/>
    <w:pPr>
      <w:keepNext w:val="0"/>
      <w:numPr>
        <w:ilvl w:val="2"/>
      </w:numPr>
      <w:outlineLvl w:val="2"/>
    </w:pPr>
    <w:rPr>
      <w:b w:val="0"/>
    </w:rPr>
  </w:style>
  <w:style w:type="character" w:customStyle="1" w:styleId="ArticleBJL3Char">
    <w:name w:val="ArticleBJ_L3 Char"/>
    <w:basedOn w:val="DefaultParagraphFont"/>
    <w:link w:val="ArticleBJL3"/>
    <w:rPr>
      <w:sz w:val="24"/>
    </w:rPr>
  </w:style>
  <w:style w:type="paragraph" w:customStyle="1" w:styleId="ArticleBJL4">
    <w:name w:val="ArticleBJ_L4"/>
    <w:basedOn w:val="ArticleBJL3"/>
    <w:link w:val="ArticleBJL4Char"/>
    <w:pPr>
      <w:numPr>
        <w:ilvl w:val="3"/>
      </w:numPr>
      <w:outlineLvl w:val="3"/>
    </w:pPr>
  </w:style>
  <w:style w:type="character" w:customStyle="1" w:styleId="ArticleBJL4Char">
    <w:name w:val="ArticleBJ_L4 Char"/>
    <w:basedOn w:val="DefaultParagraphFont"/>
    <w:link w:val="ArticleBJL4"/>
    <w:rPr>
      <w:sz w:val="24"/>
    </w:rPr>
  </w:style>
  <w:style w:type="paragraph" w:customStyle="1" w:styleId="ArticleBJL5">
    <w:name w:val="ArticleBJ_L5"/>
    <w:basedOn w:val="ArticleBJL4"/>
    <w:link w:val="ArticleBJL5Char"/>
    <w:pPr>
      <w:numPr>
        <w:ilvl w:val="4"/>
      </w:numPr>
      <w:outlineLvl w:val="4"/>
    </w:pPr>
  </w:style>
  <w:style w:type="character" w:customStyle="1" w:styleId="ArticleBJL5Char">
    <w:name w:val="ArticleBJ_L5 Char"/>
    <w:basedOn w:val="DefaultParagraphFont"/>
    <w:link w:val="ArticleBJL5"/>
    <w:rPr>
      <w:sz w:val="24"/>
    </w:rPr>
  </w:style>
  <w:style w:type="paragraph" w:customStyle="1" w:styleId="ArticleBJL6">
    <w:name w:val="ArticleBJ_L6"/>
    <w:basedOn w:val="ArticleBJL5"/>
    <w:link w:val="ArticleBJL6Char"/>
    <w:pPr>
      <w:numPr>
        <w:ilvl w:val="5"/>
      </w:numPr>
      <w:outlineLvl w:val="5"/>
    </w:pPr>
  </w:style>
  <w:style w:type="character" w:customStyle="1" w:styleId="ArticleBJL6Char">
    <w:name w:val="ArticleBJ_L6 Char"/>
    <w:basedOn w:val="DefaultParagraphFont"/>
    <w:link w:val="ArticleBJL6"/>
    <w:rPr>
      <w:sz w:val="24"/>
    </w:rPr>
  </w:style>
  <w:style w:type="paragraph" w:customStyle="1" w:styleId="ArticleBJL7">
    <w:name w:val="ArticleBJ_L7"/>
    <w:basedOn w:val="ArticleBJL6"/>
    <w:link w:val="ArticleBJL7Char"/>
    <w:pPr>
      <w:numPr>
        <w:ilvl w:val="6"/>
      </w:numPr>
      <w:outlineLvl w:val="6"/>
    </w:pPr>
  </w:style>
  <w:style w:type="character" w:customStyle="1" w:styleId="ArticleBJL7Char">
    <w:name w:val="ArticleBJ_L7 Char"/>
    <w:basedOn w:val="DefaultParagraphFont"/>
    <w:link w:val="ArticleBJL7"/>
    <w:rPr>
      <w:sz w:val="24"/>
    </w:rPr>
  </w:style>
  <w:style w:type="paragraph" w:customStyle="1" w:styleId="ArticleBJL8">
    <w:name w:val="ArticleBJ_L8"/>
    <w:basedOn w:val="ArticleBJL7"/>
    <w:link w:val="ArticleBJL8Char"/>
    <w:pPr>
      <w:numPr>
        <w:ilvl w:val="7"/>
      </w:numPr>
      <w:outlineLvl w:val="7"/>
    </w:pPr>
  </w:style>
  <w:style w:type="character" w:customStyle="1" w:styleId="ArticleBJL8Char">
    <w:name w:val="ArticleBJ_L8 Char"/>
    <w:basedOn w:val="DefaultParagraphFont"/>
    <w:link w:val="ArticleBJL8"/>
    <w:rPr>
      <w:sz w:val="24"/>
    </w:rPr>
  </w:style>
  <w:style w:type="paragraph" w:customStyle="1" w:styleId="ArticleBJ2Cont1">
    <w:name w:val="ArticleBJ2 Cont 1"/>
    <w:basedOn w:val="Normal"/>
    <w:link w:val="ArticleBJ2Cont1Char"/>
    <w:pPr>
      <w:spacing w:after="240"/>
    </w:pPr>
    <w:rPr>
      <w:rFonts w:eastAsia="Times New Roman" w:cs="Times New Roman"/>
      <w:szCs w:val="20"/>
    </w:rPr>
  </w:style>
  <w:style w:type="paragraph" w:customStyle="1" w:styleId="QuoteIndent15">
    <w:name w:val="Quote Indent 1.5"/>
    <w:basedOn w:val="Normal"/>
    <w:link w:val="QuoteIndent15Char"/>
    <w:uiPriority w:val="1"/>
    <w:qFormat/>
    <w:pPr>
      <w:spacing w:after="240"/>
      <w:ind w:left="2160" w:right="720"/>
    </w:pPr>
  </w:style>
  <w:style w:type="character" w:customStyle="1" w:styleId="QuoteIndent15Char">
    <w:name w:val="Quote Indent 1.5 Char"/>
    <w:basedOn w:val="DefaultParagraphFont"/>
    <w:link w:val="QuoteIndent15"/>
    <w:uiPriority w:val="1"/>
    <w:rPr>
      <w:rFonts w:eastAsiaTheme="minorHAnsi" w:cstheme="minorBidi"/>
      <w:sz w:val="24"/>
      <w:szCs w:val="24"/>
    </w:rPr>
  </w:style>
  <w:style w:type="character" w:customStyle="1" w:styleId="ArticleBJ2Cont1Char">
    <w:name w:val="ArticleBJ2 Cont 1 Char"/>
    <w:basedOn w:val="DefaultParagraphFont"/>
    <w:link w:val="ArticleBJ2Cont1"/>
    <w:rPr>
      <w:sz w:val="24"/>
    </w:rPr>
  </w:style>
  <w:style w:type="paragraph" w:customStyle="1" w:styleId="ArticleBJ2Cont2">
    <w:name w:val="ArticleBJ2 Cont 2"/>
    <w:basedOn w:val="ArticleBJ2Cont1"/>
    <w:link w:val="ArticleBJ2Cont2Char"/>
  </w:style>
  <w:style w:type="character" w:customStyle="1" w:styleId="ArticleBJ2Cont2Char">
    <w:name w:val="ArticleBJ2 Cont 2 Char"/>
    <w:basedOn w:val="DefaultParagraphFont"/>
    <w:link w:val="ArticleBJ2Cont2"/>
    <w:rPr>
      <w:sz w:val="24"/>
    </w:rPr>
  </w:style>
  <w:style w:type="paragraph" w:customStyle="1" w:styleId="ArticleBJ2Cont3">
    <w:name w:val="ArticleBJ2 Cont 3"/>
    <w:basedOn w:val="ArticleBJ2Cont2"/>
    <w:link w:val="ArticleBJ2Cont3Char"/>
    <w:pPr>
      <w:ind w:left="1440"/>
    </w:pPr>
  </w:style>
  <w:style w:type="character" w:customStyle="1" w:styleId="ArticleBJ2Cont3Char">
    <w:name w:val="ArticleBJ2 Cont 3 Char"/>
    <w:basedOn w:val="DefaultParagraphFont"/>
    <w:link w:val="ArticleBJ2Cont3"/>
    <w:rPr>
      <w:sz w:val="24"/>
    </w:rPr>
  </w:style>
  <w:style w:type="paragraph" w:customStyle="1" w:styleId="ArticleBJ2Cont4">
    <w:name w:val="ArticleBJ2 Cont 4"/>
    <w:basedOn w:val="ArticleBJ2Cont3"/>
    <w:link w:val="ArticleBJ2Cont4Char"/>
    <w:pPr>
      <w:ind w:left="2160"/>
    </w:pPr>
  </w:style>
  <w:style w:type="character" w:customStyle="1" w:styleId="ArticleBJ2Cont4Char">
    <w:name w:val="ArticleBJ2 Cont 4 Char"/>
    <w:basedOn w:val="DefaultParagraphFont"/>
    <w:link w:val="ArticleBJ2Cont4"/>
    <w:rPr>
      <w:sz w:val="24"/>
    </w:rPr>
  </w:style>
  <w:style w:type="paragraph" w:customStyle="1" w:styleId="ArticleBJ2Cont5">
    <w:name w:val="ArticleBJ2 Cont 5"/>
    <w:basedOn w:val="ArticleBJ2Cont4"/>
    <w:link w:val="ArticleBJ2Cont5Char"/>
    <w:pPr>
      <w:ind w:left="2880"/>
    </w:pPr>
  </w:style>
  <w:style w:type="character" w:customStyle="1" w:styleId="ArticleBJ2Cont5Char">
    <w:name w:val="ArticleBJ2 Cont 5 Char"/>
    <w:basedOn w:val="DefaultParagraphFont"/>
    <w:link w:val="ArticleBJ2Cont5"/>
    <w:rPr>
      <w:sz w:val="24"/>
    </w:rPr>
  </w:style>
  <w:style w:type="paragraph" w:customStyle="1" w:styleId="ArticleBJ2Cont6">
    <w:name w:val="ArticleBJ2 Cont 6"/>
    <w:basedOn w:val="ArticleBJ2Cont5"/>
    <w:link w:val="ArticleBJ2Cont6Char"/>
    <w:pPr>
      <w:ind w:left="3600"/>
    </w:pPr>
  </w:style>
  <w:style w:type="character" w:customStyle="1" w:styleId="ArticleBJ2Cont6Char">
    <w:name w:val="ArticleBJ2 Cont 6 Char"/>
    <w:basedOn w:val="DefaultParagraphFont"/>
    <w:link w:val="ArticleBJ2Cont6"/>
    <w:rPr>
      <w:sz w:val="24"/>
    </w:rPr>
  </w:style>
  <w:style w:type="paragraph" w:customStyle="1" w:styleId="ArticleBJ2Cont7">
    <w:name w:val="ArticleBJ2 Cont 7"/>
    <w:basedOn w:val="ArticleBJ2Cont6"/>
    <w:link w:val="ArticleBJ2Cont7Char"/>
    <w:pPr>
      <w:ind w:left="4320"/>
    </w:pPr>
  </w:style>
  <w:style w:type="character" w:customStyle="1" w:styleId="ArticleBJ2Cont7Char">
    <w:name w:val="ArticleBJ2 Cont 7 Char"/>
    <w:basedOn w:val="DefaultParagraphFont"/>
    <w:link w:val="ArticleBJ2Cont7"/>
    <w:rPr>
      <w:sz w:val="24"/>
    </w:rPr>
  </w:style>
  <w:style w:type="paragraph" w:customStyle="1" w:styleId="ArticleBJ2Cont8">
    <w:name w:val="ArticleBJ2 Cont 8"/>
    <w:basedOn w:val="ArticleBJ2Cont7"/>
    <w:link w:val="ArticleBJ2Cont8Char"/>
    <w:pPr>
      <w:ind w:left="5040"/>
    </w:pPr>
  </w:style>
  <w:style w:type="character" w:customStyle="1" w:styleId="ArticleBJ2Cont8Char">
    <w:name w:val="ArticleBJ2 Cont 8 Char"/>
    <w:basedOn w:val="DefaultParagraphFont"/>
    <w:link w:val="ArticleBJ2Cont8"/>
    <w:rPr>
      <w:sz w:val="24"/>
    </w:rPr>
  </w:style>
  <w:style w:type="paragraph" w:customStyle="1" w:styleId="ArticleBJ2L1">
    <w:name w:val="ArticleBJ2_L1"/>
    <w:basedOn w:val="Normal"/>
    <w:next w:val="ArticleBJ2L2"/>
    <w:link w:val="ArticleBJ2L1Char"/>
    <w:pPr>
      <w:keepNext/>
      <w:numPr>
        <w:numId w:val="11"/>
      </w:numPr>
      <w:spacing w:before="240" w:after="240"/>
      <w:jc w:val="center"/>
      <w:outlineLvl w:val="0"/>
    </w:pPr>
    <w:rPr>
      <w:rFonts w:eastAsia="Times New Roman" w:cs="Times New Roman"/>
      <w:b/>
      <w:caps/>
      <w:szCs w:val="20"/>
    </w:rPr>
  </w:style>
  <w:style w:type="character" w:customStyle="1" w:styleId="ArticleBJ2L1Char">
    <w:name w:val="ArticleBJ2_L1 Char"/>
    <w:basedOn w:val="DefaultParagraphFont"/>
    <w:link w:val="ArticleBJ2L1"/>
    <w:rPr>
      <w:b/>
      <w:caps/>
      <w:sz w:val="24"/>
    </w:rPr>
  </w:style>
  <w:style w:type="paragraph" w:customStyle="1" w:styleId="ArticleBJ2L2">
    <w:name w:val="ArticleBJ2_L2"/>
    <w:basedOn w:val="ArticleBJ2L1"/>
    <w:link w:val="ArticleBJ2L2Char"/>
    <w:pPr>
      <w:numPr>
        <w:ilvl w:val="1"/>
      </w:numPr>
      <w:spacing w:before="0"/>
      <w:jc w:val="both"/>
      <w:outlineLvl w:val="1"/>
    </w:pPr>
    <w:rPr>
      <w:caps w:val="0"/>
    </w:rPr>
  </w:style>
  <w:style w:type="character" w:customStyle="1" w:styleId="ArticleBJ2L2Char">
    <w:name w:val="ArticleBJ2_L2 Char"/>
    <w:basedOn w:val="DefaultParagraphFont"/>
    <w:link w:val="ArticleBJ2L2"/>
    <w:rPr>
      <w:b/>
      <w:sz w:val="24"/>
    </w:rPr>
  </w:style>
  <w:style w:type="paragraph" w:customStyle="1" w:styleId="ArticleBJ2L3">
    <w:name w:val="ArticleBJ2_L3"/>
    <w:basedOn w:val="ArticleBJ2L2"/>
    <w:link w:val="ArticleBJ2L3Char"/>
    <w:pPr>
      <w:keepNext w:val="0"/>
      <w:numPr>
        <w:ilvl w:val="2"/>
      </w:numPr>
      <w:outlineLvl w:val="2"/>
    </w:pPr>
    <w:rPr>
      <w:b w:val="0"/>
    </w:rPr>
  </w:style>
  <w:style w:type="character" w:customStyle="1" w:styleId="ArticleBJ2L3Char">
    <w:name w:val="ArticleBJ2_L3 Char"/>
    <w:basedOn w:val="DefaultParagraphFont"/>
    <w:link w:val="ArticleBJ2L3"/>
    <w:rPr>
      <w:sz w:val="24"/>
    </w:rPr>
  </w:style>
  <w:style w:type="paragraph" w:customStyle="1" w:styleId="ArticleBJ2L4">
    <w:name w:val="ArticleBJ2_L4"/>
    <w:basedOn w:val="ArticleBJ2L3"/>
    <w:link w:val="ArticleBJ2L4Char"/>
    <w:pPr>
      <w:numPr>
        <w:ilvl w:val="3"/>
      </w:numPr>
      <w:outlineLvl w:val="3"/>
    </w:pPr>
  </w:style>
  <w:style w:type="character" w:customStyle="1" w:styleId="ArticleBJ2L4Char">
    <w:name w:val="ArticleBJ2_L4 Char"/>
    <w:basedOn w:val="DefaultParagraphFont"/>
    <w:link w:val="ArticleBJ2L4"/>
    <w:rPr>
      <w:sz w:val="24"/>
    </w:rPr>
  </w:style>
  <w:style w:type="paragraph" w:customStyle="1" w:styleId="ArticleBJ2L5">
    <w:name w:val="ArticleBJ2_L5"/>
    <w:basedOn w:val="ArticleBJ2L4"/>
    <w:link w:val="ArticleBJ2L5Char"/>
    <w:pPr>
      <w:numPr>
        <w:ilvl w:val="4"/>
      </w:numPr>
      <w:outlineLvl w:val="4"/>
    </w:pPr>
  </w:style>
  <w:style w:type="character" w:customStyle="1" w:styleId="ArticleBJ2L5Char">
    <w:name w:val="ArticleBJ2_L5 Char"/>
    <w:basedOn w:val="DefaultParagraphFont"/>
    <w:link w:val="ArticleBJ2L5"/>
    <w:rPr>
      <w:sz w:val="24"/>
    </w:rPr>
  </w:style>
  <w:style w:type="paragraph" w:customStyle="1" w:styleId="ArticleBJ2L6">
    <w:name w:val="ArticleBJ2_L6"/>
    <w:basedOn w:val="ArticleBJ2L5"/>
    <w:link w:val="ArticleBJ2L6Char"/>
    <w:pPr>
      <w:numPr>
        <w:ilvl w:val="5"/>
      </w:numPr>
      <w:outlineLvl w:val="5"/>
    </w:pPr>
  </w:style>
  <w:style w:type="character" w:customStyle="1" w:styleId="ArticleBJ2L6Char">
    <w:name w:val="ArticleBJ2_L6 Char"/>
    <w:basedOn w:val="DefaultParagraphFont"/>
    <w:link w:val="ArticleBJ2L6"/>
    <w:rPr>
      <w:sz w:val="24"/>
    </w:rPr>
  </w:style>
  <w:style w:type="paragraph" w:customStyle="1" w:styleId="ArticleBJ2L7">
    <w:name w:val="ArticleBJ2_L7"/>
    <w:basedOn w:val="ArticleBJ2L6"/>
    <w:link w:val="ArticleBJ2L7Char"/>
    <w:pPr>
      <w:numPr>
        <w:ilvl w:val="6"/>
      </w:numPr>
      <w:outlineLvl w:val="6"/>
    </w:pPr>
  </w:style>
  <w:style w:type="character" w:customStyle="1" w:styleId="ArticleBJ2L7Char">
    <w:name w:val="ArticleBJ2_L7 Char"/>
    <w:basedOn w:val="DefaultParagraphFont"/>
    <w:link w:val="ArticleBJ2L7"/>
    <w:rPr>
      <w:sz w:val="24"/>
    </w:rPr>
  </w:style>
  <w:style w:type="paragraph" w:customStyle="1" w:styleId="ArticleBJ2L8">
    <w:name w:val="ArticleBJ2_L8"/>
    <w:basedOn w:val="ArticleBJ2L7"/>
    <w:link w:val="ArticleBJ2L8Char"/>
    <w:pPr>
      <w:numPr>
        <w:ilvl w:val="7"/>
      </w:numPr>
      <w:outlineLvl w:val="7"/>
    </w:pPr>
  </w:style>
  <w:style w:type="character" w:customStyle="1" w:styleId="ArticleBJ2L8Char">
    <w:name w:val="ArticleBJ2_L8 Char"/>
    <w:basedOn w:val="DefaultParagraphFont"/>
    <w:link w:val="ArticleBJ2L8"/>
    <w:rPr>
      <w:sz w:val="24"/>
    </w:rPr>
  </w:style>
  <w:style w:type="paragraph" w:customStyle="1" w:styleId="Parties">
    <w:name w:val="Parties"/>
    <w:basedOn w:val="Normal"/>
    <w:next w:val="BodyText"/>
    <w:pPr>
      <w:spacing w:after="240"/>
      <w:ind w:left="1440"/>
      <w:jc w:val="left"/>
    </w:pPr>
    <w:rPr>
      <w:rFonts w:eastAsia="Times New Roman" w:cs="Times New Roman"/>
    </w:rPr>
  </w:style>
  <w:style w:type="paragraph" w:customStyle="1" w:styleId="LeftBold">
    <w:name w:val="Left Bold"/>
    <w:basedOn w:val="Normal"/>
    <w:link w:val="LeftBoldChar"/>
    <w:uiPriority w:val="1"/>
    <w:qFormat/>
    <w:pPr>
      <w:spacing w:after="240"/>
      <w:jc w:val="left"/>
    </w:pPr>
    <w:rPr>
      <w:rFonts w:ascii="Times New Roman Bold" w:hAnsi="Times New Roman Bold"/>
      <w:b/>
    </w:rPr>
  </w:style>
  <w:style w:type="character" w:customStyle="1" w:styleId="LeftBoldChar">
    <w:name w:val="Left Bold Char"/>
    <w:basedOn w:val="DefaultParagraphFont"/>
    <w:link w:val="LeftBold"/>
    <w:uiPriority w:val="1"/>
    <w:rPr>
      <w:rFonts w:ascii="Times New Roman Bold" w:hAnsi="Times New Roman Bold" w:eastAsiaTheme="minorHAnsi" w:cstheme="minorBidi"/>
      <w:b/>
      <w:sz w:val="24"/>
      <w:szCs w:val="24"/>
    </w:rPr>
  </w:style>
  <w:style w:type="character" w:customStyle="1" w:styleId="Prompt">
    <w:name w:val="Prompt"/>
    <w:aliases w:val="PR,Pr,pt"/>
    <w:qFormat/>
    <w:rPr>
      <w:color w:val="0000FF"/>
    </w:rPr>
  </w:style>
  <w:style w:type="paragraph" w:customStyle="1" w:styleId="Addenda">
    <w:name w:val="Addenda"/>
    <w:basedOn w:val="Normal"/>
    <w:next w:val="Normal"/>
    <w:uiPriority w:val="29"/>
    <w:qFormat/>
    <w:pPr>
      <w:keepNext/>
      <w:keepLines/>
      <w:tabs>
        <w:tab w:val="right" w:pos="8640"/>
      </w:tabs>
      <w:spacing w:after="240"/>
      <w:jc w:val="center"/>
      <w:outlineLvl w:val="4"/>
    </w:pPr>
    <w:rPr>
      <w:rFonts w:eastAsia="Times New Roman" w:cs="Times New Roman"/>
      <w:b/>
      <w:szCs w:val="20"/>
      <w:lang w:val="en-CA"/>
    </w:rPr>
  </w:style>
  <w:style w:type="paragraph" w:styleId="BalloonText">
    <w:name w:val="Balloon Text"/>
    <w:basedOn w:val="Normal"/>
    <w:link w:val="BalloonTextChar"/>
    <w:semiHidden/>
    <w:unhideWhenUsed/>
    <w:rsid w:val="00FF2EFF"/>
    <w:rPr>
      <w:rFonts w:ascii="Segoe UI" w:hAnsi="Segoe UI" w:cs="Segoe UI"/>
      <w:sz w:val="18"/>
      <w:szCs w:val="18"/>
    </w:rPr>
  </w:style>
  <w:style w:type="character" w:customStyle="1" w:styleId="BalloonTextChar">
    <w:name w:val="Balloon Text Char"/>
    <w:basedOn w:val="DefaultParagraphFont"/>
    <w:link w:val="BalloonText"/>
    <w:semiHidden/>
    <w:rsid w:val="00FF2EFF"/>
    <w:rPr>
      <w:rFonts w:ascii="Segoe UI" w:hAnsi="Segoe UI" w:eastAsiaTheme="minorHAnsi" w:cs="Segoe UI"/>
      <w:sz w:val="18"/>
      <w:szCs w:val="18"/>
    </w:rPr>
  </w:style>
  <w:style w:type="paragraph" w:customStyle="1" w:styleId="BodyTextBold">
    <w:name w:val="Body Text Bold"/>
    <w:basedOn w:val="Normal"/>
    <w:rsid w:val="00293FA3"/>
    <w:pPr>
      <w:spacing w:after="240"/>
      <w:jc w:val="left"/>
    </w:pPr>
    <w:rPr>
      <w:rFonts w:ascii="Times New Roman Bold" w:hAnsi="Times New Roman Bold"/>
      <w:b/>
      <w:bCs/>
    </w:rPr>
  </w:style>
  <w:style w:type="paragraph" w:customStyle="1" w:styleId="CenteredBold">
    <w:name w:val="Centered Bold"/>
    <w:basedOn w:val="Normal"/>
    <w:rsid w:val="00DA7E6A"/>
    <w:pPr>
      <w:spacing w:after="240"/>
      <w:jc w:val="center"/>
    </w:pPr>
    <w:rPr>
      <w:b/>
      <w:bCs/>
    </w:rPr>
  </w:style>
  <w:style w:type="paragraph" w:customStyle="1" w:styleId="BodyTextItalics">
    <w:name w:val="Body Text Italics"/>
    <w:basedOn w:val="BodyText"/>
    <w:rsid w:val="00BC36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5.xml" /><Relationship Id="rId12" Type="http://schemas.openxmlformats.org/officeDocument/2006/relationships/header" Target="header2.xml" /><Relationship Id="rId13" Type="http://schemas.openxmlformats.org/officeDocument/2006/relationships/footer" Target="footer6.xml" /><Relationship Id="rId14" Type="http://schemas.openxmlformats.org/officeDocument/2006/relationships/header" Target="header3.xml" /><Relationship Id="rId15" Type="http://schemas.openxmlformats.org/officeDocument/2006/relationships/footer" Target="footer7.xml" /><Relationship Id="rId16" Type="http://schemas.openxmlformats.org/officeDocument/2006/relationships/header" Target="header4.xml" /><Relationship Id="rId17" Type="http://schemas.openxmlformats.org/officeDocument/2006/relationships/footer" Target="footer8.xml" /><Relationship Id="rId18" Type="http://schemas.openxmlformats.org/officeDocument/2006/relationships/footer" Target="footer9.xml" /><Relationship Id="rId19" Type="http://schemas.openxmlformats.org/officeDocument/2006/relationships/footer" Target="footer10.xml" /><Relationship Id="rId2" Type="http://schemas.openxmlformats.org/officeDocument/2006/relationships/settings" Target="settings.xml" /><Relationship Id="rId20" Type="http://schemas.openxmlformats.org/officeDocument/2006/relationships/footer" Target="footer11.xml" /><Relationship Id="rId21" Type="http://schemas.openxmlformats.org/officeDocument/2006/relationships/footer" Target="footer12.xml" /><Relationship Id="rId22" Type="http://schemas.openxmlformats.org/officeDocument/2006/relationships/footer" Target="footer13.xml" /><Relationship Id="rId23" Type="http://schemas.openxmlformats.org/officeDocument/2006/relationships/footer" Target="footer14.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54B40-67B5-423A-AEDF-4B0EC4F61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31914</Words>
  <Characters>168230</Characters>
  <Application>Microsoft Office Word</Application>
  <DocSecurity>0</DocSecurity>
  <Lines>1507</Lines>
  <Paragraphs>688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