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35BE" w:rsidRDefault="0021491E">
      <w:pPr>
        <w:pStyle w:val="BodyText"/>
        <w:spacing w:after="1320"/>
        <w:jc w:val="center"/>
        <w:rPr>
          <w:b/>
          <w:bCs/>
        </w:rPr>
      </w:pPr>
      <w:r>
        <w:rPr>
          <w:b/>
          <w:bCs/>
        </w:rPr>
        <w:t xml:space="preserve">CVCA PRIVATE EQUITY MODEL </w:t>
      </w:r>
      <w:r w:rsidR="00B34547">
        <w:rPr>
          <w:b/>
          <w:bCs/>
        </w:rPr>
        <w:t xml:space="preserve">TRANSACTION </w:t>
      </w:r>
      <w:r>
        <w:rPr>
          <w:b/>
          <w:bCs/>
        </w:rPr>
        <w:t>DOCUMENTS</w:t>
      </w:r>
    </w:p>
    <w:p w:rsidR="009035BE" w:rsidRDefault="0021491E">
      <w:pPr>
        <w:pStyle w:val="BodyText"/>
        <w:spacing w:after="1320"/>
        <w:jc w:val="center"/>
        <w:rPr>
          <w:b/>
          <w:bCs/>
        </w:rPr>
      </w:pPr>
      <w:r>
        <w:rPr>
          <w:b/>
          <w:bCs/>
        </w:rPr>
        <w:t>TRANSFER RESTRICTIONS, TAG ALONG RIGHT, DRAG ALONG RIGHT</w:t>
      </w:r>
      <w:r w:rsidRPr="0021491E">
        <w:rPr>
          <w:b/>
          <w:bCs/>
        </w:rPr>
        <w:t xml:space="preserve"> </w:t>
      </w:r>
      <w:r>
        <w:rPr>
          <w:b/>
          <w:bCs/>
        </w:rPr>
        <w:t>AND PRE-EMPTIVE RIGHT</w:t>
      </w:r>
    </w:p>
    <w:p w:rsidR="009035BE" w:rsidRDefault="0021491E">
      <w:pPr>
        <w:pStyle w:val="BodyText"/>
      </w:pPr>
      <w:r>
        <w:t>This model document assumes that the company has a capital structure comprised of common shares.</w:t>
      </w:r>
      <w:r w:rsidR="003C0D48">
        <w:t xml:space="preserve"> </w:t>
      </w:r>
      <w:r>
        <w:t>If a company has a different capital structure, revisions to this document will be required.</w:t>
      </w:r>
    </w:p>
    <w:p w:rsidR="009035BE" w:rsidRDefault="0021491E">
      <w:pPr>
        <w:pStyle w:val="BodyText"/>
      </w:pPr>
      <w:r>
        <w:t>As with any agreement, thought should be given to whether the provisions of this model document are appropriate for the facts of the particular situation to be addressed.</w:t>
      </w:r>
      <w:r w:rsidR="003C0D48">
        <w:t xml:space="preserve"> </w:t>
      </w:r>
      <w:r>
        <w:t>While there is a certain amount of uniformity from agreement to agreement in the types of clauses contained in this model document, there is frequently considerable variation from agreement to agreement.</w:t>
      </w:r>
    </w:p>
    <w:p w:rsidR="009035BE" w:rsidRDefault="0021491E">
      <w:pPr>
        <w:pStyle w:val="BodyText"/>
        <w:spacing w:after="720"/>
      </w:pPr>
      <w:r>
        <w:t xml:space="preserve">This document was created by the CVCA Private Equity Model </w:t>
      </w:r>
      <w:r w:rsidR="00C00F4E">
        <w:t xml:space="preserve">Transaction </w:t>
      </w:r>
      <w:r>
        <w:t>Documents Working Group comprised of Gary Solway (Chair) and James McClary of Bennet Jones LLP, Robin Mahood and Pavan Jawanda of McCarthy Tétrault, Shahir Guindi of Osler, Hoskin &amp; Harcourt LLP, and Sara</w:t>
      </w:r>
      <w:r w:rsidR="001E384C">
        <w:t>h Camougis</w:t>
      </w:r>
      <w:r w:rsidR="00B34547">
        <w:t xml:space="preserve"> and Dan Riley</w:t>
      </w:r>
      <w:r>
        <w:t xml:space="preserve"> of Choate Hall &amp; Stewart LLP.</w:t>
      </w:r>
      <w:r w:rsidR="003C0D48">
        <w:t xml:space="preserve"> </w:t>
      </w:r>
      <w:r>
        <w:t>The lead author on this document is Gary Solway (solwayg@bennettjones.com).</w:t>
      </w:r>
    </w:p>
    <w:p w:rsidR="009035BE" w:rsidRDefault="0021491E">
      <w:pPr>
        <w:pStyle w:val="BodyText"/>
        <w:spacing w:after="3120"/>
      </w:pPr>
      <w:r>
        <w:rPr>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1607820</wp:posOffset>
                </wp:positionV>
                <wp:extent cx="6071796" cy="1003177"/>
                <wp:effectExtent l="0" t="0" r="5715" b="6985"/>
                <wp:wrapNone/>
                <wp:docPr id="3" name="Text Box 3"/>
                <wp:cNvGraphicFramePr/>
                <a:graphic xmlns:a="http://schemas.openxmlformats.org/drawingml/2006/main">
                  <a:graphicData uri="http://schemas.microsoft.com/office/word/2010/wordprocessingShape">
                    <wps:wsp>
                      <wps:cNvSpPr txBox="1"/>
                      <wps:spPr>
                        <a:xfrm>
                          <a:off x="0" y="0"/>
                          <a:ext cx="6071796" cy="10031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035BE" w:rsidRDefault="0021491E">
                            <w:pPr>
                              <w:pStyle w:val="BodyText"/>
                              <w:pBdr>
                                <w:top w:val="single" w:sz="4" w:space="1" w:color="auto"/>
                                <w:left w:val="single" w:sz="4" w:space="4" w:color="auto"/>
                                <w:bottom w:val="single" w:sz="4" w:space="1" w:color="auto"/>
                                <w:right w:val="single" w:sz="4" w:space="4" w:color="auto"/>
                              </w:pBdr>
                              <w:rPr>
                                <w:i/>
                                <w:iCs/>
                              </w:rPr>
                            </w:pPr>
                            <w:r>
                              <w:rPr>
                                <w:i/>
                                <w:iC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p w:rsidR="009035BE" w:rsidRDefault="009035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
            <w:pict>
              <v:shapetype id="_x0000_t202" coordsize="21600,21600" o:spt="202" path="m,l,21600r21600,l21600,xe">
                <v:stroke joinstyle="miter"/>
                <v:path gradientshapeok="t" o:connecttype="rect"/>
              </v:shapetype>
              <v:shape id="Text Box 3" o:spid="_x0000_s1026" type="#_x0000_t202" style="position:absolute;left:0;text-align:left;margin-left:0;margin-top:126.6pt;width:478.1pt;height: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" fillcolor="white [3201]" stroked="f" strokeweight=".5pt">
                <v:textbox>
                  <w:txbxContent>
                    <w:p w:rsidR="009035BE" w:rsidRDefault="0021491E">
                      <w:pPr>
                        <w:pStyle w:val="BodyText"/>
                        <w:pBdr>
                          <w:top w:val="single" w:sz="4" w:space="1" w:color="auto"/>
                          <w:left w:val="single" w:sz="4" w:space="4" w:color="auto"/>
                          <w:bottom w:val="single" w:sz="4" w:space="1" w:color="auto"/>
                          <w:right w:val="single" w:sz="4" w:space="4" w:color="auto"/>
                        </w:pBdr>
                        <w:rPr>
                          <w:i/>
                          <w:iCs/>
                        </w:rPr>
                      </w:pPr>
                      <w:r>
                        <w:rPr>
                          <w:i/>
                          <w:iCs/>
                        </w:rPr>
                        <w:t>Disclaimer:  This model document is for informational purposes only and is not to be construed as legal advice for any particular facts or circumstances. This document is provided "as is", without any warranty, either express or implied, and without liability.  This document is intended to serve as a starting point only, and must be tailored to meet your specific requirements.</w:t>
                      </w:r>
                    </w:p>
                    <w:p w:rsidR="009035BE" w:rsidRDefault="009035BE"/>
                  </w:txbxContent>
                </v:textbox>
              </v:shape>
            </w:pict>
          </mc:Fallback>
        </mc:AlternateContent>
      </w:r>
    </w:p>
    <w:p w:rsidR="009035BE" w:rsidRDefault="009035BE">
      <w:pPr>
        <w:pStyle w:val="BodyText"/>
        <w:jc w:val="center"/>
        <w:rPr>
          <w:b/>
          <w:bCs/>
        </w:rPr>
        <w:sectPr w:rsidR="009035BE" w:rsidSect="00157A76">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pPr>
    </w:p>
    <w:p w:rsidR="0021491E" w:rsidRDefault="003C0D48" w:rsidP="00BE2102">
      <w:pPr>
        <w:pStyle w:val="Legal2L1"/>
      </w:pPr>
      <w:r>
        <w:lastRenderedPageBreak/>
        <w:t xml:space="preserve">: </w:t>
      </w:r>
      <w:r w:rsidR="0021491E">
        <w:t>DEFINITIONS</w:t>
      </w:r>
    </w:p>
    <w:p w:rsidR="0021491E" w:rsidRDefault="0021491E" w:rsidP="0021491E">
      <w:pPr>
        <w:pStyle w:val="BodyText"/>
      </w:pPr>
      <w:r>
        <w:t>"</w:t>
      </w:r>
      <w:r w:rsidRPr="001E384C">
        <w:rPr>
          <w:b/>
        </w:rPr>
        <w:t>Affiliate</w:t>
      </w:r>
      <w:r>
        <w:t>" means, with respect to any Person:</w:t>
      </w:r>
      <w:r w:rsidR="003C0D48">
        <w:t xml:space="preserve"> </w:t>
      </w:r>
      <w:r>
        <w:t>(a) any other Person (other than the Company or any Subsidiary) that directly or indirectly controls, is controlled by, or is under common control with such Person, including any officer, director, manager or other controlling person of the first Person; (b) any child, stepchild, grandchild, parent, stepparent, grandparent, spouse, sibling, mother in law, father in law, son in law, daughter in law, brother in law or sister in law, including adoptive relationships, of such Person; and (c)</w:t>
      </w:r>
      <w:r w:rsidR="003C0D48">
        <w:t xml:space="preserve"> </w:t>
      </w:r>
      <w:r>
        <w:t>any trust, family limited partnership, family limited liability company or other estate planning entity, the beneficiaries, partners or members of which are limited to an Investor and, if such Investor is a natural person, such Investor's spouse, lineal descendants and stepchildren.</w:t>
      </w:r>
      <w:r w:rsidR="00C00F4E">
        <w:rPr>
          <w:rStyle w:val="FootnoteReference"/>
        </w:rPr>
        <w:footnoteReference w:id="1"/>
      </w:r>
    </w:p>
    <w:p w:rsidR="0021491E" w:rsidRDefault="0021491E" w:rsidP="0021491E">
      <w:pPr>
        <w:pStyle w:val="BodyText"/>
      </w:pPr>
      <w:r>
        <w:t>"</w:t>
      </w:r>
      <w:r w:rsidRPr="001E384C">
        <w:rPr>
          <w:b/>
        </w:rPr>
        <w:t>Board</w:t>
      </w:r>
      <w:r>
        <w:t>" means the Board of Directors of the Company.</w:t>
      </w:r>
    </w:p>
    <w:p w:rsidR="0021491E" w:rsidRDefault="0021491E" w:rsidP="0021491E">
      <w:pPr>
        <w:pStyle w:val="BodyText"/>
      </w:pPr>
      <w:r>
        <w:t>"</w:t>
      </w:r>
      <w:r w:rsidRPr="001E384C">
        <w:rPr>
          <w:b/>
        </w:rPr>
        <w:t>Company</w:t>
      </w:r>
      <w:r>
        <w:t xml:space="preserve">" means </w:t>
      </w:r>
      <w:r w:rsidR="001E384C">
        <w:t>●</w:t>
      </w:r>
      <w:r>
        <w:t>.</w:t>
      </w:r>
    </w:p>
    <w:p w:rsidR="0021491E" w:rsidRDefault="0021491E" w:rsidP="0021491E">
      <w:pPr>
        <w:pStyle w:val="BodyText"/>
      </w:pPr>
      <w:r>
        <w:t>"</w:t>
      </w:r>
      <w:r w:rsidRPr="001E384C">
        <w:rPr>
          <w:b/>
        </w:rPr>
        <w:t>Confidential Information</w:t>
      </w:r>
      <w:r>
        <w:t xml:space="preserve">" means all information, whatever its nature and form and whether obtained orally, by observation, from written materials or otherwise, that relates to </w:t>
      </w:r>
      <w:r w:rsidR="001E384C" w:rsidRPr="001E384C">
        <w:rPr>
          <w:b/>
        </w:rPr>
        <w:t>[</w:t>
      </w:r>
      <w:r w:rsidRPr="001E384C">
        <w:rPr>
          <w:b/>
        </w:rPr>
        <w:t>any research, technical, manufacturing, business or commercial activities or plans of the Company and its Affiliates, including, without limitation, all systems, manufacturing and servicing methods and business techniques, programs, formulas, processes, compilations of technical and non technical information, inventions, discoveries and improvements, designs, drawings, blueprints, software, software code, databases, product ideas, concepts, prototypes, features, procedures, training, promotional materials, training courses and other training and instructional materials, vendor and product information, sales intermediary lists and other sales intermediary information, and customer lists and other customer information, whether or not patented or patentable</w:t>
      </w:r>
      <w:r w:rsidR="001E384C" w:rsidRPr="001E384C">
        <w:rPr>
          <w:b/>
        </w:rPr>
        <w:t>]</w:t>
      </w:r>
      <w:r>
        <w:t>, and all other information that is not otherwise generally available to the public and could constitute a trade secret of the Company or such Affiliate.</w:t>
      </w:r>
      <w:r w:rsidR="003C0D48">
        <w:t xml:space="preserve"> </w:t>
      </w:r>
      <w:r>
        <w:t>The term "</w:t>
      </w:r>
      <w:r w:rsidRPr="001E384C">
        <w:rPr>
          <w:b/>
        </w:rPr>
        <w:t>Confidential Information</w:t>
      </w:r>
      <w:r>
        <w:t>" excludes any information that is or becomes generally available to the public through no action of the Person (including its representatives and agents) responsible for maintaining the confidentiality of such information.</w:t>
      </w:r>
    </w:p>
    <w:p w:rsidR="0021491E" w:rsidRDefault="0021491E" w:rsidP="0021491E">
      <w:pPr>
        <w:pStyle w:val="BodyText"/>
      </w:pPr>
      <w:r>
        <w:t>"</w:t>
      </w:r>
      <w:r w:rsidRPr="001E384C">
        <w:rPr>
          <w:b/>
        </w:rPr>
        <w:t>Employee</w:t>
      </w:r>
      <w:r>
        <w:t>" means an individual who is an employee or consultant of the Company or any Subsidiary, or who otherwise provides services to the Company or any Subsidiary including a member of the Board, in any case, at the time he, she, or an entity in which he or she invests or an estate planning trust for the benefit of him, her, or any of his or her family members executes a counterpart of this Agreement.</w:t>
      </w:r>
    </w:p>
    <w:p w:rsidR="0021491E" w:rsidRDefault="0021491E" w:rsidP="0021491E">
      <w:pPr>
        <w:pStyle w:val="BodyText"/>
      </w:pPr>
      <w:r>
        <w:t>"</w:t>
      </w:r>
      <w:r w:rsidRPr="001E384C">
        <w:rPr>
          <w:b/>
        </w:rPr>
        <w:t>Employee Investor</w:t>
      </w:r>
      <w:r>
        <w:t>" means, collectively, (a) an Employee who is a holder of Shares or other rights to acquire Shares, (b) any entity that is an Investor and is wholly owned by an Employee or Employees, (c) an estate planning trust that is an Investor and is for the benefit of an Employee or any of such Employee's family members, and (d) each and every Employee Transferee of such Persons (other than the Company), that, in each case, has executed a counterpart of this Agreement (and for so long as any such Person holds Shares).</w:t>
      </w:r>
      <w:r w:rsidR="003C0D48">
        <w:t xml:space="preserve"> </w:t>
      </w:r>
      <w:r w:rsidR="001E384C" w:rsidRPr="001E384C">
        <w:rPr>
          <w:b/>
        </w:rPr>
        <w:t>[</w:t>
      </w:r>
      <w:r w:rsidRPr="001E384C">
        <w:rPr>
          <w:b/>
        </w:rPr>
        <w:t>For purposes of this Agreement, a Rollover Investor is deemed an Employee Investor unless specifically noted herein.</w:t>
      </w:r>
      <w:r w:rsidR="001E384C" w:rsidRPr="001E384C">
        <w:rPr>
          <w:b/>
        </w:rPr>
        <w:t>]</w:t>
      </w:r>
    </w:p>
    <w:p w:rsidR="0021491E" w:rsidRDefault="0021491E" w:rsidP="0021491E">
      <w:pPr>
        <w:pStyle w:val="BodyText"/>
      </w:pPr>
      <w:r>
        <w:t>"</w:t>
      </w:r>
      <w:r w:rsidRPr="001E384C">
        <w:rPr>
          <w:b/>
        </w:rPr>
        <w:t>Employee Transferee</w:t>
      </w:r>
      <w:r>
        <w:t>" means each and every direct or indirect transferee of any Employee Investor.</w:t>
      </w:r>
    </w:p>
    <w:p w:rsidR="0021491E" w:rsidRDefault="0021491E" w:rsidP="0021491E">
      <w:pPr>
        <w:pStyle w:val="BodyText"/>
      </w:pPr>
      <w:r>
        <w:t>"</w:t>
      </w:r>
      <w:r w:rsidRPr="001E384C">
        <w:rPr>
          <w:b/>
        </w:rPr>
        <w:t>Fair Value</w:t>
      </w:r>
      <w:r>
        <w:t>" means the value per Share of the Company on a fully diluted basis as determined in good faith by the Board.</w:t>
      </w:r>
    </w:p>
    <w:p w:rsidR="0021491E" w:rsidRDefault="0021491E" w:rsidP="0021491E">
      <w:pPr>
        <w:pStyle w:val="BodyText"/>
      </w:pPr>
      <w:r>
        <w:t>"</w:t>
      </w:r>
      <w:r w:rsidRPr="001E384C">
        <w:rPr>
          <w:b/>
        </w:rPr>
        <w:t>Investor</w:t>
      </w:r>
      <w:r>
        <w:t>" means each Employee Investor and Other Investor, and "</w:t>
      </w:r>
      <w:r w:rsidRPr="001E384C">
        <w:rPr>
          <w:b/>
        </w:rPr>
        <w:t>Investors</w:t>
      </w:r>
      <w:r>
        <w:t>" means collectively, all of the Employee Investors and the Other Investors.</w:t>
      </w:r>
    </w:p>
    <w:p w:rsidR="0021491E" w:rsidRDefault="0021491E" w:rsidP="0021491E">
      <w:pPr>
        <w:pStyle w:val="BodyText"/>
      </w:pPr>
      <w:r>
        <w:t>"</w:t>
      </w:r>
      <w:r w:rsidRPr="001E384C">
        <w:rPr>
          <w:b/>
        </w:rPr>
        <w:t>Other Investor</w:t>
      </w:r>
      <w:r>
        <w:t>" means each holder of Shares or other rights to acquire Shares who has executed a counterpart of this Agreement, other than the Employee Investors and PE Fund (or any Affiliate of PE Fund).</w:t>
      </w:r>
    </w:p>
    <w:p w:rsidR="0021491E" w:rsidRDefault="0021491E" w:rsidP="0021491E">
      <w:pPr>
        <w:pStyle w:val="BodyText"/>
      </w:pPr>
      <w:r>
        <w:t>"</w:t>
      </w:r>
      <w:r w:rsidRPr="001E384C">
        <w:rPr>
          <w:b/>
        </w:rPr>
        <w:t>Participation Offer</w:t>
      </w:r>
      <w:r>
        <w:t>" has the meaning set forth in Section</w:t>
      </w:r>
      <w:r w:rsidR="00AF4C17">
        <w:t xml:space="preserve"> </w:t>
      </w:r>
      <w:r w:rsidR="003C0D48">
        <w:fldChar w:fldCharType="begin"/>
      </w:r>
      <w:r w:rsidR="003C0D48">
        <w:instrText xml:space="preserve"> REF _Ref515393218 \w \h </w:instrText>
      </w:r>
      <w:r w:rsidR="003C0D48">
        <w:fldChar w:fldCharType="separate"/>
      </w:r>
      <w:r w:rsidR="003C0D48">
        <w:t>3.1(a)</w:t>
      </w:r>
      <w:r w:rsidR="003C0D48">
        <w:fldChar w:fldCharType="end"/>
      </w:r>
      <w:r>
        <w:t>.</w:t>
      </w:r>
    </w:p>
    <w:p w:rsidR="0021491E" w:rsidRDefault="0021491E" w:rsidP="0021491E">
      <w:pPr>
        <w:pStyle w:val="BodyText"/>
      </w:pPr>
      <w:r>
        <w:t>"</w:t>
      </w:r>
      <w:r w:rsidRPr="001E384C">
        <w:rPr>
          <w:b/>
        </w:rPr>
        <w:t>Person</w:t>
      </w:r>
      <w:r>
        <w:t>" means any natural person, sole proprietorship, partnership, limited liability company, joint venture, trust, unincorporated organization, association, corporation, governmental authority, or any other organization, irrespective of whether it is a legal entity and includes any successor (by merger</w:t>
      </w:r>
      <w:r w:rsidR="001E384C">
        <w:t>, amalgamation</w:t>
      </w:r>
      <w:r>
        <w:t xml:space="preserve"> or otherwise) of such entity.</w:t>
      </w:r>
    </w:p>
    <w:p w:rsidR="0021491E" w:rsidRDefault="0021491E" w:rsidP="0021491E">
      <w:pPr>
        <w:pStyle w:val="BodyText"/>
      </w:pPr>
      <w:r>
        <w:t>"</w:t>
      </w:r>
      <w:r w:rsidRPr="001E384C">
        <w:rPr>
          <w:b/>
        </w:rPr>
        <w:t>Prohibited Investor Transfer</w:t>
      </w:r>
      <w:r>
        <w:t>" means a Transfer or issuance, or attempted Transfer or issuance, of any shares of capital stock or other equity interests in violation of</w:t>
      </w:r>
      <w:r w:rsidR="003C0D48">
        <w:t xml:space="preserve"> </w:t>
      </w:r>
      <w:r w:rsidR="003C0D48">
        <w:fldChar w:fldCharType="begin"/>
      </w:r>
      <w:r w:rsidR="003C0D48">
        <w:instrText xml:space="preserve"> REF _Ref515393172 \w \h </w:instrText>
      </w:r>
      <w:r w:rsidR="003C0D48">
        <w:fldChar w:fldCharType="separate"/>
      </w:r>
      <w:r w:rsidR="003C0D48">
        <w:t>Article 2</w:t>
      </w:r>
      <w:r w:rsidR="003C0D48">
        <w:fldChar w:fldCharType="end"/>
      </w:r>
      <w:r>
        <w:t>.</w:t>
      </w:r>
    </w:p>
    <w:p w:rsidR="0021491E" w:rsidRDefault="0021491E" w:rsidP="0021491E">
      <w:pPr>
        <w:pStyle w:val="BodyText"/>
      </w:pPr>
      <w:r>
        <w:t>"</w:t>
      </w:r>
      <w:r w:rsidRPr="001E384C">
        <w:rPr>
          <w:b/>
        </w:rPr>
        <w:t>Pro Rata Portion</w:t>
      </w:r>
      <w:r>
        <w:t>" means the number of Shares proposed to be Transferred by PE Fund in a Significant Sale, multiplied by a fraction, the numerator of which is the number of Shares held by an Investor, and the denominator of which is the total number of Shares held by PE Fund and all the Investors.</w:t>
      </w:r>
    </w:p>
    <w:p w:rsidR="0021491E" w:rsidRDefault="0021491E" w:rsidP="0021491E">
      <w:pPr>
        <w:pStyle w:val="BodyText"/>
      </w:pPr>
      <w:r>
        <w:t>"</w:t>
      </w:r>
      <w:r w:rsidRPr="001E384C">
        <w:rPr>
          <w:b/>
        </w:rPr>
        <w:t>PE Fund</w:t>
      </w:r>
      <w:r>
        <w:t xml:space="preserve">" means, collectively, </w:t>
      </w:r>
      <w:r w:rsidR="001E384C">
        <w:t>●</w:t>
      </w:r>
      <w:r>
        <w:t xml:space="preserve">, any transferee pursuant to Section </w:t>
      </w:r>
      <w:r w:rsidR="003C0D48">
        <w:fldChar w:fldCharType="begin"/>
      </w:r>
      <w:r w:rsidR="003C0D48">
        <w:instrText xml:space="preserve"> REF _Ref515393253 \w \h </w:instrText>
      </w:r>
      <w:r w:rsidR="003C0D48">
        <w:fldChar w:fldCharType="separate"/>
      </w:r>
      <w:r w:rsidR="003C0D48">
        <w:t>2.1(a)(iii)</w:t>
      </w:r>
      <w:r w:rsidR="003C0D48">
        <w:fldChar w:fldCharType="end"/>
      </w:r>
      <w:r>
        <w:t xml:space="preserve">, and any Affiliate of </w:t>
      </w:r>
      <w:r w:rsidR="001E384C">
        <w:t>●</w:t>
      </w:r>
      <w:r>
        <w:t xml:space="preserve"> that becomes a party to this Agreement (other than the Company).</w:t>
      </w:r>
    </w:p>
    <w:p w:rsidR="0021491E" w:rsidRPr="001E384C" w:rsidRDefault="001E384C" w:rsidP="0021491E">
      <w:pPr>
        <w:pStyle w:val="BodyText"/>
        <w:rPr>
          <w:b/>
        </w:rPr>
      </w:pPr>
      <w:r w:rsidRPr="001E384C">
        <w:rPr>
          <w:b/>
        </w:rPr>
        <w:t>[</w:t>
      </w:r>
      <w:r w:rsidR="0021491E" w:rsidRPr="001E384C">
        <w:rPr>
          <w:b/>
        </w:rPr>
        <w:t xml:space="preserve">"Rollover Investor" means any Employee who becomes an Employee Investor by executing a joinder to this Agreement within [30] days following the </w:t>
      </w:r>
      <w:r w:rsidRPr="001E384C">
        <w:rPr>
          <w:b/>
        </w:rPr>
        <w:t>date of this Agreement</w:t>
      </w:r>
      <w:r w:rsidR="0021491E" w:rsidRPr="001E384C">
        <w:rPr>
          <w:b/>
        </w:rPr>
        <w:t>.</w:t>
      </w:r>
      <w:r w:rsidRPr="001E384C">
        <w:rPr>
          <w:b/>
        </w:rPr>
        <w:t>]</w:t>
      </w:r>
    </w:p>
    <w:p w:rsidR="0021491E" w:rsidRDefault="0021491E" w:rsidP="0021491E">
      <w:pPr>
        <w:pStyle w:val="BodyText"/>
      </w:pPr>
      <w:r>
        <w:t>"</w:t>
      </w:r>
      <w:r w:rsidRPr="001E384C">
        <w:rPr>
          <w:b/>
        </w:rPr>
        <w:t>Securities Laws</w:t>
      </w:r>
      <w:r>
        <w:t xml:space="preserve">" means the </w:t>
      </w:r>
      <w:r w:rsidR="001E384C">
        <w:t>●</w:t>
      </w:r>
      <w:r>
        <w:t>, as amended.</w:t>
      </w:r>
    </w:p>
    <w:p w:rsidR="0021491E" w:rsidRDefault="0021491E" w:rsidP="0021491E">
      <w:pPr>
        <w:pStyle w:val="BodyText"/>
      </w:pPr>
      <w:r>
        <w:t>"</w:t>
      </w:r>
      <w:r w:rsidRPr="001E384C">
        <w:rPr>
          <w:b/>
        </w:rPr>
        <w:t>Shares</w:t>
      </w:r>
      <w:r>
        <w:t xml:space="preserve">" means all </w:t>
      </w:r>
      <w:r w:rsidR="001E384C" w:rsidRPr="001E384C">
        <w:rPr>
          <w:b/>
        </w:rPr>
        <w:t>[c</w:t>
      </w:r>
      <w:r w:rsidRPr="001E384C">
        <w:rPr>
          <w:b/>
        </w:rPr>
        <w:t xml:space="preserve">ommon </w:t>
      </w:r>
      <w:r w:rsidR="001E384C" w:rsidRPr="001E384C">
        <w:rPr>
          <w:b/>
        </w:rPr>
        <w:t>s</w:t>
      </w:r>
      <w:r w:rsidRPr="001E384C">
        <w:rPr>
          <w:b/>
        </w:rPr>
        <w:t>hares</w:t>
      </w:r>
      <w:r w:rsidR="001E384C" w:rsidRPr="001E384C">
        <w:rPr>
          <w:b/>
        </w:rPr>
        <w:t xml:space="preserve"> of the Company]</w:t>
      </w:r>
      <w:r>
        <w:t xml:space="preserve"> now or hereafter outstanding, and any securities into which Common Shares may have been changed, converted or exchanged.</w:t>
      </w:r>
    </w:p>
    <w:p w:rsidR="0021491E" w:rsidRDefault="0021491E" w:rsidP="0021491E">
      <w:pPr>
        <w:pStyle w:val="BodyText"/>
      </w:pPr>
      <w:r>
        <w:t>"</w:t>
      </w:r>
      <w:r w:rsidRPr="001E384C">
        <w:rPr>
          <w:b/>
        </w:rPr>
        <w:t>Significant Sale</w:t>
      </w:r>
      <w:r>
        <w:t xml:space="preserve">" has the meaning set forth in Section </w:t>
      </w:r>
      <w:r w:rsidR="003C0D48">
        <w:fldChar w:fldCharType="begin"/>
      </w:r>
      <w:r w:rsidR="003C0D48">
        <w:instrText xml:space="preserve"> REF _Ref515393218 \w \h </w:instrText>
      </w:r>
      <w:r w:rsidR="003C0D48">
        <w:fldChar w:fldCharType="separate"/>
      </w:r>
      <w:r w:rsidR="003C0D48">
        <w:t>3.1(a)</w:t>
      </w:r>
      <w:r w:rsidR="003C0D48">
        <w:fldChar w:fldCharType="end"/>
      </w:r>
      <w:r>
        <w:t>.</w:t>
      </w:r>
    </w:p>
    <w:p w:rsidR="0021491E" w:rsidRDefault="0021491E" w:rsidP="0021491E">
      <w:pPr>
        <w:pStyle w:val="BodyText"/>
      </w:pPr>
      <w:r>
        <w:t>"</w:t>
      </w:r>
      <w:r w:rsidRPr="001E384C">
        <w:rPr>
          <w:b/>
        </w:rPr>
        <w:t>Subsidiary</w:t>
      </w:r>
      <w:r>
        <w:t xml:space="preserve">" means a corporation, company or other entity (a) more than </w:t>
      </w:r>
      <w:r w:rsidRPr="00197E62">
        <w:rPr>
          <w:b/>
        </w:rPr>
        <w:t>[20]</w:t>
      </w:r>
      <w:r>
        <w:t>% of whose outstanding shares, units or other securities (representing the right to vote for the election of directors, managers or other managing authority) are, or (b) which does not have outstanding shares or securities (as may be the case in a partnership, limited liability company, joint venture or unincorporated association), but more than 20% of whose ownership interest representing the right generally to make decisions for such other entity is, now or hereafter, owned or controlled, directly or indirectly, by the Company.</w:t>
      </w:r>
    </w:p>
    <w:p w:rsidR="0021491E" w:rsidRDefault="0021491E" w:rsidP="0021491E">
      <w:pPr>
        <w:pStyle w:val="BodyText"/>
      </w:pPr>
      <w:r>
        <w:t>"</w:t>
      </w:r>
      <w:r w:rsidRPr="001E384C">
        <w:rPr>
          <w:b/>
        </w:rPr>
        <w:t>Transfer</w:t>
      </w:r>
      <w:r>
        <w:t>" means any direct or indirect (including, without limitation, through the transfer of a beneficial interest) sale, issuance, assignment, pledge, hypothecation, encumbrance, disposition, transfer (including a transfer by will or intestate distribution), gift or attempt to create or grant a security interest in any security or interest therein or portion thereof, whether voluntary or involuntary, by operation of law or otherwise.</w:t>
      </w:r>
    </w:p>
    <w:p w:rsidR="0021491E" w:rsidRDefault="00AF4C17" w:rsidP="00BE2102">
      <w:pPr>
        <w:pStyle w:val="Legal2L1"/>
      </w:pPr>
      <w:bookmarkStart w:id="1" w:name="_Ref515393172"/>
      <w:r>
        <w:t xml:space="preserve">: </w:t>
      </w:r>
      <w:r w:rsidR="0021491E">
        <w:t>TRANSFERS OF SHARES</w:t>
      </w:r>
      <w:bookmarkEnd w:id="1"/>
    </w:p>
    <w:p w:rsidR="0021491E" w:rsidRDefault="0021491E" w:rsidP="00BE2102">
      <w:pPr>
        <w:pStyle w:val="Legal2L2"/>
        <w:keepNext/>
      </w:pPr>
      <w:r w:rsidRPr="00BE2102">
        <w:rPr>
          <w:u w:val="single"/>
        </w:rPr>
        <w:t>General Restrictions on Transfers</w:t>
      </w:r>
      <w:r>
        <w:t>.</w:t>
      </w:r>
    </w:p>
    <w:p w:rsidR="0021491E" w:rsidRDefault="0021491E" w:rsidP="00BE2102">
      <w:pPr>
        <w:pStyle w:val="Legal2L3"/>
      </w:pPr>
      <w:r>
        <w:t>At no time during the term of this Agreement may PE Fund or any Investor Transfer any Shares or any interest in or right to acquire Shares except:</w:t>
      </w:r>
    </w:p>
    <w:p w:rsidR="0021491E" w:rsidRDefault="0021491E" w:rsidP="00BE2102">
      <w:pPr>
        <w:pStyle w:val="Legal2L4"/>
      </w:pPr>
      <w:r>
        <w:t xml:space="preserve">in the case of any Investor, to the extent permitted and under the conditions set forth in </w:t>
      </w:r>
      <w:r w:rsidR="00AF4C17">
        <w:fldChar w:fldCharType="begin"/>
      </w:r>
      <w:r w:rsidR="00AF4C17">
        <w:instrText xml:space="preserve"> REF _Ref515393048 \w \h </w:instrText>
      </w:r>
      <w:r w:rsidR="00AF4C17">
        <w:fldChar w:fldCharType="separate"/>
      </w:r>
      <w:r w:rsidR="003C0D48">
        <w:fldChar w:fldCharType="begin"/>
      </w:r>
      <w:r w:rsidR="003C0D48">
        <w:instrText xml:space="preserve"> REF _Ref515393172 \w \h </w:instrText>
      </w:r>
      <w:r w:rsidR="003C0D48">
        <w:fldChar w:fldCharType="separate"/>
      </w:r>
      <w:r w:rsidR="003C0D48">
        <w:t>Article 2</w:t>
      </w:r>
      <w:r w:rsidR="003C0D48">
        <w:fldChar w:fldCharType="end"/>
      </w:r>
      <w:r w:rsidR="00AF4C17">
        <w:fldChar w:fldCharType="end"/>
      </w:r>
      <w:r>
        <w:t>;</w:t>
      </w:r>
    </w:p>
    <w:p w:rsidR="0021491E" w:rsidRDefault="0021491E" w:rsidP="00BE2102">
      <w:pPr>
        <w:pStyle w:val="Legal2L4"/>
      </w:pPr>
      <w:bookmarkStart w:id="2" w:name="_Ref515457990"/>
      <w:r>
        <w:t>that PE Fund may Transfer any of its Shares or any interest in or right to acquire Shares to any of its Affiliates;</w:t>
      </w:r>
      <w:bookmarkEnd w:id="2"/>
    </w:p>
    <w:p w:rsidR="0021491E" w:rsidRDefault="0021491E" w:rsidP="00BE2102">
      <w:pPr>
        <w:pStyle w:val="Legal2L4"/>
      </w:pPr>
      <w:bookmarkStart w:id="3" w:name="_Ref515393253"/>
      <w:r>
        <w:t>that any Investor who is a natural person may voluntarily Transfer Shares to: (A) an estate planning trust primarily for the benefit of such Investor, his or her spouse or the natural or adopted descendants of such Investor or to a limited liability company, partnership, or similar entity so long as such Investor (x) at all times retains management control over such entity with respect to the Shares held by such entity, (y) guarantees the obligations of such entity in connection with any of the provisions of this Agreement, and (z) at all times retains voting control of all such Shares, whether by proxy or other arrangement; or (B) such other Person as approved by the Board; and</w:t>
      </w:r>
      <w:bookmarkEnd w:id="3"/>
    </w:p>
    <w:p w:rsidR="0021491E" w:rsidRDefault="0021491E" w:rsidP="00BE2102">
      <w:pPr>
        <w:pStyle w:val="Legal2L4"/>
      </w:pPr>
      <w:bookmarkStart w:id="4" w:name="_Ref515392794"/>
      <w:r>
        <w:t>that any Investor may Transfer Shares or any interest in or right to acquire Shares (to the extent such Transfer is not described in any of the foregoing clauses) to the Company or its designee.</w:t>
      </w:r>
      <w:bookmarkEnd w:id="4"/>
    </w:p>
    <w:p w:rsidR="0021491E" w:rsidRDefault="0021491E" w:rsidP="001E384C">
      <w:pPr>
        <w:pStyle w:val="Legal2L3"/>
      </w:pPr>
      <w:r>
        <w:t>The Company will not recognize any Transfer of any Shares or any interest in or right to acquire Shares unless such Transfer is made in full compliance with all provisions of this Agreement and any other applicable agreements.</w:t>
      </w:r>
      <w:r w:rsidR="003C0D48">
        <w:t xml:space="preserve"> </w:t>
      </w:r>
      <w:r>
        <w:t xml:space="preserve">Any transferee of any Shares or any interest in or right to acquire Shares, other than Transfers made pursuant to Section </w:t>
      </w:r>
      <w:r w:rsidR="00BE2102">
        <w:fldChar w:fldCharType="begin"/>
      </w:r>
      <w:r w:rsidR="00BE2102">
        <w:instrText xml:space="preserve"> REF _Ref515392794 \w \h </w:instrText>
      </w:r>
      <w:r w:rsidR="00BE2102">
        <w:fldChar w:fldCharType="separate"/>
      </w:r>
      <w:r w:rsidR="001E384C">
        <w:t>2.1(a)(iv)</w:t>
      </w:r>
      <w:r w:rsidR="00BE2102">
        <w:fldChar w:fldCharType="end"/>
      </w:r>
      <w:r>
        <w:t>, if not already a party to this Agreement and bound by the provisions hereof, must prior to such Transfer agree in writing to become a party to, and to be bound by the provisions of, this Agreement.</w:t>
      </w:r>
    </w:p>
    <w:p w:rsidR="00BE2102" w:rsidRDefault="0021491E" w:rsidP="0021491E">
      <w:pPr>
        <w:pStyle w:val="Legal2L2"/>
      </w:pPr>
      <w:r w:rsidRPr="00BE2102">
        <w:rPr>
          <w:u w:val="single"/>
        </w:rPr>
        <w:t>Restrictions on Transfers of Other Equity Interests</w:t>
      </w:r>
      <w:r>
        <w:t>.</w:t>
      </w:r>
      <w:r w:rsidR="003C0D48">
        <w:t xml:space="preserve"> </w:t>
      </w:r>
      <w:r>
        <w:t>Each Investor that is an entity or trust will not (i) permit the Transfer of or Transfer to any Person any equity interests in such entity or trust, (ii)</w:t>
      </w:r>
      <w:r w:rsidR="003C0D48">
        <w:t xml:space="preserve"> </w:t>
      </w:r>
      <w:r>
        <w:t>create or issue any new equity interests in such entity or trust, any rights convertible or exchangeable into or exercisable for equity interests in such entity or trust or any other right to acquire any equity interests in such entity or trust, or (iii) enter into any other agreement, letter arrangement or other understanding, the terms of which violate, contravene or conflict with this Agreement, in each case, without the prior written consent of the Company, except in each case to an estate planning trust primarily for the benefit of his or her spouse or the natural or adopted descendants of the transferor or to a partnership or similar entity so long as such Investor (A) at all times retains management control over such entity with respect to the Shares held by such entity, (B) guarantees the obligations of such entity in connection with any of the provisions of this Agreement, and (C) at all times retains voting control of all such Shares, whether by proxy or other arrangement.</w:t>
      </w:r>
      <w:r w:rsidR="003C0D48">
        <w:t xml:space="preserve"> </w:t>
      </w:r>
      <w:r w:rsidR="0086003A">
        <w:t>No</w:t>
      </w:r>
      <w:r>
        <w:t xml:space="preserve"> Investor will Transfer his, her or its Shares to any other Investor or to any entity or trust that is owned or controlled by or affiliated with any </w:t>
      </w:r>
      <w:r w:rsidR="0086003A">
        <w:t xml:space="preserve">other </w:t>
      </w:r>
      <w:r>
        <w:t>Investor without the prior written consent of the Company.</w:t>
      </w:r>
    </w:p>
    <w:p w:rsidR="001E384C" w:rsidRDefault="001E384C" w:rsidP="001E384C">
      <w:pPr>
        <w:pStyle w:val="Legal2L2"/>
      </w:pPr>
      <w:r>
        <w:rPr>
          <w:u w:val="single"/>
        </w:rPr>
        <w:t>Voting Rights Transfers Prohibited</w:t>
      </w:r>
      <w:r>
        <w:t>. No Investor may grant any proxy or become party to any voting trust or other agreement with respect to their respective Shares that is inconsistent with, conflicts with or violates any provision of this Agreement.</w:t>
      </w:r>
    </w:p>
    <w:p w:rsidR="00BE2102" w:rsidRDefault="0021491E" w:rsidP="0021491E">
      <w:pPr>
        <w:pStyle w:val="Legal2L2"/>
      </w:pPr>
      <w:r w:rsidRPr="00BE2102">
        <w:rPr>
          <w:u w:val="single"/>
        </w:rPr>
        <w:t>Securities Laws Restrictions</w:t>
      </w:r>
      <w:r>
        <w:t>.</w:t>
      </w:r>
      <w:r w:rsidR="003C0D48">
        <w:t xml:space="preserve"> </w:t>
      </w:r>
      <w:r>
        <w:t>Notwithstanding anything to the contrary contained in this Agreement, but subject to the express written waiver by the Company, neither PE Fund nor any Investor may Transfer any Shares or any interest in or right to acquire Shares until the Company has received such legal opinions or other evidence that such Transfer is exempt from the prospectus requirements under the Securities Laws as the Company deems reasonably appropriate in light of the facts and circumstances relating to such proposed Transfer, together with such representations, warranties and indemnifications from the transferor and the transferee as the Company deems reasonably appropriate to confirm the accuracy of the facts and circumstances that are the basis for any such opinion or other assurances and to protect the Company and the other shareholders of the Company from any liability resulting from any such Transfer.</w:t>
      </w:r>
    </w:p>
    <w:p w:rsidR="00BE2102" w:rsidRDefault="00AF4C17" w:rsidP="00AF4C17">
      <w:pPr>
        <w:pStyle w:val="Legal2L1"/>
      </w:pPr>
      <w:bookmarkStart w:id="5" w:name="_Ref515393048"/>
      <w:r>
        <w:t xml:space="preserve">: </w:t>
      </w:r>
      <w:r w:rsidR="00BE2102">
        <w:t>Tag Along/Drag Along Rights</w:t>
      </w:r>
      <w:bookmarkEnd w:id="5"/>
    </w:p>
    <w:p w:rsidR="0021491E" w:rsidRDefault="0021491E" w:rsidP="00BE2102">
      <w:pPr>
        <w:pStyle w:val="Legal2L2"/>
        <w:keepNext/>
      </w:pPr>
      <w:bookmarkStart w:id="6" w:name="_Ref515393381"/>
      <w:r w:rsidRPr="00BE2102">
        <w:rPr>
          <w:u w:val="single"/>
        </w:rPr>
        <w:t>Tag Along Rights</w:t>
      </w:r>
      <w:r>
        <w:t>.</w:t>
      </w:r>
      <w:bookmarkEnd w:id="6"/>
      <w:r w:rsidR="00C00F4E">
        <w:rPr>
          <w:rStyle w:val="FootnoteReference"/>
        </w:rPr>
        <w:footnoteReference w:id="2"/>
      </w:r>
    </w:p>
    <w:p w:rsidR="0021491E" w:rsidRDefault="0021491E" w:rsidP="00BE2102">
      <w:pPr>
        <w:pStyle w:val="Legal2L3"/>
      </w:pPr>
      <w:bookmarkStart w:id="7" w:name="_Ref515393218"/>
      <w:r>
        <w:t>If PE Fund desires to Transfer Shares, which such Transfer would result in PE Fund, in the aggregate, owning less than a majority of the then-outstanding Shares, whether by sale, merger, amalgamation or otherwise (other than as permitted by Section</w:t>
      </w:r>
      <w:r w:rsidR="003C0D48">
        <w:t xml:space="preserve"> </w:t>
      </w:r>
      <w:r w:rsidR="0086003A">
        <w:fldChar w:fldCharType="begin"/>
      </w:r>
      <w:r w:rsidR="0086003A">
        <w:instrText xml:space="preserve"> REF _Ref515457990 \r \h </w:instrText>
      </w:r>
      <w:r w:rsidR="0086003A">
        <w:fldChar w:fldCharType="separate"/>
      </w:r>
      <w:r w:rsidR="0086003A">
        <w:t>2.1(a)(ii)</w:t>
      </w:r>
      <w:r w:rsidR="0086003A">
        <w:fldChar w:fldCharType="end"/>
      </w:r>
      <w:r w:rsidR="0086003A">
        <w:t xml:space="preserve"> </w:t>
      </w:r>
      <w:r>
        <w:t>(a "</w:t>
      </w:r>
      <w:r w:rsidRPr="0086003A">
        <w:rPr>
          <w:b/>
        </w:rPr>
        <w:t>Significant Sale</w:t>
      </w:r>
      <w:r>
        <w:t xml:space="preserve">"), and PE Fund does not elect to exercise its rights under Section </w:t>
      </w:r>
      <w:r w:rsidR="003C0D48">
        <w:fldChar w:fldCharType="begin"/>
      </w:r>
      <w:r w:rsidR="003C0D48">
        <w:instrText xml:space="preserve"> REF _Ref515393354 \w \h </w:instrText>
      </w:r>
      <w:r w:rsidR="003C0D48">
        <w:fldChar w:fldCharType="separate"/>
      </w:r>
      <w:r w:rsidR="0086003A">
        <w:t>3.2(a)</w:t>
      </w:r>
      <w:r w:rsidR="003C0D48">
        <w:fldChar w:fldCharType="end"/>
      </w:r>
      <w:r>
        <w:t xml:space="preserve">, then at least </w:t>
      </w:r>
      <w:r w:rsidRPr="0086003A">
        <w:rPr>
          <w:b/>
        </w:rPr>
        <w:t>[20]</w:t>
      </w:r>
      <w:r>
        <w:t xml:space="preserve"> days prior to the closing of such Significant Sale, PE Fund will make an offer (the "</w:t>
      </w:r>
      <w:r w:rsidRPr="0086003A">
        <w:rPr>
          <w:b/>
        </w:rPr>
        <w:t>Participation Offer</w:t>
      </w:r>
      <w:r>
        <w:t>") to all Investors holding Shares to include in the proposed Significant Sale a certain number of each Investor's Shares, which will be determined solely by such Investor but may not exceed such Investor's Pro Rata Portion.</w:t>
      </w:r>
      <w:bookmarkEnd w:id="7"/>
    </w:p>
    <w:p w:rsidR="00BE2102" w:rsidRDefault="0021491E" w:rsidP="0021491E">
      <w:pPr>
        <w:pStyle w:val="Legal2L3"/>
      </w:pPr>
      <w:r>
        <w:t>The Participation Offer will describe the terms and conditions, including price, of any such proposed Significant Sale and the number of Shares that an Investor may Transfer in the proposed Significant Sale and will be conditioned upon (i) the consummation of the transactions contemplated in the Participation Offer and (ii) each Investor's execution and delivery of all agreements and other documents as PE Fund is required to execute and deliver in connection with such Significant Sale.</w:t>
      </w:r>
      <w:r w:rsidR="003C0D48">
        <w:t xml:space="preserve"> </w:t>
      </w:r>
      <w:r>
        <w:t xml:space="preserve">If any Investor accepts the Participation Offer, then PE Fund will reduce, to the extent necessary, the number of Shares it otherwise would have Transferred in the proposed Significant Sale so as to permit those Investors who have accepted the Participation Offer to Transfer the number of Shares that they are entitled to Transfer under this Section </w:t>
      </w:r>
      <w:r w:rsidR="003C0D48">
        <w:fldChar w:fldCharType="begin"/>
      </w:r>
      <w:r w:rsidR="003C0D48">
        <w:instrText xml:space="preserve"> REF _Ref515393381 \w \h </w:instrText>
      </w:r>
      <w:r w:rsidR="003C0D48">
        <w:fldChar w:fldCharType="separate"/>
      </w:r>
      <w:r w:rsidR="0086003A">
        <w:t>3.1</w:t>
      </w:r>
      <w:r w:rsidR="003C0D48">
        <w:fldChar w:fldCharType="end"/>
      </w:r>
      <w:r>
        <w:t>, and such Investors will Transfer the number of Shares specified in the Participation Offer to the proposed transferee in accordance with the terms set forth in the Participation Offer.</w:t>
      </w:r>
    </w:p>
    <w:p w:rsidR="0021491E" w:rsidRDefault="0021491E" w:rsidP="0021491E">
      <w:pPr>
        <w:pStyle w:val="Legal2L3"/>
      </w:pPr>
      <w:r>
        <w:t xml:space="preserve">Any Investor that desires to exercise its right to Transfer Shares in the Participation Offer will deliver notice to PE Fund within </w:t>
      </w:r>
      <w:r w:rsidR="0086003A" w:rsidRPr="0086003A">
        <w:rPr>
          <w:b/>
        </w:rPr>
        <w:t>[</w:t>
      </w:r>
      <w:r w:rsidRPr="0086003A">
        <w:rPr>
          <w:b/>
        </w:rPr>
        <w:t>10</w:t>
      </w:r>
      <w:r w:rsidR="0086003A" w:rsidRPr="0086003A">
        <w:rPr>
          <w:b/>
        </w:rPr>
        <w:t>]</w:t>
      </w:r>
      <w:r>
        <w:t xml:space="preserve"> days after its receipt of the Participation Offer, specifying the number of Shares that such Investor desires to Transfer in the Participation Offer, the number of which will be limited to such Investor's Pro Rata Portion, whereupon such Investor will be obligated to Transfer such Shares at the closing of such Significant Sale, if and when it occurs. Notwithstanding anything to the contrary contained or implied herein, there will be no liability on the part of PE Fund to any Investor if a proposed Significant Sale is not consummated for any reason.</w:t>
      </w:r>
    </w:p>
    <w:p w:rsidR="00BE2102" w:rsidRDefault="0021491E" w:rsidP="0021491E">
      <w:pPr>
        <w:pStyle w:val="Legal2L2"/>
        <w:keepNext/>
      </w:pPr>
      <w:bookmarkStart w:id="8" w:name="_Ref515393402"/>
      <w:r w:rsidRPr="00BE2102">
        <w:rPr>
          <w:u w:val="single"/>
        </w:rPr>
        <w:t>Drag Along Rights</w:t>
      </w:r>
      <w:r>
        <w:t>.</w:t>
      </w:r>
      <w:bookmarkEnd w:id="8"/>
      <w:r w:rsidR="001F235F">
        <w:rPr>
          <w:rStyle w:val="FootnoteReference"/>
        </w:rPr>
        <w:footnoteReference w:id="3"/>
      </w:r>
    </w:p>
    <w:p w:rsidR="00BE2102" w:rsidRDefault="0021491E" w:rsidP="0021491E">
      <w:pPr>
        <w:pStyle w:val="Legal2L3"/>
      </w:pPr>
      <w:bookmarkStart w:id="9" w:name="_Ref515393354"/>
      <w:r>
        <w:t>In connection with any Significant Sale, PE Fund will have the right to require each Investor to Transfer a portion of such Investor's Shares (including Shares issuable upon the exercise of vested options) that represents the same percentage of such Investor's Shares (including Shares issuable upon the exercise of vested options) as the Shares being Transferred by PE Fund represent to all Shares held by PE Fund.</w:t>
      </w:r>
      <w:r w:rsidR="003C0D48">
        <w:t xml:space="preserve"> </w:t>
      </w:r>
      <w:r>
        <w:t xml:space="preserve">All Shares (including Shares issuable upon the exercise of vested options) Transferred by the Investors pursuant to this Section </w:t>
      </w:r>
      <w:r w:rsidR="003C0D48">
        <w:fldChar w:fldCharType="begin"/>
      </w:r>
      <w:r w:rsidR="003C0D48">
        <w:instrText xml:space="preserve"> REF _Ref515393402 \w \h </w:instrText>
      </w:r>
      <w:r w:rsidR="003C0D48">
        <w:fldChar w:fldCharType="separate"/>
      </w:r>
      <w:r w:rsidR="003C0D48">
        <w:t>3.2</w:t>
      </w:r>
      <w:r w:rsidR="003C0D48">
        <w:fldChar w:fldCharType="end"/>
      </w:r>
      <w:r>
        <w:t xml:space="preserve"> will be Transferred at the same price and terms as the Shares being Transferred by PE Fund; provided, however, that with respect to any vested options, the consideration will be equal to the price per Share less the exercise price therefor, and any additional terms set forth in the documents or instruments governing such vested options. Any options that are not vested options will, upon the consummation of a Significant Sale, be surrendered by such Investor and cancelled without consideration therefor.</w:t>
      </w:r>
      <w:bookmarkEnd w:id="9"/>
    </w:p>
    <w:p w:rsidR="00BE2102" w:rsidRDefault="0021491E" w:rsidP="0021491E">
      <w:pPr>
        <w:pStyle w:val="Legal2L3"/>
      </w:pPr>
      <w:r>
        <w:t xml:space="preserve">PE Fund will give the Investors at least </w:t>
      </w:r>
      <w:r w:rsidR="0086003A" w:rsidRPr="0086003A">
        <w:rPr>
          <w:b/>
        </w:rPr>
        <w:t>[</w:t>
      </w:r>
      <w:r w:rsidRPr="0086003A">
        <w:rPr>
          <w:b/>
        </w:rPr>
        <w:t>15</w:t>
      </w:r>
      <w:r w:rsidR="0086003A" w:rsidRPr="0086003A">
        <w:rPr>
          <w:b/>
        </w:rPr>
        <w:t>]</w:t>
      </w:r>
      <w:r>
        <w:t xml:space="preserve"> days' prior written notice of any Significant Sale as to which PE Fund intends to exercise its rights under Section </w:t>
      </w:r>
      <w:r w:rsidR="003C0D48">
        <w:fldChar w:fldCharType="begin"/>
      </w:r>
      <w:r w:rsidR="003C0D48">
        <w:instrText xml:space="preserve"> REF _Ref515393354 \w \h </w:instrText>
      </w:r>
      <w:r w:rsidR="003C0D48">
        <w:fldChar w:fldCharType="separate"/>
      </w:r>
      <w:r w:rsidR="003C0D48">
        <w:t>3.2(a)</w:t>
      </w:r>
      <w:r w:rsidR="003C0D48">
        <w:fldChar w:fldCharType="end"/>
      </w:r>
      <w:r>
        <w:t>.</w:t>
      </w:r>
    </w:p>
    <w:p w:rsidR="00BE2102" w:rsidRDefault="0021491E" w:rsidP="0021491E">
      <w:pPr>
        <w:pStyle w:val="Legal2L2"/>
      </w:pPr>
      <w:bookmarkStart w:id="10" w:name="_Ref515393480"/>
      <w:r w:rsidRPr="00BE2102">
        <w:rPr>
          <w:u w:val="single"/>
        </w:rPr>
        <w:t>Sale Requirements</w:t>
      </w:r>
      <w:r>
        <w:t>.</w:t>
      </w:r>
      <w:r w:rsidR="003C0D48">
        <w:t xml:space="preserve"> </w:t>
      </w:r>
      <w:r>
        <w:t xml:space="preserve">All Investors, if PE Fund elects to exercise its rights under Section </w:t>
      </w:r>
      <w:r w:rsidR="003C0D48">
        <w:fldChar w:fldCharType="begin"/>
      </w:r>
      <w:r w:rsidR="003C0D48">
        <w:instrText xml:space="preserve"> REF _Ref515393354 \w \h </w:instrText>
      </w:r>
      <w:r w:rsidR="003C0D48">
        <w:fldChar w:fldCharType="separate"/>
      </w:r>
      <w:r w:rsidR="003C0D48">
        <w:t>3.2(a)</w:t>
      </w:r>
      <w:r w:rsidR="003C0D48">
        <w:fldChar w:fldCharType="end"/>
      </w:r>
      <w:r>
        <w:t xml:space="preserve"> or the electing Investors if such Investors elect to exercise their rights under Section </w:t>
      </w:r>
      <w:r w:rsidR="003C0D48">
        <w:fldChar w:fldCharType="begin"/>
      </w:r>
      <w:r w:rsidR="003C0D48">
        <w:instrText xml:space="preserve"> REF _Ref515393218 \w \h </w:instrText>
      </w:r>
      <w:r w:rsidR="003C0D48">
        <w:fldChar w:fldCharType="separate"/>
      </w:r>
      <w:r w:rsidR="003C0D48">
        <w:t>3.1(a)</w:t>
      </w:r>
      <w:r w:rsidR="003C0D48">
        <w:fldChar w:fldCharType="end"/>
      </w:r>
      <w:r>
        <w:t>, will:</w:t>
      </w:r>
      <w:r w:rsidR="003C0D48">
        <w:t xml:space="preserve"> </w:t>
      </w:r>
      <w:r>
        <w:t xml:space="preserve">(a) take such actions as may be reasonably requested by PE Fund in connection with consummating the Significant Sale; (b) vote in favor of, consent to and raise no objections against the Significant Sale or the process pursuant to which the Significant Sale was arranged; (c) waive any dissent, appraisal and other similar rights; (d) if the Significant Sale is structured as a sale of shares, then agree to sell such Investor's Shares (including Shares issuable upon the exercise of vested options) at the price and on the terms and conditions of the Significant Sale; provided, however, that with respect to any vested options, the consideration will be equal to the price per Share less the exercise price therefor, and any additional terms set forth in the documents or instruments governing such vested options; (e) bear their pro rata portion of any escrows or holdbacks; (f) execute and deliver such documents as may be requested by PE Fund in connection with any Significant Sale, including, without limitation, written consents of shareholders, proxies, letters of transmittal, releases, purchase agreements and stock powers, in each case so long as PE Fund has also executed such documents on no more favorable a basis than the Investors; </w:t>
      </w:r>
      <w:r w:rsidR="0086003A" w:rsidRPr="0086003A">
        <w:rPr>
          <w:b/>
        </w:rPr>
        <w:t>[</w:t>
      </w:r>
      <w:r w:rsidRPr="0086003A">
        <w:rPr>
          <w:b/>
        </w:rPr>
        <w:t>provided, however, that the Investors may be required to execute, and hereby agree to execute, commercially reasonable non-competition and non-solicitation agreements pertaining to the Company's business in connection with any Significant Sale</w:t>
      </w:r>
      <w:r w:rsidR="0086003A" w:rsidRPr="0086003A">
        <w:rPr>
          <w:b/>
        </w:rPr>
        <w:t>]</w:t>
      </w:r>
      <w:r>
        <w:t xml:space="preserve">, </w:t>
      </w:r>
      <w:r w:rsidR="00BE2102">
        <w:t>[</w:t>
      </w:r>
      <w:r w:rsidRPr="00BE2102">
        <w:rPr>
          <w:b/>
        </w:rPr>
        <w:t xml:space="preserve">unless such Investor is a Rollover Investor </w:t>
      </w:r>
      <w:r w:rsidR="0086003A">
        <w:rPr>
          <w:b/>
        </w:rPr>
        <w:t>[</w:t>
      </w:r>
      <w:r w:rsidRPr="00BE2102">
        <w:rPr>
          <w:b/>
        </w:rPr>
        <w:t>who does not own vested options</w:t>
      </w:r>
      <w:r w:rsidR="0086003A">
        <w:rPr>
          <w:b/>
        </w:rPr>
        <w:t>]</w:t>
      </w:r>
      <w:r w:rsidRPr="00BE2102">
        <w:rPr>
          <w:b/>
        </w:rPr>
        <w:t>;</w:t>
      </w:r>
      <w:r w:rsidR="00BE2102">
        <w:t>]</w:t>
      </w:r>
      <w:r>
        <w:t xml:space="preserve"> (g) make such representations, warranties, covenants, indemnities, and covenants as are customary for transactions of the nature of such sale.</w:t>
      </w:r>
      <w:r w:rsidR="003C0D48">
        <w:t xml:space="preserve"> </w:t>
      </w:r>
      <w:r>
        <w:t>At the closing of such Significant Sale, the participating Investors will deliver certificates for all Shares and instruments representing vested options to be Transferred by the Investors, duly endorsed for Transfer or termination, to the purchaser against delivery of the appropriate purchase price.</w:t>
      </w:r>
      <w:bookmarkEnd w:id="10"/>
    </w:p>
    <w:p w:rsidR="0021491E" w:rsidRDefault="0021491E" w:rsidP="00BE2102">
      <w:pPr>
        <w:pStyle w:val="Legal2L2"/>
        <w:keepNext/>
      </w:pPr>
      <w:r w:rsidRPr="00BE2102">
        <w:rPr>
          <w:u w:val="single"/>
        </w:rPr>
        <w:t>Cost of Sale; Price</w:t>
      </w:r>
      <w:r>
        <w:t>.</w:t>
      </w:r>
    </w:p>
    <w:p w:rsidR="00BE2102" w:rsidRDefault="0021491E" w:rsidP="0021491E">
      <w:pPr>
        <w:pStyle w:val="Legal2L3"/>
      </w:pPr>
      <w:r>
        <w:t>In connection with any Significant Sale, PE Fund may, or may cause the Company or the Subsidiaries to, hire legal counsel and other professional advisors as it will deem necessary or desirable to effectuate the contemplated transaction on behalf of PE Fund and all participating Investors.</w:t>
      </w:r>
      <w:r w:rsidR="003C0D48">
        <w:t xml:space="preserve"> </w:t>
      </w:r>
      <w:r>
        <w:t>PE Fund and all Investors participating in such Significant Sale will bear their pro rata share (based upon the number of Shares (including Shares issuable upon the exercise of vested options) sold or to be sold) of the reasonable costs of such Significant Sale to the extent such costs are not otherwise paid by the Company or the acquiring Person whether or not such Significant Sale closes.</w:t>
      </w:r>
      <w:r w:rsidR="003C0D48">
        <w:t xml:space="preserve"> </w:t>
      </w:r>
      <w:r>
        <w:t>Costs incurred by any Investor on his, her or its own behalf (other than the costs of the professional advisors hired by PE Fund) will not be considered costs of a Significant Sale and will be paid solely by such Investor.</w:t>
      </w:r>
    </w:p>
    <w:p w:rsidR="0021491E" w:rsidRDefault="0021491E" w:rsidP="0021491E">
      <w:pPr>
        <w:pStyle w:val="Legal2L3"/>
      </w:pPr>
      <w:r>
        <w:t xml:space="preserve">For the purposes of Section </w:t>
      </w:r>
      <w:r w:rsidR="0086003A">
        <w:fldChar w:fldCharType="begin"/>
      </w:r>
      <w:r w:rsidR="0086003A">
        <w:instrText xml:space="preserve"> REF _Ref515393381 \r \h </w:instrText>
      </w:r>
      <w:r w:rsidR="0086003A">
        <w:fldChar w:fldCharType="separate"/>
      </w:r>
      <w:r w:rsidR="0086003A">
        <w:t>3.1</w:t>
      </w:r>
      <w:r w:rsidR="0086003A">
        <w:fldChar w:fldCharType="end"/>
      </w:r>
      <w:r>
        <w:t xml:space="preserve"> and Section </w:t>
      </w:r>
      <w:r w:rsidR="0086003A">
        <w:fldChar w:fldCharType="begin"/>
      </w:r>
      <w:r w:rsidR="0086003A">
        <w:instrText xml:space="preserve"> REF _Ref515393402 \r \h </w:instrText>
      </w:r>
      <w:r w:rsidR="0086003A">
        <w:fldChar w:fldCharType="separate"/>
      </w:r>
      <w:r w:rsidR="0086003A">
        <w:t>3.2</w:t>
      </w:r>
      <w:r w:rsidR="0086003A">
        <w:fldChar w:fldCharType="end"/>
      </w:r>
      <w:r>
        <w:t>, unless the context otherwise requires, the term "price" means all consideration received by PE Fund in connection with any Significant Sale, other than (i) the repayment of any funds loaned by PE Fund or its Affiliates to the Company or any Subsidiary, (ii) expense reimbursement to PE Fund or its Affiliates, and (iii) consideration for management services provided by PE Fund or its Affiliates, including, without limitation, reasonable fees paid to PE Fund or its Affiliates in accordance with any advisory agreement or consulting agreement.</w:t>
      </w:r>
    </w:p>
    <w:p w:rsidR="00BE2102" w:rsidRDefault="0021491E" w:rsidP="0021491E">
      <w:pPr>
        <w:pStyle w:val="Legal2L2"/>
        <w:keepNext/>
      </w:pPr>
      <w:bookmarkStart w:id="11" w:name="_Ref515393529"/>
      <w:r w:rsidRPr="00BE2102">
        <w:rPr>
          <w:u w:val="single"/>
        </w:rPr>
        <w:t>Preemptive Rights</w:t>
      </w:r>
      <w:r>
        <w:t>.</w:t>
      </w:r>
      <w:bookmarkEnd w:id="11"/>
    </w:p>
    <w:p w:rsidR="00BE2102" w:rsidRDefault="0021491E" w:rsidP="0021491E">
      <w:pPr>
        <w:pStyle w:val="Legal2L3"/>
      </w:pPr>
      <w:bookmarkStart w:id="12" w:name="_Ref515393584"/>
      <w:r>
        <w:t xml:space="preserve">Subject to the provisions of this Section </w:t>
      </w:r>
      <w:r w:rsidR="003C0D48">
        <w:fldChar w:fldCharType="begin"/>
      </w:r>
      <w:r w:rsidR="003C0D48">
        <w:instrText xml:space="preserve"> REF _Ref515393529 \w \h </w:instrText>
      </w:r>
      <w:r w:rsidR="003C0D48">
        <w:fldChar w:fldCharType="separate"/>
      </w:r>
      <w:r w:rsidR="003C0D48">
        <w:t>3.5</w:t>
      </w:r>
      <w:r w:rsidR="003C0D48">
        <w:fldChar w:fldCharType="end"/>
      </w:r>
      <w:r>
        <w:t>, if PE Fund purchases Shares from the Company, each Investor who holds Shares (other than any Employee Investor who ceases to be an Employee for any reason and his or her respective Employee Transferees)</w:t>
      </w:r>
      <w:r w:rsidR="001F235F">
        <w:rPr>
          <w:rStyle w:val="FootnoteReference"/>
        </w:rPr>
        <w:footnoteReference w:id="4"/>
      </w:r>
      <w:r>
        <w:t xml:space="preserve"> will have the right to purchase from the Company, during a reasonable time to be fixed by the Board (which will not be less than 10 days), such number of Shares equal to: (i) that number of such Shares proposed to be issued by the Company to PE Fund multiplied by (ii) a fraction, the numerator of which equals the aggregate number of Shares owned by such Investor and the denominator of which equals the total number of issued and outstanding Shares owned by PE Fund and all the </w:t>
      </w:r>
      <w:r w:rsidR="0086003A">
        <w:t xml:space="preserve">eligible </w:t>
      </w:r>
      <w:r>
        <w:t>Investors, at a price or prices and on other terms not less favorable to such Investor than the price or prices and other terms at which such Shares are proposed to be offered for sale to PE Fund.</w:t>
      </w:r>
      <w:bookmarkEnd w:id="12"/>
    </w:p>
    <w:p w:rsidR="00BE2102" w:rsidRDefault="0021491E" w:rsidP="0021491E">
      <w:pPr>
        <w:pStyle w:val="Legal2L3"/>
      </w:pPr>
      <w:bookmarkStart w:id="13" w:name="_Ref515393589"/>
      <w:r>
        <w:t xml:space="preserve">The Company will provide written notice to each Investor entitled to purchase Shares in accordance with this Section </w:t>
      </w:r>
      <w:r w:rsidR="003C0D48">
        <w:fldChar w:fldCharType="begin"/>
      </w:r>
      <w:r w:rsidR="003C0D48">
        <w:instrText xml:space="preserve"> REF _Ref515393529 \w \h </w:instrText>
      </w:r>
      <w:r w:rsidR="003C0D48">
        <w:fldChar w:fldCharType="separate"/>
      </w:r>
      <w:r w:rsidR="003C0D48">
        <w:t>3.5</w:t>
      </w:r>
      <w:r w:rsidR="003C0D48">
        <w:fldChar w:fldCharType="end"/>
      </w:r>
      <w:r>
        <w:t xml:space="preserve"> setting forth the time within, and the price and other terms and conditions upon which, such Investor may purchase such Shares.</w:t>
      </w:r>
      <w:r w:rsidR="003C0D48">
        <w:t xml:space="preserve"> </w:t>
      </w:r>
      <w:r>
        <w:t xml:space="preserve">Any Shares which the Company proposes to issue or sell which are not purchased by the Investors pursuant to this Section </w:t>
      </w:r>
      <w:r w:rsidR="003C0D48">
        <w:fldChar w:fldCharType="begin"/>
      </w:r>
      <w:r w:rsidR="003C0D48">
        <w:instrText xml:space="preserve"> REF _Ref515393529 \w \h </w:instrText>
      </w:r>
      <w:r w:rsidR="003C0D48">
        <w:fldChar w:fldCharType="separate"/>
      </w:r>
      <w:r w:rsidR="003C0D48">
        <w:t>3.5</w:t>
      </w:r>
      <w:r w:rsidR="003C0D48">
        <w:fldChar w:fldCharType="end"/>
      </w:r>
      <w:r w:rsidR="003C0D48">
        <w:t xml:space="preserve"> </w:t>
      </w:r>
      <w:r>
        <w:t xml:space="preserve">may be issued or sold by the Company to PE Fund within 90 days after the expiration of the period during which such Investors will have the preemptive right to purchase, but the Company will not sell or issue any such Shares after such 90 day period without renewed compliance with this Section </w:t>
      </w:r>
      <w:r w:rsidR="003C0D48">
        <w:fldChar w:fldCharType="begin"/>
      </w:r>
      <w:r w:rsidR="003C0D48">
        <w:instrText xml:space="preserve"> REF _Ref515393529 \w \h </w:instrText>
      </w:r>
      <w:r w:rsidR="003C0D48">
        <w:fldChar w:fldCharType="separate"/>
      </w:r>
      <w:r w:rsidR="003C0D48">
        <w:t>3.5</w:t>
      </w:r>
      <w:r w:rsidR="003C0D48">
        <w:fldChar w:fldCharType="end"/>
      </w:r>
      <w:r>
        <w:t>.</w:t>
      </w:r>
      <w:bookmarkEnd w:id="13"/>
    </w:p>
    <w:p w:rsidR="00BE2102" w:rsidRDefault="0021491E" w:rsidP="0021491E">
      <w:pPr>
        <w:pStyle w:val="Legal2L3"/>
      </w:pPr>
      <w:r>
        <w:t xml:space="preserve">The Company may issue Shares to PE Fund without complying with the provisions of </w:t>
      </w:r>
      <w:r w:rsidR="003C0D48">
        <w:t xml:space="preserve">Sections </w:t>
      </w:r>
      <w:r w:rsidR="003C0D48">
        <w:fldChar w:fldCharType="begin"/>
      </w:r>
      <w:r w:rsidR="003C0D48">
        <w:instrText xml:space="preserve"> REF _Ref515393584 \w \h </w:instrText>
      </w:r>
      <w:r w:rsidR="003C0D48">
        <w:fldChar w:fldCharType="separate"/>
      </w:r>
      <w:r w:rsidR="003C0D48">
        <w:t>3.5(a)</w:t>
      </w:r>
      <w:r w:rsidR="003C0D48">
        <w:fldChar w:fldCharType="end"/>
      </w:r>
      <w:r w:rsidR="003C0D48">
        <w:t xml:space="preserve"> and </w:t>
      </w:r>
      <w:r w:rsidR="003C0D48">
        <w:fldChar w:fldCharType="begin"/>
      </w:r>
      <w:r w:rsidR="003C0D48">
        <w:instrText xml:space="preserve"> REF _Ref515393589 \w \h </w:instrText>
      </w:r>
      <w:r w:rsidR="003C0D48">
        <w:fldChar w:fldCharType="separate"/>
      </w:r>
      <w:r w:rsidR="003C0D48">
        <w:t>3.5(b)</w:t>
      </w:r>
      <w:r w:rsidR="003C0D48">
        <w:fldChar w:fldCharType="end"/>
      </w:r>
      <w:r w:rsidR="003C0D48">
        <w:t xml:space="preserve"> </w:t>
      </w:r>
      <w:r>
        <w:t xml:space="preserve">so long as following the completion of such issuance, PE Fund provides written notice of such issuance to each Investor entitled to purchase Shares in accordance with this Section </w:t>
      </w:r>
      <w:r w:rsidR="003C0D48">
        <w:fldChar w:fldCharType="begin"/>
      </w:r>
      <w:r w:rsidR="003C0D48">
        <w:instrText xml:space="preserve"> REF _Ref515393529 \w \h </w:instrText>
      </w:r>
      <w:r w:rsidR="003C0D48">
        <w:fldChar w:fldCharType="separate"/>
      </w:r>
      <w:r w:rsidR="003C0D48">
        <w:t>3.5</w:t>
      </w:r>
      <w:r w:rsidR="003C0D48">
        <w:fldChar w:fldCharType="end"/>
      </w:r>
      <w:r>
        <w:t xml:space="preserve"> and agrees for [15] business days from the date on which such notice is postmarked, hand delivered or faxed, to sell for cash at an amount equal to the price or other consideration for which such Shares were issued, a portion of such Shares to each such Investor in an amount equal to the amount that such Investor would have been entitled to purchase had the provisions of Section</w:t>
      </w:r>
      <w:r w:rsidR="003C0D48">
        <w:t>s</w:t>
      </w:r>
      <w:r>
        <w:t xml:space="preserve"> </w:t>
      </w:r>
      <w:r w:rsidR="003C0D48">
        <w:fldChar w:fldCharType="begin"/>
      </w:r>
      <w:r w:rsidR="003C0D48">
        <w:instrText xml:space="preserve"> REF _Ref515393584 \w \h </w:instrText>
      </w:r>
      <w:r w:rsidR="003C0D48">
        <w:fldChar w:fldCharType="separate"/>
      </w:r>
      <w:r w:rsidR="003C0D48">
        <w:t>3.5(a)</w:t>
      </w:r>
      <w:r w:rsidR="003C0D48">
        <w:fldChar w:fldCharType="end"/>
      </w:r>
      <w:r>
        <w:t xml:space="preserve"> or </w:t>
      </w:r>
      <w:r w:rsidR="003C0D48">
        <w:fldChar w:fldCharType="begin"/>
      </w:r>
      <w:r w:rsidR="003C0D48">
        <w:instrText xml:space="preserve"> REF _Ref515393589 \w \h </w:instrText>
      </w:r>
      <w:r w:rsidR="003C0D48">
        <w:fldChar w:fldCharType="separate"/>
      </w:r>
      <w:r w:rsidR="003C0D48">
        <w:t>3.5(b)</w:t>
      </w:r>
      <w:r w:rsidR="003C0D48">
        <w:fldChar w:fldCharType="end"/>
      </w:r>
      <w:r>
        <w:t xml:space="preserve"> been followed.</w:t>
      </w:r>
    </w:p>
    <w:p w:rsidR="00BE2102" w:rsidRDefault="003C0D48" w:rsidP="00BE2102">
      <w:pPr>
        <w:pStyle w:val="Legal2L1"/>
      </w:pPr>
      <w:r>
        <w:t xml:space="preserve">: </w:t>
      </w:r>
      <w:r w:rsidR="00BE2102">
        <w:t>Miscellaneous</w:t>
      </w:r>
    </w:p>
    <w:p w:rsidR="00BE2102" w:rsidRDefault="0021491E" w:rsidP="0021491E">
      <w:pPr>
        <w:pStyle w:val="Legal2L2"/>
      </w:pPr>
      <w:bookmarkStart w:id="14" w:name="_Ref515393866"/>
      <w:r w:rsidRPr="00BE2102">
        <w:rPr>
          <w:u w:val="single"/>
        </w:rPr>
        <w:t>Voting</w:t>
      </w:r>
      <w:r>
        <w:t>.</w:t>
      </w:r>
      <w:r w:rsidR="003C0D48">
        <w:t xml:space="preserve"> </w:t>
      </w:r>
      <w:r>
        <w:t xml:space="preserve">Each of the Investors hereby agrees to take, at any time and from time to time, all action necessary (including, without limitation, calling special meetings of shareholders, voting in person or by proxy the Shares owned by them at meetings of shareholders, and executing and delivering written consents) in order to comply with this Agreement, and for other good and valuable consideration, each Investor hereby appoints PE Fund as his, her or its true and lawful proxy and attorney-in-fact, with full power of substitution, to vote all of his, her or its Shares on all matters that may be submitted to a vote of the holders of Shares to ensure compliance with the terms of this Agreement, and to execute any required documents and instruments on behalf of such Investor in order to consummate any transactions contemplated by Section </w:t>
      </w:r>
      <w:r w:rsidR="003C0D48">
        <w:fldChar w:fldCharType="begin"/>
      </w:r>
      <w:r w:rsidR="003C0D48">
        <w:instrText xml:space="preserve"> REF _Ref515393354 \w \h </w:instrText>
      </w:r>
      <w:r w:rsidR="003C0D48">
        <w:fldChar w:fldCharType="separate"/>
      </w:r>
      <w:r w:rsidR="003C0D48">
        <w:t>3.2(a)</w:t>
      </w:r>
      <w:r w:rsidR="003C0D48">
        <w:fldChar w:fldCharType="end"/>
      </w:r>
      <w:r>
        <w:t xml:space="preserve"> or otherwise comply with the terms of this Agreement, including Section </w:t>
      </w:r>
      <w:r w:rsidR="0086003A">
        <w:rPr>
          <w:highlight w:val="yellow"/>
        </w:rPr>
        <w:fldChar w:fldCharType="begin"/>
      </w:r>
      <w:r w:rsidR="0086003A">
        <w:instrText xml:space="preserve"> REF _Ref515393480 \r \h </w:instrText>
      </w:r>
      <w:r w:rsidR="0086003A">
        <w:rPr>
          <w:highlight w:val="yellow"/>
        </w:rPr>
      </w:r>
      <w:r w:rsidR="0086003A">
        <w:rPr>
          <w:highlight w:val="yellow"/>
        </w:rPr>
        <w:fldChar w:fldCharType="separate"/>
      </w:r>
      <w:r w:rsidR="0086003A">
        <w:t>3.3</w:t>
      </w:r>
      <w:r w:rsidR="0086003A">
        <w:rPr>
          <w:highlight w:val="yellow"/>
        </w:rPr>
        <w:fldChar w:fldCharType="end"/>
      </w:r>
      <w:r>
        <w:t xml:space="preserve">, but only in the event that such Investor (a) fails to vote his, her or its Shares in connection with such vote, (b) attempts to vote his, her or its Shares in contradiction with the terms of this Agreement, or (c) fails to execute any documents and instruments required in connection with any transactions contemplated by Section </w:t>
      </w:r>
      <w:r w:rsidR="003C0D48">
        <w:fldChar w:fldCharType="begin"/>
      </w:r>
      <w:r w:rsidR="003C0D48">
        <w:instrText xml:space="preserve"> REF _Ref515393354 \w \h </w:instrText>
      </w:r>
      <w:r w:rsidR="003C0D48">
        <w:fldChar w:fldCharType="separate"/>
      </w:r>
      <w:r w:rsidR="003C0D48">
        <w:t>3.2(a)</w:t>
      </w:r>
      <w:r w:rsidR="003C0D48">
        <w:fldChar w:fldCharType="end"/>
      </w:r>
      <w:r w:rsidR="0086003A">
        <w:t xml:space="preserve"> and</w:t>
      </w:r>
      <w:r w:rsidR="003C0D48">
        <w:t xml:space="preserve"> </w:t>
      </w:r>
      <w:r w:rsidR="003C0D48">
        <w:fldChar w:fldCharType="begin"/>
      </w:r>
      <w:r w:rsidR="003C0D48">
        <w:instrText xml:space="preserve"> REF _Ref515393480 \w \h </w:instrText>
      </w:r>
      <w:r w:rsidR="003C0D48">
        <w:fldChar w:fldCharType="separate"/>
      </w:r>
      <w:r w:rsidR="003C0D48">
        <w:t>3.3</w:t>
      </w:r>
      <w:r w:rsidR="003C0D48">
        <w:fldChar w:fldCharType="end"/>
      </w:r>
      <w:r>
        <w:t>.</w:t>
      </w:r>
      <w:r w:rsidR="003C0D48">
        <w:t xml:space="preserve"> </w:t>
      </w:r>
      <w:r>
        <w:t xml:space="preserve">The proxies and powers granted by each Investor pursuant to this </w:t>
      </w:r>
      <w:r w:rsidR="003C0D48">
        <w:fldChar w:fldCharType="begin"/>
      </w:r>
      <w:r w:rsidR="003C0D48">
        <w:instrText xml:space="preserve"> REF _Ref515393866 \w \h </w:instrText>
      </w:r>
      <w:r w:rsidR="003C0D48">
        <w:fldChar w:fldCharType="separate"/>
      </w:r>
      <w:r w:rsidR="003C0D48">
        <w:t>4.1</w:t>
      </w:r>
      <w:r w:rsidR="003C0D48">
        <w:fldChar w:fldCharType="end"/>
      </w:r>
      <w:r>
        <w:t xml:space="preserve"> are coupled with an interest and are given to secure the performance of each Investor's obligations under this Agreement.</w:t>
      </w:r>
      <w:r w:rsidR="003C0D48">
        <w:t xml:space="preserve"> </w:t>
      </w:r>
      <w:r>
        <w:t>Such proxies and powers will be irrevocable for the term of this Agreement and will survive the death, incompetency and disability of each Investor.</w:t>
      </w:r>
      <w:bookmarkEnd w:id="14"/>
      <w:r w:rsidR="0086003A">
        <w:rPr>
          <w:rStyle w:val="FootnoteReference"/>
        </w:rPr>
        <w:footnoteReference w:id="5"/>
      </w:r>
    </w:p>
    <w:p w:rsidR="009035BE" w:rsidRDefault="0021491E" w:rsidP="0021491E">
      <w:pPr>
        <w:pStyle w:val="Legal2L2"/>
      </w:pPr>
      <w:r w:rsidRPr="00BE2102">
        <w:rPr>
          <w:u w:val="single"/>
        </w:rPr>
        <w:t>Further Assurances</w:t>
      </w:r>
      <w:r>
        <w:t>.</w:t>
      </w:r>
      <w:r w:rsidR="003C0D48">
        <w:t xml:space="preserve"> </w:t>
      </w:r>
      <w:r>
        <w:t>Each party will cooperate and take such action as may be reasonably requested by another party in order to carry out the provisions and purposes of this Agreement and the transactions contemplated by this Agreement.</w:t>
      </w:r>
    </w:p>
    <w:sectPr w:rsidR="009035BE" w:rsidSect="00281526">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35BE" w:rsidRDefault="0021491E">
      <w:r>
        <w:separator/>
      </w:r>
    </w:p>
  </w:endnote>
  <w:endnote w:type="continuationSeparator" w:id="0">
    <w:p w:rsidR="009035BE" w:rsidRDefault="00214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5FA" w:rsidRDefault="000005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D46" w:rsidRDefault="00281526" w:rsidP="00281526">
    <w:pPr>
      <w:pStyle w:val="Footer"/>
      <w:jc w:val="right"/>
    </w:pPr>
    <w:r>
      <w:t xml:space="preserve">Last Update: </w:t>
    </w:r>
    <w:r w:rsidR="0039311F">
      <w:t>May</w:t>
    </w:r>
    <w:bookmarkStart w:id="0" w:name="_GoBack"/>
    <w:bookmarkEnd w:id="0"/>
    <w:r w:rsidR="0039311F">
      <w:t xml:space="preserve"> 2019</w:t>
    </w:r>
  </w:p>
  <w:p w:rsidR="00582D46" w:rsidRDefault="000005FA">
    <w:pPr>
      <w:pStyle w:val="Footer"/>
      <w:ind w:left="-144"/>
    </w:pPr>
    <w:r>
      <w:rPr>
        <w:noProof/>
        <w:lang w:val="en-GB" w:eastAsia="en-GB"/>
      </w:rPr>
      <w:pict>
        <v:shapetype id="_x0000_t202" coordsize="21600,21600" o:spt="202" path="m,l,21600r21600,l21600,xe">
          <v:stroke joinstyle="miter"/>
          <v:path gradientshapeok="t" o:connecttype="rect"/>
        </v:shapetype>
        <v:shape id="zzmpTrailer_1078_19" o:spid="_x0000_s6149" type="#_x0000_t202" style="position:absolute;left:0;text-align:left;margin-left:0;margin-top:0;width:201.6pt;height:50.4pt;z-index:-251657216;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" filled="f" stroked="f">
          <v:textbox inset="0,0,0,0">
            <w:txbxContent>
              <w:p w:rsidR="00582D46" w:rsidRDefault="00582D46" w:rsidP="00582D46">
                <w:pPr>
                  <w:pStyle w:val="MacPacTrailer"/>
                  <w:spacing w:line="20" w:lineRule="exact"/>
                </w:pPr>
              </w:p>
              <w:p w:rsidR="00582D46" w:rsidRDefault="00582D46">
                <w:pPr>
                  <w:pStyle w:val="MacPacTrailer"/>
                </w:pPr>
                <w:r>
                  <w:t>WSLEGAL\058404\00013\17859235v6</w:t>
                </w:r>
              </w:p>
              <w:p w:rsidR="00582D46" w:rsidRDefault="00582D46" w:rsidP="00582D46">
                <w:pPr>
                  <w:pStyle w:val="MacPacTrailer"/>
                  <w:spacing w:line="20" w:lineRule="exact"/>
                </w:pPr>
              </w:p>
              <w:p w:rsidR="00582D46" w:rsidRDefault="00582D46" w:rsidP="00582D46">
                <w:pPr>
                  <w:pStyle w:val="MacPacTrailer"/>
                  <w:spacing w:line="20" w:lineRule="exact"/>
                </w:pPr>
              </w:p>
            </w:txbxContent>
          </v:textbox>
          <w10:wrap anchorx="margin"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2D46" w:rsidRDefault="0021491E" w:rsidP="00281526">
    <w:pPr>
      <w:pStyle w:val="Footer"/>
      <w:jc w:val="right"/>
    </w:pPr>
    <w:r>
      <w:t>Last Update:</w:t>
    </w:r>
    <w:r w:rsidR="003C0D48">
      <w:t xml:space="preserve"> </w:t>
    </w:r>
    <w:r w:rsidR="0039311F">
      <w:t>May</w:t>
    </w:r>
    <w:r>
      <w:t xml:space="preserve"> 201</w:t>
    </w:r>
    <w:r w:rsidR="0039311F">
      <w:t>9</w:t>
    </w:r>
  </w:p>
  <w:p w:rsidR="00582D46" w:rsidRDefault="000005FA">
    <w:pPr>
      <w:pStyle w:val="Footer"/>
      <w:ind w:left="-144"/>
    </w:pPr>
    <w:r>
      <w:rPr>
        <w:noProof/>
        <w:lang w:val="en-GB" w:eastAsia="en-GB"/>
      </w:rPr>
      <w:pict>
        <v:shapetype id="_x0000_t202" coordsize="21600,21600" o:spt="202" path="m,l,21600r21600,l21600,xe">
          <v:stroke joinstyle="miter"/>
          <v:path gradientshapeok="t" o:connecttype="rect"/>
        </v:shapetype>
        <v:shape id="zzmpTrailer_1078_1B" o:spid="_x0000_s6150" type="#_x0000_t202" style="position:absolute;left:0;text-align:left;margin-left:0;margin-top:0;width:201.6pt;height:50.4pt;z-index:-251655168;visibility:visible;mso-wrap-style:square;mso-width-percent:0;mso-height-percent:0;mso-wrap-distance-left:9pt;mso-wrap-distance-top:0;mso-wrap-distance-right:9pt;mso-wrap-distance-bottom:0;mso-position-horizontal:absolute;mso-position-horizontal-relative:margin;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" filled="f" stroked="f">
          <v:textbox inset="0,0,0,0">
            <w:txbxContent>
              <w:p w:rsidR="00582D46" w:rsidRDefault="00582D46" w:rsidP="00582D46">
                <w:pPr>
                  <w:pStyle w:val="MacPacTrailer"/>
                  <w:spacing w:line="20" w:lineRule="exact"/>
                </w:pPr>
              </w:p>
              <w:p w:rsidR="00582D46" w:rsidRDefault="00582D46">
                <w:pPr>
                  <w:pStyle w:val="MacPacTrailer"/>
                </w:pPr>
                <w:r>
                  <w:t>WSLEGAL\058404\00013\17859235v6</w:t>
                </w:r>
              </w:p>
              <w:p w:rsidR="00582D46" w:rsidRDefault="00582D46" w:rsidP="00582D46">
                <w:pPr>
                  <w:pStyle w:val="MacPacTrailer"/>
                  <w:spacing w:line="20" w:lineRule="exact"/>
                </w:pPr>
              </w:p>
              <w:p w:rsidR="00582D46" w:rsidRDefault="00582D46" w:rsidP="00582D46">
                <w:pPr>
                  <w:pStyle w:val="MacPacTrailer"/>
                  <w:spacing w:line="20" w:lineRule="exact"/>
                </w:pPr>
              </w:p>
            </w:txbxContent>
          </v:textbox>
          <w10:wrap anchorx="margin"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35BE" w:rsidRDefault="0021491E">
      <w:r>
        <w:separator/>
      </w:r>
    </w:p>
  </w:footnote>
  <w:footnote w:type="continuationSeparator" w:id="0">
    <w:p w:rsidR="009035BE" w:rsidRDefault="0021491E">
      <w:r>
        <w:continuationSeparator/>
      </w:r>
    </w:p>
  </w:footnote>
  <w:footnote w:id="1">
    <w:p w:rsidR="00C00F4E" w:rsidRDefault="00C00F4E">
      <w:pPr>
        <w:pStyle w:val="FootnoteText"/>
      </w:pPr>
      <w:r>
        <w:rPr>
          <w:rStyle w:val="FootnoteReference"/>
        </w:rPr>
        <w:footnoteRef/>
      </w:r>
      <w:r>
        <w:t xml:space="preserve"> This definition is often broader to accommodate the structure of the participating private equity funds.</w:t>
      </w:r>
    </w:p>
  </w:footnote>
  <w:footnote w:id="2">
    <w:p w:rsidR="00C00F4E" w:rsidRDefault="00C00F4E">
      <w:pPr>
        <w:pStyle w:val="FootnoteText"/>
      </w:pPr>
      <w:r>
        <w:rPr>
          <w:rStyle w:val="FootnoteReference"/>
        </w:rPr>
        <w:footnoteRef/>
      </w:r>
      <w:r>
        <w:t xml:space="preserve"> Also called “piggy back rights</w:t>
      </w:r>
      <w:r w:rsidR="004C3256">
        <w:t>”</w:t>
      </w:r>
      <w:r>
        <w:t xml:space="preserve"> or </w:t>
      </w:r>
      <w:r w:rsidR="004C3256">
        <w:t>“</w:t>
      </w:r>
      <w:r>
        <w:t>co-sale rights”.  There are many different thresholds for the application of tag along rights.  Th</w:t>
      </w:r>
      <w:r w:rsidR="004C3256">
        <w:t>is</w:t>
      </w:r>
      <w:r>
        <w:t xml:space="preserve"> example uses sale of a majority of the then</w:t>
      </w:r>
      <w:r w:rsidR="004C3256">
        <w:t>-</w:t>
      </w:r>
      <w:r>
        <w:t>outstanding shares.  A sale of the majority would constitute a change of control, and it is reasonable to offer the other shareholders an opportunity to sell if the PE Fund that co-invested with them is selling control.</w:t>
      </w:r>
    </w:p>
  </w:footnote>
  <w:footnote w:id="3">
    <w:p w:rsidR="001F235F" w:rsidRDefault="001F235F">
      <w:pPr>
        <w:pStyle w:val="FootnoteText"/>
      </w:pPr>
      <w:r>
        <w:rPr>
          <w:rStyle w:val="FootnoteReference"/>
        </w:rPr>
        <w:footnoteRef/>
      </w:r>
      <w:r>
        <w:t xml:space="preserve"> </w:t>
      </w:r>
      <w:r w:rsidRPr="001F235F">
        <w:t xml:space="preserve">The terms of the drag along vary considerably from deal to deal. This drag along has been drafted on the basis that this Agreement is a unanimous shareholders agreement and all shareholders are parties to this Agreement.  A drag-along right gives a defined group of shareholders the right to deliver all (or most) of the shares of a company without the need of effecting an amalgamation squeeze-out.  It is important to note that many buyers in M&amp;A transactions will require the sellers to deliver all the shares of the </w:t>
      </w:r>
      <w:r w:rsidR="004C3256">
        <w:t>c</w:t>
      </w:r>
      <w:r w:rsidRPr="001F235F">
        <w:t xml:space="preserve">ompany, but in any event they (and the sellers) will want to avoid the risk of shareholders exercising dissent and appraisal rights. Sometimes existing shareholders are not permitted to make drag along offers (they can’t be buyers – only sellers).  As buyers often wish to acquire 100% of the equity of the company, all options, warrants and other convertible or exchangeable securities must contain provisions that enable them to be dealt with in these circumstances.  </w:t>
      </w:r>
      <w:r w:rsidR="004C3256">
        <w:t>I</w:t>
      </w:r>
      <w:r w:rsidRPr="001F235F">
        <w:t>t is important to consider the circumstances when drafting these provisions</w:t>
      </w:r>
    </w:p>
  </w:footnote>
  <w:footnote w:id="4">
    <w:p w:rsidR="001F235F" w:rsidRDefault="001F235F">
      <w:pPr>
        <w:pStyle w:val="FootnoteText"/>
      </w:pPr>
      <w:r>
        <w:rPr>
          <w:rStyle w:val="FootnoteReference"/>
        </w:rPr>
        <w:footnoteRef/>
      </w:r>
      <w:r>
        <w:t xml:space="preserve"> Thought also needs to be given to who will be subject to restrictions and who will benefit from the rights being granted.  For example, it is common to grant pre-emptive rights only to private equity investors and larger shareholders as they are typically the ones who are most concerned about dilution.</w:t>
      </w:r>
    </w:p>
  </w:footnote>
  <w:footnote w:id="5">
    <w:p w:rsidR="0086003A" w:rsidRPr="0086003A" w:rsidRDefault="0086003A">
      <w:pPr>
        <w:pStyle w:val="FootnoteText"/>
      </w:pPr>
      <w:r>
        <w:rPr>
          <w:rStyle w:val="FootnoteReference"/>
        </w:rPr>
        <w:footnoteRef/>
      </w:r>
      <w:r>
        <w:t xml:space="preserve"> Consider adding additional language as necessary to deal with continuing powers of attorney that may be governed by provincial legislation such as the </w:t>
      </w:r>
      <w:r>
        <w:rPr>
          <w:i/>
        </w:rPr>
        <w:t>Substitute Decisions Act</w:t>
      </w:r>
      <w:r>
        <w:t>, 1992 (Ontario).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5FA" w:rsidRDefault="000005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35BE" w:rsidRDefault="000005FA">
    <w:pPr>
      <w:pStyle w:val="Header"/>
      <w:jc w:val="center"/>
    </w:pPr>
    <w:sdt>
      <w:sdtPr>
        <w:id w:val="1425156647"/>
        <w:docPartObj>
          <w:docPartGallery w:val="Page Numbers (Top of Page)"/>
          <w:docPartUnique/>
        </w:docPartObj>
      </w:sdtPr>
      <w:sdtEndPr>
        <w:rPr>
          <w:noProof/>
        </w:rPr>
      </w:sdtEndPr>
      <w:sdtContent>
        <w:r w:rsidR="0021491E">
          <w:t xml:space="preserve">- </w:t>
        </w:r>
        <w:r w:rsidR="0021491E">
          <w:fldChar w:fldCharType="begin"/>
        </w:r>
        <w:r w:rsidR="0021491E">
          <w:instrText xml:space="preserve"> PAGE   \* MERGEFORMAT </w:instrText>
        </w:r>
        <w:r w:rsidR="0021491E">
          <w:fldChar w:fldCharType="separate"/>
        </w:r>
        <w:r>
          <w:rPr>
            <w:noProof/>
          </w:rPr>
          <w:t>2</w:t>
        </w:r>
        <w:r w:rsidR="0021491E">
          <w:rPr>
            <w:noProof/>
          </w:rPr>
          <w:fldChar w:fldCharType="end"/>
        </w:r>
      </w:sdtContent>
    </w:sdt>
    <w:r w:rsidR="0021491E">
      <w:rPr>
        <w:noProof/>
      </w:rPr>
      <w:t xml:space="preserve"> -</w:t>
    </w:r>
  </w:p>
  <w:p w:rsidR="009035BE" w:rsidRDefault="00903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5FA" w:rsidRDefault="000005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932257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0023D6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622282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E00F88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FCC43F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5FA82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7FA445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C471D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5C67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D44C1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C13E4B"/>
    <w:multiLevelType w:val="hybridMultilevel"/>
    <w:tmpl w:val="8C343660"/>
    <w:lvl w:ilvl="0" w:tplc="55D8A1C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17B552A"/>
    <w:multiLevelType w:val="multilevel"/>
    <w:tmpl w:val="F52A1758"/>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12" w15:restartNumberingAfterBreak="0">
    <w:nsid w:val="1BB63DA8"/>
    <w:multiLevelType w:val="multilevel"/>
    <w:tmpl w:val="FADA2E5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320"/>
        </w:tabs>
        <w:ind w:left="4320" w:hanging="720"/>
      </w:pPr>
      <w:rPr>
        <w:rFonts w:hint="default"/>
      </w:rPr>
    </w:lvl>
    <w:lvl w:ilvl="6">
      <w:start w:val="1"/>
      <w:numFmt w:val="decimal"/>
      <w:lvlText w:val="%1.%2.%3.%4.%5.%6.%7."/>
      <w:lvlJc w:val="left"/>
      <w:pPr>
        <w:tabs>
          <w:tab w:val="num" w:pos="5040"/>
        </w:tabs>
        <w:ind w:left="5040" w:hanging="720"/>
      </w:pPr>
      <w:rPr>
        <w:rFonts w:hint="default"/>
      </w:rPr>
    </w:lvl>
    <w:lvl w:ilvl="7">
      <w:start w:val="1"/>
      <w:numFmt w:val="decimal"/>
      <w:lvlText w:val="%1.%2.%3.%4.%5.%6.%7.%8."/>
      <w:lvlJc w:val="left"/>
      <w:pPr>
        <w:tabs>
          <w:tab w:val="num" w:pos="5760"/>
        </w:tabs>
        <w:ind w:left="5760" w:hanging="720"/>
      </w:pPr>
      <w:rPr>
        <w:rFonts w:hint="default"/>
      </w:rPr>
    </w:lvl>
    <w:lvl w:ilvl="8">
      <w:start w:val="1"/>
      <w:numFmt w:val="decimal"/>
      <w:lvlText w:val="%1.%2.%3.%4.%5.%6.%7.%8.%9."/>
      <w:lvlJc w:val="left"/>
      <w:pPr>
        <w:tabs>
          <w:tab w:val="num" w:pos="6480"/>
        </w:tabs>
        <w:ind w:left="6480" w:hanging="720"/>
      </w:pPr>
      <w:rPr>
        <w:rFonts w:hint="default"/>
      </w:rPr>
    </w:lvl>
  </w:abstractNum>
  <w:abstractNum w:abstractNumId="13" w15:restartNumberingAfterBreak="0">
    <w:nsid w:val="32954C6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4C1058D"/>
    <w:multiLevelType w:val="multilevel"/>
    <w:tmpl w:val="38AEC396"/>
    <w:name w:val="zzmpLegal2||Legal2|2|1|1|0|10|41||1|12|32||1|12|32||1|12|32||1|12|32||1|12|32||1|12|32||1|12|32||1|12|32||"/>
    <w:lvl w:ilvl="0">
      <w:start w:val="1"/>
      <w:numFmt w:val="decimal"/>
      <w:pStyle w:val="Legal2L1"/>
      <w:suff w:val="nothing"/>
      <w:lvlText w:val="Article %1"/>
      <w:lvlJc w:val="left"/>
      <w:pPr>
        <w:tabs>
          <w:tab w:val="num" w:pos="720"/>
        </w:tabs>
        <w:ind w:left="720" w:hanging="720"/>
      </w:pPr>
      <w:rPr>
        <w:b/>
        <w:i w:val="0"/>
        <w:caps/>
        <w:smallCaps w:val="0"/>
        <w:strike w:val="0"/>
        <w:dstrike w:val="0"/>
        <w:outline w:val="0"/>
        <w:shadow w:val="0"/>
        <w:emboss w:val="0"/>
        <w:imprint w:val="0"/>
        <w:vanish w:val="0"/>
        <w:color w:val="auto"/>
        <w:u w:val="none"/>
        <w:effect w:val="none"/>
        <w:vertAlign w:val="baseline"/>
      </w:rPr>
    </w:lvl>
    <w:lvl w:ilvl="1">
      <w:start w:val="1"/>
      <w:numFmt w:val="decimal"/>
      <w:pStyle w:val="Legal2L2"/>
      <w:isLgl/>
      <w:lvlText w:val="%1.%2"/>
      <w:lvlJc w:val="left"/>
      <w:pPr>
        <w:tabs>
          <w:tab w:val="num" w:pos="720"/>
        </w:tabs>
        <w:ind w:left="720" w:hanging="720"/>
      </w:pPr>
      <w:rPr>
        <w:b w:val="0"/>
        <w:i w:val="0"/>
        <w:caps w:val="0"/>
        <w:strike w:val="0"/>
        <w:dstrike w:val="0"/>
        <w:outline w:val="0"/>
        <w:shadow w:val="0"/>
        <w:emboss w:val="0"/>
        <w:imprint w:val="0"/>
        <w:vanish w:val="0"/>
        <w:color w:val="auto"/>
        <w:u w:val="none"/>
        <w:effect w:val="none"/>
        <w:vertAlign w:val="baseline"/>
      </w:rPr>
    </w:lvl>
    <w:lvl w:ilvl="2">
      <w:start w:val="1"/>
      <w:numFmt w:val="lowerLetter"/>
      <w:pStyle w:val="Legal2L3"/>
      <w:lvlText w:val="(%3)"/>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3">
      <w:start w:val="1"/>
      <w:numFmt w:val="lowerRoman"/>
      <w:pStyle w:val="Legal2L4"/>
      <w:lvlText w:val="(%4)"/>
      <w:lvlJc w:val="left"/>
      <w:pPr>
        <w:tabs>
          <w:tab w:val="num" w:pos="2160"/>
        </w:tabs>
        <w:ind w:left="2160" w:hanging="720"/>
      </w:pPr>
      <w:rPr>
        <w:b w:val="0"/>
        <w:i w:val="0"/>
        <w:caps w:val="0"/>
        <w:strike w:val="0"/>
        <w:dstrike w:val="0"/>
        <w:outline w:val="0"/>
        <w:shadow w:val="0"/>
        <w:emboss w:val="0"/>
        <w:imprint w:val="0"/>
        <w:vanish w:val="0"/>
        <w:color w:val="auto"/>
        <w:u w:val="none"/>
        <w:effect w:val="none"/>
        <w:vertAlign w:val="baseline"/>
      </w:rPr>
    </w:lvl>
    <w:lvl w:ilvl="4">
      <w:start w:val="1"/>
      <w:numFmt w:val="upperLetter"/>
      <w:pStyle w:val="Legal2L5"/>
      <w:lvlText w:val="(%5)"/>
      <w:lvlJc w:val="left"/>
      <w:pPr>
        <w:tabs>
          <w:tab w:val="num" w:pos="2880"/>
        </w:tabs>
        <w:ind w:left="2880" w:hanging="720"/>
      </w:pPr>
      <w:rPr>
        <w:b w:val="0"/>
        <w:i w:val="0"/>
        <w:caps w:val="0"/>
        <w:strike w:val="0"/>
        <w:dstrike w:val="0"/>
        <w:outline w:val="0"/>
        <w:shadow w:val="0"/>
        <w:emboss w:val="0"/>
        <w:imprint w:val="0"/>
        <w:vanish w:val="0"/>
        <w:color w:val="auto"/>
        <w:u w:val="none"/>
        <w:effect w:val="none"/>
        <w:vertAlign w:val="baseline"/>
      </w:rPr>
    </w:lvl>
    <w:lvl w:ilvl="5">
      <w:start w:val="1"/>
      <w:numFmt w:val="decimal"/>
      <w:pStyle w:val="Legal2L6"/>
      <w:lvlText w:val="(%6)"/>
      <w:lvlJc w:val="left"/>
      <w:pPr>
        <w:tabs>
          <w:tab w:val="num" w:pos="3600"/>
        </w:tabs>
        <w:ind w:left="3600" w:hanging="720"/>
      </w:pPr>
      <w:rPr>
        <w:b w:val="0"/>
        <w:i w:val="0"/>
        <w:caps w:val="0"/>
        <w:strike w:val="0"/>
        <w:dstrike w:val="0"/>
        <w:outline w:val="0"/>
        <w:shadow w:val="0"/>
        <w:emboss w:val="0"/>
        <w:imprint w:val="0"/>
        <w:vanish w:val="0"/>
        <w:color w:val="auto"/>
        <w:u w:val="none"/>
        <w:effect w:val="none"/>
        <w:vertAlign w:val="baseline"/>
      </w:rPr>
    </w:lvl>
    <w:lvl w:ilvl="6">
      <w:start w:val="1"/>
      <w:numFmt w:val="lowerLetter"/>
      <w:pStyle w:val="Legal2L7"/>
      <w:lvlText w:val="%7)"/>
      <w:lvlJc w:val="left"/>
      <w:pPr>
        <w:tabs>
          <w:tab w:val="num" w:pos="4320"/>
        </w:tabs>
        <w:ind w:left="4320" w:hanging="720"/>
      </w:pPr>
      <w:rPr>
        <w:b w:val="0"/>
        <w:i w:val="0"/>
        <w:caps w:val="0"/>
        <w:strike w:val="0"/>
        <w:dstrike w:val="0"/>
        <w:outline w:val="0"/>
        <w:shadow w:val="0"/>
        <w:emboss w:val="0"/>
        <w:imprint w:val="0"/>
        <w:vanish w:val="0"/>
        <w:color w:val="auto"/>
        <w:u w:val="none"/>
        <w:effect w:val="none"/>
        <w:vertAlign w:val="baseline"/>
      </w:rPr>
    </w:lvl>
    <w:lvl w:ilvl="7">
      <w:start w:val="1"/>
      <w:numFmt w:val="lowerRoman"/>
      <w:pStyle w:val="Legal2L8"/>
      <w:lvlText w:val="%8)"/>
      <w:lvlJc w:val="left"/>
      <w:pPr>
        <w:tabs>
          <w:tab w:val="num" w:pos="1440"/>
        </w:tabs>
        <w:ind w:left="1440" w:hanging="720"/>
      </w:pPr>
      <w:rPr>
        <w:b w:val="0"/>
        <w:i w:val="0"/>
        <w:caps w:val="0"/>
        <w:strike w:val="0"/>
        <w:dstrike w:val="0"/>
        <w:outline w:val="0"/>
        <w:shadow w:val="0"/>
        <w:emboss w:val="0"/>
        <w:imprint w:val="0"/>
        <w:vanish w:val="0"/>
        <w:color w:val="auto"/>
        <w:u w:val="none"/>
        <w:effect w:val="none"/>
        <w:vertAlign w:val="baseline"/>
      </w:rPr>
    </w:lvl>
    <w:lvl w:ilvl="8">
      <w:start w:val="1"/>
      <w:numFmt w:val="upperLetter"/>
      <w:pStyle w:val="Legal2L9"/>
      <w:lvlText w:val="%9)"/>
      <w:lvlJc w:val="left"/>
      <w:pPr>
        <w:tabs>
          <w:tab w:val="num" w:pos="2160"/>
        </w:tabs>
        <w:ind w:left="2160" w:hanging="720"/>
      </w:pPr>
      <w:rPr>
        <w:b w:val="0"/>
        <w:i w:val="0"/>
        <w:caps w:val="0"/>
        <w:strike w:val="0"/>
        <w:dstrike w:val="0"/>
        <w:outline w:val="0"/>
        <w:shadow w:val="0"/>
        <w:emboss w:val="0"/>
        <w:imprint w:val="0"/>
        <w:vanish w:val="0"/>
        <w:color w:val="auto"/>
        <w:u w:val="none"/>
        <w:effect w:val="none"/>
        <w:vertAlign w:val="baseline"/>
      </w:rPr>
    </w:lvl>
  </w:abstractNum>
  <w:abstractNum w:abstractNumId="15" w15:restartNumberingAfterBreak="0">
    <w:nsid w:val="365100C1"/>
    <w:multiLevelType w:val="multilevel"/>
    <w:tmpl w:val="CFFA2972"/>
    <w:styleLink w:val="ArticleSection"/>
    <w:lvl w:ilvl="0">
      <w:start w:val="1"/>
      <w:numFmt w:val="upperRoman"/>
      <w:lvlText w:val="Article %1."/>
      <w:lvlJc w:val="left"/>
      <w:pPr>
        <w:tabs>
          <w:tab w:val="num" w:pos="720"/>
        </w:tabs>
        <w:ind w:left="720" w:hanging="720"/>
      </w:pPr>
      <w:rPr>
        <w:rFonts w:hint="default"/>
      </w:rPr>
    </w:lvl>
    <w:lvl w:ilvl="1">
      <w:start w:val="1"/>
      <w:numFmt w:val="decimalZero"/>
      <w:isLgl/>
      <w:lvlText w:val="Section %1.%2"/>
      <w:lvlJc w:val="left"/>
      <w:pPr>
        <w:tabs>
          <w:tab w:val="num" w:pos="1440"/>
        </w:tabs>
        <w:ind w:left="1440" w:hanging="720"/>
      </w:pPr>
      <w:rPr>
        <w:rFonts w:hint="default"/>
      </w:rPr>
    </w:lvl>
    <w:lvl w:ilvl="2">
      <w:start w:val="1"/>
      <w:numFmt w:val="lowerLetter"/>
      <w:lvlText w:val="(%3)"/>
      <w:lvlJc w:val="left"/>
      <w:pPr>
        <w:tabs>
          <w:tab w:val="num" w:pos="2160"/>
        </w:tabs>
        <w:ind w:left="2160" w:hanging="720"/>
      </w:pPr>
      <w:rPr>
        <w:rFonts w:hint="default"/>
      </w:rPr>
    </w:lvl>
    <w:lvl w:ilvl="3">
      <w:start w:val="1"/>
      <w:numFmt w:val="lowerRoman"/>
      <w:lvlText w:val="(%4)"/>
      <w:lvlJc w:val="righ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Letter"/>
      <w:lvlText w:val="%6)"/>
      <w:lvlJc w:val="left"/>
      <w:pPr>
        <w:tabs>
          <w:tab w:val="num" w:pos="4320"/>
        </w:tabs>
        <w:ind w:left="4320" w:hanging="720"/>
      </w:pPr>
      <w:rPr>
        <w:rFonts w:hint="default"/>
      </w:rPr>
    </w:lvl>
    <w:lvl w:ilvl="6">
      <w:start w:val="1"/>
      <w:numFmt w:val="lowerRoman"/>
      <w:lvlText w:val="%7)"/>
      <w:lvlJc w:val="righ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right"/>
      <w:pPr>
        <w:tabs>
          <w:tab w:val="num" w:pos="6480"/>
        </w:tabs>
        <w:ind w:left="6480" w:hanging="720"/>
      </w:pPr>
      <w:rPr>
        <w:rFonts w:hint="default"/>
      </w:rPr>
    </w:lvl>
  </w:abstractNum>
  <w:abstractNum w:abstractNumId="16" w15:restartNumberingAfterBreak="0">
    <w:nsid w:val="3C123121"/>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EA34ED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742D3AA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F471ED1"/>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3"/>
  </w:num>
  <w:num w:numId="2">
    <w:abstractNumId w:val="18"/>
  </w:num>
  <w:num w:numId="3">
    <w:abstractNumId w:val="17"/>
  </w:num>
  <w:num w:numId="4">
    <w:abstractNumId w:val="15"/>
  </w:num>
  <w:num w:numId="5">
    <w:abstractNumId w:val="16"/>
  </w:num>
  <w:num w:numId="6">
    <w:abstractNumId w:val="12"/>
  </w:num>
  <w:num w:numId="7">
    <w:abstractNumId w:val="19"/>
  </w:num>
  <w:num w:numId="8">
    <w:abstractNumId w:val="11"/>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4"/>
  </w:num>
  <w:num w:numId="20">
    <w:abstractNumId w:val="14"/>
  </w:num>
  <w:num w:numId="21">
    <w:abstractNumId w:val="14"/>
  </w:num>
  <w:num w:numId="22">
    <w:abstractNumId w:val="14"/>
  </w:num>
  <w:num w:numId="23">
    <w:abstractNumId w:val="14"/>
  </w:num>
  <w:num w:numId="24">
    <w:abstractNumId w:val="14"/>
  </w:num>
  <w:num w:numId="25">
    <w:abstractNumId w:val="14"/>
  </w:num>
  <w:num w:numId="26">
    <w:abstractNumId w:val="14"/>
  </w:num>
  <w:num w:numId="27">
    <w:abstractNumId w:val="14"/>
  </w:num>
  <w:num w:numId="28">
    <w:abstractNumId w:val="14"/>
  </w:num>
  <w:num w:numId="29">
    <w:abstractNumId w:val="10"/>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defaultTabStop w:val="720"/>
  <w:characterSpacingControl w:val="doNotCompress"/>
  <w:hdrShapeDefaults>
    <o:shapedefaults v:ext="edit" spidmax="6153"/>
    <o:shapelayout v:ext="edit">
      <o:idmap v:ext="edit" data="6"/>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ForteTempFile" w:val="C:\Users\Natalie\AppData\Local\Temp\39b8892d-3156-45cb-82bc-018106fb9e11.docx"/>
    <w:docVar w:name="zzmp10LastTrailerInserted" w:val="^`~#mp!@W,$#0┘┧74;|Ŗm^⌐„C⌚․Â©pì⌋․P-8E⌎~N!ì]w⌒Å1Ŗ⌌0Ìy¸@‗⌌&amp;óeÒø?⌅ŖΩ⌍ˊ⌊⌡⌘ŕ⌞‡Å⌠)1R6.0~¡R¼§åD3Z$¦*⌖×¬ÿj=åØ®ÉÒV‪⌎&gt;Ï3è½ñþ‗⌟'ªý³M®N)ÞŤ­&gt;*1ÿ⌘¸†³¸Á÷ţÃ~í{!ø:⌌Á⌄Ð‴¦¶‽Z4H⌃sZo]⌘Î⌡\Ú¥B\⌔@ó[:7_^011"/>
    <w:docVar w:name="zzmp10LastTrailerInserted_1078" w:val="^`~#mp!@W,$#0┘┧74;|Ŗm^⌐„C⌚․Â©pì⌋․P-8E⌎~N!ì]w⌒Å1Ŗ⌌0Ìy¸@‗⌌&amp;óeÒø?⌅ŖΩ⌍ˊ⌊⌡⌘ŕ⌞‡Å⌠)1R6.0~¡R¼§åD3Z$¦*⌖×¬ÿj=åØ®ÉÒV‪⌎&gt;Ï3è½ñþ‗⌟'ªý³M®N)ÞŤ­&gt;*1ÿ⌘¸†³¸Á÷ţÃ~í{!ø:⌌Á⌄Ð‴¦¶‽Z4H⌃sZo]⌘Î⌡\Ú¥B\⌔@ó[:7_^011"/>
    <w:docVar w:name="zzmp10mSEGsValidated" w:val="1"/>
    <w:docVar w:name="zzmpCompatibilityMode" w:val="15"/>
    <w:docVar w:name="zzmpFixedCurScheme" w:val="Legal2"/>
    <w:docVar w:name="zzmpFixedCurScheme_9.0" w:val="2zzmpLegal2"/>
    <w:docVar w:name="zzmpLegal2" w:val="||Legal2|2|1|1|0|10|41||1|12|32||1|12|32||1|12|32||1|12|32||1|12|32||1|12|32||1|12|32||1|12|32||"/>
    <w:docVar w:name="zzmpLTFontsClean" w:val="True"/>
    <w:docVar w:name="zzmpnSession" w:val="0.08021182"/>
  </w:docVars>
  <w:rsids>
    <w:rsidRoot w:val="009035BE"/>
    <w:rsid w:val="000005FA"/>
    <w:rsid w:val="00157A76"/>
    <w:rsid w:val="00197E62"/>
    <w:rsid w:val="001E384C"/>
    <w:rsid w:val="001F235F"/>
    <w:rsid w:val="0021491E"/>
    <w:rsid w:val="00281526"/>
    <w:rsid w:val="00367FB2"/>
    <w:rsid w:val="0039311F"/>
    <w:rsid w:val="003C0D48"/>
    <w:rsid w:val="004C3256"/>
    <w:rsid w:val="004D09B7"/>
    <w:rsid w:val="00582D46"/>
    <w:rsid w:val="0086003A"/>
    <w:rsid w:val="0088129C"/>
    <w:rsid w:val="009035BE"/>
    <w:rsid w:val="00AF4C17"/>
    <w:rsid w:val="00B34547"/>
    <w:rsid w:val="00BE2102"/>
    <w:rsid w:val="00C00F4E"/>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53"/>
    <o:shapelayout v:ext="edit">
      <o:idmap v:ext="edit" data="1"/>
    </o:shapelayout>
  </w:shapeDefaults>
  <w:decimalSymbol w:val="."/>
  <w:listSeparator w:val=","/>
  <w15:chartTrackingRefBased/>
  <w15:docId w15:val="{A9D662B2-2527-4523-AFD2-E4FF0958B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qFormat="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4"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4"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spacing w:after="0"/>
      <w:jc w:val="both"/>
    </w:pPr>
  </w:style>
  <w:style w:type="paragraph" w:styleId="Heading1">
    <w:name w:val="heading 1"/>
    <w:basedOn w:val="Normal"/>
    <w:next w:val="BodyText"/>
    <w:link w:val="Heading1Char"/>
    <w:uiPriority w:val="9"/>
    <w:qFormat/>
    <w:pPr>
      <w:keepNext/>
      <w:spacing w:after="240"/>
      <w:outlineLvl w:val="0"/>
    </w:pPr>
    <w:rPr>
      <w:rFonts w:eastAsiaTheme="majorEastAsia" w:cstheme="majorBidi"/>
      <w:b/>
      <w:bCs/>
      <w:caps/>
      <w:szCs w:val="28"/>
    </w:rPr>
  </w:style>
  <w:style w:type="paragraph" w:styleId="Heading2">
    <w:name w:val="heading 2"/>
    <w:basedOn w:val="Normal"/>
    <w:next w:val="BodyText"/>
    <w:link w:val="Heading2Char"/>
    <w:uiPriority w:val="9"/>
    <w:semiHidden/>
    <w:unhideWhenUsed/>
    <w:qFormat/>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pPr>
      <w:keepNext/>
      <w:spacing w:after="240"/>
      <w:outlineLvl w:val="2"/>
    </w:pPr>
    <w:rPr>
      <w:rFonts w:eastAsiaTheme="majorEastAsia" w:cstheme="majorBidi"/>
      <w:b/>
      <w:bCs/>
      <w:i/>
    </w:rPr>
  </w:style>
  <w:style w:type="paragraph" w:styleId="Heading4">
    <w:name w:val="heading 4"/>
    <w:basedOn w:val="Normal"/>
    <w:next w:val="BodyText"/>
    <w:link w:val="Heading4Char"/>
    <w:uiPriority w:val="9"/>
    <w:semiHidden/>
    <w:unhideWhenUsed/>
    <w:qFormat/>
    <w:pPr>
      <w:keepNext/>
      <w:spacing w:after="240"/>
      <w:ind w:left="720"/>
      <w:outlineLvl w:val="3"/>
    </w:pPr>
    <w:rPr>
      <w:rFonts w:eastAsiaTheme="majorEastAsia" w:cstheme="majorBidi"/>
      <w:bCs/>
      <w:i/>
      <w:iCs/>
    </w:rPr>
  </w:style>
  <w:style w:type="paragraph" w:styleId="Heading5">
    <w:name w:val="heading 5"/>
    <w:basedOn w:val="Normal"/>
    <w:next w:val="BodyText"/>
    <w:link w:val="Heading5Char"/>
    <w:uiPriority w:val="9"/>
    <w:semiHidden/>
    <w:unhideWhenUsed/>
    <w:qFormat/>
    <w:pPr>
      <w:keepNext/>
      <w:spacing w:after="240"/>
      <w:ind w:left="720"/>
      <w:outlineLvl w:val="4"/>
    </w:pPr>
    <w:rPr>
      <w:rFonts w:eastAsiaTheme="majorEastAsia" w:cstheme="majorBidi"/>
      <w:u w:val="single"/>
    </w:rPr>
  </w:style>
  <w:style w:type="paragraph" w:styleId="Heading6">
    <w:name w:val="heading 6"/>
    <w:basedOn w:val="Normal"/>
    <w:next w:val="BodyText"/>
    <w:link w:val="Heading6Char"/>
    <w:uiPriority w:val="9"/>
    <w:semiHidden/>
    <w:unhideWhenUsed/>
    <w:qFormat/>
    <w:pPr>
      <w:keepNext/>
      <w:spacing w:after="240"/>
      <w:outlineLvl w:val="5"/>
    </w:pPr>
    <w:rPr>
      <w:rFonts w:eastAsiaTheme="majorEastAsia" w:cstheme="majorBidi"/>
      <w:b/>
      <w:i/>
      <w:iCs/>
    </w:rPr>
  </w:style>
  <w:style w:type="paragraph" w:styleId="Heading7">
    <w:name w:val="heading 7"/>
    <w:basedOn w:val="Normal"/>
    <w:next w:val="BodyText"/>
    <w:link w:val="Heading7Char"/>
    <w:uiPriority w:val="9"/>
    <w:semiHidden/>
    <w:unhideWhenUsed/>
    <w:qFormat/>
    <w:pPr>
      <w:keepNext/>
      <w:spacing w:after="240"/>
      <w:outlineLvl w:val="6"/>
    </w:pPr>
    <w:rPr>
      <w:rFonts w:eastAsiaTheme="majorEastAsia" w:cstheme="majorBidi"/>
      <w:iCs/>
      <w:u w:val="single"/>
    </w:rPr>
  </w:style>
  <w:style w:type="paragraph" w:styleId="Heading8">
    <w:name w:val="heading 8"/>
    <w:basedOn w:val="Normal"/>
    <w:next w:val="BodyText"/>
    <w:link w:val="Heading8Char"/>
    <w:uiPriority w:val="9"/>
    <w:semiHidden/>
    <w:unhideWhenUsed/>
    <w:qFormat/>
    <w:pPr>
      <w:keepNext/>
      <w:spacing w:after="240"/>
      <w:outlineLvl w:val="7"/>
    </w:pPr>
    <w:rPr>
      <w:rFonts w:eastAsiaTheme="majorEastAsia" w:cstheme="majorBidi"/>
      <w:i/>
      <w:szCs w:val="20"/>
    </w:rPr>
  </w:style>
  <w:style w:type="paragraph" w:styleId="Heading9">
    <w:name w:val="heading 9"/>
    <w:basedOn w:val="Normal"/>
    <w:next w:val="BodyText"/>
    <w:link w:val="Heading9Char"/>
    <w:uiPriority w:val="9"/>
    <w:semiHidden/>
    <w:unhideWhenUsed/>
    <w:qFormat/>
    <w:pPr>
      <w:keepNext/>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240"/>
    </w:pPr>
    <w:rPr>
      <w:rFonts w:eastAsia="Times New Roman" w:cs="Times New Roman"/>
    </w:rPr>
  </w:style>
  <w:style w:type="character" w:customStyle="1" w:styleId="BodyTextChar">
    <w:name w:val="Body Text Char"/>
    <w:basedOn w:val="DefaultParagraphFont"/>
    <w:link w:val="BodyText"/>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Pr>
      <w:rFonts w:ascii="Times New Roman" w:eastAsiaTheme="majorEastAsia" w:hAnsi="Times New Roman" w:cstheme="majorBidi"/>
      <w:b/>
      <w:bCs/>
      <w:caps/>
      <w:sz w:val="24"/>
      <w:szCs w:val="28"/>
    </w:rPr>
  </w:style>
  <w:style w:type="character" w:customStyle="1" w:styleId="Heading2Char">
    <w:name w:val="Heading 2 Char"/>
    <w:basedOn w:val="DefaultParagraphFont"/>
    <w:link w:val="Heading2"/>
    <w:uiPriority w:val="9"/>
    <w:semiHidden/>
    <w:rPr>
      <w:rFonts w:ascii="Times New Roman" w:eastAsiaTheme="majorEastAsia" w:hAnsi="Times New Roman" w:cstheme="majorBidi"/>
      <w:b/>
      <w:bCs/>
      <w:sz w:val="24"/>
      <w:szCs w:val="26"/>
    </w:rPr>
  </w:style>
  <w:style w:type="character" w:customStyle="1" w:styleId="Heading3Char">
    <w:name w:val="Heading 3 Char"/>
    <w:basedOn w:val="DefaultParagraphFont"/>
    <w:link w:val="Heading3"/>
    <w:uiPriority w:val="9"/>
    <w:semiHidden/>
    <w:rPr>
      <w:rFonts w:ascii="Times New Roman" w:eastAsiaTheme="majorEastAsia" w:hAnsi="Times New Roman" w:cstheme="majorBidi"/>
      <w:b/>
      <w:bCs/>
      <w:i/>
      <w:sz w:val="24"/>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bCs/>
      <w:i/>
      <w:iCs/>
      <w:sz w:val="24"/>
    </w:rPr>
  </w:style>
  <w:style w:type="character" w:customStyle="1" w:styleId="Heading5Char">
    <w:name w:val="Heading 5 Char"/>
    <w:basedOn w:val="DefaultParagraphFont"/>
    <w:link w:val="Heading5"/>
    <w:uiPriority w:val="9"/>
    <w:semiHidden/>
    <w:rPr>
      <w:rFonts w:ascii="Times New Roman" w:eastAsiaTheme="majorEastAsia" w:hAnsi="Times New Roman" w:cstheme="majorBidi"/>
      <w:sz w:val="24"/>
      <w:u w:val="single"/>
    </w:rPr>
  </w:style>
  <w:style w:type="character" w:customStyle="1" w:styleId="Heading6Char">
    <w:name w:val="Heading 6 Char"/>
    <w:basedOn w:val="DefaultParagraphFont"/>
    <w:link w:val="Heading6"/>
    <w:uiPriority w:val="9"/>
    <w:semiHidden/>
    <w:rPr>
      <w:rFonts w:ascii="Times New Roman" w:eastAsiaTheme="majorEastAsia" w:hAnsi="Times New Roman" w:cstheme="majorBidi"/>
      <w:b/>
      <w:i/>
      <w:iCs/>
      <w:sz w:val="24"/>
    </w:rPr>
  </w:style>
  <w:style w:type="character" w:customStyle="1" w:styleId="Heading7Char">
    <w:name w:val="Heading 7 Char"/>
    <w:basedOn w:val="DefaultParagraphFont"/>
    <w:link w:val="Heading7"/>
    <w:uiPriority w:val="9"/>
    <w:semiHidden/>
    <w:rPr>
      <w:rFonts w:ascii="Times New Roman" w:eastAsiaTheme="majorEastAsia" w:hAnsi="Times New Roman" w:cstheme="majorBidi"/>
      <w:iCs/>
      <w:sz w:val="24"/>
      <w:u w:val="single"/>
    </w:rPr>
  </w:style>
  <w:style w:type="character" w:customStyle="1" w:styleId="Heading8Char">
    <w:name w:val="Heading 8 Char"/>
    <w:basedOn w:val="DefaultParagraphFont"/>
    <w:link w:val="Heading8"/>
    <w:uiPriority w:val="9"/>
    <w:semiHidden/>
    <w:rPr>
      <w:rFonts w:ascii="Times New Roman" w:eastAsiaTheme="majorEastAsia" w:hAnsi="Times New Roman" w:cstheme="majorBidi"/>
      <w:i/>
      <w:sz w:val="24"/>
      <w:szCs w:val="20"/>
    </w:rPr>
  </w:style>
  <w:style w:type="character" w:customStyle="1" w:styleId="Heading9Char">
    <w:name w:val="Heading 9 Char"/>
    <w:basedOn w:val="DefaultParagraphFont"/>
    <w:link w:val="Heading9"/>
    <w:uiPriority w:val="9"/>
    <w:semiHidden/>
    <w:rPr>
      <w:rFonts w:ascii="Times New Roman" w:eastAsiaTheme="majorEastAsia" w:hAnsi="Times New Roman" w:cstheme="majorBidi"/>
      <w:iCs/>
      <w:sz w:val="24"/>
      <w:szCs w:val="20"/>
    </w:rPr>
  </w:style>
  <w:style w:type="numbering" w:styleId="ArticleSection">
    <w:name w:val="Outline List 3"/>
    <w:basedOn w:val="NoList"/>
    <w:uiPriority w:val="99"/>
    <w:semiHidden/>
    <w:unhideWhenUsed/>
    <w:pPr>
      <w:numPr>
        <w:numId w:val="4"/>
      </w:numPr>
    </w:pPr>
  </w:style>
  <w:style w:type="paragraph" w:styleId="BodyTextFirstIndent">
    <w:name w:val="Body Text First Indent"/>
    <w:basedOn w:val="BodyText"/>
    <w:link w:val="BodyTextFirstIndentChar"/>
    <w:unhideWhenUsed/>
    <w:pPr>
      <w:ind w:firstLine="720"/>
    </w:pPr>
  </w:style>
  <w:style w:type="character" w:customStyle="1" w:styleId="BodyTextFirstIndentChar">
    <w:name w:val="Body Text First Indent Char"/>
    <w:basedOn w:val="BodyTextChar"/>
    <w:link w:val="BodyTextFirstIndent"/>
    <w:rPr>
      <w:rFonts w:ascii="Times New Roman" w:eastAsia="Times New Roman" w:hAnsi="Times New Roman" w:cs="Times New Roman"/>
      <w:sz w:val="24"/>
      <w:szCs w:val="24"/>
    </w:rPr>
  </w:style>
  <w:style w:type="paragraph" w:styleId="BodyTextIndent">
    <w:name w:val="Body Text Indent"/>
    <w:basedOn w:val="Normal"/>
    <w:link w:val="BodyTextIndentChar"/>
    <w:unhideWhenUsed/>
    <w:pPr>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720"/>
    </w:pPr>
  </w:style>
  <w:style w:type="character" w:customStyle="1" w:styleId="BodyTextFirstIndent2Char">
    <w:name w:val="Body Text First Indent 2 Char"/>
    <w:basedOn w:val="BodyTextIndentChar"/>
    <w:link w:val="BodyTextFirstIndent2"/>
    <w:uiPriority w:val="99"/>
    <w:semiHidden/>
    <w:rPr>
      <w:rFonts w:ascii="Times New Roman" w:hAnsi="Times New Roman"/>
      <w:sz w:val="24"/>
    </w:rPr>
  </w:style>
  <w:style w:type="paragraph" w:styleId="Caption">
    <w:name w:val="caption"/>
    <w:basedOn w:val="Normal"/>
    <w:next w:val="Normal"/>
    <w:uiPriority w:val="35"/>
    <w:semiHidden/>
    <w:unhideWhenUsed/>
    <w:qFormat/>
    <w:rPr>
      <w:b/>
      <w:bCs/>
      <w:sz w:val="20"/>
      <w:szCs w:val="18"/>
    </w:rPr>
  </w:style>
  <w:style w:type="paragraph" w:customStyle="1" w:styleId="Centered">
    <w:name w:val="Centered"/>
    <w:basedOn w:val="Normal"/>
    <w:next w:val="BodyText"/>
    <w:uiPriority w:val="2"/>
    <w:qFormat/>
    <w:pPr>
      <w:spacing w:after="240" w:line="240" w:lineRule="exact"/>
      <w:jc w:val="center"/>
    </w:pPr>
  </w:style>
  <w:style w:type="paragraph" w:styleId="EnvelopeAddress">
    <w:name w:val="envelope address"/>
    <w:basedOn w:val="Normal"/>
    <w:uiPriority w:val="99"/>
    <w:semiHidden/>
    <w:unhideWhenUsed/>
    <w:qFormat/>
    <w:pPr>
      <w:framePr w:w="5760" w:h="2160" w:hRule="exact" w:hSpace="187" w:vSpace="187" w:wrap="around" w:vAnchor="page" w:hAnchor="page" w:x="6481" w:y="3068"/>
    </w:pPr>
    <w:rPr>
      <w:rFonts w:eastAsiaTheme="majorEastAsia" w:cstheme="majorBidi"/>
    </w:rPr>
  </w:style>
  <w:style w:type="paragraph" w:styleId="Footer">
    <w:name w:val="footer"/>
    <w:basedOn w:val="Normal"/>
    <w:link w:val="FooterChar"/>
    <w:uiPriority w:val="99"/>
    <w:unhideWhenUsed/>
    <w:qFormat/>
    <w:pPr>
      <w:tabs>
        <w:tab w:val="center" w:pos="4680"/>
        <w:tab w:val="right" w:pos="9360"/>
      </w:tabs>
      <w:jc w:val="left"/>
    </w:pPr>
    <w:rPr>
      <w:sz w:val="20"/>
    </w:rPr>
  </w:style>
  <w:style w:type="paragraph" w:customStyle="1" w:styleId="DeliveryPhrase">
    <w:name w:val="Delivery Phrase"/>
    <w:basedOn w:val="Normal"/>
    <w:next w:val="BodyText"/>
    <w:uiPriority w:val="3"/>
    <w:qFormat/>
    <w:pPr>
      <w:spacing w:before="240" w:after="240"/>
    </w:pPr>
    <w:rPr>
      <w:b/>
      <w:caps/>
    </w:rPr>
  </w:style>
  <w:style w:type="character" w:customStyle="1" w:styleId="FooterChar">
    <w:name w:val="Footer Char"/>
    <w:basedOn w:val="DefaultParagraphFont"/>
    <w:link w:val="Footer"/>
    <w:uiPriority w:val="99"/>
    <w:rPr>
      <w:rFonts w:ascii="Times New Roman" w:hAnsi="Times New Roman"/>
      <w:sz w:val="20"/>
    </w:rPr>
  </w:style>
  <w:style w:type="paragraph" w:styleId="FootnoteText">
    <w:name w:val="footnote text"/>
    <w:basedOn w:val="Normal"/>
    <w:link w:val="FootnoteTextChar"/>
    <w:uiPriority w:val="99"/>
    <w:unhideWhenUsed/>
    <w:pPr>
      <w:ind w:left="90" w:hanging="90"/>
    </w:pPr>
    <w:rPr>
      <w:sz w:val="16"/>
      <w:szCs w:val="20"/>
    </w:rPr>
  </w:style>
  <w:style w:type="character" w:customStyle="1" w:styleId="FootnoteTextChar">
    <w:name w:val="Footnote Text Char"/>
    <w:basedOn w:val="DefaultParagraphFont"/>
    <w:link w:val="FootnoteText"/>
    <w:uiPriority w:val="99"/>
    <w:rPr>
      <w:sz w:val="16"/>
      <w:szCs w:val="20"/>
    </w:rPr>
  </w:style>
  <w:style w:type="paragraph" w:customStyle="1" w:styleId="LetterDate">
    <w:name w:val="Letter Date"/>
    <w:basedOn w:val="Normal"/>
    <w:next w:val="BodyText"/>
    <w:uiPriority w:val="11"/>
    <w:qFormat/>
  </w:style>
  <w:style w:type="paragraph" w:customStyle="1" w:styleId="LetterClosing">
    <w:name w:val="LetterClosing"/>
    <w:basedOn w:val="Normal"/>
    <w:next w:val="Normal"/>
    <w:uiPriority w:val="11"/>
    <w:qFormat/>
  </w:style>
  <w:style w:type="paragraph" w:customStyle="1" w:styleId="HeaderNumbers">
    <w:name w:val="HeaderNumbers"/>
    <w:basedOn w:val="Normal"/>
    <w:link w:val="HeaderNumbersChar"/>
    <w:uiPriority w:val="10"/>
    <w:semiHidden/>
    <w:unhideWhenUsed/>
    <w:qFormat/>
    <w:pPr>
      <w:spacing w:after="720" w:line="480" w:lineRule="exact"/>
      <w:ind w:right="144"/>
    </w:pPr>
  </w:style>
  <w:style w:type="character" w:customStyle="1" w:styleId="HeaderNumbersChar">
    <w:name w:val="HeaderNumbers Char"/>
    <w:basedOn w:val="DefaultParagraphFont"/>
    <w:link w:val="HeaderNumbers"/>
    <w:uiPriority w:val="10"/>
    <w:semiHidden/>
    <w:rPr>
      <w:rFonts w:ascii="Times New Roman" w:hAnsi="Times New Roman"/>
      <w:sz w:val="24"/>
    </w:rPr>
  </w:style>
  <w:style w:type="paragraph" w:customStyle="1" w:styleId="PleadingSignature">
    <w:name w:val="Pleading Signature"/>
    <w:basedOn w:val="Normal"/>
    <w:uiPriority w:val="13"/>
    <w:qFormat/>
    <w:pPr>
      <w:keepNext/>
      <w:keepLines/>
      <w:widowControl w:val="0"/>
      <w:tabs>
        <w:tab w:val="left" w:pos="5040"/>
        <w:tab w:val="right" w:pos="9360"/>
      </w:tabs>
      <w:spacing w:line="240" w:lineRule="exact"/>
      <w:ind w:left="5040"/>
    </w:pPr>
  </w:style>
  <w:style w:type="paragraph" w:styleId="Quote">
    <w:name w:val="Quote"/>
    <w:basedOn w:val="Normal"/>
    <w:next w:val="BodyText"/>
    <w:link w:val="QuoteChar"/>
    <w:uiPriority w:val="13"/>
    <w:qFormat/>
    <w:pPr>
      <w:spacing w:after="240"/>
      <w:ind w:left="720" w:right="720"/>
    </w:pPr>
    <w:rPr>
      <w:iCs/>
    </w:rPr>
  </w:style>
  <w:style w:type="character" w:customStyle="1" w:styleId="QuoteChar">
    <w:name w:val="Quote Char"/>
    <w:basedOn w:val="DefaultParagraphFont"/>
    <w:link w:val="Quote"/>
    <w:uiPriority w:val="13"/>
    <w:rPr>
      <w:rFonts w:ascii="Times New Roman" w:hAnsi="Times New Roman"/>
      <w:iCs/>
      <w:sz w:val="24"/>
    </w:rPr>
  </w:style>
  <w:style w:type="paragraph" w:styleId="TOAHeading">
    <w:name w:val="toa heading"/>
    <w:basedOn w:val="Normal"/>
    <w:next w:val="Normal"/>
    <w:uiPriority w:val="99"/>
    <w:qFormat/>
    <w:pPr>
      <w:keepNext/>
      <w:widowControl w:val="0"/>
      <w:spacing w:before="120" w:after="120" w:line="240" w:lineRule="exact"/>
      <w:jc w:val="center"/>
    </w:pPr>
    <w:rPr>
      <w:rFonts w:eastAsiaTheme="majorEastAsia" w:cstheme="majorBidi"/>
      <w:b/>
      <w:bCs/>
      <w:caps/>
    </w:rPr>
  </w:style>
  <w:style w:type="paragraph" w:styleId="TOC1">
    <w:name w:val="toc 1"/>
    <w:basedOn w:val="Normal"/>
    <w:next w:val="TOC2"/>
    <w:uiPriority w:val="39"/>
    <w:qFormat/>
    <w:pPr>
      <w:keepLines/>
      <w:tabs>
        <w:tab w:val="right" w:leader="dot" w:pos="9288"/>
      </w:tabs>
      <w:spacing w:after="120"/>
      <w:jc w:val="left"/>
    </w:pPr>
    <w:rPr>
      <w:b/>
      <w:caps/>
    </w:rPr>
  </w:style>
  <w:style w:type="paragraph" w:styleId="TOC2">
    <w:name w:val="toc 2"/>
    <w:basedOn w:val="Normal"/>
    <w:next w:val="TOC3"/>
    <w:uiPriority w:val="39"/>
    <w:qFormat/>
    <w:pPr>
      <w:keepLines/>
      <w:tabs>
        <w:tab w:val="right" w:leader="dot" w:pos="9288"/>
      </w:tabs>
      <w:spacing w:after="120"/>
      <w:ind w:left="1080" w:right="720" w:hanging="720"/>
    </w:pPr>
  </w:style>
  <w:style w:type="paragraph" w:styleId="TOC3">
    <w:name w:val="toc 3"/>
    <w:basedOn w:val="Normal"/>
    <w:next w:val="TOC4"/>
    <w:uiPriority w:val="39"/>
    <w:pPr>
      <w:keepLines/>
      <w:tabs>
        <w:tab w:val="right" w:leader="dot" w:pos="9288"/>
      </w:tabs>
      <w:spacing w:after="120"/>
      <w:ind w:left="1440" w:right="720" w:hanging="720"/>
    </w:pPr>
  </w:style>
  <w:style w:type="paragraph" w:styleId="TOC4">
    <w:name w:val="toc 4"/>
    <w:basedOn w:val="Normal"/>
    <w:next w:val="Normal"/>
    <w:uiPriority w:val="39"/>
    <w:pPr>
      <w:keepLines/>
      <w:tabs>
        <w:tab w:val="right" w:leader="dot" w:pos="9288"/>
      </w:tabs>
      <w:spacing w:after="120"/>
      <w:ind w:left="1800" w:right="720" w:hanging="720"/>
    </w:pPr>
  </w:style>
  <w:style w:type="paragraph" w:styleId="TOC8">
    <w:name w:val="toc 8"/>
    <w:basedOn w:val="Normal"/>
    <w:next w:val="Normal"/>
    <w:uiPriority w:val="39"/>
    <w:semiHidden/>
    <w:unhideWhenUsed/>
    <w:pPr>
      <w:spacing w:after="100"/>
      <w:ind w:left="1680"/>
    </w:p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ascii="Times New Roman" w:hAnsi="Times New Roman"/>
      <w:sz w:val="24"/>
    </w:rPr>
  </w:style>
  <w:style w:type="numbering" w:styleId="111111">
    <w:name w:val="Outline List 2"/>
    <w:basedOn w:val="NoList"/>
    <w:semiHidden/>
    <w:pPr>
      <w:numPr>
        <w:numId w:val="5"/>
      </w:numPr>
    </w:pPr>
  </w:style>
  <w:style w:type="numbering" w:styleId="1ai">
    <w:name w:val="Outline List 1"/>
    <w:basedOn w:val="NoList"/>
    <w:semiHidden/>
    <w:pPr>
      <w:numPr>
        <w:numId w:val="7"/>
      </w:numPr>
    </w:pPr>
  </w:style>
  <w:style w:type="paragraph" w:styleId="BodyText2">
    <w:name w:val="Body Text 2"/>
    <w:basedOn w:val="Normal"/>
    <w:link w:val="BodyText2Char"/>
    <w:semiHidden/>
    <w:pPr>
      <w:spacing w:after="240" w:line="480" w:lineRule="auto"/>
    </w:pPr>
    <w:rPr>
      <w:rFonts w:eastAsia="Times New Roman" w:cs="Times New Roman"/>
    </w:rPr>
  </w:style>
  <w:style w:type="character" w:customStyle="1" w:styleId="BodyText2Char">
    <w:name w:val="Body Text 2 Char"/>
    <w:basedOn w:val="DefaultParagraphFont"/>
    <w:link w:val="BodyText2"/>
    <w:semiHidden/>
    <w:rPr>
      <w:rFonts w:ascii="Times New Roman" w:eastAsia="Times New Roman" w:hAnsi="Times New Roman" w:cs="Times New Roman"/>
      <w:sz w:val="24"/>
      <w:szCs w:val="24"/>
    </w:rPr>
  </w:style>
  <w:style w:type="paragraph" w:styleId="BodyText3">
    <w:name w:val="Body Text 3"/>
    <w:basedOn w:val="Normal"/>
    <w:link w:val="BodyText3Char"/>
    <w:semiHidden/>
    <w:pPr>
      <w:spacing w:after="240"/>
    </w:pPr>
    <w:rPr>
      <w:rFonts w:eastAsia="Times New Roman" w:cs="Times New Roman"/>
      <w:sz w:val="16"/>
      <w:szCs w:val="16"/>
    </w:rPr>
  </w:style>
  <w:style w:type="character" w:customStyle="1" w:styleId="BodyText3Char">
    <w:name w:val="Body Text 3 Char"/>
    <w:basedOn w:val="DefaultParagraphFont"/>
    <w:link w:val="BodyText3"/>
    <w:semiHidden/>
    <w:rPr>
      <w:rFonts w:ascii="Times New Roman" w:eastAsia="Times New Roman" w:hAnsi="Times New Roman" w:cs="Times New Roman"/>
      <w:sz w:val="16"/>
      <w:szCs w:val="16"/>
    </w:rPr>
  </w:style>
  <w:style w:type="paragraph" w:styleId="BodyTextIndent2">
    <w:name w:val="Body Text Indent 2"/>
    <w:basedOn w:val="Normal"/>
    <w:link w:val="BodyTextIndent2Char"/>
    <w:semiHidden/>
    <w:pPr>
      <w:spacing w:after="240" w:line="480" w:lineRule="auto"/>
      <w:ind w:left="720"/>
    </w:pPr>
    <w:rPr>
      <w:rFonts w:eastAsia="Times New Roman" w:cs="Times New Roman"/>
    </w:rPr>
  </w:style>
  <w:style w:type="character" w:customStyle="1" w:styleId="BodyTextIndent2Char">
    <w:name w:val="Body Text Indent 2 Char"/>
    <w:basedOn w:val="DefaultParagraphFont"/>
    <w:link w:val="BodyTextIndent2"/>
    <w:semiHidden/>
    <w:rPr>
      <w:rFonts w:ascii="Times New Roman" w:eastAsia="Times New Roman" w:hAnsi="Times New Roman" w:cs="Times New Roman"/>
      <w:sz w:val="24"/>
      <w:szCs w:val="24"/>
    </w:rPr>
  </w:style>
  <w:style w:type="paragraph" w:styleId="BodyTextIndent3">
    <w:name w:val="Body Text Indent 3"/>
    <w:basedOn w:val="Normal"/>
    <w:link w:val="BodyTextIndent3Char"/>
    <w:semiHidden/>
    <w:pPr>
      <w:spacing w:after="240"/>
      <w:ind w:left="720"/>
    </w:pPr>
    <w:rPr>
      <w:rFonts w:eastAsia="Times New Roman" w:cs="Times New Roman"/>
      <w:sz w:val="16"/>
      <w:szCs w:val="16"/>
    </w:rPr>
  </w:style>
  <w:style w:type="character" w:customStyle="1" w:styleId="BodyTextIndent3Char">
    <w:name w:val="Body Text Indent 3 Char"/>
    <w:basedOn w:val="DefaultParagraphFont"/>
    <w:link w:val="BodyTextIndent3"/>
    <w:semiHidden/>
    <w:rPr>
      <w:rFonts w:ascii="Times New Roman" w:eastAsia="Times New Roman" w:hAnsi="Times New Roman" w:cs="Times New Roman"/>
      <w:sz w:val="16"/>
      <w:szCs w:val="16"/>
    </w:rPr>
  </w:style>
  <w:style w:type="paragraph" w:styleId="Index1">
    <w:name w:val="index 1"/>
    <w:basedOn w:val="Normal"/>
    <w:next w:val="Normal"/>
    <w:autoRedefine/>
    <w:uiPriority w:val="99"/>
    <w:semiHidden/>
    <w:unhideWhenUsed/>
    <w:pPr>
      <w:ind w:left="240" w:hanging="240"/>
    </w:pPr>
  </w:style>
  <w:style w:type="paragraph" w:styleId="IndexHeading">
    <w:name w:val="index heading"/>
    <w:basedOn w:val="Normal"/>
    <w:next w:val="Index1"/>
    <w:uiPriority w:val="99"/>
    <w:semiHidden/>
    <w:unhideWhenUsed/>
    <w:rPr>
      <w:rFonts w:eastAsiaTheme="majorEastAsia" w:cstheme="majorBidi"/>
      <w:b/>
      <w:bCs/>
    </w:rPr>
  </w:style>
  <w:style w:type="paragraph" w:styleId="TOC9">
    <w:name w:val="toc 9"/>
    <w:basedOn w:val="Normal"/>
    <w:next w:val="Normal"/>
    <w:uiPriority w:val="39"/>
    <w:semiHidden/>
    <w:unhideWhenUsed/>
    <w:pPr>
      <w:spacing w:after="100"/>
      <w:ind w:left="1920"/>
    </w:pPr>
  </w:style>
  <w:style w:type="paragraph" w:styleId="TOC5">
    <w:name w:val="toc 5"/>
    <w:basedOn w:val="Normal"/>
    <w:next w:val="Normal"/>
    <w:uiPriority w:val="39"/>
    <w:semiHidden/>
    <w:unhideWhenUsed/>
    <w:pPr>
      <w:spacing w:after="100"/>
      <w:ind w:left="960"/>
    </w:pPr>
  </w:style>
  <w:style w:type="paragraph" w:styleId="TOC6">
    <w:name w:val="toc 6"/>
    <w:basedOn w:val="Normal"/>
    <w:next w:val="Normal"/>
    <w:uiPriority w:val="39"/>
    <w:semiHidden/>
    <w:unhideWhenUsed/>
    <w:pPr>
      <w:spacing w:after="100"/>
      <w:ind w:left="1200"/>
    </w:pPr>
  </w:style>
  <w:style w:type="paragraph" w:styleId="TOC7">
    <w:name w:val="toc 7"/>
    <w:basedOn w:val="Normal"/>
    <w:next w:val="Normal"/>
    <w:uiPriority w:val="39"/>
    <w:semiHidden/>
    <w:unhideWhenUsed/>
    <w:pPr>
      <w:spacing w:after="100"/>
      <w:ind w:left="1440"/>
    </w:pPr>
  </w:style>
  <w:style w:type="character" w:styleId="FootnoteReference">
    <w:name w:val="footnote reference"/>
    <w:basedOn w:val="DefaultParagraphFont"/>
    <w:unhideWhenUsed/>
    <w:rPr>
      <w:vertAlign w:val="superscript"/>
    </w:rPr>
  </w:style>
  <w:style w:type="paragraph" w:customStyle="1" w:styleId="ArticleBJCont2">
    <w:name w:val="ArticleBJ Cont 2"/>
    <w:basedOn w:val="Normal"/>
    <w:link w:val="ArticleBJCont2Char"/>
    <w:pPr>
      <w:spacing w:after="240"/>
    </w:pPr>
    <w:rPr>
      <w:rFonts w:eastAsia="Times New Roman" w:cs="Times New Roman"/>
      <w:szCs w:val="20"/>
    </w:rPr>
  </w:style>
  <w:style w:type="character" w:customStyle="1" w:styleId="ArticleBJCont2Char">
    <w:name w:val="ArticleBJ Cont 2 Char"/>
    <w:basedOn w:val="DefaultParagraphFont"/>
    <w:link w:val="ArticleBJCont2"/>
    <w:rPr>
      <w:rFonts w:eastAsia="Times New Roman" w:cs="Times New Roman"/>
      <w:szCs w:val="20"/>
    </w:rPr>
  </w:style>
  <w:style w:type="paragraph" w:customStyle="1" w:styleId="ArticleBJ2Cont2">
    <w:name w:val="ArticleBJ2 Cont 2"/>
    <w:basedOn w:val="Normal"/>
    <w:link w:val="ArticleBJ2Cont2Char"/>
    <w:pPr>
      <w:spacing w:after="240"/>
    </w:pPr>
    <w:rPr>
      <w:rFonts w:eastAsia="Times New Roman" w:cs="Times New Roman"/>
      <w:szCs w:val="20"/>
    </w:rPr>
  </w:style>
  <w:style w:type="character" w:customStyle="1" w:styleId="ArticleBJ2Cont2Char">
    <w:name w:val="ArticleBJ2 Cont 2 Char"/>
    <w:basedOn w:val="DefaultParagraphFont"/>
    <w:link w:val="ArticleBJ2Cont2"/>
    <w:rPr>
      <w:rFonts w:eastAsia="Times New Roman" w:cs="Times New Roman"/>
      <w:szCs w:val="20"/>
    </w:rPr>
  </w:style>
  <w:style w:type="paragraph" w:customStyle="1" w:styleId="MacPacTrailer">
    <w:name w:val="MacPac Trailer"/>
    <w:rsid w:val="00582D46"/>
    <w:pPr>
      <w:widowControl w:val="0"/>
      <w:spacing w:after="0" w:line="200" w:lineRule="exact"/>
    </w:pPr>
    <w:rPr>
      <w:rFonts w:eastAsia="Times New Roman" w:cs="Times New Roman"/>
      <w:sz w:val="16"/>
      <w:szCs w:val="22"/>
    </w:rPr>
  </w:style>
  <w:style w:type="character" w:styleId="PlaceholderText">
    <w:name w:val="Placeholder Text"/>
    <w:basedOn w:val="DefaultParagraphFont"/>
    <w:uiPriority w:val="99"/>
    <w:semiHidden/>
    <w:rPr>
      <w:color w:val="808080"/>
    </w:rPr>
  </w:style>
  <w:style w:type="paragraph" w:customStyle="1" w:styleId="Legal2Cont1">
    <w:name w:val="Legal2 Cont 1"/>
    <w:basedOn w:val="Normal"/>
    <w:link w:val="Legal2Cont1Char"/>
    <w:pPr>
      <w:spacing w:after="240"/>
      <w:ind w:left="720"/>
    </w:pPr>
    <w:rPr>
      <w:rFonts w:eastAsia="Times New Roman" w:cs="Times New Roman"/>
      <w:szCs w:val="20"/>
    </w:rPr>
  </w:style>
  <w:style w:type="character" w:customStyle="1" w:styleId="Legal2Cont1Char">
    <w:name w:val="Legal2 Cont 1 Char"/>
    <w:basedOn w:val="BodyTextChar"/>
    <w:link w:val="Legal2Cont1"/>
    <w:rPr>
      <w:rFonts w:ascii="Times New Roman" w:eastAsia="Times New Roman" w:hAnsi="Times New Roman" w:cs="Times New Roman"/>
      <w:sz w:val="24"/>
      <w:szCs w:val="20"/>
    </w:rPr>
  </w:style>
  <w:style w:type="paragraph" w:customStyle="1" w:styleId="Legal2Cont2">
    <w:name w:val="Legal2 Cont 2"/>
    <w:basedOn w:val="Legal2Cont1"/>
    <w:link w:val="Legal2Cont2Char"/>
  </w:style>
  <w:style w:type="character" w:customStyle="1" w:styleId="Legal2Cont2Char">
    <w:name w:val="Legal2 Cont 2 Char"/>
    <w:basedOn w:val="BodyTextChar"/>
    <w:link w:val="Legal2Cont2"/>
    <w:rPr>
      <w:rFonts w:ascii="Times New Roman" w:eastAsia="Times New Roman" w:hAnsi="Times New Roman" w:cs="Times New Roman"/>
      <w:sz w:val="24"/>
      <w:szCs w:val="20"/>
    </w:rPr>
  </w:style>
  <w:style w:type="paragraph" w:customStyle="1" w:styleId="Legal2Cont3">
    <w:name w:val="Legal2 Cont 3"/>
    <w:basedOn w:val="Legal2Cont2"/>
    <w:link w:val="Legal2Cont3Char"/>
    <w:pPr>
      <w:ind w:left="1440"/>
    </w:pPr>
  </w:style>
  <w:style w:type="character" w:customStyle="1" w:styleId="Legal2Cont3Char">
    <w:name w:val="Legal2 Cont 3 Char"/>
    <w:basedOn w:val="BodyTextChar"/>
    <w:link w:val="Legal2Cont3"/>
    <w:rPr>
      <w:rFonts w:ascii="Times New Roman" w:eastAsia="Times New Roman" w:hAnsi="Times New Roman" w:cs="Times New Roman"/>
      <w:sz w:val="24"/>
      <w:szCs w:val="20"/>
    </w:rPr>
  </w:style>
  <w:style w:type="paragraph" w:customStyle="1" w:styleId="Legal2Cont4">
    <w:name w:val="Legal2 Cont 4"/>
    <w:basedOn w:val="Legal2Cont3"/>
    <w:link w:val="Legal2Cont4Char"/>
    <w:pPr>
      <w:ind w:left="2160"/>
    </w:pPr>
  </w:style>
  <w:style w:type="character" w:customStyle="1" w:styleId="Legal2Cont4Char">
    <w:name w:val="Legal2 Cont 4 Char"/>
    <w:basedOn w:val="BodyTextChar"/>
    <w:link w:val="Legal2Cont4"/>
    <w:rPr>
      <w:rFonts w:ascii="Times New Roman" w:eastAsia="Times New Roman" w:hAnsi="Times New Roman" w:cs="Times New Roman"/>
      <w:sz w:val="24"/>
      <w:szCs w:val="20"/>
    </w:rPr>
  </w:style>
  <w:style w:type="paragraph" w:customStyle="1" w:styleId="Legal2Cont5">
    <w:name w:val="Legal2 Cont 5"/>
    <w:basedOn w:val="Legal2Cont4"/>
    <w:link w:val="Legal2Cont5Char"/>
    <w:pPr>
      <w:ind w:left="2880"/>
    </w:pPr>
  </w:style>
  <w:style w:type="character" w:customStyle="1" w:styleId="Legal2Cont5Char">
    <w:name w:val="Legal2 Cont 5 Char"/>
    <w:basedOn w:val="BodyTextChar"/>
    <w:link w:val="Legal2Cont5"/>
    <w:rPr>
      <w:rFonts w:ascii="Times New Roman" w:eastAsia="Times New Roman" w:hAnsi="Times New Roman" w:cs="Times New Roman"/>
      <w:sz w:val="24"/>
      <w:szCs w:val="20"/>
    </w:rPr>
  </w:style>
  <w:style w:type="paragraph" w:customStyle="1" w:styleId="Legal2Cont6">
    <w:name w:val="Legal2 Cont 6"/>
    <w:basedOn w:val="Legal2Cont5"/>
    <w:link w:val="Legal2Cont6Char"/>
    <w:pPr>
      <w:ind w:left="3600"/>
    </w:pPr>
  </w:style>
  <w:style w:type="character" w:customStyle="1" w:styleId="Legal2Cont6Char">
    <w:name w:val="Legal2 Cont 6 Char"/>
    <w:basedOn w:val="BodyTextChar"/>
    <w:link w:val="Legal2Cont6"/>
    <w:rPr>
      <w:rFonts w:ascii="Times New Roman" w:eastAsia="Times New Roman" w:hAnsi="Times New Roman" w:cs="Times New Roman"/>
      <w:sz w:val="24"/>
      <w:szCs w:val="20"/>
    </w:rPr>
  </w:style>
  <w:style w:type="paragraph" w:customStyle="1" w:styleId="Legal2Cont7">
    <w:name w:val="Legal2 Cont 7"/>
    <w:basedOn w:val="Legal2Cont6"/>
    <w:link w:val="Legal2Cont7Char"/>
    <w:pPr>
      <w:ind w:left="4320"/>
    </w:pPr>
  </w:style>
  <w:style w:type="character" w:customStyle="1" w:styleId="Legal2Cont7Char">
    <w:name w:val="Legal2 Cont 7 Char"/>
    <w:basedOn w:val="BodyTextChar"/>
    <w:link w:val="Legal2Cont7"/>
    <w:rPr>
      <w:rFonts w:ascii="Times New Roman" w:eastAsia="Times New Roman" w:hAnsi="Times New Roman" w:cs="Times New Roman"/>
      <w:sz w:val="24"/>
      <w:szCs w:val="20"/>
    </w:rPr>
  </w:style>
  <w:style w:type="paragraph" w:customStyle="1" w:styleId="Legal2Cont8">
    <w:name w:val="Legal2 Cont 8"/>
    <w:basedOn w:val="Legal2Cont7"/>
    <w:link w:val="Legal2Cont8Char"/>
    <w:pPr>
      <w:ind w:left="1440"/>
    </w:pPr>
  </w:style>
  <w:style w:type="character" w:customStyle="1" w:styleId="Legal2Cont8Char">
    <w:name w:val="Legal2 Cont 8 Char"/>
    <w:basedOn w:val="BodyTextChar"/>
    <w:link w:val="Legal2Cont8"/>
    <w:rPr>
      <w:rFonts w:ascii="Times New Roman" w:eastAsia="Times New Roman" w:hAnsi="Times New Roman" w:cs="Times New Roman"/>
      <w:sz w:val="24"/>
      <w:szCs w:val="20"/>
    </w:rPr>
  </w:style>
  <w:style w:type="paragraph" w:customStyle="1" w:styleId="Legal2Cont9">
    <w:name w:val="Legal2 Cont 9"/>
    <w:basedOn w:val="Legal2Cont8"/>
    <w:link w:val="Legal2Cont9Char"/>
    <w:pPr>
      <w:ind w:left="2160"/>
    </w:pPr>
  </w:style>
  <w:style w:type="character" w:customStyle="1" w:styleId="Legal2Cont9Char">
    <w:name w:val="Legal2 Cont 9 Char"/>
    <w:basedOn w:val="BodyTextChar"/>
    <w:link w:val="Legal2Cont9"/>
    <w:rPr>
      <w:rFonts w:ascii="Times New Roman" w:eastAsia="Times New Roman" w:hAnsi="Times New Roman" w:cs="Times New Roman"/>
      <w:sz w:val="24"/>
      <w:szCs w:val="20"/>
    </w:rPr>
  </w:style>
  <w:style w:type="paragraph" w:customStyle="1" w:styleId="Legal2L1">
    <w:name w:val="Legal2_L1"/>
    <w:basedOn w:val="Normal"/>
    <w:link w:val="Legal2L1Char"/>
    <w:pPr>
      <w:keepNext/>
      <w:numPr>
        <w:numId w:val="19"/>
      </w:numPr>
      <w:spacing w:before="360" w:after="240"/>
      <w:jc w:val="center"/>
      <w:outlineLvl w:val="0"/>
    </w:pPr>
    <w:rPr>
      <w:rFonts w:eastAsia="Times New Roman" w:cs="Times New Roman"/>
      <w:b/>
      <w:caps/>
      <w:szCs w:val="20"/>
    </w:rPr>
  </w:style>
  <w:style w:type="character" w:customStyle="1" w:styleId="Legal2L1Char">
    <w:name w:val="Legal2_L1 Char"/>
    <w:basedOn w:val="DefaultParagraphFont"/>
    <w:link w:val="Legal2L1"/>
    <w:rPr>
      <w:rFonts w:eastAsia="Times New Roman" w:cs="Times New Roman"/>
      <w:b/>
      <w:caps/>
      <w:szCs w:val="20"/>
    </w:rPr>
  </w:style>
  <w:style w:type="paragraph" w:customStyle="1" w:styleId="Legal2L2">
    <w:name w:val="Legal2_L2"/>
    <w:basedOn w:val="Legal2L1"/>
    <w:link w:val="Legal2L2Char"/>
    <w:pPr>
      <w:keepNext w:val="0"/>
      <w:numPr>
        <w:ilvl w:val="1"/>
      </w:numPr>
      <w:spacing w:before="0"/>
      <w:jc w:val="both"/>
      <w:outlineLvl w:val="1"/>
    </w:pPr>
    <w:rPr>
      <w:b w:val="0"/>
      <w:caps w:val="0"/>
    </w:rPr>
  </w:style>
  <w:style w:type="character" w:customStyle="1" w:styleId="Legal2L2Char">
    <w:name w:val="Legal2_L2 Char"/>
    <w:basedOn w:val="DefaultParagraphFont"/>
    <w:link w:val="Legal2L2"/>
    <w:rPr>
      <w:rFonts w:eastAsia="Times New Roman" w:cs="Times New Roman"/>
      <w:szCs w:val="20"/>
    </w:rPr>
  </w:style>
  <w:style w:type="paragraph" w:customStyle="1" w:styleId="Legal2L3">
    <w:name w:val="Legal2_L3"/>
    <w:basedOn w:val="Legal2L2"/>
    <w:link w:val="Legal2L3Char"/>
    <w:pPr>
      <w:numPr>
        <w:ilvl w:val="2"/>
      </w:numPr>
      <w:outlineLvl w:val="2"/>
    </w:pPr>
  </w:style>
  <w:style w:type="character" w:customStyle="1" w:styleId="Legal2L3Char">
    <w:name w:val="Legal2_L3 Char"/>
    <w:basedOn w:val="DefaultParagraphFont"/>
    <w:link w:val="Legal2L3"/>
    <w:rPr>
      <w:rFonts w:eastAsia="Times New Roman" w:cs="Times New Roman"/>
      <w:szCs w:val="20"/>
    </w:rPr>
  </w:style>
  <w:style w:type="paragraph" w:customStyle="1" w:styleId="Legal2L4">
    <w:name w:val="Legal2_L4"/>
    <w:basedOn w:val="Legal2L3"/>
    <w:link w:val="Legal2L4Char"/>
    <w:pPr>
      <w:numPr>
        <w:ilvl w:val="3"/>
      </w:numPr>
      <w:outlineLvl w:val="3"/>
    </w:pPr>
  </w:style>
  <w:style w:type="character" w:customStyle="1" w:styleId="Legal2L4Char">
    <w:name w:val="Legal2_L4 Char"/>
    <w:basedOn w:val="DefaultParagraphFont"/>
    <w:link w:val="Legal2L4"/>
    <w:rPr>
      <w:rFonts w:eastAsia="Times New Roman" w:cs="Times New Roman"/>
      <w:szCs w:val="20"/>
    </w:rPr>
  </w:style>
  <w:style w:type="paragraph" w:customStyle="1" w:styleId="Legal2L5">
    <w:name w:val="Legal2_L5"/>
    <w:basedOn w:val="Legal2L4"/>
    <w:link w:val="Legal2L5Char"/>
    <w:pPr>
      <w:numPr>
        <w:ilvl w:val="4"/>
      </w:numPr>
      <w:outlineLvl w:val="4"/>
    </w:pPr>
  </w:style>
  <w:style w:type="character" w:customStyle="1" w:styleId="Legal2L5Char">
    <w:name w:val="Legal2_L5 Char"/>
    <w:basedOn w:val="DefaultParagraphFont"/>
    <w:link w:val="Legal2L5"/>
    <w:rPr>
      <w:rFonts w:eastAsia="Times New Roman" w:cs="Times New Roman"/>
      <w:szCs w:val="20"/>
    </w:rPr>
  </w:style>
  <w:style w:type="paragraph" w:customStyle="1" w:styleId="Legal2L6">
    <w:name w:val="Legal2_L6"/>
    <w:basedOn w:val="Legal2L5"/>
    <w:link w:val="Legal2L6Char"/>
    <w:pPr>
      <w:numPr>
        <w:ilvl w:val="5"/>
      </w:numPr>
      <w:outlineLvl w:val="5"/>
    </w:pPr>
  </w:style>
  <w:style w:type="character" w:customStyle="1" w:styleId="Legal2L6Char">
    <w:name w:val="Legal2_L6 Char"/>
    <w:basedOn w:val="DefaultParagraphFont"/>
    <w:link w:val="Legal2L6"/>
    <w:rPr>
      <w:rFonts w:eastAsia="Times New Roman" w:cs="Times New Roman"/>
      <w:szCs w:val="20"/>
    </w:rPr>
  </w:style>
  <w:style w:type="paragraph" w:customStyle="1" w:styleId="Legal2L7">
    <w:name w:val="Legal2_L7"/>
    <w:basedOn w:val="Legal2L6"/>
    <w:link w:val="Legal2L7Char"/>
    <w:pPr>
      <w:numPr>
        <w:ilvl w:val="6"/>
      </w:numPr>
      <w:outlineLvl w:val="6"/>
    </w:pPr>
  </w:style>
  <w:style w:type="character" w:customStyle="1" w:styleId="Legal2L7Char">
    <w:name w:val="Legal2_L7 Char"/>
    <w:basedOn w:val="DefaultParagraphFont"/>
    <w:link w:val="Legal2L7"/>
    <w:rPr>
      <w:rFonts w:eastAsia="Times New Roman" w:cs="Times New Roman"/>
      <w:szCs w:val="20"/>
    </w:rPr>
  </w:style>
  <w:style w:type="paragraph" w:customStyle="1" w:styleId="Legal2L8">
    <w:name w:val="Legal2_L8"/>
    <w:basedOn w:val="Legal2L7"/>
    <w:link w:val="Legal2L8Char"/>
    <w:pPr>
      <w:numPr>
        <w:ilvl w:val="7"/>
      </w:numPr>
      <w:outlineLvl w:val="7"/>
    </w:pPr>
  </w:style>
  <w:style w:type="character" w:customStyle="1" w:styleId="Legal2L8Char">
    <w:name w:val="Legal2_L8 Char"/>
    <w:basedOn w:val="DefaultParagraphFont"/>
    <w:link w:val="Legal2L8"/>
    <w:rPr>
      <w:rFonts w:eastAsia="Times New Roman" w:cs="Times New Roman"/>
      <w:szCs w:val="20"/>
    </w:rPr>
  </w:style>
  <w:style w:type="paragraph" w:customStyle="1" w:styleId="Legal2L9">
    <w:name w:val="Legal2_L9"/>
    <w:basedOn w:val="Legal2L8"/>
    <w:link w:val="Legal2L9Char"/>
    <w:pPr>
      <w:numPr>
        <w:ilvl w:val="8"/>
      </w:numPr>
      <w:outlineLvl w:val="8"/>
    </w:pPr>
  </w:style>
  <w:style w:type="character" w:customStyle="1" w:styleId="Legal2L9Char">
    <w:name w:val="Legal2_L9 Char"/>
    <w:basedOn w:val="DefaultParagraphFont"/>
    <w:link w:val="Legal2L9"/>
    <w:rPr>
      <w:rFonts w:eastAsia="Times New Roman" w:cs="Times New Roman"/>
      <w:szCs w:val="20"/>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character" w:styleId="Hyperlink">
    <w:name w:val="Hyperlink"/>
    <w:basedOn w:val="DefaultParagraphFont"/>
    <w:uiPriority w:val="99"/>
    <w:unhideWhenUsed/>
    <w:rPr>
      <w:color w:val="0000FF" w:themeColor="hyperlink"/>
      <w:u w:val="single"/>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2E09D8-76F6-41FF-B00D-604A7DB922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9</Pages>
  <Words>3848</Words>
  <Characters>20726</Characters>
  <Application>Microsoft Office Word</Application>
  <DocSecurity>0</DocSecurity>
  <Lines>172</Lines>
  <Paragraphs>49</Paragraphs>
  <ScaleCrop>false</ScaleCrop>
  <HeadingPairs>
    <vt:vector size="2" baseType="variant">
      <vt:variant>
        <vt:lpstr>Title</vt:lpstr>
      </vt:variant>
      <vt:variant>
        <vt:i4>1</vt:i4>
      </vt:variant>
    </vt:vector>
  </HeadingPairs>
  <TitlesOfParts>
    <vt:vector size="1" baseType="lpstr">
      <vt:lpstr/>
    </vt:vector>
  </TitlesOfParts>
  <Company>Bennett Jones</Company>
  <LinksUpToDate>false</LinksUpToDate>
  <CharactersWithSpaces>24525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Gary Solway</dc:creator>
  <cp:keywords/>
  <dc:description/>
  <cp:lastModifiedBy>Cathy Ayow</cp:lastModifiedBy>
  <cp:revision>9</cp:revision>
  <cp:lastPrinted>2017-04-28T15:34:00Z</cp:lastPrinted>
  <dcterms:created xsi:type="dcterms:W3CDTF">2018-06-11T16:31:00Z</dcterms:created>
  <dcterms:modified xsi:type="dcterms:W3CDTF">2019-05-03T13:28:00Z</dcterms:modified>
</cp:coreProperties>
</file>