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7D192F" w:rsidP="007D192F">
      <w:pPr>
        <w:pStyle w:val="BodyTextBold"/>
        <w:jc w:val="center"/>
      </w:pPr>
      <w:bookmarkStart w:id="0" w:name="_GoBack"/>
      <w:bookmarkEnd w:id="0"/>
      <w:r>
        <w:t>CVCA VENTURE CAPITAL MODEL TRANSACTION DOCUMENTS</w:t>
      </w:r>
    </w:p>
    <w:p w:rsidR="007D192F" w:rsidP="007D192F">
      <w:pPr>
        <w:pStyle w:val="CoverPageDocumentTitle"/>
        <w:spacing w:before="480"/>
      </w:pPr>
    </w:p>
    <w:p w:rsidR="007D192F" w:rsidP="007D192F">
      <w:pPr>
        <w:pStyle w:val="CoverPageDocumentTitle"/>
        <w:spacing w:after="1200"/>
      </w:pPr>
      <w:r>
        <w:t>[AMENDED AND RESTATED]</w:t>
      </w:r>
      <w:r>
        <w:br/>
        <w:t>INVESTORS' RIGHTS AGREEMENT</w:t>
      </w:r>
    </w:p>
    <w:p w:rsidR="00037C7E">
      <w:pPr>
        <w:pStyle w:val="BodyText"/>
      </w:pPr>
      <w:r>
        <w:t>This document is based on the NVCA document entitled "Investors' Rights Agreement"</w:t>
      </w:r>
      <w:r w:rsidR="003F2C54">
        <w:t xml:space="preserve"> (v. </w:t>
      </w:r>
      <w:r w:rsidR="00230A97">
        <w:t>September</w:t>
      </w:r>
      <w:r w:rsidR="00854AAA">
        <w:t xml:space="preserve"> 2020</w:t>
      </w:r>
      <w:r w:rsidR="003F2C54">
        <w:t>)</w:t>
      </w:r>
      <w:r>
        <w:t>. The CVCA gratefully acknowledges the NVCA for granting permission to use this document in Canada.</w:t>
      </w:r>
    </w:p>
    <w:p w:rsidR="00037C7E">
      <w:pPr>
        <w:pStyle w:val="BodyText"/>
      </w:pPr>
      <w:r>
        <w:t>A blackline of this document to the NVCA document and a conversion guide describing the general drafting changes that have been made are also available from the CVCA website.</w:t>
      </w:r>
    </w:p>
    <w:p w:rsidR="00037C7E">
      <w:pPr>
        <w:pStyle w:val="CoverPageBodyText-LargeSpaceAfter"/>
      </w:pPr>
      <w:r>
        <w:t xml:space="preserve">The Canadian version of this document was created by the CVCA </w:t>
      </w:r>
      <w:r w:rsidR="00343E82">
        <w:t xml:space="preserve">Venture Capital </w:t>
      </w:r>
      <w:r>
        <w:t>Model</w:t>
      </w:r>
      <w:r w:rsidR="00343E82">
        <w:t xml:space="preserve"> Transaction</w:t>
      </w:r>
      <w:r>
        <w:t xml:space="preserve"> Documents Working Group comprised of Gary Solway of Bennet Jones LLP</w:t>
      </w:r>
      <w:r w:rsidR="00A36FA3">
        <w:t xml:space="preserve"> (Chair)</w:t>
      </w:r>
      <w:r>
        <w:t>,</w:t>
      </w:r>
      <w:r w:rsidR="00A36FA3">
        <w:t xml:space="preserve"> Sophia Maizel of Harbo</w:t>
      </w:r>
      <w:r w:rsidR="00B23DB4">
        <w:t>u</w:t>
      </w:r>
      <w:r w:rsidR="00A36FA3">
        <w:t>r</w:t>
      </w:r>
      <w:r w:rsidR="00B23DB4">
        <w:t>V</w:t>
      </w:r>
      <w:r w:rsidR="00A36FA3">
        <w:t>est (Vice Chair),</w:t>
      </w:r>
      <w:r>
        <w:t xml:space="preserve"> Mireille Fontaine of </w:t>
      </w:r>
      <w:r w:rsidR="00DA4341">
        <w:t>BCF</w:t>
      </w:r>
      <w:r>
        <w:t xml:space="preserve">, Ed Vandenberg of Osler, Hoskin &amp; Harcourt LLP, Pascal de Guise of </w:t>
      </w:r>
      <w:r w:rsidR="00091FB9">
        <w:t>Blake, Cassels &amp; Graydon</w:t>
      </w:r>
      <w:r>
        <w:t xml:space="preserve"> LLP, Brian Lenihan of Choate Hall &amp; Stewart LLP</w:t>
      </w:r>
      <w:r w:rsidR="00A36FA3">
        <w:t>, Jesslyn Maurier of Bennett Jones LLP and Julie Robinson of McInnes Cooper</w:t>
      </w:r>
      <w:r>
        <w:t>.  The lead author on this document is Ed Vandenberg (</w:t>
      </w:r>
      <w:r>
        <w:fldChar w:fldCharType="begin"/>
      </w:r>
      <w:r>
        <w:instrText xml:space="preserve"> HYPERLINK "mailto:evandenberg@osler.com" </w:instrText>
      </w:r>
      <w:r>
        <w:fldChar w:fldCharType="separate"/>
      </w:r>
      <w:r>
        <w:rPr>
          <w:rStyle w:val="Hyperlink"/>
        </w:rPr>
        <w:t>evandenberg@osler.com</w:t>
      </w:r>
      <w:r>
        <w:fldChar w:fldCharType="end"/>
      </w:r>
      <w:r>
        <w:t>).</w:t>
      </w:r>
    </w:p>
    <w:tbl>
      <w:tblPr>
        <w:tblStyle w:val="TableGrid"/>
        <w:tblW w:w="0" w:type="auto"/>
        <w:tblLook w:val="04A0"/>
      </w:tblPr>
      <w:tblGrid>
        <w:gridCol w:w="9350"/>
      </w:tblGrid>
      <w:tr>
        <w:tblPrEx>
          <w:tblW w:w="0" w:type="auto"/>
          <w:tblLook w:val="04A0"/>
        </w:tblPrEx>
        <w:tc>
          <w:tcPr>
            <w:tcW w:w="9350" w:type="dxa"/>
          </w:tcPr>
          <w:p w:rsidR="00037C7E">
            <w:pPr>
              <w:pStyle w:val="TblTxt-CoverPageI"/>
            </w:pPr>
            <w: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p>
        </w:tc>
      </w:tr>
    </w:tbl>
    <w:p w:rsidR="00037C7E">
      <w:pPr>
        <w:spacing w:after="1920"/>
      </w:pPr>
    </w:p>
    <w:p w:rsidR="00037C7E">
      <w:pPr>
        <w:pStyle w:val="PrelimNotesTitle-CIB"/>
      </w:pPr>
      <w:r>
        <w:t>Preliminary Notes</w:t>
      </w:r>
    </w:p>
    <w:p w:rsidR="00037C7E">
      <w:pPr>
        <w:pStyle w:val="BodyText-I"/>
      </w:pPr>
      <w:r>
        <w:t xml:space="preserve">An Investors' Rights Agreement can cover many different subjects. The most frequent are information rights, </w:t>
      </w:r>
      <w:r w:rsidR="00D82735">
        <w:t>registration</w:t>
      </w:r>
      <w:r>
        <w:t xml:space="preserve"> rights, contractual "rights of first offer" or "preemptive" rights (i.e., the right to purchase securities in subsequent equity financings conducted by the Company), and various post-closing covenants of the Company.</w:t>
      </w:r>
    </w:p>
    <w:p w:rsidR="00037C7E"/>
    <w:p w:rsidR="00037C7E">
      <w:pPr>
        <w:sectPr>
          <w:footerReference w:type="default" r:id="rId6"/>
          <w:footerReference w:type="first" r:id="rId7"/>
          <w:pgSz w:w="12240" w:h="15840" w:code="1"/>
          <w:pgMar w:top="1440" w:right="1440" w:bottom="1440" w:left="1440" w:header="720" w:footer="432" w:gutter="0"/>
          <w:pgNumType w:start="1"/>
          <w:cols w:space="720"/>
          <w:titlePg/>
          <w:docGrid w:linePitch="360"/>
        </w:sectPr>
      </w:pPr>
    </w:p>
    <w:p w:rsidR="00037C7E">
      <w:pPr>
        <w:pStyle w:val="TOCTitle-CU"/>
      </w:pPr>
      <w:r>
        <w:t>TABLE OF CONTENTS</w:t>
      </w:r>
    </w:p>
    <w:p w:rsidR="00037C7E">
      <w:pPr>
        <w:pStyle w:val="BodyText-I"/>
      </w:pPr>
      <w:r>
        <w:t xml:space="preserve">Note to Drafter: Section headings have been formatted to automatically populate the Table of Contents. However, when editing this document for your own use, the page numbers may change. In order to reflect the correct page numbers in the Table of Contents, you must "update page numbers" to the Table of Contents by </w:t>
      </w:r>
      <w:bookmarkStart w:id="1" w:name="DocXTextRef1"/>
      <w:r>
        <w:t>(1)</w:t>
      </w:r>
      <w:bookmarkEnd w:id="1"/>
      <w:r>
        <w:t xml:space="preserve"> right-clicking anywhere in the Table of Contents, and </w:t>
      </w:r>
      <w:bookmarkStart w:id="2" w:name="DocXTextRef2"/>
      <w:r>
        <w:t>(2)</w:t>
      </w:r>
      <w:bookmarkEnd w:id="2"/>
      <w:r>
        <w:t xml:space="preserve"> choose "update field," then "update page numbers only." If you add or delete section headings, follow step </w:t>
      </w:r>
      <w:bookmarkStart w:id="3" w:name="DocXTextRef3"/>
      <w:r>
        <w:t>(1)</w:t>
      </w:r>
      <w:bookmarkEnd w:id="3"/>
      <w:r>
        <w:t xml:space="preserve"> and </w:t>
      </w:r>
      <w:bookmarkStart w:id="4" w:name="DocXTextRef4"/>
      <w:r>
        <w:t>(2)</w:t>
      </w:r>
      <w:bookmarkEnd w:id="4"/>
      <w:r>
        <w:t xml:space="preserve"> above and choose "update entire table."</w:t>
      </w:r>
    </w:p>
    <w:p w:rsidR="00037C7E">
      <w:pPr>
        <w:jc w:val="right"/>
        <w:rPr>
          <w:szCs w:val="16"/>
        </w:rPr>
      </w:pPr>
      <w:r>
        <w:rPr>
          <w:szCs w:val="16"/>
          <w:u w:val="single"/>
        </w:rPr>
        <w:t>Page</w:t>
      </w:r>
    </w:p>
    <w:p w:rsidR="0079680D">
      <w:pPr>
        <w:pStyle w:val="TOC1"/>
        <w:rPr>
          <w:rFonts w:asciiTheme="minorHAnsi" w:eastAsiaTheme="minorEastAsia" w:hAnsiTheme="minorHAnsi"/>
          <w:sz w:val="22"/>
          <w:szCs w:val="22"/>
        </w:rPr>
      </w:pPr>
      <w:r>
        <w:rPr>
          <w:b/>
          <w:caps/>
          <w:szCs w:val="16"/>
        </w:rPr>
        <w:fldChar w:fldCharType="begin"/>
      </w:r>
      <w:r>
        <w:rPr>
          <w:szCs w:val="16"/>
        </w:rPr>
        <w:instrText xml:space="preserve"> TOC \h \z \t "Standard_L1,1,Standard_L2,2,Schedule_L1,9,Exhibit_L1,9" \n "9-9</w:instrText>
      </w:r>
      <w:r>
        <w:rPr>
          <w:b/>
          <w:caps/>
          <w:szCs w:val="16"/>
        </w:rPr>
        <w:fldChar w:fldCharType="separate"/>
      </w:r>
      <w:r>
        <w:fldChar w:fldCharType="begin"/>
      </w:r>
      <w:r>
        <w:instrText xml:space="preserve"> HYPERLINK \l "_Toc56499761" </w:instrText>
      </w:r>
      <w:r>
        <w:fldChar w:fldCharType="separate"/>
      </w:r>
      <w:r w:rsidRPr="008A4BE7">
        <w:rPr>
          <w:rStyle w:val="Hyperlink"/>
        </w:rPr>
        <w:t>1.</w:t>
      </w:r>
      <w:r>
        <w:rPr>
          <w:rFonts w:asciiTheme="minorHAnsi" w:eastAsiaTheme="minorEastAsia" w:hAnsiTheme="minorHAnsi"/>
          <w:sz w:val="22"/>
          <w:szCs w:val="22"/>
        </w:rPr>
        <w:tab/>
      </w:r>
      <w:r w:rsidRPr="008A4BE7">
        <w:rPr>
          <w:rStyle w:val="Hyperlink"/>
        </w:rPr>
        <w:t>Definitions</w:t>
      </w:r>
      <w:r w:rsidRPr="008A4BE7">
        <w:rPr>
          <w:rStyle w:val="Hyperlink"/>
          <w:snapToGrid w:val="0"/>
        </w:rPr>
        <w:t>.</w:t>
      </w:r>
      <w:r>
        <w:rPr>
          <w:webHidden/>
        </w:rPr>
        <w:tab/>
      </w:r>
      <w:r>
        <w:rPr>
          <w:webHidden/>
        </w:rPr>
        <w:fldChar w:fldCharType="begin"/>
      </w:r>
      <w:r>
        <w:rPr>
          <w:webHidden/>
        </w:rPr>
        <w:instrText xml:space="preserve"> PAGEREF _Toc56499761 \h </w:instrText>
      </w:r>
      <w:r>
        <w:rPr>
          <w:webHidden/>
        </w:rPr>
        <w:fldChar w:fldCharType="separate"/>
      </w:r>
      <w:r>
        <w:rPr>
          <w:webHidden/>
        </w:rPr>
        <w:t>2</w:t>
      </w:r>
      <w:r>
        <w:rPr>
          <w:webHidden/>
        </w:rPr>
        <w:fldChar w:fldCharType="end"/>
      </w:r>
      <w:r>
        <w:fldChar w:fldCharType="end"/>
      </w:r>
    </w:p>
    <w:p w:rsidR="0079680D">
      <w:pPr>
        <w:pStyle w:val="TOC1"/>
        <w:rPr>
          <w:rFonts w:asciiTheme="minorHAnsi" w:eastAsiaTheme="minorEastAsia" w:hAnsiTheme="minorHAnsi"/>
          <w:sz w:val="22"/>
          <w:szCs w:val="22"/>
        </w:rPr>
      </w:pPr>
      <w:r>
        <w:fldChar w:fldCharType="begin"/>
      </w:r>
      <w:r>
        <w:instrText xml:space="preserve"> HYPERLINK \l "_Toc56499762" </w:instrText>
      </w:r>
      <w:r>
        <w:fldChar w:fldCharType="separate"/>
      </w:r>
      <w:r w:rsidRPr="008A4BE7">
        <w:rPr>
          <w:rStyle w:val="Hyperlink"/>
        </w:rPr>
        <w:t>2.</w:t>
      </w:r>
      <w:r>
        <w:rPr>
          <w:rFonts w:asciiTheme="minorHAnsi" w:eastAsiaTheme="minorEastAsia" w:hAnsiTheme="minorHAnsi"/>
          <w:sz w:val="22"/>
          <w:szCs w:val="22"/>
        </w:rPr>
        <w:tab/>
      </w:r>
      <w:r w:rsidRPr="008A4BE7">
        <w:rPr>
          <w:rStyle w:val="Hyperlink"/>
        </w:rPr>
        <w:t>Registration Rights</w:t>
      </w:r>
      <w:r>
        <w:rPr>
          <w:webHidden/>
        </w:rPr>
        <w:tab/>
      </w:r>
      <w:r>
        <w:rPr>
          <w:webHidden/>
        </w:rPr>
        <w:fldChar w:fldCharType="begin"/>
      </w:r>
      <w:r>
        <w:rPr>
          <w:webHidden/>
        </w:rPr>
        <w:instrText xml:space="preserve"> PAGEREF _Toc56499762 \h </w:instrText>
      </w:r>
      <w:r>
        <w:rPr>
          <w:webHidden/>
        </w:rPr>
        <w:fldChar w:fldCharType="separate"/>
      </w:r>
      <w:r>
        <w:rPr>
          <w:webHidden/>
        </w:rPr>
        <w:t>6</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"_Toc56499763" </w:instrText>
      </w:r>
      <w:r>
        <w:fldChar w:fldCharType="separate"/>
      </w:r>
      <w:r w:rsidRPr="008A4BE7">
        <w:rPr>
          <w:rStyle w:val="Hyperlink"/>
        </w:rPr>
        <w:t>2.1</w:t>
      </w:r>
      <w:r>
        <w:rPr>
          <w:rFonts w:asciiTheme="minorHAnsi" w:eastAsiaTheme="minorEastAsia" w:hAnsiTheme="minorHAnsi"/>
          <w:sz w:val="22"/>
          <w:szCs w:val="22"/>
        </w:rPr>
        <w:tab/>
      </w:r>
      <w:r w:rsidRPr="008A4BE7">
        <w:rPr>
          <w:rStyle w:val="Hyperlink"/>
        </w:rPr>
        <w:t>Demand Registration</w:t>
      </w:r>
      <w:r w:rsidRPr="008A4BE7">
        <w:rPr>
          <w:rStyle w:val="Hyperlink"/>
          <w:snapToGrid w:val="0"/>
        </w:rPr>
        <w:t>.</w:t>
      </w:r>
      <w:r>
        <w:rPr>
          <w:webHidden/>
        </w:rPr>
        <w:tab/>
      </w:r>
      <w:r>
        <w:rPr>
          <w:webHidden/>
        </w:rPr>
        <w:fldChar w:fldCharType="begin"/>
      </w:r>
      <w:r>
        <w:rPr>
          <w:webHidden/>
        </w:rPr>
        <w:instrText xml:space="preserve"> PAGEREF _Toc56499763 \h </w:instrText>
      </w:r>
      <w:r>
        <w:rPr>
          <w:webHidden/>
        </w:rPr>
        <w:fldChar w:fldCharType="separate"/>
      </w:r>
      <w:r>
        <w:rPr>
          <w:webHidden/>
        </w:rPr>
        <w:t>7</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"_Toc56499764" </w:instrText>
      </w:r>
      <w:r>
        <w:fldChar w:fldCharType="separate"/>
      </w:r>
      <w:r w:rsidRPr="008A4BE7">
        <w:rPr>
          <w:rStyle w:val="Hyperlink"/>
        </w:rPr>
        <w:t>2.2</w:t>
      </w:r>
      <w:r>
        <w:rPr>
          <w:rFonts w:asciiTheme="minorHAnsi" w:eastAsiaTheme="minorEastAsia" w:hAnsiTheme="minorHAnsi"/>
          <w:sz w:val="22"/>
          <w:szCs w:val="22"/>
        </w:rPr>
        <w:tab/>
      </w:r>
      <w:r w:rsidRPr="008A4BE7">
        <w:rPr>
          <w:rStyle w:val="Hyperlink"/>
        </w:rPr>
        <w:t>Company Registration</w:t>
      </w:r>
      <w:r w:rsidRPr="008A4BE7">
        <w:rPr>
          <w:rStyle w:val="Hyperlink"/>
          <w:snapToGrid w:val="0"/>
        </w:rPr>
        <w:t>.</w:t>
      </w:r>
      <w:r>
        <w:rPr>
          <w:webHidden/>
        </w:rPr>
        <w:tab/>
      </w:r>
      <w:r>
        <w:rPr>
          <w:webHidden/>
        </w:rPr>
        <w:fldChar w:fldCharType="begin"/>
      </w:r>
      <w:r>
        <w:rPr>
          <w:webHidden/>
        </w:rPr>
        <w:instrText xml:space="preserve"> PAGEREF _Toc56499764 \h </w:instrText>
      </w:r>
      <w:r>
        <w:rPr>
          <w:webHidden/>
        </w:rPr>
        <w:fldChar w:fldCharType="separate"/>
      </w:r>
      <w:r>
        <w:rPr>
          <w:webHidden/>
        </w:rPr>
        <w:t>10</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"_Toc56499765" </w:instrText>
      </w:r>
      <w:r>
        <w:fldChar w:fldCharType="separate"/>
      </w:r>
      <w:r w:rsidRPr="008A4BE7">
        <w:rPr>
          <w:rStyle w:val="Hyperlink"/>
        </w:rPr>
        <w:t>2.3</w:t>
      </w:r>
      <w:r>
        <w:rPr>
          <w:rFonts w:asciiTheme="minorHAnsi" w:eastAsiaTheme="minorEastAsia" w:hAnsiTheme="minorHAnsi"/>
          <w:sz w:val="22"/>
          <w:szCs w:val="22"/>
        </w:rPr>
        <w:tab/>
      </w:r>
      <w:r w:rsidRPr="008A4BE7">
        <w:rPr>
          <w:rStyle w:val="Hyperlink"/>
        </w:rPr>
        <w:t>Underwriting Requirements</w:t>
      </w:r>
      <w:r w:rsidRPr="008A4BE7">
        <w:rPr>
          <w:rStyle w:val="Hyperlink"/>
          <w:snapToGrid w:val="0"/>
        </w:rPr>
        <w:t>.</w:t>
      </w:r>
      <w:r>
        <w:rPr>
          <w:webHidden/>
        </w:rPr>
        <w:tab/>
      </w:r>
      <w:r>
        <w:rPr>
          <w:webHidden/>
        </w:rPr>
        <w:fldChar w:fldCharType="begin"/>
      </w:r>
      <w:r>
        <w:rPr>
          <w:webHidden/>
        </w:rPr>
        <w:instrText xml:space="preserve"> PAGEREF _Toc56499765 \h </w:instrText>
      </w:r>
      <w:r>
        <w:rPr>
          <w:webHidden/>
        </w:rPr>
        <w:fldChar w:fldCharType="separate"/>
      </w:r>
      <w:r>
        <w:rPr>
          <w:webHidden/>
        </w:rPr>
        <w:t>10</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"_Toc56499766" </w:instrText>
      </w:r>
      <w:r>
        <w:fldChar w:fldCharType="separate"/>
      </w:r>
      <w:r w:rsidRPr="008A4BE7">
        <w:rPr>
          <w:rStyle w:val="Hyperlink"/>
        </w:rPr>
        <w:t>2.4</w:t>
      </w:r>
      <w:r>
        <w:rPr>
          <w:rFonts w:asciiTheme="minorHAnsi" w:eastAsiaTheme="minorEastAsia" w:hAnsiTheme="minorHAnsi"/>
          <w:sz w:val="22"/>
          <w:szCs w:val="22"/>
        </w:rPr>
        <w:tab/>
      </w:r>
      <w:r w:rsidRPr="008A4BE7">
        <w:rPr>
          <w:rStyle w:val="Hyperlink"/>
        </w:rPr>
        <w:t>Obligations of the Company</w:t>
      </w:r>
      <w:r w:rsidRPr="008A4BE7">
        <w:rPr>
          <w:rStyle w:val="Hyperlink"/>
          <w:snapToGrid w:val="0"/>
        </w:rPr>
        <w:t>.</w:t>
      </w:r>
      <w:r>
        <w:rPr>
          <w:webHidden/>
        </w:rPr>
        <w:tab/>
      </w:r>
      <w:r>
        <w:rPr>
          <w:webHidden/>
        </w:rPr>
        <w:fldChar w:fldCharType="begin"/>
      </w:r>
      <w:r>
        <w:rPr>
          <w:webHidden/>
        </w:rPr>
        <w:instrText xml:space="preserve"> PAGEREF _Toc56499766 \h </w:instrText>
      </w:r>
      <w:r>
        <w:rPr>
          <w:webHidden/>
        </w:rPr>
        <w:fldChar w:fldCharType="separate"/>
      </w:r>
      <w:r>
        <w:rPr>
          <w:webHidden/>
        </w:rPr>
        <w:t>12</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"_Toc56499767" </w:instrText>
      </w:r>
      <w:r>
        <w:fldChar w:fldCharType="separate"/>
      </w:r>
      <w:r w:rsidRPr="008A4BE7">
        <w:rPr>
          <w:rStyle w:val="Hyperlink"/>
        </w:rPr>
        <w:t>2.5</w:t>
      </w:r>
      <w:r>
        <w:rPr>
          <w:rFonts w:asciiTheme="minorHAnsi" w:eastAsiaTheme="minorEastAsia" w:hAnsiTheme="minorHAnsi"/>
          <w:sz w:val="22"/>
          <w:szCs w:val="22"/>
        </w:rPr>
        <w:tab/>
      </w:r>
      <w:r w:rsidRPr="008A4BE7">
        <w:rPr>
          <w:rStyle w:val="Hyperlink"/>
        </w:rPr>
        <w:t>Furnish Information</w:t>
      </w:r>
      <w:r w:rsidRPr="008A4BE7">
        <w:rPr>
          <w:rStyle w:val="Hyperlink"/>
          <w:snapToGrid w:val="0"/>
        </w:rPr>
        <w:t>.</w:t>
      </w:r>
      <w:r>
        <w:rPr>
          <w:webHidden/>
        </w:rPr>
        <w:tab/>
      </w:r>
      <w:r>
        <w:rPr>
          <w:webHidden/>
        </w:rPr>
        <w:fldChar w:fldCharType="begin"/>
      </w:r>
      <w:r>
        <w:rPr>
          <w:webHidden/>
        </w:rPr>
        <w:instrText xml:space="preserve"> PAGEREF _Toc56499767 \h </w:instrText>
      </w:r>
      <w:r>
        <w:rPr>
          <w:webHidden/>
        </w:rPr>
        <w:fldChar w:fldCharType="separate"/>
      </w:r>
      <w:r>
        <w:rPr>
          <w:webHidden/>
        </w:rPr>
        <w:t>14</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"_Toc56499768" </w:instrText>
      </w:r>
      <w:r>
        <w:fldChar w:fldCharType="separate"/>
      </w:r>
      <w:r w:rsidRPr="008A4BE7">
        <w:rPr>
          <w:rStyle w:val="Hyperlink"/>
        </w:rPr>
        <w:t>2.6</w:t>
      </w:r>
      <w:r>
        <w:rPr>
          <w:rFonts w:asciiTheme="minorHAnsi" w:eastAsiaTheme="minorEastAsia" w:hAnsiTheme="minorHAnsi"/>
          <w:sz w:val="22"/>
          <w:szCs w:val="22"/>
        </w:rPr>
        <w:tab/>
      </w:r>
      <w:r w:rsidRPr="008A4BE7">
        <w:rPr>
          <w:rStyle w:val="Hyperlink"/>
        </w:rPr>
        <w:t>Expenses of Registration</w:t>
      </w:r>
      <w:r w:rsidRPr="008A4BE7">
        <w:rPr>
          <w:rStyle w:val="Hyperlink"/>
          <w:snapToGrid w:val="0"/>
        </w:rPr>
        <w:t>.</w:t>
      </w:r>
      <w:r>
        <w:rPr>
          <w:webHidden/>
        </w:rPr>
        <w:tab/>
      </w:r>
      <w:r>
        <w:rPr>
          <w:webHidden/>
        </w:rPr>
        <w:fldChar w:fldCharType="begin"/>
      </w:r>
      <w:r>
        <w:rPr>
          <w:webHidden/>
        </w:rPr>
        <w:instrText xml:space="preserve"> PAGEREF _Toc56499768 \h </w:instrText>
      </w:r>
      <w:r>
        <w:rPr>
          <w:webHidden/>
        </w:rPr>
        <w:fldChar w:fldCharType="separate"/>
      </w:r>
      <w:r>
        <w:rPr>
          <w:webHidden/>
        </w:rPr>
        <w:t>14</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"_Toc56499769" </w:instrText>
      </w:r>
      <w:r>
        <w:fldChar w:fldCharType="separate"/>
      </w:r>
      <w:r w:rsidRPr="008A4BE7">
        <w:rPr>
          <w:rStyle w:val="Hyperlink"/>
        </w:rPr>
        <w:t>2.7</w:t>
      </w:r>
      <w:r>
        <w:rPr>
          <w:rFonts w:asciiTheme="minorHAnsi" w:eastAsiaTheme="minorEastAsia" w:hAnsiTheme="minorHAnsi"/>
          <w:sz w:val="22"/>
          <w:szCs w:val="22"/>
        </w:rPr>
        <w:tab/>
      </w:r>
      <w:r w:rsidRPr="008A4BE7">
        <w:rPr>
          <w:rStyle w:val="Hyperlink"/>
        </w:rPr>
        <w:t>Delay of Registration</w:t>
      </w:r>
      <w:r w:rsidRPr="008A4BE7">
        <w:rPr>
          <w:rStyle w:val="Hyperlink"/>
          <w:snapToGrid w:val="0"/>
        </w:rPr>
        <w:t>.</w:t>
      </w:r>
      <w:r>
        <w:rPr>
          <w:webHidden/>
        </w:rPr>
        <w:tab/>
      </w:r>
      <w:r>
        <w:rPr>
          <w:webHidden/>
        </w:rPr>
        <w:fldChar w:fldCharType="begin"/>
      </w:r>
      <w:r>
        <w:rPr>
          <w:webHidden/>
        </w:rPr>
        <w:instrText xml:space="preserve"> PAGEREF _Toc56499769 \h </w:instrText>
      </w:r>
      <w:r>
        <w:rPr>
          <w:webHidden/>
        </w:rPr>
        <w:fldChar w:fldCharType="separate"/>
      </w:r>
      <w:r>
        <w:rPr>
          <w:webHidden/>
        </w:rPr>
        <w:t>14</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"_Toc56499770" </w:instrText>
      </w:r>
      <w:r>
        <w:fldChar w:fldCharType="separate"/>
      </w:r>
      <w:r w:rsidRPr="008A4BE7">
        <w:rPr>
          <w:rStyle w:val="Hyperlink"/>
        </w:rPr>
        <w:t>2.8</w:t>
      </w:r>
      <w:r>
        <w:rPr>
          <w:rFonts w:asciiTheme="minorHAnsi" w:eastAsiaTheme="minorEastAsia" w:hAnsiTheme="minorHAnsi"/>
          <w:sz w:val="22"/>
          <w:szCs w:val="22"/>
        </w:rPr>
        <w:tab/>
      </w:r>
      <w:r w:rsidRPr="008A4BE7">
        <w:rPr>
          <w:rStyle w:val="Hyperlink"/>
        </w:rPr>
        <w:t>Indemnification</w:t>
      </w:r>
      <w:r w:rsidRPr="008A4BE7">
        <w:rPr>
          <w:rStyle w:val="Hyperlink"/>
          <w:snapToGrid w:val="0"/>
        </w:rPr>
        <w:t>.</w:t>
      </w:r>
      <w:r>
        <w:rPr>
          <w:webHidden/>
        </w:rPr>
        <w:tab/>
      </w:r>
      <w:r>
        <w:rPr>
          <w:webHidden/>
        </w:rPr>
        <w:fldChar w:fldCharType="begin"/>
      </w:r>
      <w:r>
        <w:rPr>
          <w:webHidden/>
        </w:rPr>
        <w:instrText xml:space="preserve"> PAGEREF _Toc56499770 \h </w:instrText>
      </w:r>
      <w:r>
        <w:rPr>
          <w:webHidden/>
        </w:rPr>
        <w:fldChar w:fldCharType="separate"/>
      </w:r>
      <w:r>
        <w:rPr>
          <w:webHidden/>
        </w:rPr>
        <w:t>15</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"_Toc56499771" </w:instrText>
      </w:r>
      <w:r>
        <w:fldChar w:fldCharType="separate"/>
      </w:r>
      <w:r w:rsidRPr="008A4BE7">
        <w:rPr>
          <w:rStyle w:val="Hyperlink"/>
        </w:rPr>
        <w:t>2.9</w:t>
      </w:r>
      <w:r>
        <w:rPr>
          <w:rFonts w:asciiTheme="minorHAnsi" w:eastAsiaTheme="minorEastAsia" w:hAnsiTheme="minorHAnsi"/>
          <w:sz w:val="22"/>
          <w:szCs w:val="22"/>
        </w:rPr>
        <w:tab/>
      </w:r>
      <w:r w:rsidRPr="008A4BE7">
        <w:rPr>
          <w:rStyle w:val="Hyperlink"/>
        </w:rPr>
        <w:t>Resale of Securities</w:t>
      </w:r>
      <w:r w:rsidRPr="008A4BE7">
        <w:rPr>
          <w:rStyle w:val="Hyperlink"/>
          <w:snapToGrid w:val="0"/>
        </w:rPr>
        <w:t>.</w:t>
      </w:r>
      <w:r>
        <w:rPr>
          <w:webHidden/>
        </w:rPr>
        <w:tab/>
      </w:r>
      <w:r>
        <w:rPr>
          <w:webHidden/>
        </w:rPr>
        <w:fldChar w:fldCharType="begin"/>
      </w:r>
      <w:r>
        <w:rPr>
          <w:webHidden/>
        </w:rPr>
        <w:instrText xml:space="preserve"> PAGEREF _Toc56499771 \h </w:instrText>
      </w:r>
      <w:r>
        <w:rPr>
          <w:webHidden/>
        </w:rPr>
        <w:fldChar w:fldCharType="separate"/>
      </w:r>
      <w:r>
        <w:rPr>
          <w:webHidden/>
        </w:rPr>
        <w:t>17</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"_Toc56499772" </w:instrText>
      </w:r>
      <w:r>
        <w:fldChar w:fldCharType="separate"/>
      </w:r>
      <w:r w:rsidRPr="008A4BE7">
        <w:rPr>
          <w:rStyle w:val="Hyperlink"/>
        </w:rPr>
        <w:t>2.10</w:t>
      </w:r>
      <w:r>
        <w:rPr>
          <w:rFonts w:asciiTheme="minorHAnsi" w:eastAsiaTheme="minorEastAsia" w:hAnsiTheme="minorHAnsi"/>
          <w:sz w:val="22"/>
          <w:szCs w:val="22"/>
        </w:rPr>
        <w:tab/>
      </w:r>
      <w:r w:rsidRPr="008A4BE7">
        <w:rPr>
          <w:rStyle w:val="Hyperlink"/>
        </w:rPr>
        <w:t>Limitations on Subsequent Registration Rights</w:t>
      </w:r>
      <w:r w:rsidRPr="008A4BE7">
        <w:rPr>
          <w:rStyle w:val="Hyperlink"/>
          <w:snapToGrid w:val="0"/>
        </w:rPr>
        <w:t>.</w:t>
      </w:r>
      <w:r>
        <w:rPr>
          <w:webHidden/>
        </w:rPr>
        <w:tab/>
      </w:r>
      <w:r>
        <w:rPr>
          <w:webHidden/>
        </w:rPr>
        <w:fldChar w:fldCharType="begin"/>
      </w:r>
      <w:r>
        <w:rPr>
          <w:webHidden/>
        </w:rPr>
        <w:instrText xml:space="preserve"> PAGEREF _Toc56499772 \h </w:instrText>
      </w:r>
      <w:r>
        <w:rPr>
          <w:webHidden/>
        </w:rPr>
        <w:fldChar w:fldCharType="separate"/>
      </w:r>
      <w:r>
        <w:rPr>
          <w:webHidden/>
        </w:rPr>
        <w:t>18</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"_Toc56499773" </w:instrText>
      </w:r>
      <w:r>
        <w:fldChar w:fldCharType="separate"/>
      </w:r>
      <w:r w:rsidRPr="008A4BE7">
        <w:rPr>
          <w:rStyle w:val="Hyperlink"/>
        </w:rPr>
        <w:t>2.11</w:t>
      </w:r>
      <w:r>
        <w:rPr>
          <w:rFonts w:asciiTheme="minorHAnsi" w:eastAsiaTheme="minorEastAsia" w:hAnsiTheme="minorHAnsi"/>
          <w:sz w:val="22"/>
          <w:szCs w:val="22"/>
        </w:rPr>
        <w:tab/>
      </w:r>
      <w:r w:rsidRPr="008A4BE7">
        <w:rPr>
          <w:rStyle w:val="Hyperlink"/>
        </w:rPr>
        <w:t>"Market Stand</w:t>
      </w:r>
      <w:r w:rsidRPr="008A4BE7">
        <w:rPr>
          <w:rStyle w:val="Hyperlink"/>
        </w:rPr>
        <w:noBreakHyphen/>
        <w:t>off" Agreement</w:t>
      </w:r>
      <w:r w:rsidRPr="008A4BE7">
        <w:rPr>
          <w:rStyle w:val="Hyperlink"/>
          <w:snapToGrid w:val="0"/>
        </w:rPr>
        <w:t>.</w:t>
      </w:r>
      <w:r>
        <w:rPr>
          <w:webHidden/>
        </w:rPr>
        <w:tab/>
      </w:r>
      <w:r>
        <w:rPr>
          <w:webHidden/>
        </w:rPr>
        <w:fldChar w:fldCharType="begin"/>
      </w:r>
      <w:r>
        <w:rPr>
          <w:webHidden/>
        </w:rPr>
        <w:instrText xml:space="preserve"> PAGEREF _Toc56499773 \h </w:instrText>
      </w:r>
      <w:r>
        <w:rPr>
          <w:webHidden/>
        </w:rPr>
        <w:fldChar w:fldCharType="separate"/>
      </w:r>
      <w:r>
        <w:rPr>
          <w:webHidden/>
        </w:rPr>
        <w:t>18</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"_Toc56499774" </w:instrText>
      </w:r>
      <w:r>
        <w:fldChar w:fldCharType="separate"/>
      </w:r>
      <w:r w:rsidRPr="008A4BE7">
        <w:rPr>
          <w:rStyle w:val="Hyperlink"/>
        </w:rPr>
        <w:t>2.12</w:t>
      </w:r>
      <w:r>
        <w:rPr>
          <w:rFonts w:asciiTheme="minorHAnsi" w:eastAsiaTheme="minorEastAsia" w:hAnsiTheme="minorHAnsi"/>
          <w:sz w:val="22"/>
          <w:szCs w:val="22"/>
        </w:rPr>
        <w:tab/>
      </w:r>
      <w:r w:rsidRPr="008A4BE7">
        <w:rPr>
          <w:rStyle w:val="Hyperlink"/>
        </w:rPr>
        <w:t>Restrictions on Transfer</w:t>
      </w:r>
      <w:r w:rsidRPr="008A4BE7">
        <w:rPr>
          <w:rStyle w:val="Hyperlink"/>
          <w:snapToGrid w:val="0"/>
        </w:rPr>
        <w:t>.</w:t>
      </w:r>
      <w:r>
        <w:rPr>
          <w:webHidden/>
        </w:rPr>
        <w:tab/>
      </w:r>
      <w:r>
        <w:rPr>
          <w:webHidden/>
        </w:rPr>
        <w:fldChar w:fldCharType="begin"/>
      </w:r>
      <w:r>
        <w:rPr>
          <w:webHidden/>
        </w:rPr>
        <w:instrText xml:space="preserve"> PAGEREF _Toc56499774 \h </w:instrText>
      </w:r>
      <w:r>
        <w:rPr>
          <w:webHidden/>
        </w:rPr>
        <w:fldChar w:fldCharType="separate"/>
      </w:r>
      <w:r>
        <w:rPr>
          <w:webHidden/>
        </w:rPr>
        <w:t>20</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"_Toc56499775" </w:instrText>
      </w:r>
      <w:r>
        <w:fldChar w:fldCharType="separate"/>
      </w:r>
      <w:r w:rsidRPr="008A4BE7">
        <w:rPr>
          <w:rStyle w:val="Hyperlink"/>
        </w:rPr>
        <w:t>2.13</w:t>
      </w:r>
      <w:r>
        <w:rPr>
          <w:rFonts w:asciiTheme="minorHAnsi" w:eastAsiaTheme="minorEastAsia" w:hAnsiTheme="minorHAnsi"/>
          <w:sz w:val="22"/>
          <w:szCs w:val="22"/>
        </w:rPr>
        <w:tab/>
      </w:r>
      <w:r w:rsidRPr="008A4BE7">
        <w:rPr>
          <w:rStyle w:val="Hyperlink"/>
        </w:rPr>
        <w:t>Termination of Registration Rights</w:t>
      </w:r>
      <w:r w:rsidRPr="008A4BE7">
        <w:rPr>
          <w:rStyle w:val="Hyperlink"/>
          <w:snapToGrid w:val="0"/>
        </w:rPr>
        <w:t>.</w:t>
      </w:r>
      <w:r>
        <w:rPr>
          <w:webHidden/>
        </w:rPr>
        <w:tab/>
      </w:r>
      <w:r>
        <w:rPr>
          <w:webHidden/>
        </w:rPr>
        <w:fldChar w:fldCharType="begin"/>
      </w:r>
      <w:r>
        <w:rPr>
          <w:webHidden/>
        </w:rPr>
        <w:instrText xml:space="preserve"> PAGEREF _Toc56499775 \h </w:instrText>
      </w:r>
      <w:r>
        <w:rPr>
          <w:webHidden/>
        </w:rPr>
        <w:fldChar w:fldCharType="separate"/>
      </w:r>
      <w:r>
        <w:rPr>
          <w:webHidden/>
        </w:rPr>
        <w:t>22</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"_Toc56499776" </w:instrText>
      </w:r>
      <w:r>
        <w:fldChar w:fldCharType="separate"/>
      </w:r>
      <w:r w:rsidRPr="008A4BE7">
        <w:rPr>
          <w:rStyle w:val="Hyperlink"/>
        </w:rPr>
        <w:t>2.14</w:t>
      </w:r>
      <w:r>
        <w:rPr>
          <w:rFonts w:asciiTheme="minorHAnsi" w:eastAsiaTheme="minorEastAsia" w:hAnsiTheme="minorHAnsi"/>
          <w:sz w:val="22"/>
          <w:szCs w:val="22"/>
        </w:rPr>
        <w:tab/>
      </w:r>
      <w:r w:rsidRPr="008A4BE7">
        <w:rPr>
          <w:rStyle w:val="Hyperlink"/>
        </w:rPr>
        <w:t>Additional Rights - Canada</w:t>
      </w:r>
      <w:r>
        <w:rPr>
          <w:webHidden/>
        </w:rPr>
        <w:tab/>
      </w:r>
      <w:r>
        <w:rPr>
          <w:webHidden/>
        </w:rPr>
        <w:fldChar w:fldCharType="begin"/>
      </w:r>
      <w:r>
        <w:rPr>
          <w:webHidden/>
        </w:rPr>
        <w:instrText xml:space="preserve"> PAGEREF _Toc56499776 \h </w:instrText>
      </w:r>
      <w:r>
        <w:rPr>
          <w:webHidden/>
        </w:rPr>
        <w:fldChar w:fldCharType="separate"/>
      </w:r>
      <w:r>
        <w:rPr>
          <w:webHidden/>
        </w:rPr>
        <w:t>23</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"_Toc56499777" </w:instrText>
      </w:r>
      <w:r>
        <w:fldChar w:fldCharType="separate"/>
      </w:r>
      <w:r w:rsidRPr="008A4BE7">
        <w:rPr>
          <w:rStyle w:val="Hyperlink"/>
        </w:rPr>
        <w:t>2.15</w:t>
      </w:r>
      <w:r>
        <w:rPr>
          <w:rFonts w:asciiTheme="minorHAnsi" w:eastAsiaTheme="minorEastAsia" w:hAnsiTheme="minorHAnsi"/>
          <w:sz w:val="22"/>
          <w:szCs w:val="22"/>
        </w:rPr>
        <w:tab/>
      </w:r>
      <w:r w:rsidRPr="008A4BE7">
        <w:rPr>
          <w:rStyle w:val="Hyperlink"/>
        </w:rPr>
        <w:t>Additional Rights – United States</w:t>
      </w:r>
      <w:r>
        <w:rPr>
          <w:webHidden/>
        </w:rPr>
        <w:tab/>
      </w:r>
      <w:r>
        <w:rPr>
          <w:webHidden/>
        </w:rPr>
        <w:fldChar w:fldCharType="begin"/>
      </w:r>
      <w:r>
        <w:rPr>
          <w:webHidden/>
        </w:rPr>
        <w:instrText xml:space="preserve"> PAGEREF _Toc56499777 \h </w:instrText>
      </w:r>
      <w:r>
        <w:rPr>
          <w:webHidden/>
        </w:rPr>
        <w:fldChar w:fldCharType="separate"/>
      </w:r>
      <w:r>
        <w:rPr>
          <w:webHidden/>
        </w:rPr>
        <w:t>24</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"_Toc56499778" </w:instrText>
      </w:r>
      <w:r>
        <w:fldChar w:fldCharType="separate"/>
      </w:r>
      <w:r w:rsidRPr="008A4BE7">
        <w:rPr>
          <w:rStyle w:val="Hyperlink"/>
        </w:rPr>
        <w:t>2.16</w:t>
      </w:r>
      <w:r>
        <w:rPr>
          <w:rFonts w:asciiTheme="minorHAnsi" w:eastAsiaTheme="minorEastAsia" w:hAnsiTheme="minorHAnsi"/>
          <w:sz w:val="22"/>
          <w:szCs w:val="22"/>
        </w:rPr>
        <w:tab/>
      </w:r>
      <w:r w:rsidRPr="008A4BE7">
        <w:rPr>
          <w:rStyle w:val="Hyperlink"/>
        </w:rPr>
        <w:t>Jurisdictional Limitations.</w:t>
      </w:r>
      <w:r>
        <w:rPr>
          <w:webHidden/>
        </w:rPr>
        <w:tab/>
      </w:r>
      <w:r>
        <w:rPr>
          <w:webHidden/>
        </w:rPr>
        <w:fldChar w:fldCharType="begin"/>
      </w:r>
      <w:r>
        <w:rPr>
          <w:webHidden/>
        </w:rPr>
        <w:instrText xml:space="preserve"> PAGEREF _Toc56499778 \h </w:instrText>
      </w:r>
      <w:r>
        <w:rPr>
          <w:webHidden/>
        </w:rPr>
        <w:fldChar w:fldCharType="separate"/>
      </w:r>
      <w:r>
        <w:rPr>
          <w:webHidden/>
        </w:rPr>
        <w:t>25</w:t>
      </w:r>
      <w:r>
        <w:rPr>
          <w:webHidden/>
        </w:rPr>
        <w:fldChar w:fldCharType="end"/>
      </w:r>
      <w:r>
        <w:fldChar w:fldCharType="end"/>
      </w:r>
    </w:p>
    <w:p w:rsidR="0079680D">
      <w:pPr>
        <w:pStyle w:val="TOC1"/>
        <w:rPr>
          <w:rFonts w:asciiTheme="minorHAnsi" w:eastAsiaTheme="minorEastAsia" w:hAnsiTheme="minorHAnsi"/>
          <w:sz w:val="22"/>
          <w:szCs w:val="22"/>
        </w:rPr>
      </w:pPr>
      <w:r>
        <w:fldChar w:fldCharType="begin"/>
      </w:r>
      <w:r>
        <w:instrText xml:space="preserve"> HYPERLINK \l "_Toc56499779" </w:instrText>
      </w:r>
      <w:r>
        <w:fldChar w:fldCharType="separate"/>
      </w:r>
      <w:r w:rsidRPr="008A4BE7">
        <w:rPr>
          <w:rStyle w:val="Hyperlink"/>
        </w:rPr>
        <w:t>3.</w:t>
      </w:r>
      <w:r>
        <w:rPr>
          <w:rFonts w:asciiTheme="minorHAnsi" w:eastAsiaTheme="minorEastAsia" w:hAnsiTheme="minorHAnsi"/>
          <w:sz w:val="22"/>
          <w:szCs w:val="22"/>
        </w:rPr>
        <w:tab/>
      </w:r>
      <w:r w:rsidRPr="008A4BE7">
        <w:rPr>
          <w:rStyle w:val="Hyperlink"/>
        </w:rPr>
        <w:t>Information and Observer Rights</w:t>
      </w:r>
      <w:r w:rsidRPr="008A4BE7">
        <w:rPr>
          <w:rStyle w:val="Hyperlink"/>
          <w:snapToGrid w:val="0"/>
        </w:rPr>
        <w:t>.</w:t>
      </w:r>
      <w:r>
        <w:rPr>
          <w:webHidden/>
        </w:rPr>
        <w:tab/>
      </w:r>
      <w:r>
        <w:rPr>
          <w:webHidden/>
        </w:rPr>
        <w:fldChar w:fldCharType="begin"/>
      </w:r>
      <w:r>
        <w:rPr>
          <w:webHidden/>
        </w:rPr>
        <w:instrText xml:space="preserve"> PAGEREF _Toc56499779 \h </w:instrText>
      </w:r>
      <w:r>
        <w:rPr>
          <w:webHidden/>
        </w:rPr>
        <w:fldChar w:fldCharType="separate"/>
      </w:r>
      <w:r>
        <w:rPr>
          <w:webHidden/>
        </w:rPr>
        <w:t>25</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"_Toc56499780" </w:instrText>
      </w:r>
      <w:r>
        <w:fldChar w:fldCharType="separate"/>
      </w:r>
      <w:r w:rsidRPr="008A4BE7">
        <w:rPr>
          <w:rStyle w:val="Hyperlink"/>
        </w:rPr>
        <w:t>3.1</w:t>
      </w:r>
      <w:r>
        <w:rPr>
          <w:rFonts w:asciiTheme="minorHAnsi" w:eastAsiaTheme="minorEastAsia" w:hAnsiTheme="minorHAnsi"/>
          <w:sz w:val="22"/>
          <w:szCs w:val="22"/>
        </w:rPr>
        <w:tab/>
      </w:r>
      <w:r w:rsidRPr="008A4BE7">
        <w:rPr>
          <w:rStyle w:val="Hyperlink"/>
        </w:rPr>
        <w:t>Delivery of Financial Statements</w:t>
      </w:r>
      <w:r w:rsidRPr="008A4BE7">
        <w:rPr>
          <w:rStyle w:val="Hyperlink"/>
          <w:snapToGrid w:val="0"/>
        </w:rPr>
        <w:t>.</w:t>
      </w:r>
      <w:r>
        <w:rPr>
          <w:webHidden/>
        </w:rPr>
        <w:tab/>
      </w:r>
      <w:r>
        <w:rPr>
          <w:webHidden/>
        </w:rPr>
        <w:fldChar w:fldCharType="begin"/>
      </w:r>
      <w:r>
        <w:rPr>
          <w:webHidden/>
        </w:rPr>
        <w:instrText xml:space="preserve"> PAGEREF _Toc56499780 \h </w:instrText>
      </w:r>
      <w:r>
        <w:rPr>
          <w:webHidden/>
        </w:rPr>
        <w:fldChar w:fldCharType="separate"/>
      </w:r>
      <w:r>
        <w:rPr>
          <w:webHidden/>
        </w:rPr>
        <w:t>25</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"_Toc56499781" </w:instrText>
      </w:r>
      <w:r>
        <w:fldChar w:fldCharType="separate"/>
      </w:r>
      <w:r w:rsidRPr="008A4BE7">
        <w:rPr>
          <w:rStyle w:val="Hyperlink"/>
        </w:rPr>
        <w:t>3.2</w:t>
      </w:r>
      <w:r>
        <w:rPr>
          <w:rFonts w:asciiTheme="minorHAnsi" w:eastAsiaTheme="minorEastAsia" w:hAnsiTheme="minorHAnsi"/>
          <w:sz w:val="22"/>
          <w:szCs w:val="22"/>
        </w:rPr>
        <w:tab/>
      </w:r>
      <w:r w:rsidRPr="008A4BE7">
        <w:rPr>
          <w:rStyle w:val="Hyperlink"/>
        </w:rPr>
        <w:t>Inspection</w:t>
      </w:r>
      <w:r w:rsidRPr="008A4BE7">
        <w:rPr>
          <w:rStyle w:val="Hyperlink"/>
          <w:snapToGrid w:val="0"/>
        </w:rPr>
        <w:t>.</w:t>
      </w:r>
      <w:r>
        <w:rPr>
          <w:webHidden/>
        </w:rPr>
        <w:tab/>
      </w:r>
      <w:r>
        <w:rPr>
          <w:webHidden/>
        </w:rPr>
        <w:fldChar w:fldCharType="begin"/>
      </w:r>
      <w:r>
        <w:rPr>
          <w:webHidden/>
        </w:rPr>
        <w:instrText xml:space="preserve"> PAGEREF _Toc56499781 \h </w:instrText>
      </w:r>
      <w:r>
        <w:rPr>
          <w:webHidden/>
        </w:rPr>
        <w:fldChar w:fldCharType="separate"/>
      </w:r>
      <w:r>
        <w:rPr>
          <w:webHidden/>
        </w:rPr>
        <w:t>27</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"_Toc56499782" </w:instrText>
      </w:r>
      <w:r>
        <w:fldChar w:fldCharType="separate"/>
      </w:r>
      <w:r w:rsidRPr="008A4BE7">
        <w:rPr>
          <w:rStyle w:val="Hyperlink"/>
        </w:rPr>
        <w:t>3.3</w:t>
      </w:r>
      <w:r>
        <w:rPr>
          <w:rFonts w:asciiTheme="minorHAnsi" w:eastAsiaTheme="minorEastAsia" w:hAnsiTheme="minorHAnsi"/>
          <w:sz w:val="22"/>
          <w:szCs w:val="22"/>
        </w:rPr>
        <w:tab/>
      </w:r>
      <w:r w:rsidRPr="008A4BE7">
        <w:rPr>
          <w:rStyle w:val="Hyperlink"/>
        </w:rPr>
        <w:t>[Observer Rights</w:t>
      </w:r>
      <w:r w:rsidRPr="008A4BE7">
        <w:rPr>
          <w:rStyle w:val="Hyperlink"/>
          <w:snapToGrid w:val="0"/>
        </w:rPr>
        <w:t>.</w:t>
      </w:r>
      <w:r>
        <w:rPr>
          <w:webHidden/>
        </w:rPr>
        <w:tab/>
      </w:r>
      <w:r>
        <w:rPr>
          <w:webHidden/>
        </w:rPr>
        <w:fldChar w:fldCharType="begin"/>
      </w:r>
      <w:r>
        <w:rPr>
          <w:webHidden/>
        </w:rPr>
        <w:instrText xml:space="preserve"> PAGEREF _Toc56499782 \h </w:instrText>
      </w:r>
      <w:r>
        <w:rPr>
          <w:webHidden/>
        </w:rPr>
        <w:fldChar w:fldCharType="separate"/>
      </w:r>
      <w:r>
        <w:rPr>
          <w:webHidden/>
        </w:rPr>
        <w:t>27</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"_Toc56499783" </w:instrText>
      </w:r>
      <w:r>
        <w:fldChar w:fldCharType="separate"/>
      </w:r>
      <w:r w:rsidRPr="008A4BE7">
        <w:rPr>
          <w:rStyle w:val="Hyperlink"/>
        </w:rPr>
        <w:t>3.4</w:t>
      </w:r>
      <w:r>
        <w:rPr>
          <w:rFonts w:asciiTheme="minorHAnsi" w:eastAsiaTheme="minorEastAsia" w:hAnsiTheme="minorHAnsi"/>
          <w:sz w:val="22"/>
          <w:szCs w:val="22"/>
        </w:rPr>
        <w:tab/>
      </w:r>
      <w:r w:rsidRPr="008A4BE7">
        <w:rPr>
          <w:rStyle w:val="Hyperlink"/>
        </w:rPr>
        <w:t>Termination of Information [and Observer Rights]</w:t>
      </w:r>
      <w:r w:rsidRPr="008A4BE7">
        <w:rPr>
          <w:rStyle w:val="Hyperlink"/>
          <w:snapToGrid w:val="0"/>
        </w:rPr>
        <w:t>.</w:t>
      </w:r>
      <w:r>
        <w:rPr>
          <w:webHidden/>
        </w:rPr>
        <w:tab/>
      </w:r>
      <w:r>
        <w:rPr>
          <w:webHidden/>
        </w:rPr>
        <w:fldChar w:fldCharType="begin"/>
      </w:r>
      <w:r>
        <w:rPr>
          <w:webHidden/>
        </w:rPr>
        <w:instrText xml:space="preserve"> PAGEREF _Toc56499783 \h </w:instrText>
      </w:r>
      <w:r>
        <w:rPr>
          <w:webHidden/>
        </w:rPr>
        <w:fldChar w:fldCharType="separate"/>
      </w:r>
      <w:r>
        <w:rPr>
          <w:webHidden/>
        </w:rPr>
        <w:t>28</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"_Toc56499784" </w:instrText>
      </w:r>
      <w:r>
        <w:fldChar w:fldCharType="separate"/>
      </w:r>
      <w:r w:rsidRPr="008A4BE7">
        <w:rPr>
          <w:rStyle w:val="Hyperlink"/>
        </w:rPr>
        <w:t>3.5</w:t>
      </w:r>
      <w:r>
        <w:rPr>
          <w:rFonts w:asciiTheme="minorHAnsi" w:eastAsiaTheme="minorEastAsia" w:hAnsiTheme="minorHAnsi"/>
          <w:sz w:val="22"/>
          <w:szCs w:val="22"/>
        </w:rPr>
        <w:tab/>
      </w:r>
      <w:r w:rsidRPr="008A4BE7">
        <w:rPr>
          <w:rStyle w:val="Hyperlink"/>
        </w:rPr>
        <w:t>Confidentiality</w:t>
      </w:r>
      <w:r w:rsidRPr="008A4BE7">
        <w:rPr>
          <w:rStyle w:val="Hyperlink"/>
          <w:snapToGrid w:val="0"/>
        </w:rPr>
        <w:t>.</w:t>
      </w:r>
      <w:r>
        <w:rPr>
          <w:webHidden/>
        </w:rPr>
        <w:tab/>
      </w:r>
      <w:r>
        <w:rPr>
          <w:webHidden/>
        </w:rPr>
        <w:fldChar w:fldCharType="begin"/>
      </w:r>
      <w:r>
        <w:rPr>
          <w:webHidden/>
        </w:rPr>
        <w:instrText xml:space="preserve"> PAGEREF _Toc56499784 \h </w:instrText>
      </w:r>
      <w:r>
        <w:rPr>
          <w:webHidden/>
        </w:rPr>
        <w:fldChar w:fldCharType="separate"/>
      </w:r>
      <w:r>
        <w:rPr>
          <w:webHidden/>
        </w:rPr>
        <w:t>28</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"_Toc56499785" </w:instrText>
      </w:r>
      <w:r>
        <w:fldChar w:fldCharType="separate"/>
      </w:r>
      <w:r w:rsidRPr="008A4BE7">
        <w:rPr>
          <w:rStyle w:val="Hyperlink"/>
        </w:rPr>
        <w:t>3.6</w:t>
      </w:r>
      <w:r>
        <w:rPr>
          <w:rFonts w:asciiTheme="minorHAnsi" w:eastAsiaTheme="minorEastAsia" w:hAnsiTheme="minorHAnsi"/>
          <w:sz w:val="22"/>
          <w:szCs w:val="22"/>
        </w:rPr>
        <w:tab/>
      </w:r>
      <w:r w:rsidRPr="008A4BE7">
        <w:rPr>
          <w:rStyle w:val="Hyperlink"/>
        </w:rPr>
        <w:t>Waiver of Statutory Information Rights</w:t>
      </w:r>
      <w:r w:rsidRPr="008A4BE7">
        <w:rPr>
          <w:rStyle w:val="Hyperlink"/>
          <w:snapToGrid w:val="0"/>
        </w:rPr>
        <w:t>.</w:t>
      </w:r>
      <w:r>
        <w:rPr>
          <w:webHidden/>
        </w:rPr>
        <w:tab/>
      </w:r>
      <w:r>
        <w:rPr>
          <w:webHidden/>
        </w:rPr>
        <w:fldChar w:fldCharType="begin"/>
      </w:r>
      <w:r>
        <w:rPr>
          <w:webHidden/>
        </w:rPr>
        <w:instrText xml:space="preserve"> PAGEREF _Toc56499785 \h </w:instrText>
      </w:r>
      <w:r>
        <w:rPr>
          <w:webHidden/>
        </w:rPr>
        <w:fldChar w:fldCharType="separate"/>
      </w:r>
      <w:r>
        <w:rPr>
          <w:webHidden/>
        </w:rPr>
        <w:t>29</w:t>
      </w:r>
      <w:r>
        <w:rPr>
          <w:webHidden/>
        </w:rPr>
        <w:fldChar w:fldCharType="end"/>
      </w:r>
      <w:r>
        <w:fldChar w:fldCharType="end"/>
      </w:r>
    </w:p>
    <w:p w:rsidR="0079680D">
      <w:pPr>
        <w:pStyle w:val="TOC1"/>
        <w:rPr>
          <w:rFonts w:asciiTheme="minorHAnsi" w:eastAsiaTheme="minorEastAsia" w:hAnsiTheme="minorHAnsi"/>
          <w:sz w:val="22"/>
          <w:szCs w:val="22"/>
        </w:rPr>
      </w:pPr>
      <w:r>
        <w:fldChar w:fldCharType="begin"/>
      </w:r>
      <w:r>
        <w:instrText xml:space="preserve"> HYPERLINK \l "_Toc56499786" </w:instrText>
      </w:r>
      <w:r>
        <w:fldChar w:fldCharType="separate"/>
      </w:r>
      <w:r w:rsidRPr="008A4BE7">
        <w:rPr>
          <w:rStyle w:val="Hyperlink"/>
        </w:rPr>
        <w:t>4.</w:t>
      </w:r>
      <w:r>
        <w:rPr>
          <w:rFonts w:asciiTheme="minorHAnsi" w:eastAsiaTheme="minorEastAsia" w:hAnsiTheme="minorHAnsi"/>
          <w:sz w:val="22"/>
          <w:szCs w:val="22"/>
        </w:rPr>
        <w:tab/>
      </w:r>
      <w:r w:rsidRPr="008A4BE7">
        <w:rPr>
          <w:rStyle w:val="Hyperlink"/>
        </w:rPr>
        <w:t>Rights to Future Share Issuances</w:t>
      </w:r>
      <w:r w:rsidRPr="008A4BE7">
        <w:rPr>
          <w:rStyle w:val="Hyperlink"/>
          <w:snapToGrid w:val="0"/>
        </w:rPr>
        <w:t>.</w:t>
      </w:r>
      <w:r>
        <w:rPr>
          <w:webHidden/>
        </w:rPr>
        <w:tab/>
      </w:r>
      <w:r>
        <w:rPr>
          <w:webHidden/>
        </w:rPr>
        <w:fldChar w:fldCharType="begin"/>
      </w:r>
      <w:r>
        <w:rPr>
          <w:webHidden/>
        </w:rPr>
        <w:instrText xml:space="preserve"> PAGEREF _Toc56499786 \h </w:instrText>
      </w:r>
      <w:r>
        <w:rPr>
          <w:webHidden/>
        </w:rPr>
        <w:fldChar w:fldCharType="separate"/>
      </w:r>
      <w:r>
        <w:rPr>
          <w:webHidden/>
        </w:rPr>
        <w:t>29</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"_Toc56499787" </w:instrText>
      </w:r>
      <w:r>
        <w:fldChar w:fldCharType="separate"/>
      </w:r>
      <w:r w:rsidRPr="008A4BE7">
        <w:rPr>
          <w:rStyle w:val="Hyperlink"/>
        </w:rPr>
        <w:t>4.1</w:t>
      </w:r>
      <w:r>
        <w:rPr>
          <w:rFonts w:asciiTheme="minorHAnsi" w:eastAsiaTheme="minorEastAsia" w:hAnsiTheme="minorHAnsi"/>
          <w:sz w:val="22"/>
          <w:szCs w:val="22"/>
        </w:rPr>
        <w:tab/>
      </w:r>
      <w:r w:rsidRPr="008A4BE7">
        <w:rPr>
          <w:rStyle w:val="Hyperlink"/>
        </w:rPr>
        <w:t>Right of First Offer</w:t>
      </w:r>
      <w:r w:rsidRPr="008A4BE7">
        <w:rPr>
          <w:rStyle w:val="Hyperlink"/>
          <w:snapToGrid w:val="0"/>
        </w:rPr>
        <w:t>.</w:t>
      </w:r>
      <w:r>
        <w:rPr>
          <w:webHidden/>
        </w:rPr>
        <w:tab/>
      </w:r>
      <w:r>
        <w:rPr>
          <w:webHidden/>
        </w:rPr>
        <w:fldChar w:fldCharType="begin"/>
      </w:r>
      <w:r>
        <w:rPr>
          <w:webHidden/>
        </w:rPr>
        <w:instrText xml:space="preserve"> PAGEREF _Toc56499787 \h </w:instrText>
      </w:r>
      <w:r>
        <w:rPr>
          <w:webHidden/>
        </w:rPr>
        <w:fldChar w:fldCharType="separate"/>
      </w:r>
      <w:r>
        <w:rPr>
          <w:webHidden/>
        </w:rPr>
        <w:t>29</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"_Toc56499788" </w:instrText>
      </w:r>
      <w:r>
        <w:fldChar w:fldCharType="separate"/>
      </w:r>
      <w:r w:rsidRPr="008A4BE7">
        <w:rPr>
          <w:rStyle w:val="Hyperlink"/>
        </w:rPr>
        <w:t>4.2</w:t>
      </w:r>
      <w:r>
        <w:rPr>
          <w:rFonts w:asciiTheme="minorHAnsi" w:eastAsiaTheme="minorEastAsia" w:hAnsiTheme="minorHAnsi"/>
          <w:sz w:val="22"/>
          <w:szCs w:val="22"/>
        </w:rPr>
        <w:tab/>
      </w:r>
      <w:r w:rsidRPr="008A4BE7">
        <w:rPr>
          <w:rStyle w:val="Hyperlink"/>
        </w:rPr>
        <w:t>Termination</w:t>
      </w:r>
      <w:r w:rsidRPr="008A4BE7">
        <w:rPr>
          <w:rStyle w:val="Hyperlink"/>
          <w:snapToGrid w:val="0"/>
        </w:rPr>
        <w:t>.</w:t>
      </w:r>
      <w:r>
        <w:rPr>
          <w:webHidden/>
        </w:rPr>
        <w:tab/>
      </w:r>
      <w:r>
        <w:rPr>
          <w:webHidden/>
        </w:rPr>
        <w:fldChar w:fldCharType="begin"/>
      </w:r>
      <w:r>
        <w:rPr>
          <w:webHidden/>
        </w:rPr>
        <w:instrText xml:space="preserve"> PAGEREF _Toc56499788 \h </w:instrText>
      </w:r>
      <w:r>
        <w:rPr>
          <w:webHidden/>
        </w:rPr>
        <w:fldChar w:fldCharType="separate"/>
      </w:r>
      <w:r>
        <w:rPr>
          <w:webHidden/>
        </w:rPr>
        <w:t>31</w:t>
      </w:r>
      <w:r>
        <w:rPr>
          <w:webHidden/>
        </w:rPr>
        <w:fldChar w:fldCharType="end"/>
      </w:r>
      <w:r>
        <w:fldChar w:fldCharType="end"/>
      </w:r>
    </w:p>
    <w:p w:rsidR="0079680D">
      <w:pPr>
        <w:pStyle w:val="TOC1"/>
        <w:rPr>
          <w:rFonts w:asciiTheme="minorHAnsi" w:eastAsiaTheme="minorEastAsia" w:hAnsiTheme="minorHAnsi"/>
          <w:sz w:val="22"/>
          <w:szCs w:val="22"/>
        </w:rPr>
      </w:pPr>
      <w:r>
        <w:fldChar w:fldCharType="begin"/>
      </w:r>
      <w:r>
        <w:instrText xml:space="preserve"> HYPERLINK \l "_Toc56499789" </w:instrText>
      </w:r>
      <w:r>
        <w:fldChar w:fldCharType="separate"/>
      </w:r>
      <w:r w:rsidRPr="008A4BE7">
        <w:rPr>
          <w:rStyle w:val="Hyperlink"/>
        </w:rPr>
        <w:t>5.</w:t>
      </w:r>
      <w:r>
        <w:rPr>
          <w:rFonts w:asciiTheme="minorHAnsi" w:eastAsiaTheme="minorEastAsia" w:hAnsiTheme="minorHAnsi"/>
          <w:sz w:val="22"/>
          <w:szCs w:val="22"/>
        </w:rPr>
        <w:tab/>
      </w:r>
      <w:r w:rsidRPr="008A4BE7">
        <w:rPr>
          <w:rStyle w:val="Hyperlink"/>
        </w:rPr>
        <w:t>Additional Covenants</w:t>
      </w:r>
      <w:r w:rsidRPr="008A4BE7">
        <w:rPr>
          <w:rStyle w:val="Hyperlink"/>
          <w:snapToGrid w:val="0"/>
        </w:rPr>
        <w:t>.</w:t>
      </w:r>
      <w:r>
        <w:rPr>
          <w:webHidden/>
        </w:rPr>
        <w:tab/>
      </w:r>
      <w:r>
        <w:rPr>
          <w:webHidden/>
        </w:rPr>
        <w:fldChar w:fldCharType="begin"/>
      </w:r>
      <w:r>
        <w:rPr>
          <w:webHidden/>
        </w:rPr>
        <w:instrText xml:space="preserve"> PAGEREF _Toc56499789 \h </w:instrText>
      </w:r>
      <w:r>
        <w:rPr>
          <w:webHidden/>
        </w:rPr>
        <w:fldChar w:fldCharType="separate"/>
      </w:r>
      <w:r>
        <w:rPr>
          <w:webHidden/>
        </w:rPr>
        <w:t>32</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"_Toc56499790" </w:instrText>
      </w:r>
      <w:r>
        <w:fldChar w:fldCharType="separate"/>
      </w:r>
      <w:r w:rsidRPr="008A4BE7">
        <w:rPr>
          <w:rStyle w:val="Hyperlink"/>
        </w:rPr>
        <w:t>5.1</w:t>
      </w:r>
      <w:r>
        <w:rPr>
          <w:rFonts w:asciiTheme="minorHAnsi" w:eastAsiaTheme="minorEastAsia" w:hAnsiTheme="minorHAnsi"/>
          <w:sz w:val="22"/>
          <w:szCs w:val="22"/>
        </w:rPr>
        <w:tab/>
      </w:r>
      <w:r w:rsidRPr="008A4BE7">
        <w:rPr>
          <w:rStyle w:val="Hyperlink"/>
        </w:rPr>
        <w:t>Insurance</w:t>
      </w:r>
      <w:r w:rsidRPr="008A4BE7">
        <w:rPr>
          <w:rStyle w:val="Hyperlink"/>
          <w:snapToGrid w:val="0"/>
        </w:rPr>
        <w:t>.</w:t>
      </w:r>
      <w:r>
        <w:rPr>
          <w:webHidden/>
        </w:rPr>
        <w:tab/>
      </w:r>
      <w:r>
        <w:rPr>
          <w:webHidden/>
        </w:rPr>
        <w:fldChar w:fldCharType="begin"/>
      </w:r>
      <w:r>
        <w:rPr>
          <w:webHidden/>
        </w:rPr>
        <w:instrText xml:space="preserve"> PAGEREF _Toc56499790 \h </w:instrText>
      </w:r>
      <w:r>
        <w:rPr>
          <w:webHidden/>
        </w:rPr>
        <w:fldChar w:fldCharType="separate"/>
      </w:r>
      <w:r>
        <w:rPr>
          <w:webHidden/>
        </w:rPr>
        <w:t>32</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"_Toc56499791" </w:instrText>
      </w:r>
      <w:r>
        <w:fldChar w:fldCharType="separate"/>
      </w:r>
      <w:r w:rsidRPr="008A4BE7">
        <w:rPr>
          <w:rStyle w:val="Hyperlink"/>
        </w:rPr>
        <w:t>5.2</w:t>
      </w:r>
      <w:r>
        <w:rPr>
          <w:rFonts w:asciiTheme="minorHAnsi" w:eastAsiaTheme="minorEastAsia" w:hAnsiTheme="minorHAnsi"/>
          <w:sz w:val="22"/>
          <w:szCs w:val="22"/>
        </w:rPr>
        <w:tab/>
      </w:r>
      <w:r w:rsidRPr="008A4BE7">
        <w:rPr>
          <w:rStyle w:val="Hyperlink"/>
        </w:rPr>
        <w:t>Employee Agreements</w:t>
      </w:r>
      <w:r w:rsidRPr="008A4BE7">
        <w:rPr>
          <w:rStyle w:val="Hyperlink"/>
          <w:snapToGrid w:val="0"/>
        </w:rPr>
        <w:t>.</w:t>
      </w:r>
      <w:r>
        <w:rPr>
          <w:webHidden/>
        </w:rPr>
        <w:tab/>
      </w:r>
      <w:r>
        <w:rPr>
          <w:webHidden/>
        </w:rPr>
        <w:fldChar w:fldCharType="begin"/>
      </w:r>
      <w:r>
        <w:rPr>
          <w:webHidden/>
        </w:rPr>
        <w:instrText xml:space="preserve"> PAGEREF _Toc56499791 \h </w:instrText>
      </w:r>
      <w:r>
        <w:rPr>
          <w:webHidden/>
        </w:rPr>
        <w:fldChar w:fldCharType="separate"/>
      </w:r>
      <w:r>
        <w:rPr>
          <w:webHidden/>
        </w:rPr>
        <w:t>32</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"_Toc56499792" </w:instrText>
      </w:r>
      <w:r>
        <w:fldChar w:fldCharType="separate"/>
      </w:r>
      <w:r w:rsidRPr="008A4BE7">
        <w:rPr>
          <w:rStyle w:val="Hyperlink"/>
        </w:rPr>
        <w:t>5.3</w:t>
      </w:r>
      <w:r>
        <w:rPr>
          <w:rFonts w:asciiTheme="minorHAnsi" w:eastAsiaTheme="minorEastAsia" w:hAnsiTheme="minorHAnsi"/>
          <w:sz w:val="22"/>
          <w:szCs w:val="22"/>
        </w:rPr>
        <w:tab/>
      </w:r>
      <w:r w:rsidRPr="008A4BE7">
        <w:rPr>
          <w:rStyle w:val="Hyperlink"/>
        </w:rPr>
        <w:t>Employee Shares</w:t>
      </w:r>
      <w:r w:rsidRPr="008A4BE7">
        <w:rPr>
          <w:rStyle w:val="Hyperlink"/>
          <w:snapToGrid w:val="0"/>
        </w:rPr>
        <w:t>.</w:t>
      </w:r>
      <w:r>
        <w:rPr>
          <w:webHidden/>
        </w:rPr>
        <w:tab/>
      </w:r>
      <w:r>
        <w:rPr>
          <w:webHidden/>
        </w:rPr>
        <w:fldChar w:fldCharType="begin"/>
      </w:r>
      <w:r>
        <w:rPr>
          <w:webHidden/>
        </w:rPr>
        <w:instrText xml:space="preserve"> PAGEREF _Toc56499792 \h </w:instrText>
      </w:r>
      <w:r>
        <w:rPr>
          <w:webHidden/>
        </w:rPr>
        <w:fldChar w:fldCharType="separate"/>
      </w:r>
      <w:r>
        <w:rPr>
          <w:webHidden/>
        </w:rPr>
        <w:t>33</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"_Toc56499793" </w:instrText>
      </w:r>
      <w:r>
        <w:fldChar w:fldCharType="separate"/>
      </w:r>
      <w:r w:rsidRPr="008A4BE7">
        <w:rPr>
          <w:rStyle w:val="Hyperlink"/>
        </w:rPr>
        <w:t>5.4</w:t>
      </w:r>
      <w:r>
        <w:rPr>
          <w:rFonts w:asciiTheme="minorHAnsi" w:eastAsiaTheme="minorEastAsia" w:hAnsiTheme="minorHAnsi"/>
          <w:sz w:val="22"/>
          <w:szCs w:val="22"/>
        </w:rPr>
        <w:tab/>
      </w:r>
      <w:r w:rsidRPr="008A4BE7">
        <w:rPr>
          <w:rStyle w:val="Hyperlink"/>
        </w:rPr>
        <w:t>Matters Requiring Preferred Director Approval</w:t>
      </w:r>
      <w:r w:rsidRPr="008A4BE7">
        <w:rPr>
          <w:rStyle w:val="Hyperlink"/>
          <w:snapToGrid w:val="0"/>
        </w:rPr>
        <w:t>.</w:t>
      </w:r>
      <w:r>
        <w:rPr>
          <w:webHidden/>
        </w:rPr>
        <w:tab/>
      </w:r>
      <w:r>
        <w:rPr>
          <w:webHidden/>
        </w:rPr>
        <w:fldChar w:fldCharType="begin"/>
      </w:r>
      <w:r>
        <w:rPr>
          <w:webHidden/>
        </w:rPr>
        <w:instrText xml:space="preserve"> PAGEREF _Toc56499793 \h </w:instrText>
      </w:r>
      <w:r>
        <w:rPr>
          <w:webHidden/>
        </w:rPr>
        <w:fldChar w:fldCharType="separate"/>
      </w:r>
      <w:r>
        <w:rPr>
          <w:webHidden/>
        </w:rPr>
        <w:t>33</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"_Toc56499794" </w:instrText>
      </w:r>
      <w:r>
        <w:fldChar w:fldCharType="separate"/>
      </w:r>
      <w:r w:rsidRPr="008A4BE7">
        <w:rPr>
          <w:rStyle w:val="Hyperlink"/>
        </w:rPr>
        <w:t>5.5</w:t>
      </w:r>
      <w:r>
        <w:rPr>
          <w:rFonts w:asciiTheme="minorHAnsi" w:eastAsiaTheme="minorEastAsia" w:hAnsiTheme="minorHAnsi"/>
          <w:sz w:val="22"/>
          <w:szCs w:val="22"/>
        </w:rPr>
        <w:tab/>
      </w:r>
      <w:r w:rsidRPr="008A4BE7">
        <w:rPr>
          <w:rStyle w:val="Hyperlink"/>
        </w:rPr>
        <w:t>Board Matters</w:t>
      </w:r>
      <w:r w:rsidRPr="008A4BE7">
        <w:rPr>
          <w:rStyle w:val="Hyperlink"/>
          <w:snapToGrid w:val="0"/>
        </w:rPr>
        <w:t>.</w:t>
      </w:r>
      <w:r>
        <w:rPr>
          <w:webHidden/>
        </w:rPr>
        <w:tab/>
      </w:r>
      <w:r>
        <w:rPr>
          <w:webHidden/>
        </w:rPr>
        <w:fldChar w:fldCharType="begin"/>
      </w:r>
      <w:r>
        <w:rPr>
          <w:webHidden/>
        </w:rPr>
        <w:instrText xml:space="preserve"> PAGEREF _Toc56499794 \h </w:instrText>
      </w:r>
      <w:r>
        <w:rPr>
          <w:webHidden/>
        </w:rPr>
        <w:fldChar w:fldCharType="separate"/>
      </w:r>
      <w:r>
        <w:rPr>
          <w:webHidden/>
        </w:rPr>
        <w:t>34</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"_Toc56499795" </w:instrText>
      </w:r>
      <w:r>
        <w:fldChar w:fldCharType="separate"/>
      </w:r>
      <w:r w:rsidRPr="008A4BE7">
        <w:rPr>
          <w:rStyle w:val="Hyperlink"/>
        </w:rPr>
        <w:t>5.6</w:t>
      </w:r>
      <w:r>
        <w:rPr>
          <w:rFonts w:asciiTheme="minorHAnsi" w:eastAsiaTheme="minorEastAsia" w:hAnsiTheme="minorHAnsi"/>
          <w:sz w:val="22"/>
          <w:szCs w:val="22"/>
        </w:rPr>
        <w:tab/>
      </w:r>
      <w:r w:rsidRPr="008A4BE7">
        <w:rPr>
          <w:rStyle w:val="Hyperlink"/>
        </w:rPr>
        <w:t>Successor Indemnification</w:t>
      </w:r>
      <w:r w:rsidRPr="008A4BE7">
        <w:rPr>
          <w:rStyle w:val="Hyperlink"/>
          <w:snapToGrid w:val="0"/>
        </w:rPr>
        <w:t>.</w:t>
      </w:r>
      <w:r>
        <w:rPr>
          <w:webHidden/>
        </w:rPr>
        <w:tab/>
      </w:r>
      <w:r>
        <w:rPr>
          <w:webHidden/>
        </w:rPr>
        <w:fldChar w:fldCharType="begin"/>
      </w:r>
      <w:r>
        <w:rPr>
          <w:webHidden/>
        </w:rPr>
        <w:instrText xml:space="preserve"> PAGEREF _Toc56499795 \h </w:instrText>
      </w:r>
      <w:r>
        <w:rPr>
          <w:webHidden/>
        </w:rPr>
        <w:fldChar w:fldCharType="separate"/>
      </w:r>
      <w:r>
        <w:rPr>
          <w:webHidden/>
        </w:rPr>
        <w:t>35</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"_Toc56499796" </w:instrText>
      </w:r>
      <w:r>
        <w:fldChar w:fldCharType="separate"/>
      </w:r>
      <w:r w:rsidRPr="008A4BE7">
        <w:rPr>
          <w:rStyle w:val="Hyperlink"/>
        </w:rPr>
        <w:t>5.7</w:t>
      </w:r>
      <w:r>
        <w:rPr>
          <w:rFonts w:asciiTheme="minorHAnsi" w:eastAsiaTheme="minorEastAsia" w:hAnsiTheme="minorHAnsi"/>
          <w:sz w:val="22"/>
          <w:szCs w:val="22"/>
        </w:rPr>
        <w:tab/>
      </w:r>
      <w:r w:rsidRPr="008A4BE7">
        <w:rPr>
          <w:rStyle w:val="Hyperlink"/>
        </w:rPr>
        <w:t>[Expenses of Counsel</w:t>
      </w:r>
      <w:r w:rsidRPr="008A4BE7">
        <w:rPr>
          <w:rStyle w:val="Hyperlink"/>
          <w:snapToGrid w:val="0"/>
        </w:rPr>
        <w:t>.</w:t>
      </w:r>
      <w:r>
        <w:rPr>
          <w:webHidden/>
        </w:rPr>
        <w:tab/>
      </w:r>
      <w:r>
        <w:rPr>
          <w:webHidden/>
        </w:rPr>
        <w:fldChar w:fldCharType="begin"/>
      </w:r>
      <w:r>
        <w:rPr>
          <w:webHidden/>
        </w:rPr>
        <w:instrText xml:space="preserve"> PAGEREF _Toc56499796 \h </w:instrText>
      </w:r>
      <w:r>
        <w:rPr>
          <w:webHidden/>
        </w:rPr>
        <w:fldChar w:fldCharType="separate"/>
      </w:r>
      <w:r>
        <w:rPr>
          <w:webHidden/>
        </w:rPr>
        <w:t>35</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"_Toc56499797" </w:instrText>
      </w:r>
      <w:r>
        <w:fldChar w:fldCharType="separate"/>
      </w:r>
      <w:r w:rsidRPr="008A4BE7">
        <w:rPr>
          <w:rStyle w:val="Hyperlink"/>
        </w:rPr>
        <w:t>5.8</w:t>
      </w:r>
      <w:r>
        <w:rPr>
          <w:rFonts w:asciiTheme="minorHAnsi" w:eastAsiaTheme="minorEastAsia" w:hAnsiTheme="minorHAnsi"/>
          <w:sz w:val="22"/>
          <w:szCs w:val="22"/>
        </w:rPr>
        <w:tab/>
      </w:r>
      <w:r w:rsidRPr="008A4BE7">
        <w:rPr>
          <w:rStyle w:val="Hyperlink"/>
        </w:rPr>
        <w:t>[Indemnification Matters</w:t>
      </w:r>
      <w:r w:rsidRPr="008A4BE7">
        <w:rPr>
          <w:rStyle w:val="Hyperlink"/>
          <w:snapToGrid w:val="0"/>
        </w:rPr>
        <w:t>.</w:t>
      </w:r>
      <w:r>
        <w:rPr>
          <w:webHidden/>
        </w:rPr>
        <w:tab/>
      </w:r>
      <w:r>
        <w:rPr>
          <w:webHidden/>
        </w:rPr>
        <w:fldChar w:fldCharType="begin"/>
      </w:r>
      <w:r>
        <w:rPr>
          <w:webHidden/>
        </w:rPr>
        <w:instrText xml:space="preserve"> PAGEREF _Toc56499797 \h </w:instrText>
      </w:r>
      <w:r>
        <w:rPr>
          <w:webHidden/>
        </w:rPr>
        <w:fldChar w:fldCharType="separate"/>
      </w:r>
      <w:r>
        <w:rPr>
          <w:webHidden/>
        </w:rPr>
        <w:t>36</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"_Toc56499798" </w:instrText>
      </w:r>
      <w:r>
        <w:fldChar w:fldCharType="separate"/>
      </w:r>
      <w:r w:rsidRPr="008A4BE7">
        <w:rPr>
          <w:rStyle w:val="Hyperlink"/>
        </w:rPr>
        <w:t>5.9</w:t>
      </w:r>
      <w:r>
        <w:rPr>
          <w:rFonts w:asciiTheme="minorHAnsi" w:eastAsiaTheme="minorEastAsia" w:hAnsiTheme="minorHAnsi"/>
          <w:sz w:val="22"/>
          <w:szCs w:val="22"/>
        </w:rPr>
        <w:tab/>
      </w:r>
      <w:r w:rsidRPr="008A4BE7">
        <w:rPr>
          <w:rStyle w:val="Hyperlink"/>
        </w:rPr>
        <w:t>[Right to Conduct Activities.</w:t>
      </w:r>
      <w:r>
        <w:rPr>
          <w:webHidden/>
        </w:rPr>
        <w:tab/>
      </w:r>
      <w:r>
        <w:rPr>
          <w:webHidden/>
        </w:rPr>
        <w:fldChar w:fldCharType="begin"/>
      </w:r>
      <w:r>
        <w:rPr>
          <w:webHidden/>
        </w:rPr>
        <w:instrText xml:space="preserve"> PAGEREF _Toc56499798 \h </w:instrText>
      </w:r>
      <w:r>
        <w:rPr>
          <w:webHidden/>
        </w:rPr>
        <w:fldChar w:fldCharType="separate"/>
      </w:r>
      <w:r>
        <w:rPr>
          <w:webHidden/>
        </w:rPr>
        <w:t>36</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"_Toc56499799" </w:instrText>
      </w:r>
      <w:r>
        <w:fldChar w:fldCharType="separate"/>
      </w:r>
      <w:r w:rsidRPr="008A4BE7">
        <w:rPr>
          <w:rStyle w:val="Hyperlink"/>
        </w:rPr>
        <w:t>5.10</w:t>
      </w:r>
      <w:r>
        <w:rPr>
          <w:rFonts w:asciiTheme="minorHAnsi" w:eastAsiaTheme="minorEastAsia" w:hAnsiTheme="minorHAnsi"/>
          <w:sz w:val="22"/>
          <w:szCs w:val="22"/>
        </w:rPr>
        <w:tab/>
      </w:r>
      <w:r w:rsidRPr="008A4BE7">
        <w:rPr>
          <w:rStyle w:val="Hyperlink"/>
        </w:rPr>
        <w:t>[Anti-Harassment Policy.</w:t>
      </w:r>
      <w:r>
        <w:rPr>
          <w:webHidden/>
        </w:rPr>
        <w:tab/>
      </w:r>
      <w:r>
        <w:rPr>
          <w:webHidden/>
        </w:rPr>
        <w:fldChar w:fldCharType="begin"/>
      </w:r>
      <w:r>
        <w:rPr>
          <w:webHidden/>
        </w:rPr>
        <w:instrText xml:space="preserve"> PAGEREF _Toc56499799 \h </w:instrText>
      </w:r>
      <w:r>
        <w:rPr>
          <w:webHidden/>
        </w:rPr>
        <w:fldChar w:fldCharType="separate"/>
      </w:r>
      <w:r>
        <w:rPr>
          <w:webHidden/>
        </w:rPr>
        <w:t>37</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"_Toc56499800" </w:instrText>
      </w:r>
      <w:r>
        <w:fldChar w:fldCharType="separate"/>
      </w:r>
      <w:r w:rsidRPr="008A4BE7">
        <w:rPr>
          <w:rStyle w:val="Hyperlink"/>
        </w:rPr>
        <w:t>5.11</w:t>
      </w:r>
      <w:r>
        <w:rPr>
          <w:rFonts w:asciiTheme="minorHAnsi" w:eastAsiaTheme="minorEastAsia" w:hAnsiTheme="minorHAnsi"/>
          <w:sz w:val="22"/>
          <w:szCs w:val="22"/>
        </w:rPr>
        <w:tab/>
      </w:r>
      <w:r w:rsidRPr="008A4BE7">
        <w:rPr>
          <w:rStyle w:val="Hyperlink"/>
        </w:rPr>
        <w:t>[Foreign Corrupt Practices.</w:t>
      </w:r>
      <w:r>
        <w:rPr>
          <w:webHidden/>
        </w:rPr>
        <w:tab/>
      </w:r>
      <w:r>
        <w:rPr>
          <w:webHidden/>
        </w:rPr>
        <w:fldChar w:fldCharType="begin"/>
      </w:r>
      <w:r>
        <w:rPr>
          <w:webHidden/>
        </w:rPr>
        <w:instrText xml:space="preserve"> PAGEREF _Toc56499800 \h </w:instrText>
      </w:r>
      <w:r>
        <w:rPr>
          <w:webHidden/>
        </w:rPr>
        <w:fldChar w:fldCharType="separate"/>
      </w:r>
      <w:r>
        <w:rPr>
          <w:webHidden/>
        </w:rPr>
        <w:t>37</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"_Toc56499801" </w:instrText>
      </w:r>
      <w:r>
        <w:fldChar w:fldCharType="separate"/>
      </w:r>
      <w:r w:rsidRPr="008A4BE7">
        <w:rPr>
          <w:rStyle w:val="Hyperlink"/>
        </w:rPr>
        <w:t>5.12</w:t>
      </w:r>
      <w:r>
        <w:rPr>
          <w:rFonts w:asciiTheme="minorHAnsi" w:eastAsiaTheme="minorEastAsia" w:hAnsiTheme="minorHAnsi"/>
          <w:sz w:val="22"/>
          <w:szCs w:val="22"/>
        </w:rPr>
        <w:tab/>
      </w:r>
      <w:r w:rsidRPr="008A4BE7">
        <w:rPr>
          <w:rStyle w:val="Hyperlink"/>
        </w:rPr>
        <w:t>Cybersecurity.</w:t>
      </w:r>
      <w:r>
        <w:rPr>
          <w:webHidden/>
        </w:rPr>
        <w:tab/>
      </w:r>
      <w:r>
        <w:rPr>
          <w:webHidden/>
        </w:rPr>
        <w:fldChar w:fldCharType="begin"/>
      </w:r>
      <w:r>
        <w:rPr>
          <w:webHidden/>
        </w:rPr>
        <w:instrText xml:space="preserve"> PAGEREF _Toc56499801 \h </w:instrText>
      </w:r>
      <w:r>
        <w:rPr>
          <w:webHidden/>
        </w:rPr>
        <w:fldChar w:fldCharType="separate"/>
      </w:r>
      <w:r>
        <w:rPr>
          <w:webHidden/>
        </w:rPr>
        <w:t>38</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"_Toc56499802" </w:instrText>
      </w:r>
      <w:r>
        <w:fldChar w:fldCharType="separate"/>
      </w:r>
      <w:r w:rsidRPr="008A4BE7">
        <w:rPr>
          <w:rStyle w:val="Hyperlink"/>
        </w:rPr>
        <w:t>5.13</w:t>
      </w:r>
      <w:r>
        <w:rPr>
          <w:rFonts w:asciiTheme="minorHAnsi" w:eastAsiaTheme="minorEastAsia" w:hAnsiTheme="minorHAnsi"/>
          <w:sz w:val="22"/>
          <w:szCs w:val="22"/>
        </w:rPr>
        <w:tab/>
      </w:r>
      <w:r w:rsidRPr="008A4BE7">
        <w:rPr>
          <w:rStyle w:val="Hyperlink"/>
        </w:rPr>
        <w:t>[Real Property Holding Corporation.</w:t>
      </w:r>
      <w:r>
        <w:rPr>
          <w:webHidden/>
        </w:rPr>
        <w:tab/>
      </w:r>
      <w:r>
        <w:rPr>
          <w:webHidden/>
        </w:rPr>
        <w:fldChar w:fldCharType="begin"/>
      </w:r>
      <w:r>
        <w:rPr>
          <w:webHidden/>
        </w:rPr>
        <w:instrText xml:space="preserve"> PAGEREF _Toc56499802 \h </w:instrText>
      </w:r>
      <w:r>
        <w:rPr>
          <w:webHidden/>
        </w:rPr>
        <w:fldChar w:fldCharType="separate"/>
      </w:r>
      <w:r>
        <w:rPr>
          <w:webHidden/>
        </w:rPr>
        <w:t>38</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"_Toc56499803" </w:instrText>
      </w:r>
      <w:r>
        <w:fldChar w:fldCharType="separate"/>
      </w:r>
      <w:r w:rsidRPr="008A4BE7">
        <w:rPr>
          <w:rStyle w:val="Hyperlink"/>
        </w:rPr>
        <w:t>5.14</w:t>
      </w:r>
      <w:r>
        <w:rPr>
          <w:rFonts w:asciiTheme="minorHAnsi" w:eastAsiaTheme="minorEastAsia" w:hAnsiTheme="minorHAnsi"/>
          <w:sz w:val="22"/>
          <w:szCs w:val="22"/>
        </w:rPr>
        <w:tab/>
      </w:r>
      <w:r w:rsidRPr="008A4BE7">
        <w:rPr>
          <w:rStyle w:val="Hyperlink"/>
        </w:rPr>
        <w:t>Termination of Covenants</w:t>
      </w:r>
      <w:r w:rsidRPr="008A4BE7">
        <w:rPr>
          <w:rStyle w:val="Hyperlink"/>
          <w:snapToGrid w:val="0"/>
        </w:rPr>
        <w:t>.</w:t>
      </w:r>
      <w:r>
        <w:rPr>
          <w:webHidden/>
        </w:rPr>
        <w:tab/>
      </w:r>
      <w:r>
        <w:rPr>
          <w:webHidden/>
        </w:rPr>
        <w:fldChar w:fldCharType="begin"/>
      </w:r>
      <w:r>
        <w:rPr>
          <w:webHidden/>
        </w:rPr>
        <w:instrText xml:space="preserve"> PAGEREF _Toc56499803 \h </w:instrText>
      </w:r>
      <w:r>
        <w:rPr>
          <w:webHidden/>
        </w:rPr>
        <w:fldChar w:fldCharType="separate"/>
      </w:r>
      <w:r>
        <w:rPr>
          <w:webHidden/>
        </w:rPr>
        <w:t>39</w:t>
      </w:r>
      <w:r>
        <w:rPr>
          <w:webHidden/>
        </w:rPr>
        <w:fldChar w:fldCharType="end"/>
      </w:r>
      <w:r>
        <w:fldChar w:fldCharType="end"/>
      </w:r>
    </w:p>
    <w:p w:rsidR="0079680D">
      <w:pPr>
        <w:pStyle w:val="TOC1"/>
        <w:rPr>
          <w:rFonts w:asciiTheme="minorHAnsi" w:eastAsiaTheme="minorEastAsia" w:hAnsiTheme="minorHAnsi"/>
          <w:sz w:val="22"/>
          <w:szCs w:val="22"/>
        </w:rPr>
      </w:pPr>
      <w:r>
        <w:fldChar w:fldCharType="begin"/>
      </w:r>
      <w:r>
        <w:instrText xml:space="preserve"> HYPERLINK \l "_Toc56499804" </w:instrText>
      </w:r>
      <w:r>
        <w:fldChar w:fldCharType="separate"/>
      </w:r>
      <w:r w:rsidRPr="008A4BE7">
        <w:rPr>
          <w:rStyle w:val="Hyperlink"/>
        </w:rPr>
        <w:t>6.</w:t>
      </w:r>
      <w:r>
        <w:rPr>
          <w:rFonts w:asciiTheme="minorHAnsi" w:eastAsiaTheme="minorEastAsia" w:hAnsiTheme="minorHAnsi"/>
          <w:sz w:val="22"/>
          <w:szCs w:val="22"/>
        </w:rPr>
        <w:tab/>
      </w:r>
      <w:r w:rsidRPr="008A4BE7">
        <w:rPr>
          <w:rStyle w:val="Hyperlink"/>
        </w:rPr>
        <w:t>Miscellaneous</w:t>
      </w:r>
      <w:r w:rsidRPr="008A4BE7">
        <w:rPr>
          <w:rStyle w:val="Hyperlink"/>
          <w:snapToGrid w:val="0"/>
        </w:rPr>
        <w:t>.</w:t>
      </w:r>
      <w:r>
        <w:rPr>
          <w:webHidden/>
        </w:rPr>
        <w:tab/>
      </w:r>
      <w:r>
        <w:rPr>
          <w:webHidden/>
        </w:rPr>
        <w:fldChar w:fldCharType="begin"/>
      </w:r>
      <w:r>
        <w:rPr>
          <w:webHidden/>
        </w:rPr>
        <w:instrText xml:space="preserve"> PAGEREF _Toc56499804 \h </w:instrText>
      </w:r>
      <w:r>
        <w:rPr>
          <w:webHidden/>
        </w:rPr>
        <w:fldChar w:fldCharType="separate"/>
      </w:r>
      <w:r>
        <w:rPr>
          <w:webHidden/>
        </w:rPr>
        <w:t>39</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"_Toc56499805" </w:instrText>
      </w:r>
      <w:r>
        <w:fldChar w:fldCharType="separate"/>
      </w:r>
      <w:r w:rsidRPr="008A4BE7">
        <w:rPr>
          <w:rStyle w:val="Hyperlink"/>
        </w:rPr>
        <w:t>6.1</w:t>
      </w:r>
      <w:r>
        <w:rPr>
          <w:rFonts w:asciiTheme="minorHAnsi" w:eastAsiaTheme="minorEastAsia" w:hAnsiTheme="minorHAnsi"/>
          <w:sz w:val="22"/>
          <w:szCs w:val="22"/>
        </w:rPr>
        <w:tab/>
      </w:r>
      <w:r w:rsidRPr="008A4BE7">
        <w:rPr>
          <w:rStyle w:val="Hyperlink"/>
        </w:rPr>
        <w:t>Successors and Assigns</w:t>
      </w:r>
      <w:r w:rsidRPr="008A4BE7">
        <w:rPr>
          <w:rStyle w:val="Hyperlink"/>
          <w:snapToGrid w:val="0"/>
        </w:rPr>
        <w:t>.</w:t>
      </w:r>
      <w:r>
        <w:rPr>
          <w:webHidden/>
        </w:rPr>
        <w:tab/>
      </w:r>
      <w:r>
        <w:rPr>
          <w:webHidden/>
        </w:rPr>
        <w:fldChar w:fldCharType="begin"/>
      </w:r>
      <w:r>
        <w:rPr>
          <w:webHidden/>
        </w:rPr>
        <w:instrText xml:space="preserve"> PAGEREF _Toc56499805 \h </w:instrText>
      </w:r>
      <w:r>
        <w:rPr>
          <w:webHidden/>
        </w:rPr>
        <w:fldChar w:fldCharType="separate"/>
      </w:r>
      <w:r>
        <w:rPr>
          <w:webHidden/>
        </w:rPr>
        <w:t>39</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"_Toc56499806" </w:instrText>
      </w:r>
      <w:r>
        <w:fldChar w:fldCharType="separate"/>
      </w:r>
      <w:r w:rsidRPr="008A4BE7">
        <w:rPr>
          <w:rStyle w:val="Hyperlink"/>
        </w:rPr>
        <w:t>6.2</w:t>
      </w:r>
      <w:r>
        <w:rPr>
          <w:rFonts w:asciiTheme="minorHAnsi" w:eastAsiaTheme="minorEastAsia" w:hAnsiTheme="minorHAnsi"/>
          <w:sz w:val="22"/>
          <w:szCs w:val="22"/>
        </w:rPr>
        <w:tab/>
      </w:r>
      <w:r w:rsidRPr="008A4BE7">
        <w:rPr>
          <w:rStyle w:val="Hyperlink"/>
        </w:rPr>
        <w:t>Governing Law</w:t>
      </w:r>
      <w:r w:rsidRPr="008A4BE7">
        <w:rPr>
          <w:rStyle w:val="Hyperlink"/>
          <w:snapToGrid w:val="0"/>
        </w:rPr>
        <w:t>.</w:t>
      </w:r>
      <w:r>
        <w:rPr>
          <w:webHidden/>
        </w:rPr>
        <w:tab/>
      </w:r>
      <w:r>
        <w:rPr>
          <w:webHidden/>
        </w:rPr>
        <w:fldChar w:fldCharType="begin"/>
      </w:r>
      <w:r>
        <w:rPr>
          <w:webHidden/>
        </w:rPr>
        <w:instrText xml:space="preserve"> PAGEREF _Toc56499806 \h </w:instrText>
      </w:r>
      <w:r>
        <w:rPr>
          <w:webHidden/>
        </w:rPr>
        <w:fldChar w:fldCharType="separate"/>
      </w:r>
      <w:r>
        <w:rPr>
          <w:webHidden/>
        </w:rPr>
        <w:t>40</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"_Toc56499807" </w:instrText>
      </w:r>
      <w:r>
        <w:fldChar w:fldCharType="separate"/>
      </w:r>
      <w:r w:rsidRPr="008A4BE7">
        <w:rPr>
          <w:rStyle w:val="Hyperlink"/>
        </w:rPr>
        <w:t>6.3</w:t>
      </w:r>
      <w:r>
        <w:rPr>
          <w:rFonts w:asciiTheme="minorHAnsi" w:eastAsiaTheme="minorEastAsia" w:hAnsiTheme="minorHAnsi"/>
          <w:sz w:val="22"/>
          <w:szCs w:val="22"/>
        </w:rPr>
        <w:tab/>
      </w:r>
      <w:r w:rsidRPr="008A4BE7">
        <w:rPr>
          <w:rStyle w:val="Hyperlink"/>
        </w:rPr>
        <w:t>Counterparts</w:t>
      </w:r>
      <w:r w:rsidRPr="008A4BE7">
        <w:rPr>
          <w:rStyle w:val="Hyperlink"/>
          <w:snapToGrid w:val="0"/>
        </w:rPr>
        <w:t>.</w:t>
      </w:r>
      <w:r>
        <w:rPr>
          <w:webHidden/>
        </w:rPr>
        <w:tab/>
      </w:r>
      <w:r>
        <w:rPr>
          <w:webHidden/>
        </w:rPr>
        <w:fldChar w:fldCharType="begin"/>
      </w:r>
      <w:r>
        <w:rPr>
          <w:webHidden/>
        </w:rPr>
        <w:instrText xml:space="preserve"> PAGEREF _Toc56499807 \h </w:instrText>
      </w:r>
      <w:r>
        <w:rPr>
          <w:webHidden/>
        </w:rPr>
        <w:fldChar w:fldCharType="separate"/>
      </w:r>
      <w:r>
        <w:rPr>
          <w:webHidden/>
        </w:rPr>
        <w:t>40</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"_Toc56499808" </w:instrText>
      </w:r>
      <w:r>
        <w:fldChar w:fldCharType="separate"/>
      </w:r>
      <w:r w:rsidRPr="008A4BE7">
        <w:rPr>
          <w:rStyle w:val="Hyperlink"/>
        </w:rPr>
        <w:t>6.4</w:t>
      </w:r>
      <w:r>
        <w:rPr>
          <w:rFonts w:asciiTheme="minorHAnsi" w:eastAsiaTheme="minorEastAsia" w:hAnsiTheme="minorHAnsi"/>
          <w:sz w:val="22"/>
          <w:szCs w:val="22"/>
        </w:rPr>
        <w:tab/>
      </w:r>
      <w:r w:rsidRPr="008A4BE7">
        <w:rPr>
          <w:rStyle w:val="Hyperlink"/>
        </w:rPr>
        <w:t>Titles and Subtitles</w:t>
      </w:r>
      <w:r w:rsidRPr="008A4BE7">
        <w:rPr>
          <w:rStyle w:val="Hyperlink"/>
          <w:snapToGrid w:val="0"/>
        </w:rPr>
        <w:t>.</w:t>
      </w:r>
      <w:r>
        <w:rPr>
          <w:webHidden/>
        </w:rPr>
        <w:tab/>
      </w:r>
      <w:r>
        <w:rPr>
          <w:webHidden/>
        </w:rPr>
        <w:fldChar w:fldCharType="begin"/>
      </w:r>
      <w:r>
        <w:rPr>
          <w:webHidden/>
        </w:rPr>
        <w:instrText xml:space="preserve"> PAGEREF _Toc56499808 \h </w:instrText>
      </w:r>
      <w:r>
        <w:rPr>
          <w:webHidden/>
        </w:rPr>
        <w:fldChar w:fldCharType="separate"/>
      </w:r>
      <w:r>
        <w:rPr>
          <w:webHidden/>
        </w:rPr>
        <w:t>40</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"_Toc56499809" </w:instrText>
      </w:r>
      <w:r>
        <w:fldChar w:fldCharType="separate"/>
      </w:r>
      <w:r w:rsidRPr="008A4BE7">
        <w:rPr>
          <w:rStyle w:val="Hyperlink"/>
        </w:rPr>
        <w:t>6.5</w:t>
      </w:r>
      <w:r>
        <w:rPr>
          <w:rFonts w:asciiTheme="minorHAnsi" w:eastAsiaTheme="minorEastAsia" w:hAnsiTheme="minorHAnsi"/>
          <w:sz w:val="22"/>
          <w:szCs w:val="22"/>
        </w:rPr>
        <w:tab/>
      </w:r>
      <w:r w:rsidRPr="008A4BE7">
        <w:rPr>
          <w:rStyle w:val="Hyperlink"/>
        </w:rPr>
        <w:t>Notices</w:t>
      </w:r>
      <w:r w:rsidRPr="008A4BE7">
        <w:rPr>
          <w:rStyle w:val="Hyperlink"/>
          <w:snapToGrid w:val="0"/>
        </w:rPr>
        <w:t>.</w:t>
      </w:r>
      <w:r>
        <w:rPr>
          <w:webHidden/>
        </w:rPr>
        <w:tab/>
      </w:r>
      <w:r>
        <w:rPr>
          <w:webHidden/>
        </w:rPr>
        <w:fldChar w:fldCharType="begin"/>
      </w:r>
      <w:r>
        <w:rPr>
          <w:webHidden/>
        </w:rPr>
        <w:instrText xml:space="preserve"> PAGEREF _Toc56499809 \h </w:instrText>
      </w:r>
      <w:r>
        <w:rPr>
          <w:webHidden/>
        </w:rPr>
        <w:fldChar w:fldCharType="separate"/>
      </w:r>
      <w:r>
        <w:rPr>
          <w:webHidden/>
        </w:rPr>
        <w:t>40</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"_Toc56499810" </w:instrText>
      </w:r>
      <w:r>
        <w:fldChar w:fldCharType="separate"/>
      </w:r>
      <w:r w:rsidRPr="008A4BE7">
        <w:rPr>
          <w:rStyle w:val="Hyperlink"/>
        </w:rPr>
        <w:t>6.6</w:t>
      </w:r>
      <w:r>
        <w:rPr>
          <w:rFonts w:asciiTheme="minorHAnsi" w:eastAsiaTheme="minorEastAsia" w:hAnsiTheme="minorHAnsi"/>
          <w:sz w:val="22"/>
          <w:szCs w:val="22"/>
        </w:rPr>
        <w:tab/>
      </w:r>
      <w:r w:rsidRPr="008A4BE7">
        <w:rPr>
          <w:rStyle w:val="Hyperlink"/>
        </w:rPr>
        <w:t>Amendments and Waivers</w:t>
      </w:r>
      <w:r w:rsidRPr="008A4BE7">
        <w:rPr>
          <w:rStyle w:val="Hyperlink"/>
          <w:snapToGrid w:val="0"/>
        </w:rPr>
        <w:t>.</w:t>
      </w:r>
      <w:r>
        <w:rPr>
          <w:webHidden/>
        </w:rPr>
        <w:tab/>
      </w:r>
      <w:r>
        <w:rPr>
          <w:webHidden/>
        </w:rPr>
        <w:fldChar w:fldCharType="begin"/>
      </w:r>
      <w:r>
        <w:rPr>
          <w:webHidden/>
        </w:rPr>
        <w:instrText xml:space="preserve"> PAGEREF _Toc56499810 \h </w:instrText>
      </w:r>
      <w:r>
        <w:rPr>
          <w:webHidden/>
        </w:rPr>
        <w:fldChar w:fldCharType="separate"/>
      </w:r>
      <w:r>
        <w:rPr>
          <w:webHidden/>
        </w:rPr>
        <w:t>41</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"_Toc56499811" </w:instrText>
      </w:r>
      <w:r>
        <w:fldChar w:fldCharType="separate"/>
      </w:r>
      <w:r w:rsidRPr="008A4BE7">
        <w:rPr>
          <w:rStyle w:val="Hyperlink"/>
        </w:rPr>
        <w:t>6.7</w:t>
      </w:r>
      <w:r>
        <w:rPr>
          <w:rFonts w:asciiTheme="minorHAnsi" w:eastAsiaTheme="minorEastAsia" w:hAnsiTheme="minorHAnsi"/>
          <w:sz w:val="22"/>
          <w:szCs w:val="22"/>
        </w:rPr>
        <w:tab/>
      </w:r>
      <w:r w:rsidRPr="008A4BE7">
        <w:rPr>
          <w:rStyle w:val="Hyperlink"/>
        </w:rPr>
        <w:t>Severability</w:t>
      </w:r>
      <w:r w:rsidRPr="008A4BE7">
        <w:rPr>
          <w:rStyle w:val="Hyperlink"/>
          <w:snapToGrid w:val="0"/>
        </w:rPr>
        <w:t>.</w:t>
      </w:r>
      <w:r>
        <w:rPr>
          <w:webHidden/>
        </w:rPr>
        <w:tab/>
      </w:r>
      <w:r>
        <w:rPr>
          <w:webHidden/>
        </w:rPr>
        <w:fldChar w:fldCharType="begin"/>
      </w:r>
      <w:r>
        <w:rPr>
          <w:webHidden/>
        </w:rPr>
        <w:instrText xml:space="preserve"> PAGEREF _Toc56499811 \h </w:instrText>
      </w:r>
      <w:r>
        <w:rPr>
          <w:webHidden/>
        </w:rPr>
        <w:fldChar w:fldCharType="separate"/>
      </w:r>
      <w:r>
        <w:rPr>
          <w:webHidden/>
        </w:rPr>
        <w:t>42</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"_Toc56499812" </w:instrText>
      </w:r>
      <w:r>
        <w:fldChar w:fldCharType="separate"/>
      </w:r>
      <w:r w:rsidRPr="008A4BE7">
        <w:rPr>
          <w:rStyle w:val="Hyperlink"/>
        </w:rPr>
        <w:t>6.8</w:t>
      </w:r>
      <w:r>
        <w:rPr>
          <w:rFonts w:asciiTheme="minorHAnsi" w:eastAsiaTheme="minorEastAsia" w:hAnsiTheme="minorHAnsi"/>
          <w:sz w:val="22"/>
          <w:szCs w:val="22"/>
        </w:rPr>
        <w:tab/>
      </w:r>
      <w:r w:rsidRPr="008A4BE7">
        <w:rPr>
          <w:rStyle w:val="Hyperlink"/>
        </w:rPr>
        <w:t>Aggregation of Shares; Apportionment</w:t>
      </w:r>
      <w:r w:rsidRPr="008A4BE7">
        <w:rPr>
          <w:rStyle w:val="Hyperlink"/>
          <w:snapToGrid w:val="0"/>
        </w:rPr>
        <w:t>.</w:t>
      </w:r>
      <w:r>
        <w:rPr>
          <w:webHidden/>
        </w:rPr>
        <w:tab/>
      </w:r>
      <w:r>
        <w:rPr>
          <w:webHidden/>
        </w:rPr>
        <w:fldChar w:fldCharType="begin"/>
      </w:r>
      <w:r>
        <w:rPr>
          <w:webHidden/>
        </w:rPr>
        <w:instrText xml:space="preserve"> PAGEREF _Toc56499812 \h </w:instrText>
      </w:r>
      <w:r>
        <w:rPr>
          <w:webHidden/>
        </w:rPr>
        <w:fldChar w:fldCharType="separate"/>
      </w:r>
      <w:r>
        <w:rPr>
          <w:webHidden/>
        </w:rPr>
        <w:t>42</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"_Toc56499813" </w:instrText>
      </w:r>
      <w:r>
        <w:fldChar w:fldCharType="separate"/>
      </w:r>
      <w:r w:rsidRPr="008A4BE7">
        <w:rPr>
          <w:rStyle w:val="Hyperlink"/>
        </w:rPr>
        <w:t>6.9</w:t>
      </w:r>
      <w:r>
        <w:rPr>
          <w:rFonts w:asciiTheme="minorHAnsi" w:eastAsiaTheme="minorEastAsia" w:hAnsiTheme="minorHAnsi"/>
          <w:sz w:val="22"/>
          <w:szCs w:val="22"/>
        </w:rPr>
        <w:tab/>
      </w:r>
      <w:r w:rsidRPr="008A4BE7">
        <w:rPr>
          <w:rStyle w:val="Hyperlink"/>
        </w:rPr>
        <w:t>Additional Investors</w:t>
      </w:r>
      <w:r w:rsidRPr="008A4BE7">
        <w:rPr>
          <w:rStyle w:val="Hyperlink"/>
          <w:snapToGrid w:val="0"/>
        </w:rPr>
        <w:t>.</w:t>
      </w:r>
      <w:r>
        <w:rPr>
          <w:webHidden/>
        </w:rPr>
        <w:tab/>
      </w:r>
      <w:r>
        <w:rPr>
          <w:webHidden/>
        </w:rPr>
        <w:fldChar w:fldCharType="begin"/>
      </w:r>
      <w:r>
        <w:rPr>
          <w:webHidden/>
        </w:rPr>
        <w:instrText xml:space="preserve"> PAGEREF _Toc56499813 \h </w:instrText>
      </w:r>
      <w:r>
        <w:rPr>
          <w:webHidden/>
        </w:rPr>
        <w:fldChar w:fldCharType="separate"/>
      </w:r>
      <w:r>
        <w:rPr>
          <w:webHidden/>
        </w:rPr>
        <w:t>42</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"_Toc56499814" </w:instrText>
      </w:r>
      <w:r>
        <w:fldChar w:fldCharType="separate"/>
      </w:r>
      <w:r w:rsidRPr="008A4BE7">
        <w:rPr>
          <w:rStyle w:val="Hyperlink"/>
        </w:rPr>
        <w:t>6.10</w:t>
      </w:r>
      <w:r>
        <w:rPr>
          <w:rFonts w:asciiTheme="minorHAnsi" w:eastAsiaTheme="minorEastAsia" w:hAnsiTheme="minorHAnsi"/>
          <w:sz w:val="22"/>
          <w:szCs w:val="22"/>
        </w:rPr>
        <w:tab/>
      </w:r>
      <w:r w:rsidRPr="008A4BE7">
        <w:rPr>
          <w:rStyle w:val="Hyperlink"/>
        </w:rPr>
        <w:t>Entire Agreement</w:t>
      </w:r>
      <w:r w:rsidRPr="008A4BE7">
        <w:rPr>
          <w:rStyle w:val="Hyperlink"/>
          <w:snapToGrid w:val="0"/>
        </w:rPr>
        <w:t>.</w:t>
      </w:r>
      <w:r>
        <w:rPr>
          <w:webHidden/>
        </w:rPr>
        <w:tab/>
      </w:r>
      <w:r>
        <w:rPr>
          <w:webHidden/>
        </w:rPr>
        <w:fldChar w:fldCharType="begin"/>
      </w:r>
      <w:r>
        <w:rPr>
          <w:webHidden/>
        </w:rPr>
        <w:instrText xml:space="preserve"> PAGEREF _Toc56499814 \h </w:instrText>
      </w:r>
      <w:r>
        <w:rPr>
          <w:webHidden/>
        </w:rPr>
        <w:fldChar w:fldCharType="separate"/>
      </w:r>
      <w:r>
        <w:rPr>
          <w:webHidden/>
        </w:rPr>
        <w:t>42</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"_Toc56499815" </w:instrText>
      </w:r>
      <w:r>
        <w:fldChar w:fldCharType="separate"/>
      </w:r>
      <w:r w:rsidRPr="008A4BE7">
        <w:rPr>
          <w:rStyle w:val="Hyperlink"/>
        </w:rPr>
        <w:t>6.11</w:t>
      </w:r>
      <w:r>
        <w:rPr>
          <w:rFonts w:asciiTheme="minorHAnsi" w:eastAsiaTheme="minorEastAsia" w:hAnsiTheme="minorHAnsi"/>
          <w:sz w:val="22"/>
          <w:szCs w:val="22"/>
        </w:rPr>
        <w:tab/>
      </w:r>
      <w:r w:rsidRPr="008A4BE7">
        <w:rPr>
          <w:rStyle w:val="Hyperlink"/>
        </w:rPr>
        <w:t>Dispute Resolution</w:t>
      </w:r>
      <w:r w:rsidRPr="008A4BE7">
        <w:rPr>
          <w:rStyle w:val="Hyperlink"/>
          <w:snapToGrid w:val="0"/>
        </w:rPr>
        <w:t>.</w:t>
      </w:r>
      <w:r>
        <w:rPr>
          <w:webHidden/>
        </w:rPr>
        <w:tab/>
      </w:r>
      <w:r>
        <w:rPr>
          <w:webHidden/>
        </w:rPr>
        <w:fldChar w:fldCharType="begin"/>
      </w:r>
      <w:r>
        <w:rPr>
          <w:webHidden/>
        </w:rPr>
        <w:instrText xml:space="preserve"> PAGEREF _Toc56499815 \h </w:instrText>
      </w:r>
      <w:r>
        <w:rPr>
          <w:webHidden/>
        </w:rPr>
        <w:fldChar w:fldCharType="separate"/>
      </w:r>
      <w:r>
        <w:rPr>
          <w:webHidden/>
        </w:rPr>
        <w:t>43</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"_Toc56499816" </w:instrText>
      </w:r>
      <w:r>
        <w:fldChar w:fldCharType="separate"/>
      </w:r>
      <w:r w:rsidRPr="008A4BE7">
        <w:rPr>
          <w:rStyle w:val="Hyperlink"/>
        </w:rPr>
        <w:t>6.12</w:t>
      </w:r>
      <w:r>
        <w:rPr>
          <w:rFonts w:asciiTheme="minorHAnsi" w:eastAsiaTheme="minorEastAsia" w:hAnsiTheme="minorHAnsi"/>
          <w:sz w:val="22"/>
          <w:szCs w:val="22"/>
        </w:rPr>
        <w:tab/>
      </w:r>
      <w:r w:rsidRPr="008A4BE7">
        <w:rPr>
          <w:rStyle w:val="Hyperlink"/>
        </w:rPr>
        <w:t>Delays or Omissions</w:t>
      </w:r>
      <w:r w:rsidRPr="008A4BE7">
        <w:rPr>
          <w:rStyle w:val="Hyperlink"/>
          <w:snapToGrid w:val="0"/>
        </w:rPr>
        <w:t>.</w:t>
      </w:r>
      <w:r>
        <w:rPr>
          <w:webHidden/>
        </w:rPr>
        <w:tab/>
      </w:r>
      <w:r>
        <w:rPr>
          <w:webHidden/>
        </w:rPr>
        <w:fldChar w:fldCharType="begin"/>
      </w:r>
      <w:r>
        <w:rPr>
          <w:webHidden/>
        </w:rPr>
        <w:instrText xml:space="preserve"> PAGEREF _Toc56499816 \h </w:instrText>
      </w:r>
      <w:r>
        <w:rPr>
          <w:webHidden/>
        </w:rPr>
        <w:fldChar w:fldCharType="separate"/>
      </w:r>
      <w:r>
        <w:rPr>
          <w:webHidden/>
        </w:rPr>
        <w:t>44</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"_Toc56499817" </w:instrText>
      </w:r>
      <w:r>
        <w:fldChar w:fldCharType="separate"/>
      </w:r>
      <w:r w:rsidRPr="008A4BE7">
        <w:rPr>
          <w:rStyle w:val="Hyperlink"/>
        </w:rPr>
        <w:t>6.13</w:t>
      </w:r>
      <w:r>
        <w:rPr>
          <w:rFonts w:asciiTheme="minorHAnsi" w:eastAsiaTheme="minorEastAsia" w:hAnsiTheme="minorHAnsi"/>
          <w:sz w:val="22"/>
          <w:szCs w:val="22"/>
        </w:rPr>
        <w:tab/>
      </w:r>
      <w:r w:rsidRPr="008A4BE7">
        <w:rPr>
          <w:rStyle w:val="Hyperlink"/>
        </w:rPr>
        <w:t>[Acknowledgment</w:t>
      </w:r>
      <w:r w:rsidRPr="008A4BE7">
        <w:rPr>
          <w:rStyle w:val="Hyperlink"/>
          <w:snapToGrid w:val="0"/>
        </w:rPr>
        <w:t>.</w:t>
      </w:r>
      <w:r>
        <w:rPr>
          <w:webHidden/>
        </w:rPr>
        <w:tab/>
      </w:r>
      <w:r>
        <w:rPr>
          <w:webHidden/>
        </w:rPr>
        <w:fldChar w:fldCharType="begin"/>
      </w:r>
      <w:r>
        <w:rPr>
          <w:webHidden/>
        </w:rPr>
        <w:instrText xml:space="preserve"> PAGEREF _Toc56499817 \h </w:instrText>
      </w:r>
      <w:r>
        <w:rPr>
          <w:webHidden/>
        </w:rPr>
        <w:fldChar w:fldCharType="separate"/>
      </w:r>
      <w:r>
        <w:rPr>
          <w:webHidden/>
        </w:rPr>
        <w:t>44</w:t>
      </w:r>
      <w:r>
        <w:rPr>
          <w:webHidden/>
        </w:rPr>
        <w:fldChar w:fldCharType="end"/>
      </w:r>
      <w:r>
        <w:fldChar w:fldCharType="end"/>
      </w:r>
    </w:p>
    <w:p w:rsidR="0079680D">
      <w:pPr>
        <w:pStyle w:val="TOC2"/>
        <w:rPr>
          <w:rFonts w:asciiTheme="minorHAnsi" w:eastAsiaTheme="minorEastAsia" w:hAnsiTheme="minorHAnsi"/>
          <w:sz w:val="22"/>
          <w:szCs w:val="22"/>
        </w:rPr>
      </w:pPr>
      <w:r>
        <w:fldChar w:fldCharType="begin"/>
      </w:r>
      <w:r>
        <w:instrText xml:space="preserve"> HYPERLINK \l "_Toc56499818" </w:instrText>
      </w:r>
      <w:r>
        <w:fldChar w:fldCharType="separate"/>
      </w:r>
      <w:r w:rsidRPr="008A4BE7">
        <w:rPr>
          <w:rStyle w:val="Hyperlink"/>
        </w:rPr>
        <w:t>6.14</w:t>
      </w:r>
      <w:r>
        <w:rPr>
          <w:rFonts w:asciiTheme="minorHAnsi" w:eastAsiaTheme="minorEastAsia" w:hAnsiTheme="minorHAnsi"/>
          <w:sz w:val="22"/>
          <w:szCs w:val="22"/>
        </w:rPr>
        <w:tab/>
      </w:r>
      <w:r w:rsidRPr="008A4BE7">
        <w:rPr>
          <w:rStyle w:val="Hyperlink"/>
        </w:rPr>
        <w:t>[Unanimous Shareholder Agreement</w:t>
      </w:r>
      <w:r>
        <w:rPr>
          <w:webHidden/>
        </w:rPr>
        <w:tab/>
      </w:r>
      <w:r>
        <w:rPr>
          <w:webHidden/>
        </w:rPr>
        <w:fldChar w:fldCharType="begin"/>
      </w:r>
      <w:r>
        <w:rPr>
          <w:webHidden/>
        </w:rPr>
        <w:instrText xml:space="preserve"> PAGEREF _Toc56499818 \h </w:instrText>
      </w:r>
      <w:r>
        <w:rPr>
          <w:webHidden/>
        </w:rPr>
        <w:fldChar w:fldCharType="separate"/>
      </w:r>
      <w:r>
        <w:rPr>
          <w:webHidden/>
        </w:rPr>
        <w:t>44</w:t>
      </w:r>
      <w:r>
        <w:rPr>
          <w:webHidden/>
        </w:rPr>
        <w:fldChar w:fldCharType="end"/>
      </w:r>
      <w:r>
        <w:fldChar w:fldCharType="end"/>
      </w:r>
    </w:p>
    <w:p w:rsidR="0079680D">
      <w:pPr>
        <w:pStyle w:val="TOC9"/>
        <w:rPr>
          <w:rFonts w:asciiTheme="minorHAnsi" w:eastAsiaTheme="minorEastAsia" w:hAnsiTheme="minorHAnsi"/>
          <w:sz w:val="22"/>
          <w:szCs w:val="22"/>
        </w:rPr>
      </w:pPr>
      <w:r>
        <w:fldChar w:fldCharType="begin"/>
      </w:r>
      <w:r>
        <w:instrText xml:space="preserve"> HYPERLINK \l "_Toc56499819" </w:instrText>
      </w:r>
      <w:r>
        <w:fldChar w:fldCharType="separate"/>
      </w:r>
      <w:r w:rsidRPr="008A4BE7">
        <w:rPr>
          <w:rStyle w:val="Hyperlink"/>
        </w:rPr>
        <w:t>Schedule A Investors</w:t>
      </w:r>
      <w:r>
        <w:fldChar w:fldCharType="end"/>
      </w:r>
    </w:p>
    <w:p w:rsidR="0079680D">
      <w:pPr>
        <w:pStyle w:val="TOC9"/>
        <w:rPr>
          <w:rFonts w:asciiTheme="minorHAnsi" w:eastAsiaTheme="minorEastAsia" w:hAnsiTheme="minorHAnsi"/>
          <w:sz w:val="22"/>
          <w:szCs w:val="22"/>
        </w:rPr>
      </w:pPr>
      <w:r>
        <w:fldChar w:fldCharType="begin"/>
      </w:r>
      <w:r>
        <w:instrText xml:space="preserve"> HYPERLINK \l "_Toc56499820" </w:instrText>
      </w:r>
      <w:r>
        <w:fldChar w:fldCharType="separate"/>
      </w:r>
      <w:r w:rsidRPr="008A4BE7">
        <w:rPr>
          <w:rStyle w:val="Hyperlink"/>
        </w:rPr>
        <w:t>Schedule B Key Holders]</w:t>
      </w:r>
      <w:r>
        <w:fldChar w:fldCharType="end"/>
      </w:r>
    </w:p>
    <w:p w:rsidR="00037C7E">
      <w:r>
        <w:rPr>
          <w:color w:val="000000"/>
          <w:szCs w:val="16"/>
        </w:rPr>
        <w:fldChar w:fldCharType="end"/>
      </w:r>
    </w:p>
    <w:p w:rsidR="00037C7E">
      <w:pPr>
        <w:sectPr>
          <w:headerReference w:type="default" r:id="rId8"/>
          <w:footerReference w:type="default" r:id="rId9"/>
          <w:headerReference w:type="first" r:id="rId10"/>
          <w:footerReference w:type="first" r:id="rId11"/>
          <w:pgSz w:w="12240" w:h="15840" w:code="1"/>
          <w:pgMar w:top="1440" w:right="1440" w:bottom="1440" w:left="1440" w:header="720" w:footer="432" w:gutter="0"/>
          <w:pgNumType w:start="1"/>
          <w:cols w:space="720"/>
          <w:titlePg/>
          <w:docGrid w:linePitch="360"/>
        </w:sectPr>
      </w:pPr>
    </w:p>
    <w:p w:rsidR="00037C7E">
      <w:pPr>
        <w:jc w:val="center"/>
        <w:rPr>
          <w:b/>
          <w:color w:val="000000"/>
          <w:szCs w:val="20"/>
        </w:rPr>
      </w:pPr>
      <w:r>
        <w:rPr>
          <w:b/>
          <w:szCs w:val="20"/>
        </w:rPr>
        <w:t>[AMENDED AND RESTATED]</w:t>
      </w:r>
    </w:p>
    <w:p w:rsidR="00037C7E">
      <w:pPr>
        <w:pStyle w:val="MainDocumentTitle-CB"/>
        <w:rPr>
          <w:color w:val="000000"/>
        </w:rPr>
      </w:pPr>
      <w:r>
        <w:t>INVESTORS' RIGHTS AGREEMENT</w:t>
      </w:r>
    </w:p>
    <w:p w:rsidR="00037C7E">
      <w:pPr>
        <w:pStyle w:val="BodyText-FLI-10"/>
      </w:pPr>
      <w:r>
        <w:t>THIS [AMENDED AND RESTATED] INVESTORS' RIGHTS AGREEMENT (this "</w:t>
      </w:r>
      <w:r>
        <w:rPr>
          <w:b/>
        </w:rPr>
        <w:t>Agreement</w:t>
      </w:r>
      <w:r>
        <w:t xml:space="preserve">"), is made as of [___________, 20__], by and among [________], a corporation governed by the laws of </w:t>
      </w:r>
      <w:r>
        <w:rPr>
          <w:b/>
        </w:rPr>
        <w:t>[Canada/</w:t>
      </w:r>
      <w:r>
        <w:rPr>
          <w:b/>
          <w:i/>
        </w:rPr>
        <w:t xml:space="preserve">province] </w:t>
      </w:r>
      <w:r>
        <w:t>(the "</w:t>
      </w:r>
      <w:r>
        <w:rPr>
          <w:b/>
        </w:rPr>
        <w:t>Company</w:t>
      </w:r>
      <w:r>
        <w:t xml:space="preserve">"), [and] each of the investors listed on </w:t>
      </w:r>
      <w:r>
        <w:rPr>
          <w:u w:val="single"/>
        </w:rPr>
        <w:fldChar w:fldCharType="begin"/>
      </w:r>
      <w:r>
        <w:rPr>
          <w:u w:val="single"/>
        </w:rPr>
        <w:instrText xml:space="preserve">  REF _Ref448380672 \w \h \* MERGEFORMAT </w:instrText>
      </w:r>
      <w:r>
        <w:rPr>
          <w:u w:val="single"/>
        </w:rPr>
        <w:fldChar w:fldCharType="separate"/>
      </w:r>
      <w:r w:rsidRPr="00BC1FC7" w:rsidR="00BC1FC7">
        <w:rPr>
          <w:color w:val="000000"/>
          <w:u w:val="single"/>
        </w:rPr>
        <w:t>Schedule A</w:t>
      </w:r>
      <w:r>
        <w:rPr>
          <w:u w:val="single"/>
        </w:rPr>
        <w:fldChar w:fldCharType="end"/>
      </w:r>
      <w:r>
        <w:t xml:space="preserve"> hereto, each of which is referred to in this Agreement as an "</w:t>
      </w:r>
      <w:r>
        <w:rPr>
          <w:b/>
        </w:rPr>
        <w:t>Investor</w:t>
      </w:r>
      <w:r>
        <w:t xml:space="preserve">"[, and each of the shareholders listed on </w:t>
      </w:r>
      <w:r>
        <w:rPr>
          <w:u w:val="single"/>
        </w:rPr>
        <w:fldChar w:fldCharType="begin"/>
      </w:r>
      <w:r>
        <w:rPr>
          <w:u w:val="single"/>
        </w:rPr>
        <w:instrText xml:space="preserve">  REF _Ref448380673 \w \h \* MERGEFORMAT </w:instrText>
      </w:r>
      <w:r>
        <w:rPr>
          <w:u w:val="single"/>
        </w:rPr>
        <w:fldChar w:fldCharType="separate"/>
      </w:r>
      <w:r w:rsidRPr="00BC1FC7" w:rsidR="00BC1FC7">
        <w:rPr>
          <w:color w:val="000000"/>
          <w:u w:val="single"/>
        </w:rPr>
        <w:t>Schedule B</w:t>
      </w:r>
      <w:r>
        <w:rPr>
          <w:u w:val="single"/>
        </w:rPr>
        <w:fldChar w:fldCharType="end"/>
      </w:r>
      <w:r>
        <w:t xml:space="preserve"> hereto, each of whom is referred to herein as a "</w:t>
      </w:r>
      <w:r>
        <w:rPr>
          <w:b/>
        </w:rPr>
        <w:t>Key Holder</w:t>
      </w:r>
      <w:r>
        <w:t>"].</w:t>
      </w:r>
    </w:p>
    <w:p w:rsidR="00037C7E">
      <w:pPr>
        <w:pStyle w:val="MainSub-Title-CBU"/>
        <w:rPr>
          <w:color w:val="000000"/>
        </w:rPr>
      </w:pPr>
      <w:r>
        <w:t>RECITALS</w:t>
      </w:r>
    </w:p>
    <w:p w:rsidR="00037C7E">
      <w:pPr>
        <w:pStyle w:val="BodyText-FLI-10"/>
        <w:rPr>
          <w:szCs w:val="16"/>
        </w:rPr>
      </w:pPr>
      <w:r>
        <w:t>[</w:t>
      </w:r>
      <w:r>
        <w:rPr>
          <w:i/>
          <w:iCs/>
        </w:rPr>
        <w:t>Alternative 1</w:t>
      </w:r>
      <w:r>
        <w:t>:</w:t>
      </w:r>
      <w:bookmarkStart w:id="5" w:name="_Ref448380675"/>
      <w:r>
        <w:rPr>
          <w:rStyle w:val="FootnoteReference"/>
        </w:rPr>
        <w:footnoteReference w:id="2"/>
      </w:r>
      <w:bookmarkEnd w:id="5"/>
    </w:p>
    <w:p w:rsidR="00037C7E">
      <w:pPr>
        <w:pStyle w:val="BodyText-FLI-10"/>
      </w:pPr>
      <w:r>
        <w:rPr>
          <w:b/>
        </w:rPr>
        <w:t>WHEREAS</w:t>
      </w:r>
      <w:r>
        <w:t xml:space="preserve">, the Company and the Investors are parties to </w:t>
      </w:r>
      <w:r w:rsidR="00B30BAF">
        <w:t>that certain</w:t>
      </w:r>
      <w:r>
        <w:t xml:space="preserve"> Class A Preferred Share Purchase Agreement of even date herewith (the "</w:t>
      </w:r>
      <w:r>
        <w:rPr>
          <w:b/>
        </w:rPr>
        <w:t>Purchase Agreement</w:t>
      </w:r>
      <w:r>
        <w:t>"); and</w:t>
      </w:r>
    </w:p>
    <w:p w:rsidR="00037C7E">
      <w:pPr>
        <w:pStyle w:val="BodyText-FLI-10"/>
      </w:pPr>
      <w:r>
        <w:rPr>
          <w:b/>
        </w:rPr>
        <w:t>WHEREAS</w:t>
      </w:r>
      <w:r>
        <w:t>, in order to induce the Company to enter into the Purchase Agreement and to induce the Investors to invest funds in the Company pursuant to the Purchase Agreement, the Investors and the Company hereby agree that this Agreement shall govern the rights of the Investors to cause the Company to register Common Shares issuable to the Investors, to receive certain information from the Company, and to participate in future equity offerings by the Company, and shall govern certain other matters as set forth in this Agreement;</w:t>
      </w:r>
    </w:p>
    <w:p w:rsidR="00037C7E">
      <w:pPr>
        <w:pStyle w:val="BodyText-FLI-10"/>
      </w:pPr>
      <w:r>
        <w:rPr>
          <w:b/>
        </w:rPr>
        <w:t>NOW, THEREFORE</w:t>
      </w:r>
      <w:r>
        <w:t>, the parties hereby agree as follows:]</w:t>
      </w:r>
    </w:p>
    <w:p w:rsidR="00037C7E">
      <w:pPr>
        <w:pStyle w:val="BodyText-FLI-10"/>
      </w:pPr>
      <w:r>
        <w:t>[</w:t>
      </w:r>
      <w:r>
        <w:rPr>
          <w:i/>
          <w:iCs/>
        </w:rPr>
        <w:t>Alternative 2</w:t>
      </w:r>
      <w:r>
        <w:t>:</w:t>
      </w:r>
      <w:bookmarkStart w:id="6" w:name="_Ref448380676"/>
      <w:r>
        <w:rPr>
          <w:rStyle w:val="FootnoteReference"/>
        </w:rPr>
        <w:footnoteReference w:id="3"/>
      </w:r>
      <w:bookmarkEnd w:id="6"/>
    </w:p>
    <w:p w:rsidR="00037C7E">
      <w:pPr>
        <w:pStyle w:val="BodyText-FLI-10"/>
      </w:pPr>
      <w:r>
        <w:rPr>
          <w:b/>
        </w:rPr>
        <w:t>WHEREAS</w:t>
      </w:r>
      <w:r>
        <w:t>, certain of the Investors (the "</w:t>
      </w:r>
      <w:r>
        <w:rPr>
          <w:b/>
        </w:rPr>
        <w:t>Existing Investors</w:t>
      </w:r>
      <w:r>
        <w:t xml:space="preserve">") hold </w:t>
      </w:r>
      <w:r w:rsidR="00443BDC">
        <w:t>[</w:t>
      </w:r>
      <w:r>
        <w:t>Class [_]</w:t>
      </w:r>
      <w:r w:rsidR="00443BDC">
        <w:t>]</w:t>
      </w:r>
      <w:r>
        <w:t xml:space="preserve"> Preferred Shares and/or Common Shares issued upon conversion thereof and possess </w:t>
      </w:r>
      <w:r w:rsidR="00D82735">
        <w:t>registration</w:t>
      </w:r>
      <w:r>
        <w:t xml:space="preserve"> rights, information rights, rights of first offer, and other rights pursuant to </w:t>
      </w:r>
      <w:r w:rsidR="00B30BAF">
        <w:t>that certain</w:t>
      </w:r>
      <w:r>
        <w:t xml:space="preserve"> Investors' Rights Agreement dated as of [_________ __, 20__] between the Company and such </w:t>
      </w:r>
      <w:r w:rsidR="00B30BAF">
        <w:t xml:space="preserve">Existing </w:t>
      </w:r>
      <w:r>
        <w:t>Investors (the "</w:t>
      </w:r>
      <w:r>
        <w:rPr>
          <w:b/>
        </w:rPr>
        <w:t>Prior Agreement</w:t>
      </w:r>
      <w:r>
        <w:t>"); and</w:t>
      </w:r>
    </w:p>
    <w:p w:rsidR="00037C7E">
      <w:pPr>
        <w:pStyle w:val="BodyText-FLI-10"/>
      </w:pPr>
      <w:r>
        <w:rPr>
          <w:b/>
        </w:rPr>
        <w:t>WHEREAS</w:t>
      </w:r>
      <w:r>
        <w:t>, the Existing Investors are holders of at least [_______ percent (___%)] of the Registrable Securities (as defined in the Prior Agreement), and desire to [amend and restate][terminate] the Prior Agreement in its entirety and to accept the rights created pursuant to this Agreement in lieu of the rights granted to them under the Prior Agreement; and</w:t>
      </w:r>
    </w:p>
    <w:p w:rsidR="00037C7E">
      <w:pPr>
        <w:pStyle w:val="BodyText-FLI-10"/>
        <w:rPr>
          <w:szCs w:val="20"/>
        </w:rPr>
      </w:pPr>
      <w:r>
        <w:rPr>
          <w:b/>
          <w:szCs w:val="20"/>
        </w:rPr>
        <w:t>WHEREAS</w:t>
      </w:r>
      <w:r>
        <w:rPr>
          <w:szCs w:val="20"/>
        </w:rPr>
        <w:t xml:space="preserve">, certain of the Investors are parties to that certain Class [_] Preferred Share Purchase Agreement of even date herewith between the Company and </w:t>
      </w:r>
      <w:r w:rsidR="00B30BAF">
        <w:rPr>
          <w:szCs w:val="20"/>
        </w:rPr>
        <w:t>such</w:t>
      </w:r>
      <w:r>
        <w:rPr>
          <w:szCs w:val="20"/>
        </w:rPr>
        <w:t xml:space="preserve"> Investors (the "</w:t>
      </w:r>
      <w:r>
        <w:rPr>
          <w:b/>
          <w:szCs w:val="20"/>
        </w:rPr>
        <w:t>Purchase Agreement</w:t>
      </w:r>
      <w:r>
        <w:rPr>
          <w:szCs w:val="20"/>
        </w:rPr>
        <w:t>"), under which certain of the Company's and such Investors' obligations are conditioned upon the execution and delivery of this Agreement by such Investors, Existing Investors holding at least [_______ percent (___%)] of the Registrable Securities, and the Company;</w:t>
      </w:r>
    </w:p>
    <w:p w:rsidR="00037C7E">
      <w:pPr>
        <w:pStyle w:val="BodyText-FLI-10"/>
        <w:rPr>
          <w:szCs w:val="20"/>
        </w:rPr>
      </w:pPr>
      <w:r>
        <w:rPr>
          <w:b/>
          <w:szCs w:val="20"/>
        </w:rPr>
        <w:t>NOW, THEREFORE</w:t>
      </w:r>
      <w:r>
        <w:rPr>
          <w:szCs w:val="20"/>
        </w:rPr>
        <w:t xml:space="preserve">, the Existing Investors hereby agree that the Prior Agreement </w:t>
      </w:r>
      <w:r w:rsidR="00443BDC">
        <w:rPr>
          <w:szCs w:val="20"/>
        </w:rPr>
        <w:t>is hereby amended and restated</w:t>
      </w:r>
      <w:r>
        <w:rPr>
          <w:szCs w:val="20"/>
        </w:rPr>
        <w:t xml:space="preserve"> in</w:t>
      </w:r>
      <w:r w:rsidR="00443BDC">
        <w:rPr>
          <w:szCs w:val="20"/>
        </w:rPr>
        <w:t xml:space="preserve"> its entirety by this Agreement</w:t>
      </w:r>
      <w:r>
        <w:rPr>
          <w:szCs w:val="20"/>
        </w:rPr>
        <w:t>, and the parties to this Agreement further agree as follows:]</w:t>
      </w:r>
    </w:p>
    <w:p w:rsidR="00037C7E">
      <w:pPr>
        <w:pStyle w:val="StandardL1"/>
      </w:pPr>
      <w:bookmarkStart w:id="7" w:name="_Toc56499761"/>
      <w:bookmarkStart w:id="8" w:name="_Ref448380511"/>
      <w:r>
        <w:t>Definitions</w:t>
      </w:r>
      <w:r>
        <w:rPr>
          <w:snapToGrid w:val="0"/>
          <w:szCs w:val="16"/>
        </w:rPr>
        <w:t>.</w:t>
      </w:r>
      <w:bookmarkEnd w:id="7"/>
    </w:p>
    <w:p w:rsidR="00037C7E">
      <w:pPr>
        <w:pStyle w:val="StandardCont1"/>
      </w:pPr>
      <w:r>
        <w:rPr>
          <w:snapToGrid w:val="0"/>
        </w:rPr>
        <w:t>For purposes of this Agreement:</w:t>
      </w:r>
      <w:bookmarkEnd w:id="8"/>
    </w:p>
    <w:p w:rsidR="00E41335">
      <w:pPr>
        <w:pStyle w:val="DefinitionL1"/>
      </w:pPr>
      <w:bookmarkStart w:id="9" w:name="_Ref448380512"/>
      <w:r>
        <w:t>"</w:t>
      </w:r>
      <w:r w:rsidRPr="00E41335">
        <w:rPr>
          <w:b/>
        </w:rPr>
        <w:t>Act</w:t>
      </w:r>
      <w:r>
        <w:t>" means the [</w:t>
      </w:r>
      <w:r w:rsidRPr="00E41335">
        <w:rPr>
          <w:i/>
        </w:rPr>
        <w:t>Canada Business Corporations Act</w:t>
      </w:r>
      <w:r>
        <w:t>].</w:t>
      </w:r>
    </w:p>
    <w:p w:rsidR="00037C7E">
      <w:pPr>
        <w:pStyle w:val="DefinitionL1"/>
      </w:pPr>
      <w:r>
        <w:t>"</w:t>
      </w:r>
      <w:r>
        <w:rPr>
          <w:b/>
        </w:rPr>
        <w:t>Affiliate</w:t>
      </w:r>
      <w:r>
        <w:t xml:space="preserve">" means, with respect to any specified Person, any other Person who, directly or indirectly, controls, is controlled by, or is under common control with such Person, including, without limitation, any </w:t>
      </w:r>
      <w:r>
        <w:rPr>
          <w:szCs w:val="16"/>
        </w:rPr>
        <w:t xml:space="preserve">general </w:t>
      </w:r>
      <w:r>
        <w:t>partner, managing member, officer</w:t>
      </w:r>
      <w:r w:rsidR="00B30BAF">
        <w:t>,</w:t>
      </w:r>
      <w:r>
        <w:t xml:space="preserve"> director</w:t>
      </w:r>
      <w:r>
        <w:rPr>
          <w:szCs w:val="16"/>
        </w:rPr>
        <w:t xml:space="preserve"> </w:t>
      </w:r>
      <w:r w:rsidR="00B30BAF">
        <w:rPr>
          <w:szCs w:val="16"/>
        </w:rPr>
        <w:t xml:space="preserve">or trustee </w:t>
      </w:r>
      <w:r>
        <w:t xml:space="preserve">of such Person or any venture capital fund </w:t>
      </w:r>
      <w:r w:rsidR="00B30BAF">
        <w:t xml:space="preserve">or </w:t>
      </w:r>
      <w:r w:rsidR="00443BDC">
        <w:t>other</w:t>
      </w:r>
      <w:r w:rsidR="00B30BAF">
        <w:t xml:space="preserve"> investment </w:t>
      </w:r>
      <w:r w:rsidR="00443BDC">
        <w:t xml:space="preserve">fund </w:t>
      </w:r>
      <w:r>
        <w:t>now or hereafter existing that is controlled by one (1) or more general partners</w:t>
      </w:r>
      <w:r w:rsidR="00B30BAF">
        <w:t>,</w:t>
      </w:r>
      <w:r>
        <w:t xml:space="preserve"> managing members </w:t>
      </w:r>
      <w:r w:rsidR="00B30BAF">
        <w:t xml:space="preserve">or investment adviser </w:t>
      </w:r>
      <w:r>
        <w:t>of, or shares the same management company</w:t>
      </w:r>
      <w:r w:rsidR="00B30BAF">
        <w:t xml:space="preserve"> or investment adviser</w:t>
      </w:r>
      <w:r>
        <w:t xml:space="preserve"> with, such Person.</w:t>
      </w:r>
      <w:bookmarkEnd w:id="9"/>
    </w:p>
    <w:p w:rsidR="00B30BAF" w:rsidP="00B30BAF">
      <w:pPr>
        <w:pStyle w:val="DefinitionL1"/>
      </w:pPr>
      <w:bookmarkStart w:id="10" w:name="_Ref448380513"/>
      <w:r>
        <w:t>"</w:t>
      </w:r>
      <w:r>
        <w:rPr>
          <w:b/>
        </w:rPr>
        <w:t>Board of Directors</w:t>
      </w:r>
      <w:r>
        <w:t>" means the board of directors of the Company.</w:t>
      </w:r>
    </w:p>
    <w:p w:rsidR="00037C7E">
      <w:pPr>
        <w:pStyle w:val="DefinitionL1"/>
      </w:pPr>
      <w:r>
        <w:t>"</w:t>
      </w:r>
      <w:r>
        <w:rPr>
          <w:b/>
        </w:rPr>
        <w:t>Articles</w:t>
      </w:r>
      <w:r>
        <w:t>" means the Company's articles of incorporation or amalgamation, and all amendments made to them from time to time.</w:t>
      </w:r>
      <w:bookmarkEnd w:id="10"/>
    </w:p>
    <w:p w:rsidR="00037C7E">
      <w:pPr>
        <w:pStyle w:val="DefinitionL1"/>
      </w:pPr>
      <w:bookmarkStart w:id="11" w:name="_Ref448380514"/>
      <w:r>
        <w:t>"</w:t>
      </w:r>
      <w:r>
        <w:rPr>
          <w:b/>
        </w:rPr>
        <w:t>Canadian Securities Laws</w:t>
      </w:r>
      <w:r>
        <w:t>" means the securities laws of each province and territory of Canada, and the rules, instruments, regulations notices and policies of each securities commission or other securities regulatory authority in each province or territory of Canada.</w:t>
      </w:r>
      <w:bookmarkEnd w:id="11"/>
    </w:p>
    <w:p w:rsidR="00037C7E">
      <w:pPr>
        <w:pStyle w:val="DefinitionL1"/>
      </w:pPr>
      <w:bookmarkStart w:id="12" w:name="_Ref448380516"/>
      <w:r>
        <w:t>"</w:t>
      </w:r>
      <w:r>
        <w:rPr>
          <w:b/>
        </w:rPr>
        <w:t>Class A Preferred Shares</w:t>
      </w:r>
      <w:r>
        <w:t>" means the Company's Class A Preferred Shares.</w:t>
      </w:r>
      <w:bookmarkEnd w:id="12"/>
    </w:p>
    <w:p w:rsidR="00037C7E">
      <w:pPr>
        <w:pStyle w:val="DefinitionL1"/>
      </w:pPr>
      <w:bookmarkStart w:id="13" w:name="_Ref448380517"/>
      <w:r>
        <w:t>"</w:t>
      </w:r>
      <w:r>
        <w:rPr>
          <w:b/>
        </w:rPr>
        <w:t>Common Shares</w:t>
      </w:r>
      <w:r>
        <w:t>" means the Company's common shares.</w:t>
      </w:r>
      <w:bookmarkEnd w:id="13"/>
    </w:p>
    <w:p w:rsidR="00037C7E">
      <w:pPr>
        <w:pStyle w:val="DefinitionL1"/>
      </w:pPr>
      <w:bookmarkStart w:id="14" w:name="_Ref448380518"/>
      <w:r>
        <w:t>["</w:t>
      </w:r>
      <w:r>
        <w:rPr>
          <w:b/>
        </w:rPr>
        <w:t>Competitor</w:t>
      </w:r>
      <w:r>
        <w:t>" means a Person engaged, directly or indirectly (including through any</w:t>
      </w:r>
      <w:r>
        <w:rPr>
          <w:b/>
        </w:rPr>
        <w:t xml:space="preserve"> </w:t>
      </w:r>
      <w:r>
        <w:t>partnership, limited liability company, corporation, joint venture or similar arrangement (whether now existing or formed hereafter)), in [</w:t>
      </w:r>
      <w:r>
        <w:rPr>
          <w:i/>
        </w:rPr>
        <w:t>description of business</w:t>
      </w:r>
      <w:r>
        <w:t xml:space="preserve">], but shall not include any financial investment firm or collective investment vehicle that, together with its Affiliates, holds less than [twenty percent (20)]% of the outstanding equity of any Competitor and does not, nor do any of its Affiliates, have a right to designate any members of the </w:t>
      </w:r>
      <w:r w:rsidR="00D82735">
        <w:t xml:space="preserve">board of directors </w:t>
      </w:r>
      <w:r>
        <w:t>of any Competitor.]</w:t>
      </w:r>
      <w:bookmarkEnd w:id="14"/>
      <w:r>
        <w:rPr>
          <w:rStyle w:val="FootnoteReference"/>
        </w:rPr>
        <w:footnoteReference w:id="4"/>
      </w:r>
    </w:p>
    <w:p w:rsidR="00037C7E">
      <w:pPr>
        <w:pStyle w:val="DefinitionL1"/>
      </w:pPr>
      <w:bookmarkStart w:id="15" w:name="_Ref448380519"/>
      <w:r>
        <w:t>"</w:t>
      </w:r>
      <w:r>
        <w:rPr>
          <w:b/>
        </w:rPr>
        <w:t>Damages</w:t>
      </w:r>
      <w:r>
        <w:t xml:space="preserve">" means any loss, damage, claim or liability (joint or several) to which a party hereto may become subject under the Securities Act, the Exchange Act, Canadian Securities Laws or other US or Canadian federal, national, provincial or state law, insofar as such loss, damage, claim or liability (or any action in respect thereof) arises out of or is based upon: </w:t>
      </w:r>
      <w:bookmarkStart w:id="16" w:name="DocXTextRef9"/>
      <w:r>
        <w:t>(i)</w:t>
      </w:r>
      <w:bookmarkEnd w:id="16"/>
      <w:r>
        <w:t xml:space="preserve"> any untrue statement or alleged untrue statement of a material fact contained in any </w:t>
      </w:r>
      <w:r w:rsidR="00D82735">
        <w:t>registration statement</w:t>
      </w:r>
      <w:r>
        <w:t xml:space="preserve"> of the Company, including any preliminary prospectus or final prospectus contained therein, or any amendments or supplements thereto; </w:t>
      </w:r>
      <w:bookmarkStart w:id="17" w:name="DocXTextRef10"/>
      <w:r>
        <w:t>(ii)</w:t>
      </w:r>
      <w:bookmarkEnd w:id="17"/>
      <w:r>
        <w:t xml:space="preserve"> an omission or alleged omission to state therein a material fact required to be stated therein, or necessary to make the statements therein not misleading; or </w:t>
      </w:r>
      <w:bookmarkStart w:id="18" w:name="DocXTextRef11"/>
      <w:r>
        <w:t>(iii)</w:t>
      </w:r>
      <w:bookmarkEnd w:id="18"/>
      <w:r>
        <w:t xml:space="preserve"> any violation or alleged violation by </w:t>
      </w:r>
      <w:r>
        <w:rPr>
          <w:szCs w:val="16"/>
        </w:rPr>
        <w:t>the</w:t>
      </w:r>
      <w:r>
        <w:t xml:space="preserve"> </w:t>
      </w:r>
      <w:r>
        <w:rPr>
          <w:szCs w:val="16"/>
        </w:rPr>
        <w:t>indemnifying</w:t>
      </w:r>
      <w:r>
        <w:rPr>
          <w:b/>
        </w:rPr>
        <w:t xml:space="preserve"> </w:t>
      </w:r>
      <w:r>
        <w:t xml:space="preserve">party </w:t>
      </w:r>
      <w:r>
        <w:rPr>
          <w:szCs w:val="16"/>
        </w:rPr>
        <w:t>(or any of its agents or Affiliates)</w:t>
      </w:r>
      <w:r>
        <w:rPr>
          <w:b/>
        </w:rPr>
        <w:t xml:space="preserve"> </w:t>
      </w:r>
      <w:r>
        <w:t>of the Securities Act, the Exchange Act, any state securities law or Canadian Securities Laws, or any rule or regulation promulgated under the Securities Act, the Exchange Act, any state securities law, or Canadian Securities Laws.</w:t>
      </w:r>
      <w:bookmarkEnd w:id="15"/>
    </w:p>
    <w:p w:rsidR="00037C7E">
      <w:pPr>
        <w:pStyle w:val="DefinitionL1"/>
      </w:pPr>
      <w:bookmarkStart w:id="19" w:name="_Ref448380520"/>
      <w:r>
        <w:t>"</w:t>
      </w:r>
      <w:r>
        <w:rPr>
          <w:b/>
        </w:rPr>
        <w:t>Derivative Securities</w:t>
      </w:r>
      <w:r>
        <w:t>" means any securities or rights convertible into, or exercisable or exchangeable for</w:t>
      </w:r>
      <w:r>
        <w:rPr>
          <w:szCs w:val="16"/>
        </w:rPr>
        <w:t xml:space="preserve"> (in each case, directly or indirectly)</w:t>
      </w:r>
      <w:r>
        <w:rPr>
          <w:b/>
        </w:rPr>
        <w:t>,</w:t>
      </w:r>
      <w:r>
        <w:t xml:space="preserve"> Common Shares, including options and warrants.</w:t>
      </w:r>
      <w:bookmarkEnd w:id="19"/>
    </w:p>
    <w:p w:rsidR="00037C7E">
      <w:pPr>
        <w:pStyle w:val="DefinitionL1"/>
      </w:pPr>
      <w:bookmarkStart w:id="20" w:name="_Ref448380521"/>
      <w:r>
        <w:t>"</w:t>
      </w:r>
      <w:r>
        <w:rPr>
          <w:b/>
        </w:rPr>
        <w:t>Exchange Act</w:t>
      </w:r>
      <w:r>
        <w:t>" means the US Securities Exchange Act of 1934, as amended, and the rules and regulations promulgated thereunder.</w:t>
      </w:r>
      <w:bookmarkEnd w:id="20"/>
    </w:p>
    <w:p w:rsidR="00037C7E">
      <w:pPr>
        <w:pStyle w:val="DefinitionL1"/>
        <w:rPr>
          <w:b/>
          <w:color w:val="000000"/>
        </w:rPr>
      </w:pPr>
      <w:bookmarkStart w:id="21" w:name="_Ref448380522"/>
      <w:r>
        <w:t>"</w:t>
      </w:r>
      <w:r>
        <w:rPr>
          <w:b/>
        </w:rPr>
        <w:t xml:space="preserve">Excluded </w:t>
      </w:r>
      <w:r w:rsidR="009D66BB">
        <w:rPr>
          <w:b/>
        </w:rPr>
        <w:t>R</w:t>
      </w:r>
      <w:r w:rsidR="00D82735">
        <w:rPr>
          <w:b/>
        </w:rPr>
        <w:t>egistration</w:t>
      </w:r>
      <w:r>
        <w:t xml:space="preserve">" means </w:t>
      </w:r>
      <w:bookmarkStart w:id="22" w:name="DocXTextRef12"/>
      <w:r>
        <w:t>(i)</w:t>
      </w:r>
      <w:bookmarkEnd w:id="22"/>
      <w:r>
        <w:t xml:space="preserve"> a </w:t>
      </w:r>
      <w:r w:rsidR="00D82735">
        <w:t>registration</w:t>
      </w:r>
      <w:r>
        <w:t xml:space="preserve"> relating to the sale </w:t>
      </w:r>
      <w:r w:rsidR="00EF47FC">
        <w:t xml:space="preserve">or grant </w:t>
      </w:r>
      <w:r>
        <w:t xml:space="preserve">of securities to employees of the Company or a subsidiary pursuant to a stock option, stock purchase, </w:t>
      </w:r>
      <w:r w:rsidR="00EF47FC">
        <w:t xml:space="preserve">equity incentive </w:t>
      </w:r>
      <w:r>
        <w:t xml:space="preserve">or similar plan; </w:t>
      </w:r>
      <w:bookmarkStart w:id="23" w:name="DocXTextRef13"/>
      <w:r>
        <w:t>(ii)</w:t>
      </w:r>
      <w:bookmarkEnd w:id="23"/>
      <w:r>
        <w:t xml:space="preserve"> a </w:t>
      </w:r>
      <w:r w:rsidR="00D82735">
        <w:t>registration</w:t>
      </w:r>
      <w:r>
        <w:t xml:space="preserve"> relating to an SEC Rule </w:t>
      </w:r>
      <w:bookmarkStart w:id="24" w:name="DocXTextRef14"/>
      <w:r>
        <w:t>145</w:t>
      </w:r>
      <w:bookmarkEnd w:id="24"/>
      <w:r>
        <w:t xml:space="preserve"> transaction; </w:t>
      </w:r>
      <w:bookmarkStart w:id="25" w:name="DocXTextRef15"/>
      <w:r>
        <w:t>(iii)</w:t>
      </w:r>
      <w:bookmarkEnd w:id="25"/>
      <w:r>
        <w:t xml:space="preserve"> a </w:t>
      </w:r>
      <w:r w:rsidR="00D82735">
        <w:t>registration</w:t>
      </w:r>
      <w:r>
        <w:t xml:space="preserve"> on any form that does not include substantially the same information as would be required to be included in a </w:t>
      </w:r>
      <w:r w:rsidR="00D82735">
        <w:t>registration statement</w:t>
      </w:r>
      <w:r>
        <w:t xml:space="preserve"> covering the sale of the Registrable Securities; or </w:t>
      </w:r>
      <w:bookmarkStart w:id="26" w:name="DocXTextRef16"/>
      <w:r>
        <w:t>(iv)</w:t>
      </w:r>
      <w:bookmarkEnd w:id="26"/>
      <w:r>
        <w:t xml:space="preserve"> a </w:t>
      </w:r>
      <w:r w:rsidR="00D82735">
        <w:t>registration</w:t>
      </w:r>
      <w:r>
        <w:t xml:space="preserve"> in which the only Common Shares being registered are Common Shares issuable upon conversion of debt securities that are also being registered.</w:t>
      </w:r>
      <w:bookmarkEnd w:id="21"/>
    </w:p>
    <w:p w:rsidR="00037C7E">
      <w:pPr>
        <w:pStyle w:val="DefinitionL1"/>
      </w:pPr>
      <w:bookmarkStart w:id="27" w:name="_Ref448380523"/>
      <w:r>
        <w:t>["</w:t>
      </w:r>
      <w:r>
        <w:rPr>
          <w:b/>
        </w:rPr>
        <w:t>FOIA Party</w:t>
      </w:r>
      <w:r>
        <w:t xml:space="preserve">" means a Person that, in the [reasonable] determination of the Board of Directors, may be subject to, and thereby required to disclose non-public information furnished by or relating to the Company under, the </w:t>
      </w:r>
      <w:r>
        <w:rPr>
          <w:i/>
        </w:rPr>
        <w:t>Access to Information Act</w:t>
      </w:r>
      <w:r>
        <w:t>, R.S.C., 1985, c. A-1</w:t>
      </w:r>
      <w:r>
        <w:rPr>
          <w:i/>
        </w:rPr>
        <w:t xml:space="preserve"> </w:t>
      </w:r>
      <w:r>
        <w:t>(the "</w:t>
      </w:r>
      <w:r>
        <w:rPr>
          <w:b/>
        </w:rPr>
        <w:t>AIA</w:t>
      </w:r>
      <w:r>
        <w:t xml:space="preserve">"), the Freedom of Information Act, </w:t>
      </w:r>
      <w:bookmarkStart w:id="28" w:name="DocXTextRef17"/>
      <w:r>
        <w:t>5</w:t>
      </w:r>
      <w:bookmarkEnd w:id="28"/>
      <w:r>
        <w:t xml:space="preserve"> U.S.C. </w:t>
      </w:r>
      <w:bookmarkStart w:id="29" w:name="DocXTextRef18"/>
      <w:r>
        <w:t>552</w:t>
      </w:r>
      <w:bookmarkEnd w:id="29"/>
      <w:r>
        <w:t xml:space="preserve"> ("</w:t>
      </w:r>
      <w:r>
        <w:rPr>
          <w:b/>
        </w:rPr>
        <w:t>FOIA</w:t>
      </w:r>
      <w:r>
        <w:t>"), any provincial, territorial or state public records access law, any provincial, territorial, state or other jurisdiction's laws similar in intent or effect to AIA or FOIA, or any other similar statutory or regulatory requirement.]</w:t>
      </w:r>
      <w:bookmarkEnd w:id="27"/>
    </w:p>
    <w:p w:rsidR="00037C7E" w:rsidRPr="005E1A53">
      <w:pPr>
        <w:pStyle w:val="DefinitionL1"/>
        <w:rPr>
          <w:b/>
        </w:rPr>
      </w:pPr>
      <w:bookmarkStart w:id="30" w:name="_Ref448380524"/>
      <w:r>
        <w:t>"</w:t>
      </w:r>
      <w:r>
        <w:rPr>
          <w:b/>
        </w:rPr>
        <w:t>Form S</w:t>
      </w:r>
      <w:r>
        <w:rPr>
          <w:b/>
        </w:rPr>
        <w:noBreakHyphen/>
        <w:t>1</w:t>
      </w:r>
      <w:r w:rsidRPr="005E1A53">
        <w:t>" or "</w:t>
      </w:r>
      <w:r w:rsidRPr="005E1A53">
        <w:rPr>
          <w:b/>
        </w:rPr>
        <w:t>Form F-1</w:t>
      </w:r>
      <w:r w:rsidRPr="005E1A53">
        <w:t xml:space="preserve">" means such form under the Securities Act as in effect on the date hereof or any successor </w:t>
      </w:r>
      <w:r w:rsidRPr="005E1A53" w:rsidR="00D82735">
        <w:t>registration</w:t>
      </w:r>
      <w:r w:rsidRPr="005E1A53">
        <w:t xml:space="preserve"> form under the Securities Act subsequently adopted by the SEC.</w:t>
      </w:r>
      <w:bookmarkEnd w:id="30"/>
    </w:p>
    <w:p w:rsidR="00037C7E" w:rsidRPr="005E1A53">
      <w:pPr>
        <w:pStyle w:val="DefinitionL1"/>
      </w:pPr>
      <w:bookmarkStart w:id="31" w:name="_Ref448380525"/>
      <w:r w:rsidRPr="005E1A53">
        <w:t>"</w:t>
      </w:r>
      <w:r w:rsidRPr="005E1A53">
        <w:rPr>
          <w:b/>
        </w:rPr>
        <w:t>Form S</w:t>
      </w:r>
      <w:r w:rsidRPr="005E1A53">
        <w:rPr>
          <w:b/>
        </w:rPr>
        <w:noBreakHyphen/>
        <w:t>3</w:t>
      </w:r>
      <w:r w:rsidRPr="005E1A53">
        <w:t>" or "</w:t>
      </w:r>
      <w:r w:rsidRPr="005E1A53">
        <w:rPr>
          <w:b/>
        </w:rPr>
        <w:t>Form F-3</w:t>
      </w:r>
      <w:r w:rsidRPr="005E1A53">
        <w:t xml:space="preserve">" means such form under the Securities Act as in effect on the date hereof or any </w:t>
      </w:r>
      <w:r w:rsidRPr="005E1A53" w:rsidR="00D82735">
        <w:t>registration</w:t>
      </w:r>
      <w:r w:rsidRPr="005E1A53">
        <w:t xml:space="preserve"> form under the Securities Act subsequently adopted by the SEC that permits </w:t>
      </w:r>
      <w:r w:rsidRPr="005E1A53" w:rsidR="00EF47FC">
        <w:t xml:space="preserve">forward </w:t>
      </w:r>
      <w:r w:rsidRPr="005E1A53">
        <w:t>incorporation of substantial information by reference to other documents filed by the Company with the SEC.</w:t>
      </w:r>
      <w:bookmarkEnd w:id="31"/>
    </w:p>
    <w:p w:rsidR="00037C7E">
      <w:pPr>
        <w:pStyle w:val="DefinitionL1"/>
      </w:pPr>
      <w:bookmarkStart w:id="32" w:name="_Ref448380526"/>
      <w:r>
        <w:t>"</w:t>
      </w:r>
      <w:r>
        <w:rPr>
          <w:b/>
        </w:rPr>
        <w:t>GAAP</w:t>
      </w:r>
      <w:r>
        <w:t xml:space="preserve">" means generally accepted accounting principles </w:t>
      </w:r>
      <w:r>
        <w:rPr>
          <w:b/>
        </w:rPr>
        <w:t xml:space="preserve">[for private enterprises] </w:t>
      </w:r>
      <w:r>
        <w:t>in [Canada / the United States</w:t>
      </w:r>
      <w:r w:rsidR="00EF47FC">
        <w:t xml:space="preserve"> as in effect from time to time</w:t>
      </w:r>
      <w:r>
        <w:t>].</w:t>
      </w:r>
      <w:bookmarkEnd w:id="32"/>
    </w:p>
    <w:p w:rsidR="00037C7E">
      <w:pPr>
        <w:pStyle w:val="DefinitionL1"/>
      </w:pPr>
      <w:bookmarkStart w:id="33" w:name="_Ref448380527"/>
      <w:r>
        <w:t>"</w:t>
      </w:r>
      <w:r>
        <w:rPr>
          <w:b/>
        </w:rPr>
        <w:t>Holder</w:t>
      </w:r>
      <w:r>
        <w:t>" means any holder of Registrable Securities who is a party to this Agreement.</w:t>
      </w:r>
      <w:bookmarkEnd w:id="33"/>
    </w:p>
    <w:p w:rsidR="00037C7E">
      <w:pPr>
        <w:pStyle w:val="DefinitionL1"/>
      </w:pPr>
      <w:bookmarkStart w:id="34" w:name="_Ref448380528"/>
      <w:r>
        <w:t>"</w:t>
      </w:r>
      <w:r>
        <w:rPr>
          <w:b/>
        </w:rPr>
        <w:t>Immediate Family Member</w:t>
      </w:r>
      <w:r>
        <w:t>" means a child, stepchild, grandchild, parent, stepparent, grandparent, spouse (being a person to whom the person is married or with whom the person is living in a conjugal relationship outside marriage),</w:t>
      </w:r>
      <w:r w:rsidR="001813AA">
        <w:t xml:space="preserve"> life partner or similar statutorily-recognized domestic partner,</w:t>
      </w:r>
      <w:r>
        <w:t xml:space="preserve"> sibling, mother-in-law, father-in-law, son-in-law, daughter-in-law, brother-in-law,</w:t>
      </w:r>
      <w:r>
        <w:rPr>
          <w:b/>
        </w:rPr>
        <w:t xml:space="preserve"> </w:t>
      </w:r>
      <w:r>
        <w:t>or</w:t>
      </w:r>
      <w:r>
        <w:rPr>
          <w:b/>
        </w:rPr>
        <w:t xml:space="preserve"> </w:t>
      </w:r>
      <w:r w:rsidR="001813AA">
        <w:t>sister-in-law, including adoptive relationships</w:t>
      </w:r>
      <w:r>
        <w:t xml:space="preserve"> of a natural person referred to herein.</w:t>
      </w:r>
      <w:bookmarkEnd w:id="34"/>
    </w:p>
    <w:p w:rsidR="00037C7E">
      <w:pPr>
        <w:pStyle w:val="DefinitionL1"/>
      </w:pPr>
      <w:bookmarkStart w:id="35" w:name="_Ref448380529"/>
      <w:r>
        <w:t>"</w:t>
      </w:r>
      <w:r>
        <w:rPr>
          <w:b/>
        </w:rPr>
        <w:t>Initiating Holders</w:t>
      </w:r>
      <w:r>
        <w:t xml:space="preserve">" means, collectively, Holders who properly initiate a </w:t>
      </w:r>
      <w:r w:rsidR="00D82735">
        <w:t>registration</w:t>
      </w:r>
      <w:r>
        <w:t xml:space="preserve"> request under this Agreement.</w:t>
      </w:r>
      <w:bookmarkEnd w:id="35"/>
    </w:p>
    <w:p w:rsidR="00037C7E">
      <w:pPr>
        <w:pStyle w:val="DefinitionL1"/>
        <w:rPr>
          <w:color w:val="000000"/>
        </w:rPr>
      </w:pPr>
      <w:bookmarkStart w:id="36" w:name="_Ref448380530"/>
      <w:r>
        <w:t>"</w:t>
      </w:r>
      <w:r>
        <w:rPr>
          <w:b/>
        </w:rPr>
        <w:t>IPO</w:t>
      </w:r>
      <w:r>
        <w:t>" means the Company's first underwritten</w:t>
      </w:r>
      <w:r>
        <w:rPr>
          <w:rStyle w:val="FootnoteReference"/>
        </w:rPr>
        <w:footnoteReference w:id="5"/>
      </w:r>
      <w:r>
        <w:t xml:space="preserve"> public offering of its Common Shares under the Securities Act or the Canadian Securities Laws of any province or territory.</w:t>
      </w:r>
      <w:bookmarkEnd w:id="36"/>
    </w:p>
    <w:p w:rsidR="00037C7E">
      <w:pPr>
        <w:pStyle w:val="DefinitionL1"/>
        <w:rPr>
          <w:color w:val="000000"/>
          <w:szCs w:val="16"/>
        </w:rPr>
      </w:pPr>
      <w:bookmarkStart w:id="37" w:name="_Ref448380531"/>
      <w:r>
        <w:rPr>
          <w:szCs w:val="16"/>
        </w:rPr>
        <w:t>[</w:t>
      </w:r>
      <w:r w:rsidR="0041095D">
        <w:rPr>
          <w:szCs w:val="16"/>
        </w:rPr>
        <w:t>"</w:t>
      </w:r>
      <w:r w:rsidR="0041095D">
        <w:rPr>
          <w:b/>
          <w:szCs w:val="16"/>
        </w:rPr>
        <w:t>Key Employee</w:t>
      </w:r>
      <w:r w:rsidR="0041095D">
        <w:rPr>
          <w:szCs w:val="16"/>
        </w:rPr>
        <w:t xml:space="preserve">" means </w:t>
      </w:r>
      <w:r w:rsidR="0041095D">
        <w:t>any executive-level employee (including, division director and vice president-level positions) as well as any employee who, either alone or in concert with others, develops, invents, programs, or designs any Company Intellectual Property (as defined in the Purchase Agreement).</w:t>
      </w:r>
      <w:bookmarkStart w:id="38" w:name="_Ref448380677"/>
      <w:r>
        <w:t>]</w:t>
      </w:r>
      <w:r>
        <w:rPr>
          <w:rStyle w:val="FootnoteReference"/>
        </w:rPr>
        <w:footnoteReference w:id="6"/>
      </w:r>
      <w:bookmarkEnd w:id="37"/>
      <w:bookmarkEnd w:id="38"/>
    </w:p>
    <w:p w:rsidR="00037C7E">
      <w:pPr>
        <w:pStyle w:val="DefinitionL1"/>
        <w:rPr>
          <w:color w:val="000000"/>
        </w:rPr>
      </w:pPr>
      <w:bookmarkStart w:id="39" w:name="_Ref448380532"/>
      <w:r>
        <w:t>["</w:t>
      </w:r>
      <w:r>
        <w:rPr>
          <w:b/>
        </w:rPr>
        <w:t>Key Holder Registrable Securities</w:t>
      </w:r>
      <w:r>
        <w:t xml:space="preserve">" means </w:t>
      </w:r>
      <w:bookmarkStart w:id="40" w:name="DocXTextRef19"/>
      <w:r>
        <w:t>(i)</w:t>
      </w:r>
      <w:bookmarkEnd w:id="40"/>
      <w:r>
        <w:t xml:space="preserve"> the [_____] Common Shares held by the Key Holders, and </w:t>
      </w:r>
      <w:bookmarkStart w:id="41" w:name="DocXTextRef20"/>
      <w:r>
        <w:t>(ii)</w:t>
      </w:r>
      <w:bookmarkEnd w:id="41"/>
      <w:r>
        <w:t xml:space="preserve"> any Common Shares issued as (or issuable upon the conversion or exercise of any warrant, right, or other security that is issued as) a dividend or other distribution with respect to, or in exchange for or in replacement of such shares.]</w:t>
      </w:r>
      <w:bookmarkEnd w:id="39"/>
    </w:p>
    <w:p w:rsidR="00037C7E">
      <w:pPr>
        <w:pStyle w:val="DefinitionL1"/>
      </w:pPr>
      <w:bookmarkStart w:id="42" w:name="_Ref448380533"/>
      <w:r>
        <w:t>"</w:t>
      </w:r>
      <w:r>
        <w:rPr>
          <w:b/>
        </w:rPr>
        <w:t>Major Investor</w:t>
      </w:r>
      <w:r>
        <w:t>" means any Investor that, individually or together with such Investor's Affiliates, holds at least [______] Registrable Securities (as adjusted for any stock split, stock dividend, combination, or other recapitalization or reclassification effected after the date hereof).</w:t>
      </w:r>
      <w:bookmarkEnd w:id="42"/>
    </w:p>
    <w:p w:rsidR="00037C7E">
      <w:pPr>
        <w:pStyle w:val="DefinitionL1"/>
      </w:pPr>
      <w:bookmarkStart w:id="43" w:name="_Ref448380534"/>
      <w:r>
        <w:t>"</w:t>
      </w:r>
      <w:r>
        <w:rPr>
          <w:b/>
        </w:rPr>
        <w:t>New Securities</w:t>
      </w:r>
      <w:r>
        <w:t>" means, collectively, equity securities of the Company, whether or not currently authorized, as well as rights, options, or warrants to purchase such equity securities, or securities of any type whatsoever that are, or may become, convertible or exchangeable into or exercisable for such equity securities.</w:t>
      </w:r>
      <w:bookmarkEnd w:id="43"/>
    </w:p>
    <w:p w:rsidR="00037C7E">
      <w:pPr>
        <w:pStyle w:val="DefinitionL1"/>
        <w:rPr>
          <w:color w:val="000000"/>
        </w:rPr>
      </w:pPr>
      <w:bookmarkStart w:id="44" w:name="_Ref448380535"/>
      <w:r>
        <w:t>"</w:t>
      </w:r>
      <w:r>
        <w:rPr>
          <w:b/>
        </w:rPr>
        <w:t>Person</w:t>
      </w:r>
      <w:r>
        <w:t>" means any individual, corporation, partnership, trust, limited liability company, association or other entity.</w:t>
      </w:r>
      <w:bookmarkEnd w:id="44"/>
    </w:p>
    <w:p w:rsidR="00C364FE" w:rsidP="00C364FE">
      <w:pPr>
        <w:pStyle w:val="DefinitionL1"/>
      </w:pPr>
      <w:bookmarkStart w:id="45" w:name="_Ref448380536"/>
      <w:r>
        <w:t>"</w:t>
      </w:r>
      <w:r>
        <w:rPr>
          <w:b/>
        </w:rPr>
        <w:t>Preferred Director</w:t>
      </w:r>
      <w:r>
        <w:t xml:space="preserve">" </w:t>
      </w:r>
      <w:r w:rsidRPr="00935809">
        <w:rPr>
          <w:szCs w:val="24"/>
        </w:rPr>
        <w:t xml:space="preserve">means any director of the Company that the </w:t>
      </w:r>
      <w:bookmarkStart w:id="46" w:name="_9kMIH5YVt46678GYMxnhw"/>
      <w:bookmarkStart w:id="47" w:name="_9kMIH5YVt46679BSMxnhw"/>
      <w:r w:rsidRPr="00935809">
        <w:rPr>
          <w:szCs w:val="24"/>
        </w:rPr>
        <w:t>holders</w:t>
      </w:r>
      <w:bookmarkEnd w:id="46"/>
      <w:bookmarkEnd w:id="47"/>
      <w:r w:rsidRPr="00935809">
        <w:rPr>
          <w:szCs w:val="24"/>
        </w:rPr>
        <w:t xml:space="preserve"> of record of </w:t>
      </w:r>
      <w:bookmarkStart w:id="48" w:name="_cp_text_1_6"/>
      <w:r w:rsidRPr="00935809">
        <w:rPr>
          <w:szCs w:val="24"/>
        </w:rPr>
        <w:t>[a class, classes or series of]</w:t>
      </w:r>
      <w:bookmarkEnd w:id="48"/>
      <w:r w:rsidRPr="00935809">
        <w:rPr>
          <w:szCs w:val="24"/>
        </w:rPr>
        <w:t>[</w:t>
      </w:r>
      <w:bookmarkStart w:id="49" w:name="_9kR3WTr26648DdLrwkvS"/>
      <w:bookmarkStart w:id="50" w:name="_9kR3WTr26649IhLrwkvS"/>
      <w:r>
        <w:rPr>
          <w:szCs w:val="24"/>
        </w:rPr>
        <w:t>Class</w:t>
      </w:r>
      <w:r w:rsidRPr="00935809">
        <w:rPr>
          <w:szCs w:val="24"/>
        </w:rPr>
        <w:t xml:space="preserve"> A</w:t>
      </w:r>
      <w:bookmarkEnd w:id="49"/>
      <w:bookmarkEnd w:id="50"/>
      <w:r w:rsidRPr="00935809">
        <w:rPr>
          <w:szCs w:val="24"/>
        </w:rPr>
        <w:t>] Preferred</w:t>
      </w:r>
      <w:r>
        <w:rPr>
          <w:szCs w:val="24"/>
        </w:rPr>
        <w:t xml:space="preserve"> Shares</w:t>
      </w:r>
      <w:r w:rsidRPr="00935809">
        <w:rPr>
          <w:szCs w:val="24"/>
        </w:rPr>
        <w:t xml:space="preserve"> are entitled to elect</w:t>
      </w:r>
      <w:r>
        <w:rPr>
          <w:szCs w:val="24"/>
        </w:rPr>
        <w:t xml:space="preserve"> pursuant to the Articles</w:t>
      </w:r>
      <w:r>
        <w:rPr>
          <w:szCs w:val="16"/>
        </w:rPr>
        <w:t>.</w:t>
      </w:r>
      <w:r>
        <w:rPr>
          <w:rStyle w:val="FootnoteReference"/>
          <w:szCs w:val="16"/>
        </w:rPr>
        <w:footnoteReference w:id="7"/>
      </w:r>
      <w:r>
        <w:rPr>
          <w:szCs w:val="16"/>
        </w:rPr>
        <w:t xml:space="preserve"> </w:t>
      </w:r>
    </w:p>
    <w:p w:rsidR="00037C7E" w:rsidP="00C364FE">
      <w:pPr>
        <w:pStyle w:val="DefinitionL1"/>
      </w:pPr>
      <w:r>
        <w:rPr>
          <w:szCs w:val="16"/>
        </w:rPr>
        <w:t xml:space="preserve"> </w:t>
      </w:r>
      <w:r w:rsidR="0041095D">
        <w:rPr>
          <w:szCs w:val="16"/>
        </w:rPr>
        <w:t>[</w:t>
      </w:r>
      <w:r w:rsidR="0041095D">
        <w:t>"</w:t>
      </w:r>
      <w:r w:rsidR="0041095D">
        <w:rPr>
          <w:b/>
        </w:rPr>
        <w:t>Preferred Shares</w:t>
      </w:r>
      <w:r w:rsidR="0041095D">
        <w:t>" means, collectively, the Company's Class A Preferred Shares and Class [_] Preferred Shares</w:t>
      </w:r>
      <w:r w:rsidR="0041095D">
        <w:rPr>
          <w:szCs w:val="16"/>
        </w:rPr>
        <w:t>.</w:t>
      </w:r>
      <w:r w:rsidR="0041095D">
        <w:t>]</w:t>
      </w:r>
      <w:bookmarkStart w:id="51" w:name="_Ref448380678"/>
      <w:r>
        <w:rPr>
          <w:rStyle w:val="FootnoteReference"/>
        </w:rPr>
        <w:footnoteReference w:id="8"/>
      </w:r>
      <w:bookmarkEnd w:id="45"/>
      <w:bookmarkEnd w:id="51"/>
    </w:p>
    <w:p w:rsidR="00037C7E">
      <w:pPr>
        <w:pStyle w:val="DefinitionL1"/>
      </w:pPr>
      <w:bookmarkStart w:id="52" w:name="_Ref448380537"/>
      <w:r>
        <w:t>"</w:t>
      </w:r>
      <w:r>
        <w:rPr>
          <w:b/>
        </w:rPr>
        <w:t>Registrable Securities</w:t>
      </w:r>
      <w:r>
        <w:t xml:space="preserve">" means </w:t>
      </w:r>
      <w:bookmarkStart w:id="53" w:name="DocXTextRef26"/>
      <w:r w:rsidR="00896C8A">
        <w:t>[</w:t>
      </w:r>
      <w:r>
        <w:t>(i)</w:t>
      </w:r>
      <w:bookmarkEnd w:id="53"/>
      <w:r w:rsidR="00896C8A">
        <w:t>]</w:t>
      </w:r>
      <w:r>
        <w:t xml:space="preserve"> the Common Shares issuable or issued upon conversion of th</w:t>
      </w:r>
      <w:r>
        <w:rPr>
          <w:b/>
        </w:rPr>
        <w:t xml:space="preserve">e </w:t>
      </w:r>
      <w:r>
        <w:rPr>
          <w:szCs w:val="16"/>
        </w:rPr>
        <w:t xml:space="preserve">[Class A] </w:t>
      </w:r>
      <w:r>
        <w:t xml:space="preserve">Preferred Shares[, excluding any Common Shares issued upon conversion of the </w:t>
      </w:r>
      <w:r>
        <w:rPr>
          <w:szCs w:val="16"/>
        </w:rPr>
        <w:t xml:space="preserve">[Class A] </w:t>
      </w:r>
      <w:r>
        <w:t>Preferred Shares pursuant to the "Special Mandatory Conversion" provisions of the Company's Articles</w:t>
      </w:r>
      <w:bookmarkStart w:id="54" w:name="_Ref448380679"/>
      <w:r w:rsidR="00896C8A">
        <w:t>]</w:t>
      </w:r>
      <w:r>
        <w:rPr>
          <w:rStyle w:val="FootnoteReference"/>
        </w:rPr>
        <w:footnoteReference w:id="9"/>
      </w:r>
      <w:bookmarkEnd w:id="54"/>
      <w:r>
        <w:t>; [(ii) any Common Shares</w:t>
      </w:r>
      <w:r>
        <w:rPr>
          <w:szCs w:val="16"/>
        </w:rPr>
        <w:t>, or any Common Shares</w:t>
      </w:r>
      <w:r>
        <w:rPr>
          <w:b/>
        </w:rPr>
        <w:t xml:space="preserve"> </w:t>
      </w:r>
      <w:r>
        <w:t>issued or issuable</w:t>
      </w:r>
      <w:r>
        <w:rPr>
          <w:b/>
        </w:rPr>
        <w:t xml:space="preserve"> </w:t>
      </w:r>
      <w:r>
        <w:rPr>
          <w:szCs w:val="16"/>
        </w:rPr>
        <w:t>(directly or indirectly)</w:t>
      </w:r>
      <w:r>
        <w:rPr>
          <w:b/>
          <w:szCs w:val="16"/>
        </w:rPr>
        <w:t xml:space="preserve"> </w:t>
      </w:r>
      <w:r>
        <w:t xml:space="preserve">upon conversion </w:t>
      </w:r>
      <w:r>
        <w:rPr>
          <w:szCs w:val="16"/>
        </w:rPr>
        <w:t xml:space="preserve">and/or exercise </w:t>
      </w:r>
      <w:r>
        <w:t>of</w:t>
      </w:r>
      <w:r>
        <w:rPr>
          <w:b/>
        </w:rPr>
        <w:t xml:space="preserve"> </w:t>
      </w:r>
      <w:r>
        <w:t xml:space="preserve">any </w:t>
      </w:r>
      <w:r>
        <w:rPr>
          <w:szCs w:val="16"/>
        </w:rPr>
        <w:t>other</w:t>
      </w:r>
      <w:r>
        <w:rPr>
          <w:b/>
        </w:rPr>
        <w:t xml:space="preserve"> </w:t>
      </w:r>
      <w:r>
        <w:rPr>
          <w:szCs w:val="16"/>
        </w:rPr>
        <w:t>securities</w:t>
      </w:r>
      <w:r>
        <w:rPr>
          <w:b/>
        </w:rPr>
        <w:t xml:space="preserve"> </w:t>
      </w:r>
      <w:r>
        <w:t>of the Company</w:t>
      </w:r>
      <w:r>
        <w:rPr>
          <w:b/>
          <w:szCs w:val="16"/>
        </w:rPr>
        <w:t>,</w:t>
      </w:r>
      <w:r>
        <w:t xml:space="preserve"> acquired by the Investors after the date hereof]; [(iii) the Key </w:t>
      </w:r>
      <w:r>
        <w:rPr>
          <w:szCs w:val="16"/>
        </w:rPr>
        <w:t>Holder Registrable Securities</w:t>
      </w:r>
      <w:r>
        <w:t>,</w:t>
      </w:r>
      <w:bookmarkStart w:id="57" w:name="_Ref448380680"/>
      <w:r>
        <w:rPr>
          <w:rStyle w:val="FootnoteReference"/>
        </w:rPr>
        <w:footnoteReference w:id="10"/>
      </w:r>
      <w:bookmarkEnd w:id="57"/>
      <w:r>
        <w:t xml:space="preserve"> </w:t>
      </w:r>
      <w:r>
        <w:rPr>
          <w:u w:val="single"/>
        </w:rPr>
        <w:t>provided</w:t>
      </w:r>
      <w:r>
        <w:t xml:space="preserve">, </w:t>
      </w:r>
      <w:r>
        <w:rPr>
          <w:u w:val="single"/>
        </w:rPr>
        <w:t>however</w:t>
      </w:r>
      <w:r>
        <w:t xml:space="preserve">, that such </w:t>
      </w:r>
      <w:r>
        <w:rPr>
          <w:szCs w:val="16"/>
        </w:rPr>
        <w:t>Key Holder Registrable Securities</w:t>
      </w:r>
      <w:r>
        <w:rPr>
          <w:b/>
        </w:rPr>
        <w:t xml:space="preserve"> </w:t>
      </w:r>
      <w:r>
        <w:t xml:space="preserve">shall not be deemed Registrable Securities and the Key Holders shall not be deemed Holders for the purposes of </w:t>
      </w:r>
      <w:r w:rsidR="00896C8A">
        <w:rPr>
          <w:u w:val="single"/>
        </w:rPr>
        <w:t>S</w:t>
      </w:r>
      <w:r>
        <w:rPr>
          <w:u w:val="single"/>
        </w:rPr>
        <w:t xml:space="preserve">ections </w:t>
      </w:r>
      <w:r w:rsidRPr="000F6D29">
        <w:rPr>
          <w:u w:val="single"/>
        </w:rPr>
        <w:fldChar w:fldCharType="begin"/>
      </w:r>
      <w:r w:rsidRPr="000F6D29">
        <w:rPr>
          <w:u w:val="single"/>
        </w:rPr>
        <w:instrText xml:space="preserve">  REF _Ref448380548 \w \h \* MERGEFORMAT </w:instrText>
      </w:r>
      <w:r w:rsidRPr="000F6D29">
        <w:rPr>
          <w:u w:val="single"/>
        </w:rPr>
        <w:fldChar w:fldCharType="separate"/>
      </w:r>
      <w:r w:rsidRPr="00BC1FC7" w:rsidR="00BC1FC7">
        <w:rPr>
          <w:color w:val="000000"/>
          <w:u w:val="single"/>
        </w:rPr>
        <w:t>2.1</w:t>
      </w:r>
      <w:r w:rsidRPr="000F6D29">
        <w:rPr>
          <w:u w:val="single"/>
        </w:rPr>
        <w:fldChar w:fldCharType="end"/>
      </w:r>
      <w:r w:rsidRPr="000F6D29" w:rsidR="00EF47FC">
        <w:t xml:space="preserve"> (and any other applicable Section with respect to registrations under </w:t>
      </w:r>
      <w:r w:rsidR="00896C8A">
        <w:rPr>
          <w:u w:val="single"/>
        </w:rPr>
        <w:t>S</w:t>
      </w:r>
      <w:r w:rsidR="00EF47FC">
        <w:rPr>
          <w:u w:val="single"/>
        </w:rPr>
        <w:t xml:space="preserve">ection </w:t>
      </w:r>
      <w:r w:rsidR="00EF47FC">
        <w:rPr>
          <w:u w:val="single"/>
        </w:rPr>
        <w:fldChar w:fldCharType="begin"/>
      </w:r>
      <w:r w:rsidR="00EF47FC">
        <w:rPr>
          <w:u w:val="single"/>
        </w:rPr>
        <w:instrText xml:space="preserve"> REF _Ref448380548 \r \h </w:instrText>
      </w:r>
      <w:r w:rsidR="00EF47FC">
        <w:rPr>
          <w:u w:val="single"/>
        </w:rPr>
        <w:fldChar w:fldCharType="separate"/>
      </w:r>
      <w:r w:rsidR="00BC1FC7">
        <w:rPr>
          <w:u w:val="single"/>
        </w:rPr>
        <w:t>2.1</w:t>
      </w:r>
      <w:r w:rsidR="00EF47FC">
        <w:rPr>
          <w:u w:val="single"/>
        </w:rPr>
        <w:fldChar w:fldCharType="end"/>
      </w:r>
      <w:r w:rsidRPr="000F6D29" w:rsidR="00EF47FC">
        <w:t>)</w:t>
      </w:r>
      <w:r>
        <w:t xml:space="preserve">, </w:t>
      </w:r>
      <w:r>
        <w:rPr>
          <w:u w:val="single"/>
        </w:rPr>
        <w:fldChar w:fldCharType="begin"/>
      </w:r>
      <w:r>
        <w:rPr>
          <w:u w:val="single"/>
        </w:rPr>
        <w:instrText xml:space="preserve">  REF _Ref448380586 \w \h \* MERGEFORMAT </w:instrText>
      </w:r>
      <w:r>
        <w:rPr>
          <w:u w:val="single"/>
        </w:rPr>
        <w:fldChar w:fldCharType="separate"/>
      </w:r>
      <w:r w:rsidRPr="00BC1FC7" w:rsidR="00BC1FC7">
        <w:rPr>
          <w:color w:val="000000"/>
          <w:u w:val="single"/>
        </w:rPr>
        <w:t>2.10</w:t>
      </w:r>
      <w:r>
        <w:rPr>
          <w:u w:val="single"/>
        </w:rPr>
        <w:fldChar w:fldCharType="end"/>
      </w:r>
      <w:r>
        <w:rPr>
          <w:szCs w:val="16"/>
        </w:rPr>
        <w:t>,</w:t>
      </w:r>
      <w:r>
        <w:t xml:space="preserve"> [</w:t>
      </w:r>
      <w:r>
        <w:fldChar w:fldCharType="begin"/>
      </w:r>
      <w:r>
        <w:instrText xml:space="preserve"> REF _Ref448380614 \r \h  \* MERGEFORMAT </w:instrText>
      </w:r>
      <w:r>
        <w:fldChar w:fldCharType="separate"/>
      </w:r>
      <w:r w:rsidR="00BC1FC7">
        <w:t>3.1</w:t>
      </w:r>
      <w:r>
        <w:fldChar w:fldCharType="end"/>
      </w:r>
      <w:r>
        <w:t xml:space="preserve">, </w:t>
      </w:r>
      <w:r>
        <w:rPr>
          <w:u w:val="single"/>
        </w:rPr>
        <w:fldChar w:fldCharType="begin"/>
      </w:r>
      <w:r>
        <w:rPr>
          <w:u w:val="single"/>
        </w:rPr>
        <w:instrText xml:space="preserve">  REF _Ref448380622 \w \h \* MERGEFORMAT </w:instrText>
      </w:r>
      <w:r>
        <w:rPr>
          <w:u w:val="single"/>
        </w:rPr>
        <w:fldChar w:fldCharType="separate"/>
      </w:r>
      <w:r w:rsidRPr="00BC1FC7" w:rsidR="00BC1FC7">
        <w:rPr>
          <w:color w:val="000000"/>
          <w:u w:val="single"/>
        </w:rPr>
        <w:t>3.2</w:t>
      </w:r>
      <w:r>
        <w:rPr>
          <w:u w:val="single"/>
        </w:rPr>
        <w:fldChar w:fldCharType="end"/>
      </w:r>
      <w:r>
        <w:t xml:space="preserve">, </w:t>
      </w:r>
      <w:r>
        <w:rPr>
          <w:u w:val="single"/>
        </w:rPr>
        <w:fldChar w:fldCharType="begin"/>
      </w:r>
      <w:r>
        <w:rPr>
          <w:u w:val="single"/>
        </w:rPr>
        <w:instrText xml:space="preserve">  REF _Ref448380627 \w \h \* MERGEFORMAT </w:instrText>
      </w:r>
      <w:r>
        <w:rPr>
          <w:u w:val="single"/>
        </w:rPr>
        <w:fldChar w:fldCharType="separate"/>
      </w:r>
      <w:r w:rsidRPr="00BC1FC7" w:rsidR="00BC1FC7">
        <w:rPr>
          <w:color w:val="000000"/>
          <w:u w:val="single"/>
        </w:rPr>
        <w:t>4.1</w:t>
      </w:r>
      <w:r>
        <w:rPr>
          <w:u w:val="single"/>
        </w:rPr>
        <w:fldChar w:fldCharType="end"/>
      </w:r>
      <w:r>
        <w:t xml:space="preserve"> and </w:t>
      </w:r>
      <w:r>
        <w:rPr>
          <w:u w:val="single"/>
        </w:rPr>
        <w:fldChar w:fldCharType="begin"/>
      </w:r>
      <w:r>
        <w:rPr>
          <w:u w:val="single"/>
        </w:rPr>
        <w:instrText xml:space="preserve">  REF _Ref448380664 \w \h \* MERGEFORMAT </w:instrText>
      </w:r>
      <w:r>
        <w:rPr>
          <w:u w:val="single"/>
        </w:rPr>
        <w:fldChar w:fldCharType="separate"/>
      </w:r>
      <w:r w:rsidRPr="00BC1FC7" w:rsidR="00BC1FC7">
        <w:rPr>
          <w:color w:val="000000"/>
          <w:u w:val="single"/>
        </w:rPr>
        <w:t>6.6</w:t>
      </w:r>
      <w:r>
        <w:rPr>
          <w:u w:val="single"/>
        </w:rPr>
        <w:fldChar w:fldCharType="end"/>
      </w:r>
      <w:r w:rsidR="007B78DE">
        <w:rPr>
          <w:u w:val="single"/>
        </w:rPr>
        <w:t>]</w:t>
      </w:r>
      <w:r>
        <w:t xml:space="preserve">;] and [(iv)] any Common Shares issued as (or issuable upon the conversion or exercise of any warrant, right, or other security that is issued as) a dividend or other distribution with respect to, or in exchange for or in replacement of, the shares referenced </w:t>
      </w:r>
      <w:r w:rsidR="007B78DE">
        <w:t>[</w:t>
      </w:r>
      <w:r>
        <w:t>in clause</w:t>
      </w:r>
      <w:bookmarkStart w:id="58" w:name="DocXTextRef25"/>
      <w:r>
        <w:t>[s]</w:t>
      </w:r>
      <w:bookmarkEnd w:id="58"/>
      <w:r>
        <w:t xml:space="preserve"> </w:t>
      </w:r>
      <w:bookmarkStart w:id="59" w:name="DocXTextRef31"/>
      <w:r>
        <w:rPr>
          <w:u w:val="single"/>
        </w:rPr>
        <w:t>(i)</w:t>
      </w:r>
      <w:bookmarkEnd w:id="59"/>
      <w:r>
        <w:t xml:space="preserve"> [and </w:t>
      </w:r>
      <w:r>
        <w:rPr>
          <w:u w:val="single"/>
        </w:rPr>
        <w:t>(ii)</w:t>
      </w:r>
      <w:r>
        <w:t>]</w:t>
      </w:r>
      <w:r w:rsidR="007B78DE">
        <w:t>]</w:t>
      </w:r>
      <w:r>
        <w:t xml:space="preserve"> above; excluding in all cases, however, any Registrable Securities sold by a Person in a transaction in which the </w:t>
      </w:r>
      <w:r>
        <w:rPr>
          <w:szCs w:val="16"/>
        </w:rPr>
        <w:t>applicable</w:t>
      </w:r>
      <w:r>
        <w:rPr>
          <w:b/>
          <w:szCs w:val="16"/>
        </w:rPr>
        <w:t xml:space="preserve"> </w:t>
      </w:r>
      <w:r>
        <w:t xml:space="preserve">rights under </w:t>
      </w:r>
      <w:r>
        <w:rPr>
          <w:szCs w:val="16"/>
        </w:rPr>
        <w:t>this Agreement</w:t>
      </w:r>
      <w:r>
        <w:t xml:space="preserve"> are not assigned </w:t>
      </w:r>
      <w:r>
        <w:rPr>
          <w:szCs w:val="16"/>
        </w:rPr>
        <w:t xml:space="preserve">pursuant to </w:t>
      </w:r>
      <w:r w:rsidR="007B78DE">
        <w:rPr>
          <w:szCs w:val="16"/>
          <w:u w:val="single"/>
        </w:rPr>
        <w:t>S</w:t>
      </w:r>
      <w:r>
        <w:rPr>
          <w:szCs w:val="16"/>
          <w:u w:val="single"/>
        </w:rPr>
        <w:t xml:space="preserve">ection </w:t>
      </w:r>
      <w:r>
        <w:rPr>
          <w:szCs w:val="16"/>
          <w:u w:val="single"/>
        </w:rPr>
        <w:fldChar w:fldCharType="begin"/>
      </w:r>
      <w:r>
        <w:rPr>
          <w:szCs w:val="16"/>
          <w:u w:val="single"/>
        </w:rPr>
        <w:instrText xml:space="preserve">  REF _Ref448380659 \w \h \* MERGEFORMAT </w:instrText>
      </w:r>
      <w:r>
        <w:rPr>
          <w:szCs w:val="16"/>
          <w:u w:val="single"/>
        </w:rPr>
        <w:fldChar w:fldCharType="separate"/>
      </w:r>
      <w:r w:rsidRPr="00BC1FC7" w:rsidR="00BC1FC7">
        <w:rPr>
          <w:color w:val="000000"/>
          <w:szCs w:val="16"/>
          <w:u w:val="single"/>
        </w:rPr>
        <w:t>6.1</w:t>
      </w:r>
      <w:r>
        <w:rPr>
          <w:szCs w:val="16"/>
          <w:u w:val="single"/>
        </w:rPr>
        <w:fldChar w:fldCharType="end"/>
      </w:r>
      <w:r>
        <w:rPr>
          <w:szCs w:val="16"/>
        </w:rPr>
        <w:t xml:space="preserve">, and excluding for purposes of </w:t>
      </w:r>
      <w:r>
        <w:rPr>
          <w:szCs w:val="16"/>
          <w:u w:val="single"/>
        </w:rPr>
        <w:t xml:space="preserve">Section </w:t>
      </w:r>
      <w:bookmarkStart w:id="60" w:name="DocXTextRef24"/>
      <w:r>
        <w:rPr>
          <w:szCs w:val="16"/>
          <w:u w:val="single"/>
        </w:rPr>
        <w:fldChar w:fldCharType="begin"/>
      </w:r>
      <w:r>
        <w:rPr>
          <w:szCs w:val="16"/>
          <w:u w:val="single"/>
        </w:rPr>
        <w:instrText xml:space="preserve"> REF _Ref448381206 \r \h </w:instrText>
      </w:r>
      <w:r>
        <w:rPr>
          <w:szCs w:val="16"/>
          <w:u w:val="single"/>
        </w:rPr>
        <w:fldChar w:fldCharType="separate"/>
      </w:r>
      <w:r w:rsidR="00BC1FC7">
        <w:rPr>
          <w:szCs w:val="16"/>
          <w:u w:val="single"/>
        </w:rPr>
        <w:t>2</w:t>
      </w:r>
      <w:r>
        <w:rPr>
          <w:szCs w:val="16"/>
          <w:u w:val="single"/>
        </w:rPr>
        <w:fldChar w:fldCharType="end"/>
      </w:r>
      <w:bookmarkEnd w:id="60"/>
      <w:r>
        <w:rPr>
          <w:b/>
        </w:rPr>
        <w:t xml:space="preserve"> </w:t>
      </w:r>
      <w:r>
        <w:t xml:space="preserve">any shares for which </w:t>
      </w:r>
      <w:r w:rsidR="00D82735">
        <w:t>registration</w:t>
      </w:r>
      <w:r>
        <w:t xml:space="preserve"> rights have terminated pursuant to </w:t>
      </w:r>
      <w:r w:rsidR="007B78DE">
        <w:rPr>
          <w:u w:val="single"/>
        </w:rPr>
        <w:t>S</w:t>
      </w:r>
      <w:r>
        <w:rPr>
          <w:u w:val="single"/>
        </w:rPr>
        <w:t xml:space="preserve">ection </w:t>
      </w:r>
      <w:r>
        <w:rPr>
          <w:u w:val="single"/>
        </w:rPr>
        <w:fldChar w:fldCharType="begin"/>
      </w:r>
      <w:r>
        <w:rPr>
          <w:u w:val="single"/>
        </w:rPr>
        <w:instrText xml:space="preserve">  REF _Ref448380592 \w \h \* MERGEFORMAT </w:instrText>
      </w:r>
      <w:r>
        <w:rPr>
          <w:u w:val="single"/>
        </w:rPr>
        <w:fldChar w:fldCharType="separate"/>
      </w:r>
      <w:r w:rsidRPr="00BC1FC7" w:rsidR="00BC1FC7">
        <w:rPr>
          <w:color w:val="000000"/>
          <w:u w:val="single"/>
        </w:rPr>
        <w:t>2.13</w:t>
      </w:r>
      <w:r>
        <w:rPr>
          <w:u w:val="single"/>
        </w:rPr>
        <w:fldChar w:fldCharType="end"/>
      </w:r>
      <w:r>
        <w:rPr>
          <w:b/>
        </w:rPr>
        <w:t xml:space="preserve"> </w:t>
      </w:r>
      <w:r>
        <w:t>of this Agreement.</w:t>
      </w:r>
      <w:bookmarkStart w:id="61" w:name="_Ref448380681"/>
      <w:r>
        <w:rPr>
          <w:rStyle w:val="FootnoteReference"/>
        </w:rPr>
        <w:footnoteReference w:id="11"/>
      </w:r>
      <w:bookmarkEnd w:id="52"/>
      <w:bookmarkEnd w:id="61"/>
    </w:p>
    <w:p w:rsidR="00037C7E">
      <w:pPr>
        <w:pStyle w:val="DefinitionL1"/>
      </w:pPr>
      <w:bookmarkStart w:id="62" w:name="_Ref448380538"/>
      <w:r>
        <w:t>"</w:t>
      </w:r>
      <w:r>
        <w:rPr>
          <w:b/>
        </w:rPr>
        <w:t>Registrable Securities then outstanding</w:t>
      </w:r>
      <w:r>
        <w:t xml:space="preserve">" means the number of shares determined by adding the </w:t>
      </w:r>
      <w:r>
        <w:rPr>
          <w:szCs w:val="16"/>
        </w:rPr>
        <w:t xml:space="preserve">number of outstanding </w:t>
      </w:r>
      <w:r>
        <w:t xml:space="preserve">Common Shares </w:t>
      </w:r>
      <w:r>
        <w:rPr>
          <w:szCs w:val="16"/>
        </w:rPr>
        <w:t>that are Registrable Securities</w:t>
      </w:r>
      <w:r>
        <w:t xml:space="preserve"> and the</w:t>
      </w:r>
      <w:r>
        <w:rPr>
          <w:szCs w:val="16"/>
        </w:rPr>
        <w:t xml:space="preserve"> number of </w:t>
      </w:r>
      <w:r>
        <w:t xml:space="preserve">Common Shares issuable </w:t>
      </w:r>
      <w:r>
        <w:rPr>
          <w:szCs w:val="16"/>
        </w:rPr>
        <w:t xml:space="preserve">(directly or indirectly) </w:t>
      </w:r>
      <w:r>
        <w:t xml:space="preserve">pursuant to then exercisable </w:t>
      </w:r>
      <w:r>
        <w:rPr>
          <w:szCs w:val="16"/>
        </w:rPr>
        <w:t>and/</w:t>
      </w:r>
      <w:r>
        <w:t>or convertible securities that are Registrable Securities.</w:t>
      </w:r>
      <w:bookmarkEnd w:id="62"/>
    </w:p>
    <w:p w:rsidR="00037C7E">
      <w:pPr>
        <w:pStyle w:val="DefinitionL1"/>
      </w:pPr>
      <w:bookmarkStart w:id="63" w:name="_Ref448380539"/>
      <w:r>
        <w:t>"</w:t>
      </w:r>
      <w:r w:rsidR="00D82735">
        <w:rPr>
          <w:b/>
        </w:rPr>
        <w:t>registration</w:t>
      </w:r>
      <w:r>
        <w:t xml:space="preserve">" means </w:t>
      </w:r>
      <w:bookmarkStart w:id="64" w:name="DocXTextRef34"/>
      <w:r>
        <w:t>(a)</w:t>
      </w:r>
      <w:bookmarkEnd w:id="64"/>
      <w:r>
        <w:t xml:space="preserve"> the </w:t>
      </w:r>
      <w:r w:rsidR="00D82735">
        <w:t>registration</w:t>
      </w:r>
      <w:r>
        <w:t xml:space="preserve"> of securities under the Securities Act, [and/or] </w:t>
      </w:r>
      <w:bookmarkStart w:id="65" w:name="DocXTextRef35"/>
      <w:r>
        <w:t>(b)</w:t>
      </w:r>
      <w:bookmarkEnd w:id="65"/>
      <w:r>
        <w:t xml:space="preserve"> the qualification of securities for distribution to the public pursuant to a prospectus filed under Canadian Securities Laws, and "</w:t>
      </w:r>
      <w:r>
        <w:rPr>
          <w:b/>
        </w:rPr>
        <w:t>register</w:t>
      </w:r>
      <w:r>
        <w:t>" and "</w:t>
      </w:r>
      <w:r>
        <w:rPr>
          <w:b/>
        </w:rPr>
        <w:t>registered</w:t>
      </w:r>
      <w:r>
        <w:t>" have correlative meanings.</w:t>
      </w:r>
      <w:bookmarkEnd w:id="63"/>
    </w:p>
    <w:p w:rsidR="00037C7E">
      <w:pPr>
        <w:pStyle w:val="DefinitionL1"/>
      </w:pPr>
      <w:bookmarkStart w:id="66" w:name="_Ref448380540"/>
      <w:r>
        <w:t>"</w:t>
      </w:r>
      <w:r w:rsidR="00D82735">
        <w:rPr>
          <w:b/>
        </w:rPr>
        <w:t>registration statement</w:t>
      </w:r>
      <w:r>
        <w:t xml:space="preserve">" means </w:t>
      </w:r>
      <w:bookmarkStart w:id="67" w:name="DocXTextRef36"/>
      <w:r>
        <w:t>(a)</w:t>
      </w:r>
      <w:bookmarkEnd w:id="67"/>
      <w:r>
        <w:t xml:space="preserve"> a </w:t>
      </w:r>
      <w:r w:rsidR="00D82735">
        <w:t>registration statement</w:t>
      </w:r>
      <w:r>
        <w:t xml:space="preserve"> filed under the Securities Act, [and/or] </w:t>
      </w:r>
      <w:bookmarkStart w:id="68" w:name="DocXTextRef37"/>
      <w:r>
        <w:t>(b)</w:t>
      </w:r>
      <w:bookmarkEnd w:id="68"/>
      <w:r>
        <w:t xml:space="preserve"> a prospectus filed under Canadian Securities Laws, and any reference to a </w:t>
      </w:r>
      <w:r w:rsidR="00D82735">
        <w:t>registration statement</w:t>
      </w:r>
      <w:r>
        <w:t xml:space="preserve"> becoming effective includes the issuance of a final receipt or decision document under Canadian Securities Laws in respect of a prospectus filed under Canadian Securities Laws.</w:t>
      </w:r>
      <w:bookmarkEnd w:id="66"/>
    </w:p>
    <w:p w:rsidR="00037C7E">
      <w:pPr>
        <w:pStyle w:val="DefinitionL1"/>
      </w:pPr>
      <w:bookmarkStart w:id="69" w:name="_Ref448380541"/>
      <w:r>
        <w:t>"</w:t>
      </w:r>
      <w:r>
        <w:rPr>
          <w:b/>
        </w:rPr>
        <w:t>Restricted Securities</w:t>
      </w:r>
      <w:r>
        <w:t xml:space="preserve">" means the securities of the Company required to be notated with the legend set forth in </w:t>
      </w:r>
      <w:r w:rsidR="007B78DE">
        <w:rPr>
          <w:u w:val="single"/>
        </w:rPr>
        <w:t>S</w:t>
      </w:r>
      <w:r>
        <w:rPr>
          <w:u w:val="single"/>
        </w:rPr>
        <w:t xml:space="preserve">ection </w:t>
      </w:r>
      <w:r>
        <w:rPr>
          <w:u w:val="single"/>
        </w:rPr>
        <w:fldChar w:fldCharType="begin"/>
      </w:r>
      <w:r>
        <w:rPr>
          <w:u w:val="single"/>
        </w:rPr>
        <w:instrText xml:space="preserve">  REF _Ref448380590 \w \h \* MERGEFORMAT </w:instrText>
      </w:r>
      <w:r>
        <w:rPr>
          <w:u w:val="single"/>
        </w:rPr>
        <w:fldChar w:fldCharType="separate"/>
      </w:r>
      <w:r w:rsidRPr="00BC1FC7" w:rsidR="00BC1FC7">
        <w:rPr>
          <w:color w:val="000000"/>
          <w:u w:val="single"/>
        </w:rPr>
        <w:t>2.12(b)</w:t>
      </w:r>
      <w:r>
        <w:rPr>
          <w:u w:val="single"/>
        </w:rPr>
        <w:fldChar w:fldCharType="end"/>
      </w:r>
      <w:r>
        <w:t xml:space="preserve"> hereof.</w:t>
      </w:r>
      <w:bookmarkEnd w:id="69"/>
    </w:p>
    <w:p w:rsidR="00037C7E">
      <w:pPr>
        <w:pStyle w:val="DefinitionL1"/>
      </w:pPr>
      <w:bookmarkStart w:id="70" w:name="_Ref448380542"/>
      <w:r>
        <w:t>"</w:t>
      </w:r>
      <w:r>
        <w:rPr>
          <w:b/>
        </w:rPr>
        <w:t>SEC</w:t>
      </w:r>
      <w:r>
        <w:t>" means the US Securities and Exchange Commission.</w:t>
      </w:r>
      <w:bookmarkEnd w:id="70"/>
    </w:p>
    <w:p w:rsidR="00037C7E">
      <w:pPr>
        <w:pStyle w:val="DefinitionL1"/>
      </w:pPr>
      <w:bookmarkStart w:id="71" w:name="_Ref448380543"/>
      <w:r>
        <w:t>"</w:t>
      </w:r>
      <w:r>
        <w:rPr>
          <w:b/>
        </w:rPr>
        <w:t>SEC Rule 144</w:t>
      </w:r>
      <w:r>
        <w:t xml:space="preserve">" means Rule </w:t>
      </w:r>
      <w:bookmarkStart w:id="72" w:name="DocXTextRef39"/>
      <w:r>
        <w:t>144</w:t>
      </w:r>
      <w:bookmarkEnd w:id="72"/>
      <w:r>
        <w:t xml:space="preserve"> promulgated by the SEC under the Securities Act.</w:t>
      </w:r>
      <w:bookmarkEnd w:id="71"/>
    </w:p>
    <w:p w:rsidR="00037C7E">
      <w:pPr>
        <w:pStyle w:val="DefinitionL1"/>
      </w:pPr>
      <w:bookmarkStart w:id="73" w:name="_Ref448380544"/>
      <w:r>
        <w:t>"</w:t>
      </w:r>
      <w:r>
        <w:rPr>
          <w:b/>
        </w:rPr>
        <w:t>SEC Rule 145</w:t>
      </w:r>
      <w:r>
        <w:t xml:space="preserve">" means Rule </w:t>
      </w:r>
      <w:bookmarkStart w:id="74" w:name="DocXTextRef40"/>
      <w:r>
        <w:t>145</w:t>
      </w:r>
      <w:bookmarkEnd w:id="74"/>
      <w:r>
        <w:t xml:space="preserve"> promulgated by the SEC under the Securities Act.</w:t>
      </w:r>
      <w:bookmarkEnd w:id="73"/>
    </w:p>
    <w:p w:rsidR="00037C7E">
      <w:pPr>
        <w:pStyle w:val="DefinitionL1"/>
      </w:pPr>
      <w:bookmarkStart w:id="75" w:name="_Ref448380545"/>
      <w:r>
        <w:t>"</w:t>
      </w:r>
      <w:r>
        <w:rPr>
          <w:b/>
        </w:rPr>
        <w:t>Securities Act</w:t>
      </w:r>
      <w:r>
        <w:t>" means the US Securities Act of 1933, as amended, and the rules and regulations promulgated thereunder.</w:t>
      </w:r>
      <w:bookmarkEnd w:id="75"/>
    </w:p>
    <w:p w:rsidR="00037C7E">
      <w:pPr>
        <w:pStyle w:val="DefinitionL1"/>
      </w:pPr>
      <w:bookmarkStart w:id="76" w:name="_Ref448380546"/>
      <w:r>
        <w:t>"</w:t>
      </w:r>
      <w:r>
        <w:rPr>
          <w:b/>
        </w:rPr>
        <w:t>Selling Expenses</w:t>
      </w:r>
      <w:r>
        <w:t xml:space="preserve">" means all underwriting discounts, selling commissions, and stock transfer taxes applicable to the sale of Registrable Securities, and fees and disbursements of counsel for any Holder, except </w:t>
      </w:r>
      <w:r>
        <w:rPr>
          <w:szCs w:val="16"/>
        </w:rPr>
        <w:t xml:space="preserve">for the fees and disbursements of the Selling Holder Counsel borne and paid by the Company </w:t>
      </w:r>
      <w:r>
        <w:t xml:space="preserve">as provided in </w:t>
      </w:r>
      <w:r w:rsidR="007B78DE">
        <w:rPr>
          <w:u w:val="single"/>
        </w:rPr>
        <w:t>S</w:t>
      </w:r>
      <w:r>
        <w:rPr>
          <w:u w:val="single"/>
        </w:rPr>
        <w:t xml:space="preserve">ection </w:t>
      </w:r>
      <w:r>
        <w:rPr>
          <w:u w:val="single"/>
        </w:rPr>
        <w:fldChar w:fldCharType="begin"/>
      </w:r>
      <w:r>
        <w:rPr>
          <w:u w:val="single"/>
        </w:rPr>
        <w:instrText xml:space="preserve">  REF _Ref448380571 \w \h \* MERGEFORMAT </w:instrText>
      </w:r>
      <w:r>
        <w:rPr>
          <w:u w:val="single"/>
        </w:rPr>
        <w:fldChar w:fldCharType="separate"/>
      </w:r>
      <w:r w:rsidRPr="00BC1FC7" w:rsidR="00BC1FC7">
        <w:rPr>
          <w:color w:val="000000"/>
          <w:u w:val="single"/>
        </w:rPr>
        <w:t>2.6</w:t>
      </w:r>
      <w:r>
        <w:rPr>
          <w:u w:val="single"/>
        </w:rPr>
        <w:fldChar w:fldCharType="end"/>
      </w:r>
      <w:r>
        <w:rPr>
          <w:szCs w:val="16"/>
        </w:rPr>
        <w:t>.</w:t>
      </w:r>
      <w:bookmarkEnd w:id="76"/>
    </w:p>
    <w:p w:rsidR="00037C7E">
      <w:pPr>
        <w:pStyle w:val="StandardL1"/>
      </w:pPr>
      <w:bookmarkStart w:id="77" w:name="_Ref448381206"/>
      <w:bookmarkStart w:id="78" w:name="_Ref448381407"/>
      <w:bookmarkStart w:id="79" w:name="_Ref448381565"/>
      <w:bookmarkStart w:id="80" w:name="_Ref448381679"/>
      <w:bookmarkStart w:id="81" w:name="_Toc56499762"/>
      <w:bookmarkStart w:id="82" w:name="_Ref448380547"/>
      <w:r>
        <w:t>R</w:t>
      </w:r>
      <w:r w:rsidR="00D82735">
        <w:t>egistration</w:t>
      </w:r>
      <w:r w:rsidR="00F90CC2">
        <w:t xml:space="preserve"> Rights</w:t>
      </w:r>
      <w:bookmarkStart w:id="83" w:name="_Ref448380682"/>
      <w:r>
        <w:rPr>
          <w:rStyle w:val="FootnoteReference"/>
          <w:u w:val="none"/>
        </w:rPr>
        <w:footnoteReference w:id="12"/>
      </w:r>
      <w:bookmarkEnd w:id="77"/>
      <w:bookmarkEnd w:id="78"/>
      <w:bookmarkEnd w:id="79"/>
      <w:bookmarkEnd w:id="80"/>
      <w:bookmarkEnd w:id="81"/>
      <w:bookmarkEnd w:id="83"/>
    </w:p>
    <w:p w:rsidR="00037C7E">
      <w:pPr>
        <w:pStyle w:val="StandardCont1"/>
      </w:pPr>
      <w:r>
        <w:rPr>
          <w:snapToGrid w:val="0"/>
        </w:rPr>
        <w:t>The Company covenants and agrees as follows:</w:t>
      </w:r>
      <w:bookmarkEnd w:id="82"/>
    </w:p>
    <w:p w:rsidR="00037C7E">
      <w:pPr>
        <w:pStyle w:val="StandardL2"/>
      </w:pPr>
      <w:bookmarkStart w:id="84" w:name="_Ref448380548"/>
      <w:bookmarkStart w:id="85" w:name="_Toc56499763"/>
      <w:r>
        <w:t xml:space="preserve">Demand </w:t>
      </w:r>
      <w:r w:rsidR="009D66BB">
        <w:t>R</w:t>
      </w:r>
      <w:r w:rsidR="00D82735">
        <w:t>egistration</w:t>
      </w:r>
      <w:r>
        <w:rPr>
          <w:snapToGrid w:val="0"/>
        </w:rPr>
        <w:t>.</w:t>
      </w:r>
      <w:bookmarkEnd w:id="84"/>
      <w:bookmarkEnd w:id="85"/>
    </w:p>
    <w:p w:rsidR="00037C7E">
      <w:pPr>
        <w:pStyle w:val="StandardL3"/>
      </w:pPr>
      <w:bookmarkStart w:id="86" w:name="_Ref448380549"/>
      <w:r>
        <w:rPr>
          <w:szCs w:val="16"/>
          <w:u w:val="single"/>
        </w:rPr>
        <w:t>Form S-1 or F-1 Demand</w:t>
      </w:r>
      <w:r>
        <w:rPr>
          <w:szCs w:val="16"/>
        </w:rPr>
        <w:t xml:space="preserve">. </w:t>
      </w:r>
      <w:r>
        <w:t xml:space="preserve">If at any time after [the earlier of </w:t>
      </w:r>
      <w:bookmarkStart w:id="87" w:name="DocXTextRef43"/>
      <w:r>
        <w:t>(i)</w:t>
      </w:r>
      <w:bookmarkEnd w:id="87"/>
      <w:r>
        <w:t xml:space="preserve"> [</w:t>
      </w:r>
      <w:r w:rsidR="007B78DE">
        <w:t>[insert date that is]</w:t>
      </w:r>
      <w:r>
        <w:rPr>
          <w:rStyle w:val="FootnoteReference"/>
        </w:rPr>
        <w:footnoteReference w:id="13"/>
      </w:r>
      <w:r w:rsidR="007B78DE">
        <w:t xml:space="preserve"> </w:t>
      </w:r>
      <w:r>
        <w:t xml:space="preserve">three </w:t>
      </w:r>
      <w:bookmarkStart w:id="88" w:name="DocXTextRef44"/>
      <w:r>
        <w:t>(3)</w:t>
      </w:r>
      <w:bookmarkEnd w:id="88"/>
      <w:r>
        <w:t xml:space="preserve"> - five (5) years] after the date of this Agreement or (ii)] [one hundred eighty (180)] days</w:t>
      </w:r>
      <w:bookmarkStart w:id="89" w:name="_Ref448380683"/>
      <w:r>
        <w:rPr>
          <w:rStyle w:val="FootnoteReference"/>
        </w:rPr>
        <w:footnoteReference w:id="14"/>
      </w:r>
      <w:bookmarkEnd w:id="89"/>
      <w:r>
        <w:t xml:space="preserve"> after the effective date of the </w:t>
      </w:r>
      <w:r w:rsidR="00D82735">
        <w:t>registration statement</w:t>
      </w:r>
      <w:r>
        <w:t xml:space="preserve"> for the IPO, the Company receives a request from Holders of [_______ percent (___%)]</w:t>
      </w:r>
      <w:bookmarkStart w:id="90" w:name="_Ref448380684"/>
      <w:r>
        <w:rPr>
          <w:rStyle w:val="FootnoteReference"/>
        </w:rPr>
        <w:footnoteReference w:id="15"/>
      </w:r>
      <w:bookmarkEnd w:id="90"/>
      <w:r>
        <w:t xml:space="preserve">of the Registrable Securities then outstanding that the Company </w:t>
      </w:r>
      <w:r>
        <w:rPr>
          <w:szCs w:val="16"/>
        </w:rPr>
        <w:t>file</w:t>
      </w:r>
      <w:r>
        <w:t xml:space="preserve"> a </w:t>
      </w:r>
      <w:r>
        <w:rPr>
          <w:szCs w:val="16"/>
        </w:rPr>
        <w:t xml:space="preserve">Form S-1 </w:t>
      </w:r>
      <w:r>
        <w:t xml:space="preserve">or Form F-1 </w:t>
      </w:r>
      <w:r w:rsidR="00D82735">
        <w:t>registration statement</w:t>
      </w:r>
      <w:r>
        <w:rPr>
          <w:b/>
        </w:rPr>
        <w:t xml:space="preserve"> </w:t>
      </w:r>
      <w:r>
        <w:t>or a Canadian prospectus</w:t>
      </w:r>
      <w:bookmarkStart w:id="91" w:name="_Ref448380685"/>
      <w:r>
        <w:rPr>
          <w:rStyle w:val="FootnoteReference"/>
        </w:rPr>
        <w:footnoteReference w:id="16"/>
      </w:r>
      <w:bookmarkEnd w:id="91"/>
      <w:r>
        <w:t xml:space="preserve"> with respect to [at least forty percent (40%)]</w:t>
      </w:r>
      <w:bookmarkStart w:id="92" w:name="_Ref448380686"/>
      <w:r>
        <w:rPr>
          <w:rStyle w:val="FootnoteReference"/>
        </w:rPr>
        <w:footnoteReference w:id="17"/>
      </w:r>
      <w:bookmarkEnd w:id="92"/>
      <w:r>
        <w:t xml:space="preserve"> of the Registrable Securities then outstanding [(or a lesser percent if the anticipated aggregate offering price, net of Selling Expenses, would exceed [CDN$ / US$][</w:t>
      </w:r>
      <w:r w:rsidR="007B78DE">
        <w:t>five (</w:t>
      </w:r>
      <w:r>
        <w:t>5</w:t>
      </w:r>
      <w:r w:rsidR="007B78DE">
        <w:t>)</w:t>
      </w:r>
      <w:r>
        <w:t>-</w:t>
      </w:r>
      <w:r w:rsidR="007B78DE">
        <w:t xml:space="preserve"> fifteen (</w:t>
      </w:r>
      <w:r>
        <w:t>15</w:t>
      </w:r>
      <w:r w:rsidR="007B78DE">
        <w:t>)</w:t>
      </w:r>
      <w:r>
        <w:t>] million)], then the Company shall</w:t>
      </w:r>
      <w:r w:rsidR="007B78DE">
        <w:t>:</w:t>
      </w:r>
      <w:r>
        <w:t xml:space="preserve"> </w:t>
      </w:r>
      <w:bookmarkStart w:id="93" w:name="DocXTextRef45"/>
      <w:r>
        <w:t>(x)</w:t>
      </w:r>
      <w:bookmarkEnd w:id="93"/>
      <w:r>
        <w:t xml:space="preserve"> within ten (10) days after the date such request is given, give notice thereof (the "</w:t>
      </w:r>
      <w:r>
        <w:rPr>
          <w:b/>
        </w:rPr>
        <w:t>Demand Notice</w:t>
      </w:r>
      <w:r>
        <w:t xml:space="preserve">") to all Holders other than the Initiating Holders; and </w:t>
      </w:r>
      <w:bookmarkStart w:id="94" w:name="DocXTextRef46"/>
      <w:r>
        <w:t>(y)</w:t>
      </w:r>
      <w:bookmarkEnd w:id="94"/>
      <w:r>
        <w:t xml:space="preserve"> as soon as practicable, and in any event within sixty (60) days after the date such request is given by the Initiating Holders, file a</w:t>
      </w:r>
      <w:r>
        <w:rPr>
          <w:szCs w:val="16"/>
        </w:rPr>
        <w:t xml:space="preserve"> Form S-1</w:t>
      </w:r>
      <w:r>
        <w:t xml:space="preserve"> or Form F-1 </w:t>
      </w:r>
      <w:r w:rsidR="00D82735">
        <w:t>registration statement</w:t>
      </w:r>
      <w:r>
        <w:t xml:space="preserve"> under the Securities Act or a Canadian prospectus under Canadian Securities Laws, as applicable, covering all Registrable Securities that the I</w:t>
      </w:r>
      <w:r>
        <w:rPr>
          <w:szCs w:val="16"/>
        </w:rPr>
        <w:t xml:space="preserve">nitiating </w:t>
      </w:r>
      <w:r>
        <w:t xml:space="preserve">Holders </w:t>
      </w:r>
      <w:r>
        <w:rPr>
          <w:szCs w:val="16"/>
        </w:rPr>
        <w:t>requested</w:t>
      </w:r>
      <w:r>
        <w:rPr>
          <w:b/>
        </w:rPr>
        <w:t xml:space="preserve"> </w:t>
      </w:r>
      <w:r>
        <w:t xml:space="preserve">to be registered and </w:t>
      </w:r>
      <w:r>
        <w:rPr>
          <w:szCs w:val="16"/>
        </w:rPr>
        <w:t xml:space="preserve">any additional Registrable Securities requested to be included in such </w:t>
      </w:r>
      <w:r w:rsidR="00D82735">
        <w:rPr>
          <w:szCs w:val="16"/>
        </w:rPr>
        <w:t>registration</w:t>
      </w:r>
      <w:r>
        <w:rPr>
          <w:szCs w:val="16"/>
        </w:rPr>
        <w:t xml:space="preserve"> by any other Holders, as specified by notice given by each such Holder to the Company within [twenty (20)] days of the date the Demand Notice is given, and in each case, </w:t>
      </w:r>
      <w:r>
        <w:t xml:space="preserve">subject to the limitations of </w:t>
      </w:r>
      <w:r w:rsidR="006A7272">
        <w:rPr>
          <w:u w:val="single"/>
        </w:rPr>
        <w:t>S</w:t>
      </w:r>
      <w:r>
        <w:rPr>
          <w:u w:val="single"/>
        </w:rPr>
        <w:t xml:space="preserve">ections </w:t>
      </w:r>
      <w:r>
        <w:rPr>
          <w:u w:val="single"/>
        </w:rPr>
        <w:fldChar w:fldCharType="begin"/>
      </w:r>
      <w:r>
        <w:rPr>
          <w:u w:val="single"/>
        </w:rPr>
        <w:instrText xml:space="preserve">  REF _Ref448380551 \w \h \* MERGEFORMAT </w:instrText>
      </w:r>
      <w:r>
        <w:rPr>
          <w:u w:val="single"/>
        </w:rPr>
        <w:fldChar w:fldCharType="separate"/>
      </w:r>
      <w:r w:rsidRPr="00BC1FC7" w:rsidR="00BC1FC7">
        <w:rPr>
          <w:color w:val="000000"/>
          <w:u w:val="single"/>
        </w:rPr>
        <w:t>2.1(c)</w:t>
      </w:r>
      <w:r>
        <w:rPr>
          <w:u w:val="single"/>
        </w:rPr>
        <w:fldChar w:fldCharType="end"/>
      </w:r>
      <w:r>
        <w:rPr>
          <w:szCs w:val="16"/>
        </w:rPr>
        <w:t xml:space="preserve"> and </w:t>
      </w:r>
      <w:r>
        <w:rPr>
          <w:szCs w:val="16"/>
          <w:u w:val="single"/>
        </w:rPr>
        <w:fldChar w:fldCharType="begin"/>
      </w:r>
      <w:r>
        <w:rPr>
          <w:szCs w:val="16"/>
          <w:u w:val="single"/>
        </w:rPr>
        <w:instrText xml:space="preserve">  REF _Ref448380555 \w \h \* MERGEFORMAT </w:instrText>
      </w:r>
      <w:r>
        <w:rPr>
          <w:szCs w:val="16"/>
          <w:u w:val="single"/>
        </w:rPr>
        <w:fldChar w:fldCharType="separate"/>
      </w:r>
      <w:r w:rsidRPr="00BC1FC7" w:rsidR="00BC1FC7">
        <w:rPr>
          <w:color w:val="000000"/>
          <w:szCs w:val="16"/>
          <w:u w:val="single"/>
        </w:rPr>
        <w:t>2.3</w:t>
      </w:r>
      <w:r>
        <w:rPr>
          <w:szCs w:val="16"/>
          <w:u w:val="single"/>
        </w:rPr>
        <w:fldChar w:fldCharType="end"/>
      </w:r>
      <w:r>
        <w:rPr>
          <w:szCs w:val="16"/>
          <w:u w:val="single"/>
        </w:rPr>
        <w:t>.</w:t>
      </w:r>
      <w:bookmarkEnd w:id="86"/>
    </w:p>
    <w:p w:rsidR="00037C7E">
      <w:pPr>
        <w:pStyle w:val="StandardL3"/>
        <w:rPr>
          <w:b/>
        </w:rPr>
      </w:pPr>
      <w:bookmarkStart w:id="95" w:name="_Ref448380550"/>
      <w:r>
        <w:rPr>
          <w:u w:val="single"/>
        </w:rPr>
        <w:t>Form S-3 or F-3 Demand</w:t>
      </w:r>
      <w:r>
        <w:t xml:space="preserve">. If at any time when it is eligible to use a Form S-3 or Form F-3 </w:t>
      </w:r>
      <w:r w:rsidR="00D82735">
        <w:t>registration statement</w:t>
      </w:r>
      <w:r>
        <w:t xml:space="preserve"> or a Canadian short-form prospectus, the Company receives a request from Holders </w:t>
      </w:r>
      <w:r w:rsidR="006A7272">
        <w:t>[</w:t>
      </w:r>
      <w:r>
        <w:t>of at least [ten-thirty] percent ([10-30]%)</w:t>
      </w:r>
      <w:r w:rsidR="006A7272">
        <w:t>]</w:t>
      </w:r>
      <w:r>
        <w:rPr>
          <w:rStyle w:val="FootnoteReference"/>
        </w:rPr>
        <w:footnoteReference w:id="18"/>
      </w:r>
      <w:r>
        <w:t xml:space="preserve"> of the Registrable Securities then outstanding that the Company file a Form S-3 or Form F-3 </w:t>
      </w:r>
      <w:r w:rsidR="00D82735">
        <w:t>registration statement</w:t>
      </w:r>
      <w:r>
        <w:t xml:space="preserve"> or Canadian short-form prospectus with respect to outstanding Registrable Securities of such Holders having an anticipated aggregate offering price, net of Selling Expenses, of at least [CDN$ / US$][</w:t>
      </w:r>
      <w:r w:rsidR="006A7272">
        <w:t>three (3)</w:t>
      </w:r>
      <w:r>
        <w:t>-</w:t>
      </w:r>
      <w:r w:rsidR="006A7272">
        <w:t xml:space="preserve"> five (</w:t>
      </w:r>
      <w:r>
        <w:t>5</w:t>
      </w:r>
      <w:r w:rsidR="006A7272">
        <w:t>)</w:t>
      </w:r>
      <w:r>
        <w:t xml:space="preserve">] million, then the Company shall </w:t>
      </w:r>
      <w:bookmarkStart w:id="96" w:name="DocXTextRef49"/>
      <w:r>
        <w:t>(i)</w:t>
      </w:r>
      <w:bookmarkEnd w:id="96"/>
      <w:r>
        <w:t xml:space="preserve"> within ten (10) days after the date such request is given, give a Demand Notice to all Holders other than the Initiating Holders; and </w:t>
      </w:r>
      <w:bookmarkStart w:id="97" w:name="DocXTextRef50"/>
      <w:r>
        <w:t>(ii)</w:t>
      </w:r>
      <w:bookmarkEnd w:id="97"/>
      <w:r>
        <w:t xml:space="preserve"> as soon as practicable, and in any event within [forty-five (45)] days after the date such request is given by the Initiating Holders, file a Form S-3 or Form F-3 </w:t>
      </w:r>
      <w:r w:rsidR="00D82735">
        <w:t>registration statement</w:t>
      </w:r>
      <w:r>
        <w:t xml:space="preserve"> under the Securities Act or a Canadian short-form prospectus under Canadian Securities Laws, as applicable, covering all Registrable Securities requested to be included in such </w:t>
      </w:r>
      <w:r w:rsidR="00D82735">
        <w:t>registration</w:t>
      </w:r>
      <w:r>
        <w:t xml:space="preserve"> by any other Holders, as specified by notice given by each such Holder to the Company within [twenty (20)] days of the date the Demand Notice is given, and in each case, subject to the limitations of </w:t>
      </w:r>
      <w:r w:rsidR="006A7272">
        <w:rPr>
          <w:u w:val="single"/>
        </w:rPr>
        <w:t>S</w:t>
      </w:r>
      <w:r>
        <w:rPr>
          <w:u w:val="single"/>
        </w:rPr>
        <w:t xml:space="preserve">ections </w:t>
      </w:r>
      <w:r>
        <w:rPr>
          <w:u w:val="single"/>
        </w:rPr>
        <w:fldChar w:fldCharType="begin"/>
      </w:r>
      <w:r>
        <w:rPr>
          <w:u w:val="single"/>
        </w:rPr>
        <w:instrText xml:space="preserve">  REF _Ref448380551 \w \h \* MERGEFORMAT </w:instrText>
      </w:r>
      <w:r>
        <w:rPr>
          <w:u w:val="single"/>
        </w:rPr>
        <w:fldChar w:fldCharType="separate"/>
      </w:r>
      <w:r w:rsidRPr="00BC1FC7" w:rsidR="00BC1FC7">
        <w:rPr>
          <w:color w:val="000000"/>
          <w:u w:val="single"/>
        </w:rPr>
        <w:t>2.1(c)</w:t>
      </w:r>
      <w:r>
        <w:rPr>
          <w:u w:val="single"/>
        </w:rPr>
        <w:fldChar w:fldCharType="end"/>
      </w:r>
      <w:r>
        <w:t xml:space="preserve"> and </w:t>
      </w:r>
      <w:r>
        <w:rPr>
          <w:u w:val="single"/>
        </w:rPr>
        <w:fldChar w:fldCharType="begin"/>
      </w:r>
      <w:r>
        <w:rPr>
          <w:u w:val="single"/>
        </w:rPr>
        <w:instrText xml:space="preserve">  REF _Ref448380555 \w \h \* MERGEFORMAT </w:instrText>
      </w:r>
      <w:r>
        <w:rPr>
          <w:u w:val="single"/>
        </w:rPr>
        <w:fldChar w:fldCharType="separate"/>
      </w:r>
      <w:r w:rsidRPr="00BC1FC7" w:rsidR="00BC1FC7">
        <w:rPr>
          <w:color w:val="000000"/>
          <w:u w:val="single"/>
        </w:rPr>
        <w:t>2.3</w:t>
      </w:r>
      <w:r>
        <w:rPr>
          <w:u w:val="single"/>
        </w:rPr>
        <w:fldChar w:fldCharType="end"/>
      </w:r>
      <w:r>
        <w:t>.</w:t>
      </w:r>
      <w:bookmarkEnd w:id="95"/>
    </w:p>
    <w:p w:rsidR="00037C7E">
      <w:pPr>
        <w:pStyle w:val="StandardL3"/>
        <w:rPr>
          <w:color w:val="000000"/>
          <w:szCs w:val="16"/>
        </w:rPr>
      </w:pPr>
      <w:bookmarkStart w:id="98" w:name="_Ref448380551"/>
      <w:r>
        <w:t xml:space="preserve">Notwithstanding the foregoing obligations, if the Company furnishes to Holders requesting a </w:t>
      </w:r>
      <w:r w:rsidR="00D82735">
        <w:t>registration</w:t>
      </w:r>
      <w:r>
        <w:t xml:space="preserve"> pursuant to this </w:t>
      </w:r>
      <w:r w:rsidR="006A7272">
        <w:rPr>
          <w:u w:val="single"/>
        </w:rPr>
        <w:t>S</w:t>
      </w:r>
      <w:r>
        <w:rPr>
          <w:u w:val="single"/>
        </w:rPr>
        <w:t xml:space="preserve">ection </w:t>
      </w:r>
      <w:r>
        <w:rPr>
          <w:u w:val="single"/>
        </w:rPr>
        <w:fldChar w:fldCharType="begin"/>
      </w:r>
      <w:r>
        <w:rPr>
          <w:u w:val="single"/>
        </w:rPr>
        <w:instrText xml:space="preserve">  REF _Ref448380548 \w \h \* MERGEFORMAT </w:instrText>
      </w:r>
      <w:r>
        <w:rPr>
          <w:u w:val="single"/>
        </w:rPr>
        <w:fldChar w:fldCharType="separate"/>
      </w:r>
      <w:r w:rsidRPr="00BC1FC7" w:rsidR="00BC1FC7">
        <w:rPr>
          <w:color w:val="000000"/>
          <w:u w:val="single"/>
        </w:rPr>
        <w:t>2.1</w:t>
      </w:r>
      <w:r>
        <w:rPr>
          <w:u w:val="single"/>
        </w:rPr>
        <w:fldChar w:fldCharType="end"/>
      </w:r>
      <w:r>
        <w:t xml:space="preserve"> a certificate signed by the Company's chief executive officer stating that in the good faith judgment of the Board of Directors it would be materially detrimental to the Company and its shareholders for such </w:t>
      </w:r>
      <w:r w:rsidR="00D82735">
        <w:t>registration statement</w:t>
      </w:r>
      <w:r>
        <w:t xml:space="preserve"> to either become effective or remain effective for as long as such </w:t>
      </w:r>
      <w:r w:rsidR="00D82735">
        <w:t>registration statement</w:t>
      </w:r>
      <w:r>
        <w:t xml:space="preserve"> otherwise would be required to remain effective, because such action would </w:t>
      </w:r>
      <w:bookmarkStart w:id="99" w:name="DocXTextRef53"/>
      <w:r>
        <w:t>(i)</w:t>
      </w:r>
      <w:bookmarkEnd w:id="99"/>
      <w:r>
        <w:t xml:space="preserve"> materially interfere with a significant acquisition, corporate reorganization, or other similar transaction involving the Company; </w:t>
      </w:r>
      <w:bookmarkStart w:id="100" w:name="DocXTextRef54"/>
      <w:r>
        <w:t>(ii)</w:t>
      </w:r>
      <w:bookmarkEnd w:id="100"/>
      <w:r>
        <w:t xml:space="preserve"> require premature disclosure of material information that the Company has a bona fide business purpose for preserving as confidential; or </w:t>
      </w:r>
      <w:bookmarkStart w:id="101" w:name="DocXTextRef55"/>
      <w:r>
        <w:t>(iii)</w:t>
      </w:r>
      <w:bookmarkEnd w:id="101"/>
      <w:r>
        <w:t xml:space="preserve"> render the Company unable to comply with requirements under the Securities Act, the Exchange Act or Canadian Securities Laws,</w:t>
      </w:r>
      <w:bookmarkStart w:id="102" w:name="_Ref448380687"/>
      <w:r>
        <w:rPr>
          <w:rStyle w:val="FootnoteReference"/>
        </w:rPr>
        <w:footnoteReference w:id="19"/>
      </w:r>
      <w:bookmarkEnd w:id="102"/>
      <w:r>
        <w:t xml:space="preserve"> then the Company shall have the right to defer taking action with respect to such filing[, and any time periods with respect to filing or effectiveness thereof shall be tolled correspondingly,] </w:t>
      </w:r>
      <w:r w:rsidR="006A7272">
        <w:t>[</w:t>
      </w:r>
      <w:r>
        <w:t xml:space="preserve">for a period of not more than [thirty </w:t>
      </w:r>
      <w:bookmarkStart w:id="103" w:name="DocXTextRef56"/>
      <w:r>
        <w:t>(30)</w:t>
      </w:r>
      <w:bookmarkEnd w:id="103"/>
      <w:r>
        <w:t xml:space="preserve"> - one hundred twenty (120)] days after the request of the Initiating Holders is given</w:t>
      </w:r>
      <w:r w:rsidR="006A7272">
        <w:t>]</w:t>
      </w:r>
      <w:r>
        <w:t xml:space="preserve">; </w:t>
      </w:r>
      <w:r>
        <w:rPr>
          <w:u w:val="single"/>
        </w:rPr>
        <w:t>provided</w:t>
      </w:r>
      <w:r>
        <w:t xml:space="preserve">, </w:t>
      </w:r>
      <w:r>
        <w:rPr>
          <w:u w:val="single"/>
        </w:rPr>
        <w:t>however</w:t>
      </w:r>
      <w:r>
        <w:t>, that the Company may not invoke this right more than [once] in any twelve (12) month period</w:t>
      </w:r>
      <w:bookmarkStart w:id="104" w:name="_Ref448380688"/>
      <w:r>
        <w:rPr>
          <w:rStyle w:val="FootnoteReference"/>
        </w:rPr>
        <w:footnoteReference w:id="20"/>
      </w:r>
      <w:bookmarkEnd w:id="104"/>
      <w:r>
        <w:t xml:space="preserve"> [; and </w:t>
      </w:r>
      <w:r>
        <w:rPr>
          <w:u w:val="single"/>
        </w:rPr>
        <w:t>provided</w:t>
      </w:r>
      <w:r>
        <w:t xml:space="preserve"> </w:t>
      </w:r>
      <w:r>
        <w:rPr>
          <w:u w:val="single"/>
        </w:rPr>
        <w:t>further</w:t>
      </w:r>
      <w:r>
        <w:t xml:space="preserve"> that the Company shall not register any securities for its own account or that of any other shareholder during such [thirty </w:t>
      </w:r>
      <w:bookmarkStart w:id="105" w:name="DocXTextRef57"/>
      <w:r>
        <w:t>(30)</w:t>
      </w:r>
      <w:bookmarkEnd w:id="105"/>
      <w:r>
        <w:t xml:space="preserve"> - one hundred twenty (120)] day period other than </w:t>
      </w:r>
      <w:r>
        <w:rPr>
          <w:szCs w:val="16"/>
        </w:rPr>
        <w:t xml:space="preserve">[an </w:t>
      </w:r>
      <w:r w:rsidR="009D66BB">
        <w:rPr>
          <w:szCs w:val="16"/>
        </w:rPr>
        <w:t>Excluded Registration</w:t>
      </w:r>
      <w:r>
        <w:rPr>
          <w:szCs w:val="16"/>
        </w:rPr>
        <w:t>] [</w:t>
      </w:r>
      <w:r>
        <w:rPr>
          <w:i/>
          <w:szCs w:val="16"/>
        </w:rPr>
        <w:t>Alternative:</w:t>
      </w:r>
      <w:r>
        <w:rPr>
          <w:szCs w:val="16"/>
        </w:rPr>
        <w:t xml:space="preserve"> </w:t>
      </w:r>
      <w:r>
        <w:t xml:space="preserve">pursuant to </w:t>
      </w:r>
      <w:r>
        <w:rPr>
          <w:szCs w:val="16"/>
        </w:rPr>
        <w:t xml:space="preserve">a </w:t>
      </w:r>
      <w:r w:rsidR="00D82735">
        <w:rPr>
          <w:szCs w:val="16"/>
        </w:rPr>
        <w:t>registration</w:t>
      </w:r>
      <w:r>
        <w:rPr>
          <w:szCs w:val="16"/>
        </w:rPr>
        <w:t xml:space="preserve"> relating to the sale of securities to employees of the Company or a subsidiary pursuant to a stock option, stock purchase, or similar plan; a </w:t>
      </w:r>
      <w:r w:rsidR="00D82735">
        <w:rPr>
          <w:szCs w:val="16"/>
        </w:rPr>
        <w:t>registration</w:t>
      </w:r>
      <w:r>
        <w:rPr>
          <w:szCs w:val="16"/>
        </w:rPr>
        <w:t xml:space="preserve"> on any form that does not include substantially the same information as would be required to be included in a </w:t>
      </w:r>
      <w:r w:rsidR="00D82735">
        <w:rPr>
          <w:szCs w:val="16"/>
        </w:rPr>
        <w:t>registration statement</w:t>
      </w:r>
      <w:r>
        <w:rPr>
          <w:szCs w:val="16"/>
        </w:rPr>
        <w:t xml:space="preserve"> covering the sale of the Registrable Securities; or a </w:t>
      </w:r>
      <w:r w:rsidR="00D82735">
        <w:rPr>
          <w:szCs w:val="16"/>
        </w:rPr>
        <w:t>registration</w:t>
      </w:r>
      <w:r>
        <w:rPr>
          <w:szCs w:val="16"/>
        </w:rPr>
        <w:t xml:space="preserve"> in which the only Common Shares being registered are Common Shares issuable upon conversion of debt securities that are also being registered</w:t>
      </w:r>
      <w:r w:rsidR="006A7272">
        <w:rPr>
          <w:szCs w:val="16"/>
        </w:rPr>
        <w:t>]</w:t>
      </w:r>
      <w:r>
        <w:rPr>
          <w:szCs w:val="16"/>
        </w:rPr>
        <w:t>].</w:t>
      </w:r>
      <w:bookmarkStart w:id="106" w:name="_Ref448380689"/>
      <w:r>
        <w:rPr>
          <w:rStyle w:val="FootnoteReference"/>
          <w:szCs w:val="16"/>
        </w:rPr>
        <w:footnoteReference w:id="21"/>
      </w:r>
      <w:bookmarkEnd w:id="98"/>
      <w:bookmarkEnd w:id="106"/>
    </w:p>
    <w:p w:rsidR="00037C7E">
      <w:pPr>
        <w:pStyle w:val="StandardL3"/>
      </w:pPr>
      <w:bookmarkStart w:id="109" w:name="_Ref448380552"/>
      <w:r>
        <w:t xml:space="preserve">The Company shall not be obligated to effect, or to take any action to effect, any </w:t>
      </w:r>
      <w:r w:rsidR="00D82735">
        <w:t>registration</w:t>
      </w:r>
      <w:r>
        <w:t xml:space="preserve"> pursuant to </w:t>
      </w:r>
      <w:r w:rsidR="00421E9D">
        <w:rPr>
          <w:u w:val="single"/>
        </w:rPr>
        <w:t>S</w:t>
      </w:r>
      <w:r>
        <w:rPr>
          <w:u w:val="single"/>
        </w:rPr>
        <w:t xml:space="preserve">ection </w:t>
      </w:r>
      <w:bookmarkStart w:id="110" w:name="DocXTextRef60"/>
      <w:r>
        <w:rPr>
          <w:u w:val="single"/>
        </w:rPr>
        <w:fldChar w:fldCharType="begin"/>
      </w:r>
      <w:r>
        <w:rPr>
          <w:u w:val="single"/>
        </w:rPr>
        <w:instrText xml:space="preserve"> REF _Ref448380549 \w \h </w:instrText>
      </w:r>
      <w:r>
        <w:rPr>
          <w:u w:val="single"/>
        </w:rPr>
        <w:fldChar w:fldCharType="separate"/>
      </w:r>
      <w:r w:rsidR="00BC1FC7">
        <w:rPr>
          <w:u w:val="single"/>
        </w:rPr>
        <w:t>2.1(a)</w:t>
      </w:r>
      <w:r>
        <w:rPr>
          <w:u w:val="single"/>
        </w:rPr>
        <w:fldChar w:fldCharType="end"/>
      </w:r>
      <w:r>
        <w:rPr>
          <w:u w:val="single"/>
        </w:rPr>
        <w:t>(i)</w:t>
      </w:r>
      <w:bookmarkEnd w:id="110"/>
      <w:r w:rsidR="00421E9D">
        <w:t>,</w:t>
      </w:r>
      <w:r>
        <w:t xml:space="preserve"> during the period that is [sixty (60)] days before the Company's good faith estimate of the date of filing of, and ending on a date that is [one hundred eighty (180)] days after the effective date of, a Company-initiated </w:t>
      </w:r>
      <w:r w:rsidR="00D82735">
        <w:t>registration</w:t>
      </w:r>
      <w:r>
        <w:t xml:space="preserve">, </w:t>
      </w:r>
      <w:r>
        <w:rPr>
          <w:u w:val="single"/>
        </w:rPr>
        <w:t>provided</w:t>
      </w:r>
      <w:r>
        <w:t xml:space="preserve"> that the Company is actively employing in good faith commercially reasonable efforts to cause such </w:t>
      </w:r>
      <w:r w:rsidR="00D82735">
        <w:t>registration statement</w:t>
      </w:r>
      <w:r>
        <w:t xml:space="preserve"> to become effective; </w:t>
      </w:r>
      <w:bookmarkStart w:id="111" w:name="DocXTextRef68"/>
      <w:r>
        <w:t>(ii)</w:t>
      </w:r>
      <w:bookmarkEnd w:id="111"/>
      <w:r>
        <w:t xml:space="preserve"> after the Company has effected [one</w:t>
      </w:r>
      <w:r w:rsidR="00421E9D">
        <w:t xml:space="preserve"> (1)</w:t>
      </w:r>
      <w:r>
        <w:t xml:space="preserve"> </w:t>
      </w:r>
      <w:r w:rsidR="00421E9D">
        <w:t>–</w:t>
      </w:r>
      <w:r>
        <w:t xml:space="preserve"> two</w:t>
      </w:r>
      <w:r w:rsidR="00421E9D">
        <w:t xml:space="preserve"> (2)</w:t>
      </w:r>
      <w:r>
        <w:t xml:space="preserve">] </w:t>
      </w:r>
      <w:r w:rsidR="00D82735">
        <w:t>registration</w:t>
      </w:r>
      <w:r>
        <w:t xml:space="preserve">[s] pursuant to </w:t>
      </w:r>
      <w:r w:rsidR="00421E9D">
        <w:rPr>
          <w:u w:val="single"/>
        </w:rPr>
        <w:t>S</w:t>
      </w:r>
      <w:r>
        <w:rPr>
          <w:u w:val="single"/>
        </w:rPr>
        <w:t xml:space="preserve">ection </w:t>
      </w:r>
      <w:r>
        <w:rPr>
          <w:u w:val="single"/>
        </w:rPr>
        <w:fldChar w:fldCharType="begin"/>
      </w:r>
      <w:r>
        <w:rPr>
          <w:u w:val="single"/>
        </w:rPr>
        <w:instrText xml:space="preserve">  REF _Ref448380549 \w \h \* MERGEFORMAT </w:instrText>
      </w:r>
      <w:r>
        <w:rPr>
          <w:u w:val="single"/>
        </w:rPr>
        <w:fldChar w:fldCharType="separate"/>
      </w:r>
      <w:r w:rsidRPr="00BC1FC7" w:rsidR="00BC1FC7">
        <w:rPr>
          <w:color w:val="000000"/>
          <w:u w:val="single"/>
        </w:rPr>
        <w:t>2.1(a)</w:t>
      </w:r>
      <w:r>
        <w:rPr>
          <w:u w:val="single"/>
        </w:rPr>
        <w:fldChar w:fldCharType="end"/>
      </w:r>
      <w:r>
        <w:t xml:space="preserve">; or </w:t>
      </w:r>
      <w:bookmarkStart w:id="112" w:name="DocXTextRef69"/>
      <w:r>
        <w:t>(iii)</w:t>
      </w:r>
      <w:bookmarkEnd w:id="112"/>
      <w:r>
        <w:t xml:space="preserve"> if the Initiating Holders propose to dispose of Registrable Securities that may be immediately registered on Form S-3 or Form F-3 or a Canadian short-form prospectus pursuant to a request made pursuant to </w:t>
      </w:r>
      <w:r w:rsidR="00421E9D">
        <w:rPr>
          <w:u w:val="single"/>
        </w:rPr>
        <w:t>S</w:t>
      </w:r>
      <w:r>
        <w:rPr>
          <w:u w:val="single"/>
        </w:rPr>
        <w:t xml:space="preserve">ection </w:t>
      </w:r>
      <w:r>
        <w:rPr>
          <w:u w:val="single"/>
        </w:rPr>
        <w:fldChar w:fldCharType="begin"/>
      </w:r>
      <w:r>
        <w:rPr>
          <w:u w:val="single"/>
        </w:rPr>
        <w:instrText xml:space="preserve">  REF _Ref448380550 \w \h \* MERGEFORMAT </w:instrText>
      </w:r>
      <w:r>
        <w:rPr>
          <w:u w:val="single"/>
        </w:rPr>
        <w:fldChar w:fldCharType="separate"/>
      </w:r>
      <w:r w:rsidRPr="00BC1FC7" w:rsidR="00BC1FC7">
        <w:rPr>
          <w:color w:val="000000"/>
          <w:u w:val="single"/>
        </w:rPr>
        <w:t>2.1(b)</w:t>
      </w:r>
      <w:r>
        <w:rPr>
          <w:u w:val="single"/>
        </w:rPr>
        <w:fldChar w:fldCharType="end"/>
      </w:r>
      <w:r>
        <w:t xml:space="preserve">. The Company shall not be obligated to effect, or to take any action to effect, any </w:t>
      </w:r>
      <w:r w:rsidR="00D82735">
        <w:t>registration</w:t>
      </w:r>
      <w:r>
        <w:t xml:space="preserve"> pursuant to </w:t>
      </w:r>
      <w:r w:rsidR="00421E9D">
        <w:rPr>
          <w:u w:val="single"/>
        </w:rPr>
        <w:t>S</w:t>
      </w:r>
      <w:r>
        <w:rPr>
          <w:u w:val="single"/>
        </w:rPr>
        <w:t xml:space="preserve">ection </w:t>
      </w:r>
      <w:r>
        <w:rPr>
          <w:u w:val="single"/>
        </w:rPr>
        <w:fldChar w:fldCharType="begin"/>
      </w:r>
      <w:r>
        <w:rPr>
          <w:u w:val="single"/>
        </w:rPr>
        <w:instrText xml:space="preserve">  REF _Ref448380550 \w \h \* MERGEFORMAT </w:instrText>
      </w:r>
      <w:r>
        <w:rPr>
          <w:u w:val="single"/>
        </w:rPr>
        <w:fldChar w:fldCharType="separate"/>
      </w:r>
      <w:r w:rsidRPr="00BC1FC7" w:rsidR="00BC1FC7">
        <w:rPr>
          <w:color w:val="000000"/>
          <w:u w:val="single"/>
        </w:rPr>
        <w:t>2.1(b)</w:t>
      </w:r>
      <w:r>
        <w:rPr>
          <w:u w:val="single"/>
        </w:rPr>
        <w:fldChar w:fldCharType="end"/>
      </w:r>
      <w:r w:rsidR="00421E9D">
        <w:t>,</w:t>
      </w:r>
      <w:r>
        <w:t xml:space="preserve"> </w:t>
      </w:r>
      <w:bookmarkStart w:id="113" w:name="DocXTextRef70"/>
      <w:r>
        <w:t>(i)</w:t>
      </w:r>
      <w:bookmarkEnd w:id="113"/>
      <w:r>
        <w:t xml:space="preserve"> during the period that is [thirty (30)] days before the Company's good faith estimate of the date of filing of, and ending on a date that is [ninety (90)] days after the effective date of, a Company-initiated </w:t>
      </w:r>
      <w:r w:rsidR="00D82735">
        <w:t>registration</w:t>
      </w:r>
      <w:r>
        <w:t xml:space="preserve">, </w:t>
      </w:r>
      <w:r>
        <w:rPr>
          <w:u w:val="single"/>
        </w:rPr>
        <w:t>provided</w:t>
      </w:r>
      <w:r>
        <w:t xml:space="preserve"> that the Company is actively employing in good faith commercially reasonable efforts to cause such </w:t>
      </w:r>
      <w:r w:rsidR="00D82735">
        <w:t>registration statement</w:t>
      </w:r>
      <w:r>
        <w:t xml:space="preserve"> or prospectus to become effective; or </w:t>
      </w:r>
      <w:bookmarkStart w:id="114" w:name="DocXTextRef71"/>
      <w:r>
        <w:t>(ii)</w:t>
      </w:r>
      <w:bookmarkEnd w:id="114"/>
      <w:r>
        <w:t xml:space="preserve"> if the Company has effected [two</w:t>
      </w:r>
      <w:r w:rsidR="00421E9D">
        <w:t xml:space="preserve"> (2)</w:t>
      </w:r>
      <w:r>
        <w:t xml:space="preserve">] </w:t>
      </w:r>
      <w:r w:rsidR="00D82735">
        <w:t>registration</w:t>
      </w:r>
      <w:r>
        <w:t xml:space="preserve">[s] pursuant to </w:t>
      </w:r>
      <w:r w:rsidR="00421E9D">
        <w:rPr>
          <w:u w:val="single"/>
        </w:rPr>
        <w:t>S</w:t>
      </w:r>
      <w:r>
        <w:rPr>
          <w:u w:val="single"/>
        </w:rPr>
        <w:t xml:space="preserve">ection </w:t>
      </w:r>
      <w:r>
        <w:rPr>
          <w:u w:val="single"/>
        </w:rPr>
        <w:fldChar w:fldCharType="begin"/>
      </w:r>
      <w:r>
        <w:rPr>
          <w:u w:val="single"/>
        </w:rPr>
        <w:instrText xml:space="preserve">  REF _Ref448380550 \w \h \* MERGEFORMAT </w:instrText>
      </w:r>
      <w:r>
        <w:rPr>
          <w:u w:val="single"/>
        </w:rPr>
        <w:fldChar w:fldCharType="separate"/>
      </w:r>
      <w:r w:rsidRPr="00BC1FC7" w:rsidR="00BC1FC7">
        <w:rPr>
          <w:color w:val="000000"/>
          <w:u w:val="single"/>
        </w:rPr>
        <w:t>2.1(b)</w:t>
      </w:r>
      <w:r>
        <w:rPr>
          <w:u w:val="single"/>
        </w:rPr>
        <w:fldChar w:fldCharType="end"/>
      </w:r>
      <w:r>
        <w:t xml:space="preserve"> within the twelve (12) month period immediately preceding the date of such request. A </w:t>
      </w:r>
      <w:r w:rsidR="00D82735">
        <w:t>registration</w:t>
      </w:r>
      <w:r>
        <w:t xml:space="preserve"> shall not be counted as "effected" for purposes of this </w:t>
      </w:r>
      <w:r w:rsidR="00421E9D">
        <w:rPr>
          <w:u w:val="single"/>
        </w:rPr>
        <w:t>S</w:t>
      </w:r>
      <w:r>
        <w:rPr>
          <w:u w:val="single"/>
        </w:rPr>
        <w:t xml:space="preserve">ection </w:t>
      </w:r>
      <w:r>
        <w:rPr>
          <w:u w:val="single"/>
        </w:rPr>
        <w:fldChar w:fldCharType="begin"/>
      </w:r>
      <w:r>
        <w:rPr>
          <w:u w:val="single"/>
        </w:rPr>
        <w:instrText xml:space="preserve">  REF _Ref448380552 \w \h \* MERGEFORMAT </w:instrText>
      </w:r>
      <w:r>
        <w:rPr>
          <w:u w:val="single"/>
        </w:rPr>
        <w:fldChar w:fldCharType="separate"/>
      </w:r>
      <w:r w:rsidRPr="00BC1FC7" w:rsidR="00BC1FC7">
        <w:rPr>
          <w:color w:val="000000"/>
          <w:u w:val="single"/>
        </w:rPr>
        <w:t>2.1(d)</w:t>
      </w:r>
      <w:r>
        <w:rPr>
          <w:u w:val="single"/>
        </w:rPr>
        <w:fldChar w:fldCharType="end"/>
      </w:r>
      <w:r>
        <w:t xml:space="preserve"> until such time as the applicable </w:t>
      </w:r>
      <w:r w:rsidR="00D82735">
        <w:t>registration statement</w:t>
      </w:r>
      <w:r>
        <w:t xml:space="preserve"> has been declared effective by the SEC or a final receipt or decision document is issued in respect of the applicable Canadian prospectus, unless the Initiating Holders withdraw their request for such </w:t>
      </w:r>
      <w:r w:rsidR="00D82735">
        <w:t>registration</w:t>
      </w:r>
      <w:r>
        <w:t xml:space="preserve">, elect not to pay the </w:t>
      </w:r>
      <w:r w:rsidR="00D82735">
        <w:t>registration</w:t>
      </w:r>
      <w:r>
        <w:t xml:space="preserve"> expenses therefor, and forfeit their right to one demand </w:t>
      </w:r>
      <w:r w:rsidR="00D82735">
        <w:t>registration statement</w:t>
      </w:r>
      <w:r>
        <w:t xml:space="preserve"> pursuant to </w:t>
      </w:r>
      <w:r w:rsidR="00421E9D">
        <w:rPr>
          <w:u w:val="single"/>
        </w:rPr>
        <w:t>S</w:t>
      </w:r>
      <w:r>
        <w:rPr>
          <w:u w:val="single"/>
        </w:rPr>
        <w:t xml:space="preserve">ection </w:t>
      </w:r>
      <w:r>
        <w:rPr>
          <w:u w:val="single"/>
        </w:rPr>
        <w:fldChar w:fldCharType="begin"/>
      </w:r>
      <w:r>
        <w:rPr>
          <w:u w:val="single"/>
        </w:rPr>
        <w:instrText xml:space="preserve">  REF _Ref448380571 \w \h \* MERGEFORMAT </w:instrText>
      </w:r>
      <w:r>
        <w:rPr>
          <w:u w:val="single"/>
        </w:rPr>
        <w:fldChar w:fldCharType="separate"/>
      </w:r>
      <w:r w:rsidRPr="00BC1FC7" w:rsidR="00BC1FC7">
        <w:rPr>
          <w:color w:val="000000"/>
          <w:u w:val="single"/>
        </w:rPr>
        <w:t>2.6</w:t>
      </w:r>
      <w:r>
        <w:rPr>
          <w:u w:val="single"/>
        </w:rPr>
        <w:fldChar w:fldCharType="end"/>
      </w:r>
      <w:r>
        <w:t xml:space="preserve">, in which case such withdrawn </w:t>
      </w:r>
      <w:r w:rsidR="00D82735">
        <w:t>registration statement</w:t>
      </w:r>
      <w:r>
        <w:t xml:space="preserve"> shall be counted as "effected" for purposes of this </w:t>
      </w:r>
      <w:r w:rsidR="00421E9D">
        <w:rPr>
          <w:u w:val="single"/>
        </w:rPr>
        <w:t>S</w:t>
      </w:r>
      <w:r>
        <w:rPr>
          <w:u w:val="single"/>
        </w:rPr>
        <w:t xml:space="preserve">ection </w:t>
      </w:r>
      <w:r>
        <w:rPr>
          <w:u w:val="single"/>
        </w:rPr>
        <w:fldChar w:fldCharType="begin"/>
      </w:r>
      <w:r>
        <w:rPr>
          <w:u w:val="single"/>
        </w:rPr>
        <w:instrText xml:space="preserve">  REF _Ref448380552 \w \h \* MERGEFORMAT </w:instrText>
      </w:r>
      <w:r>
        <w:rPr>
          <w:u w:val="single"/>
        </w:rPr>
        <w:fldChar w:fldCharType="separate"/>
      </w:r>
      <w:r w:rsidRPr="00BC1FC7" w:rsidR="00BC1FC7">
        <w:rPr>
          <w:color w:val="000000"/>
          <w:u w:val="single"/>
        </w:rPr>
        <w:t>2.1(d)</w:t>
      </w:r>
      <w:r>
        <w:rPr>
          <w:u w:val="single"/>
        </w:rPr>
        <w:fldChar w:fldCharType="end"/>
      </w:r>
      <w:r w:rsidR="00A2464D">
        <w:t xml:space="preserve">, </w:t>
      </w:r>
      <w:r w:rsidRPr="00A2464D" w:rsidR="00A2464D">
        <w:rPr>
          <w:u w:val="single"/>
        </w:rPr>
        <w:t>provided</w:t>
      </w:r>
      <w:r w:rsidR="00A2464D">
        <w:t xml:space="preserve">, that if such withdrawal is during a period the Company </w:t>
      </w:r>
      <w:r w:rsidR="00165B44">
        <w:t xml:space="preserve">has </w:t>
      </w:r>
      <w:r w:rsidR="00A2464D">
        <w:t xml:space="preserve">deferred taking action pursuant to </w:t>
      </w:r>
      <w:r w:rsidR="00421E9D">
        <w:rPr>
          <w:u w:val="single"/>
        </w:rPr>
        <w:t>S</w:t>
      </w:r>
      <w:r w:rsidRPr="00A2464D" w:rsidR="00A2464D">
        <w:rPr>
          <w:u w:val="single"/>
        </w:rPr>
        <w:t xml:space="preserve">ection </w:t>
      </w:r>
      <w:r w:rsidRPr="00A2464D" w:rsidR="00A2464D">
        <w:rPr>
          <w:u w:val="single"/>
        </w:rPr>
        <w:fldChar w:fldCharType="begin"/>
      </w:r>
      <w:r w:rsidRPr="00A2464D" w:rsidR="00A2464D">
        <w:rPr>
          <w:u w:val="single"/>
        </w:rPr>
        <w:instrText xml:space="preserve"> REF _Ref448380548 \r \h </w:instrText>
      </w:r>
      <w:r w:rsidR="00A2464D">
        <w:rPr>
          <w:u w:val="single"/>
        </w:rPr>
        <w:instrText xml:space="preserve"> \* MERGEFORMAT </w:instrText>
      </w:r>
      <w:r w:rsidRPr="00A2464D" w:rsidR="00A2464D">
        <w:rPr>
          <w:u w:val="single"/>
        </w:rPr>
        <w:fldChar w:fldCharType="separate"/>
      </w:r>
      <w:r w:rsidR="00BC1FC7">
        <w:rPr>
          <w:u w:val="single"/>
        </w:rPr>
        <w:t>2.1</w:t>
      </w:r>
      <w:r w:rsidRPr="00A2464D" w:rsidR="00A2464D">
        <w:rPr>
          <w:u w:val="single"/>
        </w:rPr>
        <w:fldChar w:fldCharType="end"/>
      </w:r>
      <w:r w:rsidR="00A2464D">
        <w:rPr>
          <w:u w:val="single"/>
        </w:rPr>
        <w:fldChar w:fldCharType="begin"/>
      </w:r>
      <w:r w:rsidR="00A2464D">
        <w:rPr>
          <w:u w:val="single"/>
        </w:rPr>
        <w:instrText xml:space="preserve"> REF _Ref448380551 \r \h </w:instrText>
      </w:r>
      <w:r w:rsidR="00A2464D">
        <w:rPr>
          <w:u w:val="single"/>
        </w:rPr>
        <w:fldChar w:fldCharType="separate"/>
      </w:r>
      <w:r w:rsidR="00BC1FC7">
        <w:rPr>
          <w:u w:val="single"/>
        </w:rPr>
        <w:t>(c)</w:t>
      </w:r>
      <w:r w:rsidR="00A2464D">
        <w:rPr>
          <w:u w:val="single"/>
        </w:rPr>
        <w:fldChar w:fldCharType="end"/>
      </w:r>
      <w:r w:rsidR="00A2464D">
        <w:t xml:space="preserve">, then the Initiating Holders may withdraw their request for registration and such registration will not be counted as “effected” for purposes of this </w:t>
      </w:r>
      <w:r w:rsidR="00421E9D">
        <w:rPr>
          <w:u w:val="single"/>
        </w:rPr>
        <w:t>S</w:t>
      </w:r>
      <w:r w:rsidRPr="00A2464D" w:rsidR="00A2464D">
        <w:rPr>
          <w:u w:val="single"/>
        </w:rPr>
        <w:t xml:space="preserve">ection </w:t>
      </w:r>
      <w:r w:rsidRPr="00A2464D" w:rsidR="00A2464D">
        <w:rPr>
          <w:u w:val="single"/>
        </w:rPr>
        <w:fldChar w:fldCharType="begin"/>
      </w:r>
      <w:r w:rsidRPr="00A2464D" w:rsidR="00A2464D">
        <w:rPr>
          <w:u w:val="single"/>
        </w:rPr>
        <w:instrText xml:space="preserve"> REF _Ref448380548 \r \h </w:instrText>
      </w:r>
      <w:r w:rsidR="00A2464D">
        <w:rPr>
          <w:u w:val="single"/>
        </w:rPr>
        <w:instrText xml:space="preserve"> \* MERGEFORMAT </w:instrText>
      </w:r>
      <w:r w:rsidRPr="00A2464D" w:rsidR="00A2464D">
        <w:rPr>
          <w:u w:val="single"/>
        </w:rPr>
        <w:fldChar w:fldCharType="separate"/>
      </w:r>
      <w:r w:rsidR="00BC1FC7">
        <w:rPr>
          <w:u w:val="single"/>
        </w:rPr>
        <w:t>2.1</w:t>
      </w:r>
      <w:r w:rsidRPr="00A2464D" w:rsidR="00A2464D">
        <w:rPr>
          <w:u w:val="single"/>
        </w:rPr>
        <w:fldChar w:fldCharType="end"/>
      </w:r>
      <w:r w:rsidRPr="00A2464D" w:rsidR="00A2464D">
        <w:rPr>
          <w:u w:val="single"/>
        </w:rPr>
        <w:fldChar w:fldCharType="begin"/>
      </w:r>
      <w:r w:rsidRPr="00A2464D" w:rsidR="00A2464D">
        <w:rPr>
          <w:u w:val="single"/>
        </w:rPr>
        <w:instrText xml:space="preserve"> REF _Ref448380552 \r \h </w:instrText>
      </w:r>
      <w:r w:rsidR="00A2464D">
        <w:rPr>
          <w:u w:val="single"/>
        </w:rPr>
        <w:instrText xml:space="preserve"> \* MERGEFORMAT </w:instrText>
      </w:r>
      <w:r w:rsidRPr="00A2464D" w:rsidR="00A2464D">
        <w:rPr>
          <w:u w:val="single"/>
        </w:rPr>
        <w:fldChar w:fldCharType="separate"/>
      </w:r>
      <w:r w:rsidR="00BC1FC7">
        <w:rPr>
          <w:u w:val="single"/>
        </w:rPr>
        <w:t>(d)</w:t>
      </w:r>
      <w:r w:rsidRPr="00A2464D" w:rsidR="00A2464D">
        <w:rPr>
          <w:u w:val="single"/>
        </w:rPr>
        <w:fldChar w:fldCharType="end"/>
      </w:r>
      <w:r>
        <w:t>.</w:t>
      </w:r>
      <w:bookmarkEnd w:id="109"/>
    </w:p>
    <w:p w:rsidR="00037C7E">
      <w:pPr>
        <w:pStyle w:val="StandardL3"/>
      </w:pPr>
      <w:bookmarkStart w:id="115" w:name="_Ref448380553"/>
      <w:r>
        <w:t xml:space="preserve">For purposes of this Agreement, a concurrent filing of a </w:t>
      </w:r>
      <w:r w:rsidR="00D82735">
        <w:t>registration statement</w:t>
      </w:r>
      <w:r>
        <w:t xml:space="preserve"> under the Securities Act and Canadian Securities Laws will be considered a single filing.</w:t>
      </w:r>
      <w:bookmarkEnd w:id="115"/>
    </w:p>
    <w:p w:rsidR="00037C7E">
      <w:pPr>
        <w:pStyle w:val="StandardL2"/>
      </w:pPr>
      <w:bookmarkStart w:id="116" w:name="_Ref448380554"/>
      <w:bookmarkStart w:id="117" w:name="_Toc56499764"/>
      <w:r>
        <w:t xml:space="preserve">Company </w:t>
      </w:r>
      <w:r w:rsidR="009D66BB">
        <w:t>R</w:t>
      </w:r>
      <w:r w:rsidR="00D82735">
        <w:t>egistration</w:t>
      </w:r>
      <w:r>
        <w:rPr>
          <w:snapToGrid w:val="0"/>
        </w:rPr>
        <w:t>.</w:t>
      </w:r>
      <w:bookmarkEnd w:id="116"/>
      <w:bookmarkEnd w:id="117"/>
    </w:p>
    <w:p w:rsidR="00037C7E">
      <w:pPr>
        <w:pStyle w:val="StandardCont2"/>
      </w:pPr>
      <w:r>
        <w:rPr>
          <w:snapToGrid w:val="0"/>
        </w:rPr>
        <w:t xml:space="preserve">If the Company </w:t>
      </w:r>
      <w:r w:rsidR="00421E9D">
        <w:rPr>
          <w:snapToGrid w:val="0"/>
        </w:rPr>
        <w:t xml:space="preserve">proposes to register (including for this purpose </w:t>
      </w:r>
      <w:r>
        <w:rPr>
          <w:snapToGrid w:val="0"/>
        </w:rPr>
        <w:t xml:space="preserve">a </w:t>
      </w:r>
      <w:r w:rsidR="00D82735">
        <w:rPr>
          <w:snapToGrid w:val="0"/>
        </w:rPr>
        <w:t>registration</w:t>
      </w:r>
      <w:r>
        <w:rPr>
          <w:snapToGrid w:val="0"/>
        </w:rPr>
        <w:t xml:space="preserve"> effected by the Company for shareholders other than the Holders) any of its [Common Shares][securities] under the Securities Act or Canadian Securities Laws in connection with the public offering of such securities solely for cash (other than in an </w:t>
      </w:r>
      <w:r w:rsidR="009D66BB">
        <w:rPr>
          <w:snapToGrid w:val="0"/>
        </w:rPr>
        <w:t>Excluded Registration</w:t>
      </w:r>
      <w:r w:rsidR="00421E9D">
        <w:rPr>
          <w:snapToGrid w:val="0"/>
        </w:rPr>
        <w:t xml:space="preserve">[, a registration relating to a demand pursuant to </w:t>
      </w:r>
      <w:r w:rsidR="00421E9D">
        <w:rPr>
          <w:snapToGrid w:val="0"/>
          <w:u w:val="single"/>
        </w:rPr>
        <w:t xml:space="preserve">Section </w:t>
      </w:r>
      <w:r w:rsidR="00421E9D">
        <w:rPr>
          <w:snapToGrid w:val="0"/>
          <w:u w:val="single"/>
        </w:rPr>
        <w:fldChar w:fldCharType="begin"/>
      </w:r>
      <w:r w:rsidR="00421E9D">
        <w:rPr>
          <w:snapToGrid w:val="0"/>
          <w:u w:val="single"/>
        </w:rPr>
        <w:instrText xml:space="preserve"> REF _Ref448380548 \r \h </w:instrText>
      </w:r>
      <w:r w:rsidR="00421E9D">
        <w:rPr>
          <w:snapToGrid w:val="0"/>
          <w:u w:val="single"/>
        </w:rPr>
        <w:fldChar w:fldCharType="separate"/>
      </w:r>
      <w:r w:rsidR="00BC1FC7">
        <w:rPr>
          <w:snapToGrid w:val="0"/>
          <w:u w:val="single"/>
        </w:rPr>
        <w:t>2.1</w:t>
      </w:r>
      <w:r w:rsidR="00421E9D">
        <w:rPr>
          <w:snapToGrid w:val="0"/>
          <w:u w:val="single"/>
        </w:rPr>
        <w:fldChar w:fldCharType="end"/>
      </w:r>
      <w:r w:rsidR="00421E9D">
        <w:rPr>
          <w:snapToGrid w:val="0"/>
        </w:rPr>
        <w:t>][or the IPO]</w:t>
      </w:r>
      <w:r>
        <w:rPr>
          <w:snapToGrid w:val="0"/>
        </w:rPr>
        <w:t xml:space="preserve">), the Company shall, at such time, promptly give each Holder notice of such </w:t>
      </w:r>
      <w:r w:rsidR="00D82735">
        <w:rPr>
          <w:snapToGrid w:val="0"/>
        </w:rPr>
        <w:t>registration</w:t>
      </w:r>
      <w:r>
        <w:rPr>
          <w:snapToGrid w:val="0"/>
        </w:rPr>
        <w:t xml:space="preserve">. Upon the request of each Holder given within twenty (20) days after such notice is given by the Company, the Company shall, subject to the provisions of </w:t>
      </w:r>
      <w:r w:rsidR="00421E9D">
        <w:rPr>
          <w:snapToGrid w:val="0"/>
          <w:u w:val="single"/>
        </w:rPr>
        <w:t>S</w:t>
      </w:r>
      <w:r>
        <w:rPr>
          <w:snapToGrid w:val="0"/>
          <w:u w:val="single"/>
        </w:rPr>
        <w:t xml:space="preserve">ection </w:t>
      </w:r>
      <w:r>
        <w:rPr>
          <w:snapToGrid w:val="0"/>
          <w:u w:val="single"/>
        </w:rPr>
        <w:fldChar w:fldCharType="begin"/>
      </w:r>
      <w:r>
        <w:rPr>
          <w:snapToGrid w:val="0"/>
          <w:u w:val="single"/>
        </w:rPr>
        <w:instrText xml:space="preserve">  REF _Ref448380555 \w \h \* MERGEFORMAT </w:instrText>
      </w:r>
      <w:r>
        <w:rPr>
          <w:snapToGrid w:val="0"/>
          <w:u w:val="single"/>
        </w:rPr>
        <w:fldChar w:fldCharType="separate"/>
      </w:r>
      <w:r w:rsidRPr="00BC1FC7" w:rsidR="00BC1FC7">
        <w:rPr>
          <w:snapToGrid w:val="0"/>
          <w:color w:val="000000"/>
          <w:u w:val="single"/>
        </w:rPr>
        <w:t>2.3</w:t>
      </w:r>
      <w:r>
        <w:rPr>
          <w:snapToGrid w:val="0"/>
          <w:u w:val="single"/>
        </w:rPr>
        <w:fldChar w:fldCharType="end"/>
      </w:r>
      <w:r>
        <w:rPr>
          <w:snapToGrid w:val="0"/>
        </w:rPr>
        <w:t xml:space="preserve">, cause to be registered all of the Registrable Securities that each such Holder has requested to be included in such </w:t>
      </w:r>
      <w:r w:rsidR="00D82735">
        <w:rPr>
          <w:snapToGrid w:val="0"/>
        </w:rPr>
        <w:t>registration</w:t>
      </w:r>
      <w:r>
        <w:rPr>
          <w:snapToGrid w:val="0"/>
        </w:rPr>
        <w:t xml:space="preserve">. The Company shall have the right to terminate or withdraw any </w:t>
      </w:r>
      <w:r w:rsidR="00D82735">
        <w:rPr>
          <w:snapToGrid w:val="0"/>
        </w:rPr>
        <w:t>registration</w:t>
      </w:r>
      <w:r>
        <w:rPr>
          <w:snapToGrid w:val="0"/>
        </w:rPr>
        <w:t xml:space="preserve"> initiated by it under this </w:t>
      </w:r>
      <w:r w:rsidR="00421E9D">
        <w:rPr>
          <w:snapToGrid w:val="0"/>
          <w:u w:val="single"/>
        </w:rPr>
        <w:t>S</w:t>
      </w:r>
      <w:r>
        <w:rPr>
          <w:snapToGrid w:val="0"/>
          <w:u w:val="single"/>
        </w:rPr>
        <w:t xml:space="preserve">ection </w:t>
      </w:r>
      <w:r>
        <w:rPr>
          <w:snapToGrid w:val="0"/>
          <w:u w:val="single"/>
        </w:rPr>
        <w:fldChar w:fldCharType="begin"/>
      </w:r>
      <w:r>
        <w:rPr>
          <w:snapToGrid w:val="0"/>
          <w:u w:val="single"/>
        </w:rPr>
        <w:instrText xml:space="preserve">  REF _Ref448380554 \w \h \* MERGEFORMAT </w:instrText>
      </w:r>
      <w:r>
        <w:rPr>
          <w:snapToGrid w:val="0"/>
          <w:u w:val="single"/>
        </w:rPr>
        <w:fldChar w:fldCharType="separate"/>
      </w:r>
      <w:r w:rsidRPr="00BC1FC7" w:rsidR="00BC1FC7">
        <w:rPr>
          <w:snapToGrid w:val="0"/>
          <w:color w:val="000000"/>
          <w:u w:val="single"/>
        </w:rPr>
        <w:t>2.2</w:t>
      </w:r>
      <w:r>
        <w:rPr>
          <w:snapToGrid w:val="0"/>
          <w:u w:val="single"/>
        </w:rPr>
        <w:fldChar w:fldCharType="end"/>
      </w:r>
      <w:r>
        <w:rPr>
          <w:snapToGrid w:val="0"/>
        </w:rPr>
        <w:t xml:space="preserve"> before the effective date of such </w:t>
      </w:r>
      <w:r w:rsidR="00D82735">
        <w:rPr>
          <w:snapToGrid w:val="0"/>
        </w:rPr>
        <w:t>registration</w:t>
      </w:r>
      <w:r>
        <w:rPr>
          <w:snapToGrid w:val="0"/>
        </w:rPr>
        <w:t xml:space="preserve">, whether or not any Holder has elected to include Registrable Securities in such </w:t>
      </w:r>
      <w:r w:rsidR="00D82735">
        <w:rPr>
          <w:snapToGrid w:val="0"/>
        </w:rPr>
        <w:t>registration</w:t>
      </w:r>
      <w:r>
        <w:rPr>
          <w:snapToGrid w:val="0"/>
        </w:rPr>
        <w:t xml:space="preserve">. The expenses (other than Selling Expenses) of such withdrawn </w:t>
      </w:r>
      <w:r w:rsidR="00D82735">
        <w:rPr>
          <w:snapToGrid w:val="0"/>
        </w:rPr>
        <w:t>registration</w:t>
      </w:r>
      <w:r>
        <w:rPr>
          <w:snapToGrid w:val="0"/>
        </w:rPr>
        <w:t xml:space="preserve"> shall be borne by the Company in accordance with </w:t>
      </w:r>
      <w:r w:rsidR="00421E9D">
        <w:rPr>
          <w:snapToGrid w:val="0"/>
          <w:u w:val="single"/>
        </w:rPr>
        <w:t>S</w:t>
      </w:r>
      <w:r>
        <w:rPr>
          <w:snapToGrid w:val="0"/>
          <w:u w:val="single"/>
        </w:rPr>
        <w:t xml:space="preserve">ection </w:t>
      </w:r>
      <w:r>
        <w:rPr>
          <w:snapToGrid w:val="0"/>
          <w:u w:val="single"/>
        </w:rPr>
        <w:fldChar w:fldCharType="begin"/>
      </w:r>
      <w:r>
        <w:rPr>
          <w:snapToGrid w:val="0"/>
          <w:u w:val="single"/>
        </w:rPr>
        <w:instrText xml:space="preserve">  REF _Ref448380571 \w \h \* MERGEFORMAT </w:instrText>
      </w:r>
      <w:r>
        <w:rPr>
          <w:snapToGrid w:val="0"/>
          <w:u w:val="single"/>
        </w:rPr>
        <w:fldChar w:fldCharType="separate"/>
      </w:r>
      <w:r w:rsidRPr="00BC1FC7" w:rsidR="00BC1FC7">
        <w:rPr>
          <w:snapToGrid w:val="0"/>
          <w:color w:val="000000"/>
          <w:u w:val="single"/>
        </w:rPr>
        <w:t>2.6</w:t>
      </w:r>
      <w:r>
        <w:rPr>
          <w:snapToGrid w:val="0"/>
          <w:u w:val="single"/>
        </w:rPr>
        <w:fldChar w:fldCharType="end"/>
      </w:r>
      <w:r>
        <w:rPr>
          <w:snapToGrid w:val="0"/>
        </w:rPr>
        <w:t>.</w:t>
      </w:r>
    </w:p>
    <w:p w:rsidR="00037C7E">
      <w:pPr>
        <w:pStyle w:val="StandardL2"/>
      </w:pPr>
      <w:bookmarkStart w:id="118" w:name="_Ref448380555"/>
      <w:bookmarkStart w:id="119" w:name="_Toc56499765"/>
      <w:r>
        <w:t>Underwriting Requirements</w:t>
      </w:r>
      <w:r>
        <w:rPr>
          <w:snapToGrid w:val="0"/>
        </w:rPr>
        <w:t>.</w:t>
      </w:r>
      <w:bookmarkEnd w:id="118"/>
      <w:bookmarkEnd w:id="119"/>
    </w:p>
    <w:p w:rsidR="00037C7E">
      <w:pPr>
        <w:pStyle w:val="StandardL3"/>
      </w:pPr>
      <w:bookmarkStart w:id="120" w:name="_Ref448380556"/>
      <w:r>
        <w:t xml:space="preserve">If, pursuant to </w:t>
      </w:r>
      <w:r w:rsidR="00421E9D">
        <w:rPr>
          <w:u w:val="single"/>
        </w:rPr>
        <w:t>S</w:t>
      </w:r>
      <w:r>
        <w:rPr>
          <w:u w:val="single"/>
        </w:rPr>
        <w:t xml:space="preserve">ection </w:t>
      </w:r>
      <w:r>
        <w:rPr>
          <w:u w:val="single"/>
        </w:rPr>
        <w:fldChar w:fldCharType="begin"/>
      </w:r>
      <w:r>
        <w:rPr>
          <w:u w:val="single"/>
        </w:rPr>
        <w:instrText xml:space="preserve">  REF _Ref448380548 \w \h \* MERGEFORMAT </w:instrText>
      </w:r>
      <w:r>
        <w:rPr>
          <w:u w:val="single"/>
        </w:rPr>
        <w:fldChar w:fldCharType="separate"/>
      </w:r>
      <w:r w:rsidRPr="00BC1FC7" w:rsidR="00BC1FC7">
        <w:rPr>
          <w:color w:val="000000"/>
          <w:u w:val="single"/>
        </w:rPr>
        <w:t>2.1</w:t>
      </w:r>
      <w:r>
        <w:rPr>
          <w:u w:val="single"/>
        </w:rPr>
        <w:fldChar w:fldCharType="end"/>
      </w:r>
      <w:r>
        <w:rPr>
          <w:szCs w:val="16"/>
        </w:rPr>
        <w:t>,</w:t>
      </w:r>
      <w:r>
        <w:t xml:space="preserve"> the Initiating Holders</w:t>
      </w:r>
      <w:r>
        <w:rPr>
          <w:b/>
        </w:rPr>
        <w:t xml:space="preserve"> </w:t>
      </w:r>
      <w:r>
        <w:t xml:space="preserve">intend to distribute the Registrable Securities covered by their request by means of an underwriting, they shall so advise the Company as a part of their request made pursuant to </w:t>
      </w:r>
      <w:r w:rsidR="00421E9D">
        <w:rPr>
          <w:u w:val="single"/>
        </w:rPr>
        <w:t>S</w:t>
      </w:r>
      <w:r>
        <w:rPr>
          <w:u w:val="single"/>
        </w:rPr>
        <w:t xml:space="preserve">ection </w:t>
      </w:r>
      <w:r>
        <w:rPr>
          <w:u w:val="single"/>
        </w:rPr>
        <w:fldChar w:fldCharType="begin"/>
      </w:r>
      <w:r>
        <w:rPr>
          <w:u w:val="single"/>
        </w:rPr>
        <w:instrText xml:space="preserve">  REF _Ref448380548 \w \h \* MERGEFORMAT </w:instrText>
      </w:r>
      <w:r>
        <w:rPr>
          <w:u w:val="single"/>
        </w:rPr>
        <w:fldChar w:fldCharType="separate"/>
      </w:r>
      <w:r w:rsidRPr="00BC1FC7" w:rsidR="00BC1FC7">
        <w:rPr>
          <w:color w:val="000000"/>
          <w:u w:val="single"/>
        </w:rPr>
        <w:t>2.1</w:t>
      </w:r>
      <w:r>
        <w:rPr>
          <w:u w:val="single"/>
        </w:rPr>
        <w:fldChar w:fldCharType="end"/>
      </w:r>
      <w:r>
        <w:rPr>
          <w:szCs w:val="16"/>
        </w:rPr>
        <w:t>,</w:t>
      </w:r>
      <w:r>
        <w:t xml:space="preserve"> and the Company shall include such information in the Demand Notice. The underwriter</w:t>
      </w:r>
      <w:bookmarkStart w:id="121" w:name="DocXTextRef79"/>
      <w:r>
        <w:rPr>
          <w:szCs w:val="16"/>
        </w:rPr>
        <w:t>(s)</w:t>
      </w:r>
      <w:bookmarkEnd w:id="121"/>
      <w:r>
        <w:t xml:space="preserve"> will be selected by the [</w:t>
      </w:r>
      <w:r w:rsidR="00165B44">
        <w:t>[</w:t>
      </w:r>
      <w:r>
        <w:t>Company</w:t>
      </w:r>
      <w:r w:rsidR="00165B44">
        <w:t>]</w:t>
      </w:r>
      <w:r w:rsidR="00846DC1">
        <w:t xml:space="preserve"> </w:t>
      </w:r>
      <w:r w:rsidR="00165B44">
        <w:t>[</w:t>
      </w:r>
      <w:r w:rsidR="00846DC1">
        <w:t>Board of Directors</w:t>
      </w:r>
      <w:r w:rsidR="00165B44">
        <w:t>]</w:t>
      </w:r>
      <w:r>
        <w:t xml:space="preserve"> and shall be reasonably acceptable to a majority in interest of the Initiating Holders][</w:t>
      </w:r>
      <w:r>
        <w:rPr>
          <w:i/>
          <w:szCs w:val="16"/>
        </w:rPr>
        <w:t xml:space="preserve">Alternative: </w:t>
      </w:r>
      <w:r>
        <w:t xml:space="preserve">Initiating Holders, subject only to the reasonable approval of the </w:t>
      </w:r>
      <w:r w:rsidR="00165B44">
        <w:t>[</w:t>
      </w:r>
      <w:r>
        <w:t>Company</w:t>
      </w:r>
      <w:r w:rsidR="00165B44">
        <w:t>]</w:t>
      </w:r>
      <w:r w:rsidR="00846DC1">
        <w:t xml:space="preserve"> </w:t>
      </w:r>
      <w:r w:rsidR="00165B44">
        <w:t>[</w:t>
      </w:r>
      <w:r w:rsidR="00846DC1">
        <w:t>Board of Directors</w:t>
      </w:r>
      <w:r>
        <w:t xml:space="preserve">]. In such event, the right of any Holder to include such Holder's Registrable Securities in such </w:t>
      </w:r>
      <w:r w:rsidR="00D82735">
        <w:t>registration</w:t>
      </w:r>
      <w:r>
        <w:t xml:space="preserve"> shall be conditioned upon such Holder's participation in such underwriting and the inclusion of such Holder's Registrable Securities in the underwriting to the extent provided herein. All Holders proposing to distribute their securities through such underwriting shall (together with the Company as provided in </w:t>
      </w:r>
      <w:r w:rsidR="00421E9D">
        <w:rPr>
          <w:u w:val="single"/>
        </w:rPr>
        <w:t>S</w:t>
      </w:r>
      <w:r>
        <w:rPr>
          <w:u w:val="single"/>
        </w:rPr>
        <w:t xml:space="preserve">ection </w:t>
      </w:r>
      <w:r>
        <w:rPr>
          <w:u w:val="single"/>
        </w:rPr>
        <w:fldChar w:fldCharType="begin"/>
      </w:r>
      <w:r>
        <w:rPr>
          <w:u w:val="single"/>
        </w:rPr>
        <w:instrText xml:space="preserve">  REF _Ref448380564 \w \h \* MERGEFORMAT </w:instrText>
      </w:r>
      <w:r>
        <w:rPr>
          <w:u w:val="single"/>
        </w:rPr>
        <w:fldChar w:fldCharType="separate"/>
      </w:r>
      <w:r w:rsidRPr="00BC1FC7" w:rsidR="00BC1FC7">
        <w:rPr>
          <w:color w:val="000000"/>
          <w:u w:val="single"/>
        </w:rPr>
        <w:t>2.4(e)</w:t>
      </w:r>
      <w:r>
        <w:rPr>
          <w:u w:val="single"/>
        </w:rPr>
        <w:fldChar w:fldCharType="end"/>
      </w:r>
      <w:r>
        <w:t>) enter into an underwriting agreement in customary form with the underwriter</w:t>
      </w:r>
      <w:bookmarkStart w:id="122" w:name="DocXTextRef80"/>
      <w:r>
        <w:t>(s)</w:t>
      </w:r>
      <w:bookmarkEnd w:id="122"/>
      <w:r>
        <w:t xml:space="preserve"> selected for such underwriting</w:t>
      </w:r>
      <w:bookmarkStart w:id="123" w:name="_cp_text_1_65"/>
      <w:r w:rsidRPr="00CF55D2" w:rsidR="002C530F">
        <w:rPr>
          <w:szCs w:val="24"/>
        </w:rPr>
        <w:t xml:space="preserve">[; </w:t>
      </w:r>
      <w:r w:rsidRPr="0043440B" w:rsidR="002C530F">
        <w:rPr>
          <w:szCs w:val="24"/>
          <w:u w:val="single"/>
        </w:rPr>
        <w:t>provided</w:t>
      </w:r>
      <w:r w:rsidRPr="00CF55D2" w:rsidR="002C530F">
        <w:rPr>
          <w:szCs w:val="24"/>
        </w:rPr>
        <w:t xml:space="preserve">, </w:t>
      </w:r>
      <w:r w:rsidRPr="0043440B" w:rsidR="002C530F">
        <w:rPr>
          <w:szCs w:val="24"/>
          <w:u w:val="single"/>
        </w:rPr>
        <w:t>however</w:t>
      </w:r>
      <w:r w:rsidRPr="00CF55D2" w:rsidR="002C530F">
        <w:rPr>
          <w:szCs w:val="24"/>
        </w:rPr>
        <w:t>, that no Holder (or any of their assignees) shall be required to make any representations, warranties or indemnities except as they relate to such Holder</w:t>
      </w:r>
      <w:r w:rsidR="002C530F">
        <w:rPr>
          <w:szCs w:val="24"/>
        </w:rPr>
        <w:t>’</w:t>
      </w:r>
      <w:r w:rsidRPr="00CF55D2" w:rsidR="002C530F">
        <w:rPr>
          <w:szCs w:val="24"/>
        </w:rPr>
        <w:t>s ownership of shares and authority to enter into the underwriting agreement and to such Holder</w:t>
      </w:r>
      <w:r w:rsidR="002C530F">
        <w:rPr>
          <w:szCs w:val="24"/>
        </w:rPr>
        <w:t>’</w:t>
      </w:r>
      <w:r w:rsidRPr="00CF55D2" w:rsidR="002C530F">
        <w:rPr>
          <w:szCs w:val="24"/>
        </w:rPr>
        <w:t>s intended method of distribution</w:t>
      </w:r>
      <w:bookmarkStart w:id="124" w:name="_cp_text_4_66"/>
      <w:bookmarkEnd w:id="123"/>
      <w:r w:rsidRPr="00CF55D2" w:rsidR="002C530F">
        <w:rPr>
          <w:szCs w:val="24"/>
        </w:rPr>
        <w:t xml:space="preserve">, and the </w:t>
      </w:r>
      <w:bookmarkStart w:id="125" w:name="_cp_text_1_67"/>
      <w:bookmarkEnd w:id="124"/>
      <w:r w:rsidRPr="00CF55D2" w:rsidR="002C530F">
        <w:rPr>
          <w:szCs w:val="24"/>
        </w:rPr>
        <w:t>liability of such Holder shall be several and not joint, and limited to an amount equal to the net proceeds from the offering received by such Holder]</w:t>
      </w:r>
      <w:bookmarkEnd w:id="125"/>
      <w:r>
        <w:t xml:space="preserve">. Notwithstanding any other provision of this </w:t>
      </w:r>
      <w:r w:rsidR="00421E9D">
        <w:rPr>
          <w:u w:val="single"/>
        </w:rPr>
        <w:t>S</w:t>
      </w:r>
      <w:r>
        <w:rPr>
          <w:u w:val="single"/>
        </w:rPr>
        <w:t xml:space="preserve">ection </w:t>
      </w:r>
      <w:r>
        <w:rPr>
          <w:u w:val="single"/>
        </w:rPr>
        <w:fldChar w:fldCharType="begin"/>
      </w:r>
      <w:r>
        <w:rPr>
          <w:u w:val="single"/>
        </w:rPr>
        <w:instrText xml:space="preserve">  REF _Ref448380555 \w \h \* MERGEFORMAT </w:instrText>
      </w:r>
      <w:r>
        <w:rPr>
          <w:u w:val="single"/>
        </w:rPr>
        <w:fldChar w:fldCharType="separate"/>
      </w:r>
      <w:r w:rsidRPr="00BC1FC7" w:rsidR="00BC1FC7">
        <w:rPr>
          <w:color w:val="000000"/>
          <w:u w:val="single"/>
        </w:rPr>
        <w:t>2.3</w:t>
      </w:r>
      <w:r>
        <w:rPr>
          <w:u w:val="single"/>
        </w:rPr>
        <w:fldChar w:fldCharType="end"/>
      </w:r>
      <w:r>
        <w:rPr>
          <w:szCs w:val="16"/>
        </w:rPr>
        <w:t>,</w:t>
      </w:r>
      <w:r>
        <w:t xml:space="preserve"> if the [managing] underwriter</w:t>
      </w:r>
      <w:bookmarkStart w:id="126" w:name="DocXTextRef81"/>
      <w:r>
        <w:t>(s)</w:t>
      </w:r>
      <w:bookmarkEnd w:id="126"/>
      <w:r>
        <w:t xml:space="preserve"> advise</w:t>
      </w:r>
      <w:bookmarkStart w:id="127" w:name="DocXTextRef82"/>
      <w:r>
        <w:t>(s)</w:t>
      </w:r>
      <w:bookmarkEnd w:id="127"/>
      <w:r>
        <w:t xml:space="preserve"> the Initiating Holders in writing that marketing factors require a limitation on the number of shares to be underwritten, then the Initiating Holders shall so advise all Holders of Registrable Securities that otherwise would be underwritten pursuant hereto, and the number of Registrable Securities that may be included in the underwriting shall be allocated among </w:t>
      </w:r>
      <w:r>
        <w:rPr>
          <w:szCs w:val="16"/>
        </w:rPr>
        <w:t>such</w:t>
      </w:r>
      <w:r>
        <w:t xml:space="preserve"> Holders of Registrable Securities, including the Initiating Holders, in proportion (as nearly as practicable) to the number of Registrable Securities owned by each Holder</w:t>
      </w:r>
      <w:r>
        <w:rPr>
          <w:szCs w:val="16"/>
        </w:rPr>
        <w:t xml:space="preserve"> or in such other proportion as shall mutually be agreed to by all such selling Holders</w:t>
      </w:r>
      <w:r>
        <w:t xml:space="preserve">; </w:t>
      </w:r>
      <w:r>
        <w:rPr>
          <w:u w:val="single"/>
        </w:rPr>
        <w:t>provided</w:t>
      </w:r>
      <w:r>
        <w:t xml:space="preserve">, </w:t>
      </w:r>
      <w:r>
        <w:rPr>
          <w:u w:val="single"/>
        </w:rPr>
        <w:t>however</w:t>
      </w:r>
      <w:r>
        <w:t xml:space="preserve">, that the number of Registrable Securities held by the Holders to be included in such underwriting shall not be reduced unless all other securities are first entirely excluded from the underwriting. </w:t>
      </w:r>
      <w:r>
        <w:rPr>
          <w:szCs w:val="16"/>
        </w:rPr>
        <w:t>[</w:t>
      </w:r>
      <w:r>
        <w:t xml:space="preserve">To facilitate the allocation of shares in accordance with the above provisions, the Company or the underwriters may round the number of shares allocated to any Holder to the nearest one hundred </w:t>
      </w:r>
      <w:bookmarkStart w:id="128" w:name="DocXTextRef83"/>
      <w:r>
        <w:t>(100)</w:t>
      </w:r>
      <w:bookmarkEnd w:id="128"/>
      <w:r>
        <w:t xml:space="preserve"> shares.</w:t>
      </w:r>
      <w:r>
        <w:rPr>
          <w:szCs w:val="16"/>
        </w:rPr>
        <w:t>]</w:t>
      </w:r>
      <w:bookmarkEnd w:id="120"/>
    </w:p>
    <w:p w:rsidR="00037C7E">
      <w:pPr>
        <w:pStyle w:val="StandardL3"/>
      </w:pPr>
      <w:bookmarkStart w:id="129" w:name="_Ref448380557"/>
      <w:r>
        <w:t xml:space="preserve">In connection with any offering involving an underwriting of the Company's shares pursuant to </w:t>
      </w:r>
      <w:r w:rsidR="002C530F">
        <w:rPr>
          <w:u w:val="single"/>
        </w:rPr>
        <w:t>S</w:t>
      </w:r>
      <w:r>
        <w:rPr>
          <w:u w:val="single"/>
        </w:rPr>
        <w:t xml:space="preserve">ection </w:t>
      </w:r>
      <w:r>
        <w:rPr>
          <w:u w:val="single"/>
        </w:rPr>
        <w:fldChar w:fldCharType="begin"/>
      </w:r>
      <w:r>
        <w:rPr>
          <w:u w:val="single"/>
        </w:rPr>
        <w:instrText xml:space="preserve">  REF _Ref448380554 \w \h \* MERGEFORMAT </w:instrText>
      </w:r>
      <w:r>
        <w:rPr>
          <w:u w:val="single"/>
        </w:rPr>
        <w:fldChar w:fldCharType="separate"/>
      </w:r>
      <w:r w:rsidRPr="00BC1FC7" w:rsidR="00BC1FC7">
        <w:rPr>
          <w:color w:val="000000"/>
          <w:u w:val="single"/>
        </w:rPr>
        <w:t>2.2</w:t>
      </w:r>
      <w:r>
        <w:rPr>
          <w:u w:val="single"/>
        </w:rPr>
        <w:fldChar w:fldCharType="end"/>
      </w:r>
      <w:r>
        <w:t xml:space="preserve">, the Company shall not be required to include any of the Holders' Registrable Securities in such underwriting unless the Holders accept the terms of the underwriting as agreed upon between the Company and its underwriters, and then only in such quantity as the underwriters in their sole discretion determine will not jeopardize the success of the offering by the Company. If the total number of securities, including Registrable Securities, requested by shareholders to be included in such offering exceeds the number of securities to be sold (other than by the Company) that the underwriters in their reasonable discretion determine is compatible with the success of the offering, then the Company shall be required to include in the offering only that number of such securities, including Registrable Securities, which the underwriters and the Company in their sole discretion determine will not jeopardize the success of the offering. If the underwriters determine that less than all of the Registrable Securities requested to be registered can be included in such offering, then the Registrable Securities that are included in such offering shall be </w:t>
      </w:r>
      <w:r>
        <w:rPr>
          <w:szCs w:val="16"/>
        </w:rPr>
        <w:t>allocated</w:t>
      </w:r>
      <w:r>
        <w:t xml:space="preserve"> among the selling Holders </w:t>
      </w:r>
      <w:r>
        <w:rPr>
          <w:szCs w:val="16"/>
        </w:rPr>
        <w:t>in proportion (as nearly as practicable to)</w:t>
      </w:r>
      <w:r>
        <w:t xml:space="preserve"> the number of Registrable Securities </w:t>
      </w:r>
      <w:r>
        <w:rPr>
          <w:szCs w:val="16"/>
        </w:rPr>
        <w:t>owned</w:t>
      </w:r>
      <w:r>
        <w:t xml:space="preserve"> by </w:t>
      </w:r>
      <w:r>
        <w:rPr>
          <w:szCs w:val="16"/>
        </w:rPr>
        <w:t>each</w:t>
      </w:r>
      <w:r>
        <w:t xml:space="preserve"> selling </w:t>
      </w:r>
      <w:r>
        <w:rPr>
          <w:szCs w:val="16"/>
        </w:rPr>
        <w:t>Holder</w:t>
      </w:r>
      <w:r>
        <w:t xml:space="preserve"> or in such other proportions as shall mutually be agreed to by all such selling Holders. </w:t>
      </w:r>
      <w:r>
        <w:rPr>
          <w:szCs w:val="16"/>
        </w:rPr>
        <w:t xml:space="preserve">[To facilitate the allocation of shares in accordance with the above provisions, the Company or the underwriters may round the number of shares allocated to any Holder to the nearest one hundred </w:t>
      </w:r>
      <w:bookmarkStart w:id="130" w:name="DocXTextRef86"/>
      <w:r>
        <w:rPr>
          <w:szCs w:val="16"/>
        </w:rPr>
        <w:t>(100)</w:t>
      </w:r>
      <w:bookmarkEnd w:id="130"/>
      <w:r>
        <w:rPr>
          <w:szCs w:val="16"/>
        </w:rPr>
        <w:t xml:space="preserve"> shares.] </w:t>
      </w:r>
      <w:r>
        <w:t xml:space="preserve">Notwithstanding the foregoing, in no event shall </w:t>
      </w:r>
      <w:bookmarkStart w:id="131" w:name="DocXTextRef87"/>
      <w:r>
        <w:t>(i)</w:t>
      </w:r>
      <w:bookmarkEnd w:id="131"/>
      <w:r>
        <w:rPr>
          <w:szCs w:val="16"/>
        </w:rPr>
        <w:t xml:space="preserve"> the number of Registrable Securities included in the offering be reduced unless all other securities (other than securities to be sold by the Company) are first entirely excluded from the offering, [or</w:t>
      </w:r>
      <w:r>
        <w:t>]</w:t>
      </w:r>
      <w:r>
        <w:rPr>
          <w:szCs w:val="16"/>
        </w:rPr>
        <w:t xml:space="preserve"> </w:t>
      </w:r>
      <w:bookmarkStart w:id="132" w:name="DocXTextRef88"/>
      <w:r>
        <w:rPr>
          <w:szCs w:val="16"/>
        </w:rPr>
        <w:t>(ii)</w:t>
      </w:r>
      <w:bookmarkEnd w:id="132"/>
      <w:r>
        <w:t xml:space="preserve"> the number of Registrable Securities included in the offering be reduced below [twenty-thirty] percent ([20-30]%) of the total number of securities included in such offering, unless such offering is the IPO, in which case the selling Holders may be excluded further if the underwriters make the determination described above and no other shareholder's securities are included in such offering [or </w:t>
      </w:r>
      <w:bookmarkStart w:id="133" w:name="DocXTextRef89"/>
      <w:r>
        <w:t>(</w:t>
      </w:r>
      <w:r>
        <w:rPr>
          <w:szCs w:val="16"/>
        </w:rPr>
        <w:t>iii</w:t>
      </w:r>
      <w:r>
        <w:t>)</w:t>
      </w:r>
      <w:bookmarkEnd w:id="133"/>
      <w:r>
        <w:t xml:space="preserve"> notwithstanding </w:t>
      </w:r>
      <w:bookmarkStart w:id="134" w:name="DocXTextRef90"/>
      <w:r>
        <w:t>(</w:t>
      </w:r>
      <w:r>
        <w:rPr>
          <w:szCs w:val="16"/>
        </w:rPr>
        <w:t>ii</w:t>
      </w:r>
      <w:r>
        <w:t>)</w:t>
      </w:r>
      <w:bookmarkEnd w:id="134"/>
      <w:r>
        <w:t xml:space="preserve"> above, any Registrable Securities </w:t>
      </w:r>
      <w:r>
        <w:rPr>
          <w:szCs w:val="16"/>
        </w:rPr>
        <w:t>which are not Key Holder Registrable Securities</w:t>
      </w:r>
      <w:r>
        <w:t xml:space="preserve"> be excluded from such underwriting unless all </w:t>
      </w:r>
      <w:r>
        <w:rPr>
          <w:szCs w:val="16"/>
        </w:rPr>
        <w:t xml:space="preserve">Key Holder </w:t>
      </w:r>
      <w:r>
        <w:t>Registrable Securities are first excluded from such offering.]</w:t>
      </w:r>
      <w:bookmarkStart w:id="135" w:name="_Ref448380690"/>
      <w:r>
        <w:rPr>
          <w:rStyle w:val="FootnoteReference"/>
        </w:rPr>
        <w:footnoteReference w:id="22"/>
      </w:r>
      <w:bookmarkEnd w:id="135"/>
      <w:r>
        <w:t xml:space="preserve"> For purposes of the provision in this </w:t>
      </w:r>
      <w:r w:rsidR="002C530F">
        <w:rPr>
          <w:u w:val="single"/>
        </w:rPr>
        <w:t>S</w:t>
      </w:r>
      <w:r>
        <w:rPr>
          <w:u w:val="single"/>
        </w:rPr>
        <w:t xml:space="preserve">ection </w:t>
      </w:r>
      <w:r>
        <w:rPr>
          <w:u w:val="single"/>
        </w:rPr>
        <w:fldChar w:fldCharType="begin"/>
      </w:r>
      <w:r>
        <w:rPr>
          <w:u w:val="single"/>
        </w:rPr>
        <w:instrText xml:space="preserve">  REF _Ref448380557 \w \h \* MERGEFORMAT </w:instrText>
      </w:r>
      <w:r>
        <w:rPr>
          <w:u w:val="single"/>
        </w:rPr>
        <w:fldChar w:fldCharType="separate"/>
      </w:r>
      <w:r w:rsidRPr="00BC1FC7" w:rsidR="00BC1FC7">
        <w:rPr>
          <w:color w:val="000000"/>
          <w:u w:val="single"/>
        </w:rPr>
        <w:t>2.3(b)</w:t>
      </w:r>
      <w:r>
        <w:rPr>
          <w:u w:val="single"/>
        </w:rPr>
        <w:fldChar w:fldCharType="end"/>
      </w:r>
      <w:r>
        <w:t xml:space="preserve"> concerning apportionment, for any selling </w:t>
      </w:r>
      <w:r>
        <w:rPr>
          <w:szCs w:val="16"/>
        </w:rPr>
        <w:t>Holder</w:t>
      </w:r>
      <w:r>
        <w:t xml:space="preserve"> that is a partnership, limited liability company, or corporation, the partners, members, retired partners, retired members, shareholders, and Affiliates of such Holder, or the estates and Immediate Family Members of any such partners, retired partners, members, and retired members and any trusts for the benefit of any of the foregoing Persons, shall be deemed to be a single "selling Holder," and any pro rata reduction with respect to such "selling Holder" shall be based upon the aggregate number of Registrable Securities owned by all Persons included in such "selling Holder," as defined in this sentence.</w:t>
      </w:r>
      <w:bookmarkEnd w:id="129"/>
    </w:p>
    <w:p w:rsidR="00037C7E">
      <w:pPr>
        <w:pStyle w:val="StandardL3"/>
      </w:pPr>
      <w:bookmarkStart w:id="136" w:name="_Ref448380558"/>
      <w:r>
        <w:t xml:space="preserve">For purposes of </w:t>
      </w:r>
      <w:r w:rsidR="002C530F">
        <w:rPr>
          <w:u w:val="single"/>
        </w:rPr>
        <w:t>S</w:t>
      </w:r>
      <w:r>
        <w:rPr>
          <w:u w:val="single"/>
        </w:rPr>
        <w:t xml:space="preserve">ection </w:t>
      </w:r>
      <w:r>
        <w:rPr>
          <w:u w:val="single"/>
        </w:rPr>
        <w:fldChar w:fldCharType="begin"/>
      </w:r>
      <w:r>
        <w:rPr>
          <w:u w:val="single"/>
        </w:rPr>
        <w:instrText xml:space="preserve">  REF _Ref448380548 \w \h \* MERGEFORMAT </w:instrText>
      </w:r>
      <w:r>
        <w:rPr>
          <w:u w:val="single"/>
        </w:rPr>
        <w:fldChar w:fldCharType="separate"/>
      </w:r>
      <w:r w:rsidRPr="00BC1FC7" w:rsidR="00BC1FC7">
        <w:rPr>
          <w:color w:val="000000"/>
          <w:u w:val="single"/>
        </w:rPr>
        <w:t>2.1</w:t>
      </w:r>
      <w:r>
        <w:rPr>
          <w:u w:val="single"/>
        </w:rPr>
        <w:fldChar w:fldCharType="end"/>
      </w:r>
      <w:r>
        <w:rPr>
          <w:szCs w:val="16"/>
        </w:rPr>
        <w:t>,</w:t>
      </w:r>
      <w:r>
        <w:t xml:space="preserve"> a </w:t>
      </w:r>
      <w:r w:rsidR="00D82735">
        <w:t>registration</w:t>
      </w:r>
      <w:r>
        <w:t xml:space="preserve"> shall not be counted as "effected" if, as a result of an exercise of the underwriter's cutback provisions in </w:t>
      </w:r>
      <w:r w:rsidR="002C530F">
        <w:rPr>
          <w:u w:val="single"/>
        </w:rPr>
        <w:t>S</w:t>
      </w:r>
      <w:r>
        <w:rPr>
          <w:u w:val="single"/>
        </w:rPr>
        <w:t xml:space="preserve">ection </w:t>
      </w:r>
      <w:r>
        <w:rPr>
          <w:u w:val="single"/>
        </w:rPr>
        <w:fldChar w:fldCharType="begin"/>
      </w:r>
      <w:r>
        <w:rPr>
          <w:u w:val="single"/>
        </w:rPr>
        <w:instrText xml:space="preserve">  REF _Ref448380556 \w \h \* MERGEFORMAT </w:instrText>
      </w:r>
      <w:r>
        <w:rPr>
          <w:u w:val="single"/>
        </w:rPr>
        <w:fldChar w:fldCharType="separate"/>
      </w:r>
      <w:r w:rsidRPr="00BC1FC7" w:rsidR="00BC1FC7">
        <w:rPr>
          <w:color w:val="000000"/>
          <w:u w:val="single"/>
        </w:rPr>
        <w:t>2.3(a)</w:t>
      </w:r>
      <w:r>
        <w:rPr>
          <w:u w:val="single"/>
        </w:rPr>
        <w:fldChar w:fldCharType="end"/>
      </w:r>
      <w:r>
        <w:t xml:space="preserve">, fewer than [fifty percent (50%)] of the total number of Registrable Securities that Holders have requested to be included in such </w:t>
      </w:r>
      <w:r w:rsidR="00D82735">
        <w:t>registration statement</w:t>
      </w:r>
      <w:r>
        <w:t xml:space="preserve"> are actually included.</w:t>
      </w:r>
      <w:bookmarkEnd w:id="136"/>
    </w:p>
    <w:p w:rsidR="00037C7E">
      <w:pPr>
        <w:pStyle w:val="StandardL2"/>
      </w:pPr>
      <w:bookmarkStart w:id="137" w:name="_Ref448380559"/>
      <w:bookmarkStart w:id="138" w:name="_Toc56499766"/>
      <w:r>
        <w:t>Obligations of the Company</w:t>
      </w:r>
      <w:r>
        <w:rPr>
          <w:snapToGrid w:val="0"/>
        </w:rPr>
        <w:t>.</w:t>
      </w:r>
      <w:bookmarkEnd w:id="137"/>
      <w:bookmarkEnd w:id="138"/>
    </w:p>
    <w:p w:rsidR="00037C7E">
      <w:pPr>
        <w:pStyle w:val="StandardCont2"/>
      </w:pPr>
      <w:r>
        <w:rPr>
          <w:snapToGrid w:val="0"/>
        </w:rPr>
        <w:t xml:space="preserve">Whenever required under this </w:t>
      </w:r>
      <w:r>
        <w:rPr>
          <w:snapToGrid w:val="0"/>
          <w:u w:val="single"/>
        </w:rPr>
        <w:t xml:space="preserve">Section </w:t>
      </w:r>
      <w:bookmarkStart w:id="139" w:name="DocXTextRef93"/>
      <w:r>
        <w:rPr>
          <w:snapToGrid w:val="0"/>
          <w:u w:val="single"/>
        </w:rPr>
        <w:fldChar w:fldCharType="begin"/>
      </w:r>
      <w:r>
        <w:rPr>
          <w:snapToGrid w:val="0"/>
          <w:u w:val="single"/>
        </w:rPr>
        <w:instrText xml:space="preserve"> REF _Ref448381407 \w \h </w:instrText>
      </w:r>
      <w:r>
        <w:rPr>
          <w:snapToGrid w:val="0"/>
          <w:u w:val="single"/>
        </w:rPr>
        <w:fldChar w:fldCharType="separate"/>
      </w:r>
      <w:r w:rsidR="00BC1FC7">
        <w:rPr>
          <w:snapToGrid w:val="0"/>
          <w:u w:val="single"/>
        </w:rPr>
        <w:t>2</w:t>
      </w:r>
      <w:r>
        <w:rPr>
          <w:snapToGrid w:val="0"/>
          <w:u w:val="single"/>
        </w:rPr>
        <w:fldChar w:fldCharType="end"/>
      </w:r>
      <w:bookmarkEnd w:id="139"/>
      <w:r>
        <w:rPr>
          <w:snapToGrid w:val="0"/>
        </w:rPr>
        <w:t xml:space="preserve"> to effect the </w:t>
      </w:r>
      <w:r w:rsidR="00D82735">
        <w:rPr>
          <w:snapToGrid w:val="0"/>
        </w:rPr>
        <w:t>registration</w:t>
      </w:r>
      <w:r>
        <w:rPr>
          <w:snapToGrid w:val="0"/>
        </w:rPr>
        <w:t xml:space="preserve"> of any Registrable Securities, the Company shall, as expeditiously as reasonably possible:</w:t>
      </w:r>
      <w:bookmarkStart w:id="140" w:name="_Ref448380691"/>
      <w:r>
        <w:rPr>
          <w:rStyle w:val="FootnoteReference"/>
          <w:snapToGrid w:val="0"/>
        </w:rPr>
        <w:footnoteReference w:id="23"/>
      </w:r>
      <w:bookmarkEnd w:id="140"/>
    </w:p>
    <w:p w:rsidR="00037C7E">
      <w:pPr>
        <w:pStyle w:val="StandardL3"/>
      </w:pPr>
      <w:bookmarkStart w:id="141" w:name="_Ref448380560"/>
      <w:r>
        <w:t xml:space="preserve">prepare and file with the SEC and/or Canadian securities regulators, as applicable, a </w:t>
      </w:r>
      <w:r w:rsidR="00D82735">
        <w:t>registration statement</w:t>
      </w:r>
      <w:r>
        <w:t xml:space="preserve"> with respect to such Registrable Securities and use its commercially reasonable efforts</w:t>
      </w:r>
      <w:bookmarkStart w:id="142" w:name="_Ref448380692"/>
      <w:r>
        <w:rPr>
          <w:rStyle w:val="FootnoteReference"/>
        </w:rPr>
        <w:footnoteReference w:id="24"/>
      </w:r>
      <w:bookmarkEnd w:id="142"/>
      <w:r>
        <w:t xml:space="preserve"> to cause such </w:t>
      </w:r>
      <w:r w:rsidR="00D82735">
        <w:t>registration statement</w:t>
      </w:r>
      <w:r>
        <w:t xml:space="preserve"> to become effective and, upon the request of the Holders of a majority of the Registrable Securities registered thereunder, keep such </w:t>
      </w:r>
      <w:r w:rsidR="00D82735">
        <w:t>registration statement</w:t>
      </w:r>
      <w:r>
        <w:t xml:space="preserve"> effective for a period of up to one hundred twenty (120) days or, if earlier, until the distribution contemplated in the </w:t>
      </w:r>
      <w:r w:rsidR="00D82735">
        <w:t>registration statement</w:t>
      </w:r>
      <w:r>
        <w:t xml:space="preserve"> has been completed; </w:t>
      </w:r>
      <w:r>
        <w:rPr>
          <w:u w:val="single"/>
        </w:rPr>
        <w:t>provided</w:t>
      </w:r>
      <w:r>
        <w:t xml:space="preserve">, </w:t>
      </w:r>
      <w:r>
        <w:rPr>
          <w:u w:val="single"/>
        </w:rPr>
        <w:t>however</w:t>
      </w:r>
      <w:r>
        <w:t xml:space="preserve">, that </w:t>
      </w:r>
      <w:bookmarkStart w:id="143" w:name="DocXTextRef94"/>
      <w:r>
        <w:t>(i)</w:t>
      </w:r>
      <w:bookmarkEnd w:id="143"/>
      <w:r>
        <w:t xml:space="preserve"> such one hundred twenty (120) day period shall be extended for a period of time equal to the period the Holder refrains, at the request of an underwriter of Common Shares (or other securities) of the Company, from selling any securities included in such </w:t>
      </w:r>
      <w:r w:rsidR="00D82735">
        <w:t>registration</w:t>
      </w:r>
      <w:r>
        <w:t xml:space="preserve">[, and </w:t>
      </w:r>
      <w:bookmarkStart w:id="144" w:name="DocXTextRef95"/>
      <w:r>
        <w:t>(ii)</w:t>
      </w:r>
      <w:bookmarkEnd w:id="144"/>
      <w:r>
        <w:t xml:space="preserve"> in the case of any </w:t>
      </w:r>
      <w:r w:rsidR="00D82735">
        <w:t>registration</w:t>
      </w:r>
      <w:r>
        <w:t xml:space="preserve"> of Registrable Securities on Form S-3 or Form F-3 or a Canadian short-form prospectus that are intended to be offered on a continuous or delayed basis, subject to compliance with applicable SEC rules and Canadian Securities Laws, such one hundred twenty (120) day period shall be extended for up to [_______] days, if necessary, to keep the </w:t>
      </w:r>
      <w:r w:rsidR="00D82735">
        <w:t>registration statement</w:t>
      </w:r>
      <w:r>
        <w:t xml:space="preserve"> effective until all such Registrable Securities are sold];</w:t>
      </w:r>
      <w:bookmarkEnd w:id="141"/>
    </w:p>
    <w:p w:rsidR="00037C7E">
      <w:pPr>
        <w:pStyle w:val="StandardL3"/>
      </w:pPr>
      <w:bookmarkStart w:id="145" w:name="_Ref448380561"/>
      <w:r>
        <w:t xml:space="preserve">prepare and file with the SEC and Canadian securities regulators, as applicable, such amendments and supplements to such </w:t>
      </w:r>
      <w:r w:rsidR="00D82735">
        <w:t>registration statement</w:t>
      </w:r>
      <w:r>
        <w:t xml:space="preserve">, and the prospectus used in connection with such </w:t>
      </w:r>
      <w:r w:rsidR="00D82735">
        <w:t>registration statement</w:t>
      </w:r>
      <w:r>
        <w:t xml:space="preserve">, as may be necessary to comply with the Securities Act and Canadian Securities Laws in order to enable the disposition of all securities covered by such </w:t>
      </w:r>
      <w:r w:rsidR="00D82735">
        <w:t>registration statement</w:t>
      </w:r>
      <w:r>
        <w:t>;</w:t>
      </w:r>
      <w:bookmarkEnd w:id="145"/>
    </w:p>
    <w:p w:rsidR="00037C7E">
      <w:pPr>
        <w:pStyle w:val="StandardL3"/>
      </w:pPr>
      <w:bookmarkStart w:id="146" w:name="_Ref448380562"/>
      <w:r>
        <w:t>furnish to the selling Holders such numbers of copies of a prospectus, including a preliminary prospectus, as required by the Securities Act and Canadian Securities Laws, and such other documents as the Holders may reasonably request in order to facilitate their disposition of their Registrable Securities;</w:t>
      </w:r>
      <w:bookmarkEnd w:id="146"/>
    </w:p>
    <w:p w:rsidR="00037C7E">
      <w:pPr>
        <w:pStyle w:val="StandardL3"/>
      </w:pPr>
      <w:bookmarkStart w:id="147" w:name="_Ref448380563"/>
      <w:r>
        <w:t xml:space="preserve">use its commercially reasonable efforts to register and qualify the securities covered by such </w:t>
      </w:r>
      <w:r w:rsidR="00D82735">
        <w:t>registration statement</w:t>
      </w:r>
      <w:r>
        <w:t xml:space="preserve"> under such other securities or blue-sky laws of such jurisdictions as shall be reasonably requested by the selling Holders; </w:t>
      </w:r>
      <w:r>
        <w:rPr>
          <w:u w:val="single"/>
        </w:rPr>
        <w:t>provided</w:t>
      </w:r>
      <w:r>
        <w:t xml:space="preserve"> that the Company shall not be required to qualify to do business or to file a general consent to service of process in any such states or jurisdictions,</w:t>
      </w:r>
      <w:bookmarkStart w:id="148" w:name="_Ref448380693"/>
      <w:r>
        <w:rPr>
          <w:rStyle w:val="FootnoteReference"/>
        </w:rPr>
        <w:footnoteReference w:id="25"/>
      </w:r>
      <w:bookmarkEnd w:id="148"/>
      <w:r>
        <w:t xml:space="preserve"> unless the Company is already subject to service in such jurisdiction and except as may be required by the Securities Act or Canadian Securities Laws;</w:t>
      </w:r>
      <w:bookmarkEnd w:id="147"/>
    </w:p>
    <w:p w:rsidR="00037C7E">
      <w:pPr>
        <w:pStyle w:val="StandardL3"/>
      </w:pPr>
      <w:bookmarkStart w:id="149" w:name="_Ref448380564"/>
      <w:r>
        <w:t>in the event of any underwritten public offering, enter into and perform its obligations under an underwriting agreement, in usual and customary form, with the underwriter</w:t>
      </w:r>
      <w:bookmarkStart w:id="150" w:name="DocXTextRef96"/>
      <w:r>
        <w:rPr>
          <w:szCs w:val="16"/>
        </w:rPr>
        <w:t>(s)</w:t>
      </w:r>
      <w:bookmarkEnd w:id="150"/>
      <w:r>
        <w:t xml:space="preserve"> of such offering;</w:t>
      </w:r>
      <w:bookmarkEnd w:id="149"/>
    </w:p>
    <w:p w:rsidR="00037C7E">
      <w:pPr>
        <w:pStyle w:val="StandardL3"/>
      </w:pPr>
      <w:bookmarkStart w:id="151" w:name="_Ref448380565"/>
      <w:r>
        <w:t xml:space="preserve">use its commercially reasonable efforts to cause all such Registrable Securities covered by such </w:t>
      </w:r>
      <w:r w:rsidR="00D82735">
        <w:t>registration statement</w:t>
      </w:r>
      <w:r>
        <w:t xml:space="preserve"> to be listed on a national Canadian or US (as determined by the Company) securities exchange or trading system and each securities exchange and trading system (if any) on which similar securities issued by the Company are then listed;</w:t>
      </w:r>
      <w:bookmarkEnd w:id="151"/>
    </w:p>
    <w:p w:rsidR="00037C7E">
      <w:pPr>
        <w:pStyle w:val="StandardL3"/>
      </w:pPr>
      <w:bookmarkStart w:id="152" w:name="_Ref448380566"/>
      <w:r>
        <w:t xml:space="preserve">provide a transfer agent and registrar for all Registrable Securities registered pursuant to this Agreement and provide a CUSIP number for all such Registrable Securities, in each case not later than the effective date of such </w:t>
      </w:r>
      <w:r w:rsidR="00D82735">
        <w:t>registration</w:t>
      </w:r>
      <w:r>
        <w:t>;</w:t>
      </w:r>
      <w:bookmarkEnd w:id="152"/>
    </w:p>
    <w:p w:rsidR="00037C7E">
      <w:pPr>
        <w:pStyle w:val="StandardL3"/>
      </w:pPr>
      <w:bookmarkStart w:id="153" w:name="_Ref448380567"/>
      <w:r>
        <w:t>promptly make available for inspection by the selling Holders, any [managing] underwriter</w:t>
      </w:r>
      <w:bookmarkStart w:id="154" w:name="DocXTextRef97"/>
      <w:r>
        <w:rPr>
          <w:szCs w:val="16"/>
        </w:rPr>
        <w:t>(s)</w:t>
      </w:r>
      <w:bookmarkEnd w:id="154"/>
      <w:r>
        <w:t xml:space="preserve"> participating in any disposition pursuant to such </w:t>
      </w:r>
      <w:r w:rsidR="00D82735">
        <w:t>registration statement</w:t>
      </w:r>
      <w:r>
        <w:t>, and any attorney or accountant or other agent retained by any such underwriter or selected by the selling Holders, all financial and other records, pertinent corporate documents, and properties of the Company, and cause the Company's officers, directors, employees, and independent accountants to supply all information reasonably requested by any such seller, underwriter, attorney, accountant, or agent</w:t>
      </w:r>
      <w:r>
        <w:rPr>
          <w:szCs w:val="16"/>
        </w:rPr>
        <w:t xml:space="preserve">, in each case, as necessary or advisable to verify the accuracy of the information in such </w:t>
      </w:r>
      <w:r w:rsidR="00D82735">
        <w:rPr>
          <w:szCs w:val="16"/>
        </w:rPr>
        <w:t>registration statement</w:t>
      </w:r>
      <w:r>
        <w:rPr>
          <w:szCs w:val="16"/>
        </w:rPr>
        <w:t xml:space="preserve"> and to conduct appropriate due diligence</w:t>
      </w:r>
      <w:r>
        <w:t xml:space="preserve"> in connection </w:t>
      </w:r>
      <w:r>
        <w:rPr>
          <w:szCs w:val="16"/>
        </w:rPr>
        <w:t>therewith</w:t>
      </w:r>
      <w:r>
        <w:t>;</w:t>
      </w:r>
      <w:bookmarkStart w:id="155" w:name="_Ref448380694"/>
      <w:r>
        <w:rPr>
          <w:rStyle w:val="FootnoteReference"/>
        </w:rPr>
        <w:footnoteReference w:id="26"/>
      </w:r>
      <w:bookmarkEnd w:id="153"/>
      <w:bookmarkEnd w:id="155"/>
    </w:p>
    <w:p w:rsidR="00037C7E">
      <w:pPr>
        <w:pStyle w:val="StandardL3"/>
      </w:pPr>
      <w:bookmarkStart w:id="156" w:name="_Ref448380568"/>
      <w:r>
        <w:t xml:space="preserve">notify each selling Holder, promptly after the Company receives notice thereof, of the time when such </w:t>
      </w:r>
      <w:r w:rsidR="00D82735">
        <w:t>registration statement</w:t>
      </w:r>
      <w:r>
        <w:t xml:space="preserve"> has been declared effective or a supplement to any prospectus forming a part of such </w:t>
      </w:r>
      <w:r w:rsidR="00D82735">
        <w:t>registration statement</w:t>
      </w:r>
      <w:r>
        <w:t xml:space="preserve"> has been filed; and</w:t>
      </w:r>
      <w:bookmarkEnd w:id="156"/>
    </w:p>
    <w:p w:rsidR="00037C7E">
      <w:pPr>
        <w:pStyle w:val="StandardL3"/>
      </w:pPr>
      <w:bookmarkStart w:id="157" w:name="_Ref448380569"/>
      <w:r>
        <w:t xml:space="preserve">after such </w:t>
      </w:r>
      <w:r w:rsidR="00D82735">
        <w:t>registration statement</w:t>
      </w:r>
      <w:r>
        <w:t xml:space="preserve"> becomes effective, notify each selling Holder of any request by the SEC or Canadian securities regulators that the Company amend or supplement such </w:t>
      </w:r>
      <w:r w:rsidR="00D82735">
        <w:t>registration statement</w:t>
      </w:r>
      <w:r>
        <w:t xml:space="preserve"> or prospectus.</w:t>
      </w:r>
      <w:bookmarkEnd w:id="157"/>
    </w:p>
    <w:p w:rsidR="00037C7E">
      <w:pPr>
        <w:pStyle w:val="StandardCont2"/>
      </w:pPr>
      <w:r>
        <w:t xml:space="preserve">In addition, the Company shall ensure that, at all times after any </w:t>
      </w:r>
      <w:r w:rsidR="00D82735">
        <w:t>registration statement</w:t>
      </w:r>
      <w:r>
        <w:t xml:space="preserve"> covering a public offering of securities of the Company under the Securities Act or Canadian Securities Laws shall have become effective, its insider trading policy shall provide that the Company's directors may implement a trading program under Rule 10b5-1 of the Exchange Act or similar provisions of Canadian Securities Laws.</w:t>
      </w:r>
    </w:p>
    <w:p w:rsidR="00037C7E">
      <w:pPr>
        <w:pStyle w:val="StandardL2"/>
      </w:pPr>
      <w:bookmarkStart w:id="158" w:name="_Ref448380570"/>
      <w:bookmarkStart w:id="159" w:name="_Toc56499767"/>
      <w:r>
        <w:t>Furnish Information</w:t>
      </w:r>
      <w:r>
        <w:rPr>
          <w:snapToGrid w:val="0"/>
        </w:rPr>
        <w:t>.</w:t>
      </w:r>
      <w:bookmarkEnd w:id="158"/>
      <w:bookmarkEnd w:id="159"/>
    </w:p>
    <w:p w:rsidR="00037C7E">
      <w:pPr>
        <w:pStyle w:val="StandardCont2"/>
      </w:pPr>
      <w:r>
        <w:rPr>
          <w:snapToGrid w:val="0"/>
        </w:rPr>
        <w:t xml:space="preserve">It shall be a condition precedent to the obligations of the Company to take any action pursuant to this Section </w:t>
      </w:r>
      <w:bookmarkStart w:id="160" w:name="DocXTextRef98"/>
      <w:r>
        <w:rPr>
          <w:snapToGrid w:val="0"/>
        </w:rPr>
        <w:t>2</w:t>
      </w:r>
      <w:bookmarkEnd w:id="160"/>
      <w:r>
        <w:rPr>
          <w:snapToGrid w:val="0"/>
        </w:rPr>
        <w:t xml:space="preserve"> with respect to the Registrable Securities of any selling Holder that such Holder shall furnish to the Company such information regarding itself, the Registrable Securities held by it, and the intended method of disposition of such securities as is reasonably required to effect the </w:t>
      </w:r>
      <w:r w:rsidR="00D82735">
        <w:rPr>
          <w:snapToGrid w:val="0"/>
        </w:rPr>
        <w:t>registration</w:t>
      </w:r>
      <w:r>
        <w:rPr>
          <w:snapToGrid w:val="0"/>
        </w:rPr>
        <w:t xml:space="preserve"> of such Holder's Registrable Securities.</w:t>
      </w:r>
    </w:p>
    <w:p w:rsidR="00037C7E">
      <w:pPr>
        <w:pStyle w:val="StandardL2"/>
      </w:pPr>
      <w:bookmarkStart w:id="161" w:name="_Ref448380571"/>
      <w:bookmarkStart w:id="162" w:name="_Toc56499768"/>
      <w:r>
        <w:t xml:space="preserve">Expenses of </w:t>
      </w:r>
      <w:r w:rsidR="009D66BB">
        <w:t>R</w:t>
      </w:r>
      <w:r w:rsidR="00D82735">
        <w:t>egistration</w:t>
      </w:r>
      <w:r>
        <w:rPr>
          <w:snapToGrid w:val="0"/>
        </w:rPr>
        <w:t>.</w:t>
      </w:r>
      <w:bookmarkEnd w:id="161"/>
      <w:bookmarkEnd w:id="162"/>
    </w:p>
    <w:p w:rsidR="00037C7E">
      <w:pPr>
        <w:pStyle w:val="StandardCont2"/>
      </w:pPr>
      <w:r>
        <w:rPr>
          <w:snapToGrid w:val="0"/>
        </w:rPr>
        <w:t xml:space="preserve">All expenses (other than Selling Expenses) incurred in connection with </w:t>
      </w:r>
      <w:r w:rsidR="00D82735">
        <w:rPr>
          <w:snapToGrid w:val="0"/>
        </w:rPr>
        <w:t>registration</w:t>
      </w:r>
      <w:r>
        <w:rPr>
          <w:snapToGrid w:val="0"/>
        </w:rPr>
        <w:t xml:space="preserve">s, filings, or qualifications pursuant to Section </w:t>
      </w:r>
      <w:bookmarkStart w:id="163" w:name="DocXTextRef102"/>
      <w:r>
        <w:rPr>
          <w:snapToGrid w:val="0"/>
        </w:rPr>
        <w:t>2</w:t>
      </w:r>
      <w:bookmarkEnd w:id="163"/>
      <w:r>
        <w:rPr>
          <w:snapToGrid w:val="0"/>
        </w:rPr>
        <w:t xml:space="preserve">, including all </w:t>
      </w:r>
      <w:r w:rsidR="00D82735">
        <w:rPr>
          <w:snapToGrid w:val="0"/>
        </w:rPr>
        <w:t>registration</w:t>
      </w:r>
      <w:r>
        <w:rPr>
          <w:snapToGrid w:val="0"/>
        </w:rPr>
        <w:t>, filing, and qualification fees; printers' and accounting fees; fees and disbursements of counsel for the Company; and the reasonable fees and disbursements[, not to exceed [CDN$ / US$]_____</w:t>
      </w:r>
      <w:r w:rsidR="002206EA">
        <w:rPr>
          <w:snapToGrid w:val="0"/>
        </w:rPr>
        <w:t xml:space="preserve"> [per registration]</w:t>
      </w:r>
      <w:r>
        <w:rPr>
          <w:snapToGrid w:val="0"/>
        </w:rPr>
        <w:t>,] of one counsel for the selling Holders</w:t>
      </w:r>
      <w:r w:rsidR="002206EA">
        <w:rPr>
          <w:snapToGrid w:val="0"/>
        </w:rPr>
        <w:t xml:space="preserve"> </w:t>
      </w:r>
      <w:r w:rsidRPr="00CF55D2" w:rsidR="002206EA">
        <w:rPr>
          <w:szCs w:val="24"/>
        </w:rPr>
        <w:t>[selected by Holders of a majority of the Registrable Securities to be registered]</w:t>
      </w:r>
      <w:r>
        <w:rPr>
          <w:b/>
          <w:snapToGrid w:val="0"/>
          <w:szCs w:val="16"/>
        </w:rPr>
        <w:t xml:space="preserve"> </w:t>
      </w:r>
      <w:r>
        <w:rPr>
          <w:snapToGrid w:val="0"/>
          <w:szCs w:val="16"/>
        </w:rPr>
        <w:t>("</w:t>
      </w:r>
      <w:r>
        <w:rPr>
          <w:b/>
          <w:snapToGrid w:val="0"/>
          <w:szCs w:val="16"/>
        </w:rPr>
        <w:t>Selling Holder Counsel</w:t>
      </w:r>
      <w:r>
        <w:rPr>
          <w:snapToGrid w:val="0"/>
          <w:szCs w:val="16"/>
        </w:rPr>
        <w:t>")</w:t>
      </w:r>
      <w:r>
        <w:rPr>
          <w:snapToGrid w:val="0"/>
        </w:rPr>
        <w:t xml:space="preserve">, shall be borne and paid by the Company; </w:t>
      </w:r>
      <w:r>
        <w:rPr>
          <w:snapToGrid w:val="0"/>
          <w:u w:val="single"/>
        </w:rPr>
        <w:t>provided</w:t>
      </w:r>
      <w:r>
        <w:rPr>
          <w:snapToGrid w:val="0"/>
        </w:rPr>
        <w:t xml:space="preserve">, </w:t>
      </w:r>
      <w:r>
        <w:rPr>
          <w:snapToGrid w:val="0"/>
          <w:u w:val="single"/>
        </w:rPr>
        <w:t>however</w:t>
      </w:r>
      <w:r>
        <w:rPr>
          <w:snapToGrid w:val="0"/>
        </w:rPr>
        <w:t xml:space="preserve">, that the Company shall not be required to pay for any expenses of any </w:t>
      </w:r>
      <w:r w:rsidR="00D82735">
        <w:rPr>
          <w:snapToGrid w:val="0"/>
        </w:rPr>
        <w:t>registration</w:t>
      </w:r>
      <w:r>
        <w:rPr>
          <w:snapToGrid w:val="0"/>
        </w:rPr>
        <w:t xml:space="preserve"> proceeding begun pursuant to </w:t>
      </w:r>
      <w:r w:rsidR="002206EA">
        <w:rPr>
          <w:snapToGrid w:val="0"/>
          <w:u w:val="single"/>
        </w:rPr>
        <w:t>S</w:t>
      </w:r>
      <w:r>
        <w:rPr>
          <w:snapToGrid w:val="0"/>
          <w:u w:val="single"/>
        </w:rPr>
        <w:t xml:space="preserve">ection </w:t>
      </w:r>
      <w:r>
        <w:rPr>
          <w:snapToGrid w:val="0"/>
          <w:u w:val="single"/>
        </w:rPr>
        <w:fldChar w:fldCharType="begin"/>
      </w:r>
      <w:r>
        <w:rPr>
          <w:snapToGrid w:val="0"/>
          <w:u w:val="single"/>
        </w:rPr>
        <w:instrText xml:space="preserve">  REF _Ref448380548 \w \h \* MERGEFORMAT </w:instrText>
      </w:r>
      <w:r>
        <w:rPr>
          <w:snapToGrid w:val="0"/>
          <w:u w:val="single"/>
        </w:rPr>
        <w:fldChar w:fldCharType="separate"/>
      </w:r>
      <w:r w:rsidRPr="00BC1FC7" w:rsidR="00BC1FC7">
        <w:rPr>
          <w:snapToGrid w:val="0"/>
          <w:color w:val="000000"/>
          <w:u w:val="single"/>
        </w:rPr>
        <w:t>2.1</w:t>
      </w:r>
      <w:r>
        <w:rPr>
          <w:snapToGrid w:val="0"/>
          <w:u w:val="single"/>
        </w:rPr>
        <w:fldChar w:fldCharType="end"/>
      </w:r>
      <w:r>
        <w:rPr>
          <w:snapToGrid w:val="0"/>
        </w:rPr>
        <w:t xml:space="preserve"> if the </w:t>
      </w:r>
      <w:r w:rsidR="00D82735">
        <w:rPr>
          <w:snapToGrid w:val="0"/>
        </w:rPr>
        <w:t>registration</w:t>
      </w:r>
      <w:r>
        <w:rPr>
          <w:snapToGrid w:val="0"/>
        </w:rPr>
        <w:t xml:space="preserve"> request is subsequently withdrawn at the request of the Holders of a majority of the Registrable Securities to be registered (in which case all selling Holders shall bear such expenses pro rata based upon the number of Registrable Securities that were to be included in the withdrawn </w:t>
      </w:r>
      <w:r w:rsidR="00D82735">
        <w:rPr>
          <w:snapToGrid w:val="0"/>
        </w:rPr>
        <w:t>registration</w:t>
      </w:r>
      <w:r>
        <w:rPr>
          <w:snapToGrid w:val="0"/>
        </w:rPr>
        <w:t xml:space="preserve">), unless the Holders of a majority of the Registrable Securities agree to forfeit their right to one </w:t>
      </w:r>
      <w:r w:rsidR="00D82735">
        <w:rPr>
          <w:snapToGrid w:val="0"/>
        </w:rPr>
        <w:t>registration</w:t>
      </w:r>
      <w:r>
        <w:rPr>
          <w:snapToGrid w:val="0"/>
        </w:rPr>
        <w:t xml:space="preserve"> pursuant to </w:t>
      </w:r>
      <w:r w:rsidR="002206EA">
        <w:rPr>
          <w:snapToGrid w:val="0"/>
          <w:u w:val="single"/>
        </w:rPr>
        <w:t>S</w:t>
      </w:r>
      <w:r>
        <w:rPr>
          <w:snapToGrid w:val="0"/>
          <w:u w:val="single"/>
        </w:rPr>
        <w:t xml:space="preserve">ections </w:t>
      </w:r>
      <w:r>
        <w:rPr>
          <w:snapToGrid w:val="0"/>
          <w:u w:val="single"/>
        </w:rPr>
        <w:fldChar w:fldCharType="begin"/>
      </w:r>
      <w:r>
        <w:rPr>
          <w:snapToGrid w:val="0"/>
          <w:u w:val="single"/>
        </w:rPr>
        <w:instrText xml:space="preserve">  REF _Ref448380549 \w \h \* MERGEFORMAT </w:instrText>
      </w:r>
      <w:r>
        <w:rPr>
          <w:snapToGrid w:val="0"/>
          <w:u w:val="single"/>
        </w:rPr>
        <w:fldChar w:fldCharType="separate"/>
      </w:r>
      <w:r w:rsidRPr="00BC1FC7" w:rsidR="00BC1FC7">
        <w:rPr>
          <w:snapToGrid w:val="0"/>
          <w:color w:val="000000"/>
          <w:u w:val="single"/>
        </w:rPr>
        <w:t>2.1(a)</w:t>
      </w:r>
      <w:r>
        <w:rPr>
          <w:snapToGrid w:val="0"/>
          <w:u w:val="single"/>
        </w:rPr>
        <w:fldChar w:fldCharType="end"/>
      </w:r>
      <w:r>
        <w:rPr>
          <w:snapToGrid w:val="0"/>
        </w:rPr>
        <w:t xml:space="preserve"> or </w:t>
      </w:r>
      <w:r w:rsidRPr="002206EA">
        <w:rPr>
          <w:snapToGrid w:val="0"/>
          <w:u w:val="single"/>
        </w:rPr>
        <w:fldChar w:fldCharType="begin"/>
      </w:r>
      <w:r w:rsidRPr="002206EA">
        <w:rPr>
          <w:snapToGrid w:val="0"/>
          <w:u w:val="single"/>
        </w:rPr>
        <w:instrText xml:space="preserve">  REF _Ref448380550 \w \h \* MERGEFORMAT </w:instrText>
      </w:r>
      <w:r w:rsidRPr="002206EA">
        <w:rPr>
          <w:snapToGrid w:val="0"/>
          <w:u w:val="single"/>
        </w:rPr>
        <w:fldChar w:fldCharType="separate"/>
      </w:r>
      <w:r w:rsidRPr="00BC1FC7" w:rsidR="00BC1FC7">
        <w:rPr>
          <w:snapToGrid w:val="0"/>
          <w:color w:val="000000"/>
          <w:u w:val="single"/>
        </w:rPr>
        <w:t>2.1(b)</w:t>
      </w:r>
      <w:r w:rsidRPr="002206EA">
        <w:rPr>
          <w:snapToGrid w:val="0"/>
          <w:u w:val="single"/>
        </w:rPr>
        <w:fldChar w:fldCharType="end"/>
      </w:r>
      <w:r>
        <w:rPr>
          <w:snapToGrid w:val="0"/>
          <w:szCs w:val="16"/>
        </w:rPr>
        <w:t>,</w:t>
      </w:r>
      <w:r>
        <w:rPr>
          <w:snapToGrid w:val="0"/>
        </w:rPr>
        <w:t xml:space="preserve"> as the case may be[; provided further that if, at the time of such withdrawal, the Holders shall have learned of a material adverse change in the condition, business, or prospects of the Company from that known to the Holders at the time of their request and have withdrawn the request with reasonable promptness after learning of such information, then the Holders shall not be required to pay any of such expenses and shall not forfeit their right to one </w:t>
      </w:r>
      <w:r w:rsidR="00D82735">
        <w:rPr>
          <w:snapToGrid w:val="0"/>
        </w:rPr>
        <w:t>registration</w:t>
      </w:r>
      <w:r>
        <w:rPr>
          <w:snapToGrid w:val="0"/>
        </w:rPr>
        <w:t xml:space="preserve"> pursuant to </w:t>
      </w:r>
      <w:r w:rsidR="002206EA">
        <w:rPr>
          <w:snapToGrid w:val="0"/>
          <w:u w:val="single"/>
        </w:rPr>
        <w:t>S</w:t>
      </w:r>
      <w:r>
        <w:rPr>
          <w:snapToGrid w:val="0"/>
          <w:u w:val="single"/>
        </w:rPr>
        <w:t xml:space="preserve">ections </w:t>
      </w:r>
      <w:r>
        <w:rPr>
          <w:snapToGrid w:val="0"/>
          <w:u w:val="single"/>
        </w:rPr>
        <w:fldChar w:fldCharType="begin"/>
      </w:r>
      <w:r>
        <w:rPr>
          <w:snapToGrid w:val="0"/>
          <w:u w:val="single"/>
        </w:rPr>
        <w:instrText xml:space="preserve">  REF _Ref448380549 \w \h \* MERGEFORMAT </w:instrText>
      </w:r>
      <w:r>
        <w:rPr>
          <w:snapToGrid w:val="0"/>
          <w:u w:val="single"/>
        </w:rPr>
        <w:fldChar w:fldCharType="separate"/>
      </w:r>
      <w:r w:rsidRPr="00BC1FC7" w:rsidR="00BC1FC7">
        <w:rPr>
          <w:snapToGrid w:val="0"/>
          <w:color w:val="000000"/>
          <w:u w:val="single"/>
        </w:rPr>
        <w:t>2.1(a)</w:t>
      </w:r>
      <w:r>
        <w:rPr>
          <w:snapToGrid w:val="0"/>
          <w:u w:val="single"/>
        </w:rPr>
        <w:fldChar w:fldCharType="end"/>
      </w:r>
      <w:r>
        <w:rPr>
          <w:snapToGrid w:val="0"/>
        </w:rPr>
        <w:t xml:space="preserve"> or </w:t>
      </w:r>
      <w:r>
        <w:rPr>
          <w:snapToGrid w:val="0"/>
        </w:rPr>
        <w:fldChar w:fldCharType="begin"/>
      </w:r>
      <w:r>
        <w:rPr>
          <w:snapToGrid w:val="0"/>
        </w:rPr>
        <w:instrText xml:space="preserve"> REF _Ref448380550 \w \h  \* MERGEFORMAT </w:instrText>
      </w:r>
      <w:r>
        <w:rPr>
          <w:snapToGrid w:val="0"/>
        </w:rPr>
        <w:fldChar w:fldCharType="separate"/>
      </w:r>
      <w:r w:rsidR="00BC1FC7">
        <w:rPr>
          <w:snapToGrid w:val="0"/>
        </w:rPr>
        <w:t>2.1</w:t>
      </w:r>
      <w:r w:rsidRPr="00BC1FC7" w:rsidR="00BC1FC7">
        <w:rPr>
          <w:snapToGrid w:val="0"/>
          <w:u w:val="single"/>
        </w:rPr>
        <w:t>(b)</w:t>
      </w:r>
      <w:r>
        <w:rPr>
          <w:snapToGrid w:val="0"/>
        </w:rPr>
        <w:fldChar w:fldCharType="end"/>
      </w:r>
      <w:r>
        <w:rPr>
          <w:snapToGrid w:val="0"/>
        </w:rPr>
        <w:t xml:space="preserve">]. All Selling Expenses relating to Registrable Securities registered pursuant to this </w:t>
      </w:r>
      <w:r>
        <w:rPr>
          <w:snapToGrid w:val="0"/>
          <w:u w:val="single"/>
        </w:rPr>
        <w:t xml:space="preserve">Section </w:t>
      </w:r>
      <w:bookmarkStart w:id="164" w:name="DocXTextRef103"/>
      <w:r>
        <w:rPr>
          <w:snapToGrid w:val="0"/>
          <w:u w:val="single"/>
        </w:rPr>
        <w:fldChar w:fldCharType="begin"/>
      </w:r>
      <w:r>
        <w:rPr>
          <w:snapToGrid w:val="0"/>
          <w:u w:val="single"/>
        </w:rPr>
        <w:instrText xml:space="preserve"> REF _Ref448381565 \w \h </w:instrText>
      </w:r>
      <w:r>
        <w:rPr>
          <w:snapToGrid w:val="0"/>
          <w:u w:val="single"/>
        </w:rPr>
        <w:fldChar w:fldCharType="separate"/>
      </w:r>
      <w:r w:rsidR="00BC1FC7">
        <w:rPr>
          <w:snapToGrid w:val="0"/>
          <w:u w:val="single"/>
        </w:rPr>
        <w:t>2</w:t>
      </w:r>
      <w:r>
        <w:rPr>
          <w:snapToGrid w:val="0"/>
          <w:u w:val="single"/>
        </w:rPr>
        <w:fldChar w:fldCharType="end"/>
      </w:r>
      <w:bookmarkEnd w:id="164"/>
      <w:r>
        <w:rPr>
          <w:snapToGrid w:val="0"/>
        </w:rPr>
        <w:t xml:space="preserve"> </w:t>
      </w:r>
      <w:bookmarkStart w:id="165" w:name="_cp_text_1_69"/>
      <w:r w:rsidRPr="00CF55D2" w:rsidR="002206EA">
        <w:rPr>
          <w:szCs w:val="24"/>
        </w:rPr>
        <w:t xml:space="preserve">[(other than fees and disbursements of counsel to any Holder, other than the Selling Holder Counsel, which shall be borne solely by the Holder engaging such counsel)] </w:t>
      </w:r>
      <w:bookmarkEnd w:id="165"/>
      <w:r>
        <w:rPr>
          <w:snapToGrid w:val="0"/>
        </w:rPr>
        <w:t>shall be borne and paid by the Holders pro rata on the basis of the number of Registrable Securities registered on their behalf.</w:t>
      </w:r>
    </w:p>
    <w:p w:rsidR="00037C7E">
      <w:pPr>
        <w:pStyle w:val="StandardL2"/>
      </w:pPr>
      <w:bookmarkStart w:id="166" w:name="_Ref448380572"/>
      <w:bookmarkStart w:id="167" w:name="_Toc56499769"/>
      <w:r>
        <w:t xml:space="preserve">Delay of </w:t>
      </w:r>
      <w:r w:rsidR="009D66BB">
        <w:t>R</w:t>
      </w:r>
      <w:r w:rsidR="00D82735">
        <w:t>egistration</w:t>
      </w:r>
      <w:r>
        <w:rPr>
          <w:snapToGrid w:val="0"/>
        </w:rPr>
        <w:t>.</w:t>
      </w:r>
      <w:bookmarkEnd w:id="166"/>
      <w:bookmarkEnd w:id="167"/>
    </w:p>
    <w:p w:rsidR="00037C7E">
      <w:pPr>
        <w:pStyle w:val="StandardCont2"/>
      </w:pPr>
      <w:r>
        <w:rPr>
          <w:snapToGrid w:val="0"/>
        </w:rPr>
        <w:t xml:space="preserve">No Holder shall have any right to obtain or seek an injunction restraining or otherwise delaying any </w:t>
      </w:r>
      <w:r w:rsidR="00D82735">
        <w:rPr>
          <w:snapToGrid w:val="0"/>
        </w:rPr>
        <w:t>registration</w:t>
      </w:r>
      <w:r>
        <w:rPr>
          <w:snapToGrid w:val="0"/>
        </w:rPr>
        <w:t xml:space="preserve"> pursuant to this Agreement as the result of any controversy that might arise with respect to the interpretation or implementation of this </w:t>
      </w:r>
      <w:r>
        <w:rPr>
          <w:snapToGrid w:val="0"/>
          <w:u w:val="single"/>
        </w:rPr>
        <w:t xml:space="preserve">Section </w:t>
      </w:r>
      <w:r>
        <w:rPr>
          <w:snapToGrid w:val="0"/>
          <w:u w:val="single"/>
        </w:rPr>
        <w:fldChar w:fldCharType="begin"/>
      </w:r>
      <w:r>
        <w:rPr>
          <w:snapToGrid w:val="0"/>
          <w:u w:val="single"/>
        </w:rPr>
        <w:instrText xml:space="preserve"> REF _Ref448381565 \w \h </w:instrText>
      </w:r>
      <w:r>
        <w:rPr>
          <w:snapToGrid w:val="0"/>
          <w:u w:val="single"/>
        </w:rPr>
        <w:fldChar w:fldCharType="separate"/>
      </w:r>
      <w:r w:rsidR="00BC1FC7">
        <w:rPr>
          <w:snapToGrid w:val="0"/>
          <w:u w:val="single"/>
        </w:rPr>
        <w:t>2</w:t>
      </w:r>
      <w:r>
        <w:rPr>
          <w:snapToGrid w:val="0"/>
          <w:u w:val="single"/>
        </w:rPr>
        <w:fldChar w:fldCharType="end"/>
      </w:r>
      <w:r>
        <w:rPr>
          <w:snapToGrid w:val="0"/>
        </w:rPr>
        <w:t>.</w:t>
      </w:r>
    </w:p>
    <w:p w:rsidR="00037C7E">
      <w:pPr>
        <w:pStyle w:val="StandardL2"/>
      </w:pPr>
      <w:bookmarkStart w:id="168" w:name="_Ref448380573"/>
      <w:bookmarkStart w:id="169" w:name="_Toc56499770"/>
      <w:r>
        <w:t>Indemnification</w:t>
      </w:r>
      <w:r>
        <w:rPr>
          <w:snapToGrid w:val="0"/>
        </w:rPr>
        <w:t>.</w:t>
      </w:r>
      <w:bookmarkStart w:id="170" w:name="_Ref448380695"/>
      <w:r>
        <w:rPr>
          <w:rStyle w:val="FootnoteReference"/>
          <w:snapToGrid w:val="0"/>
          <w:u w:val="none"/>
        </w:rPr>
        <w:footnoteReference w:id="27"/>
      </w:r>
      <w:bookmarkEnd w:id="168"/>
      <w:bookmarkEnd w:id="169"/>
      <w:bookmarkEnd w:id="170"/>
    </w:p>
    <w:p w:rsidR="00037C7E">
      <w:pPr>
        <w:pStyle w:val="StandardCont2"/>
      </w:pPr>
      <w:r>
        <w:rPr>
          <w:snapToGrid w:val="0"/>
        </w:rPr>
        <w:t xml:space="preserve">If any Registrable Securities are included in a </w:t>
      </w:r>
      <w:r w:rsidR="00D82735">
        <w:rPr>
          <w:snapToGrid w:val="0"/>
        </w:rPr>
        <w:t>registration statement</w:t>
      </w:r>
      <w:r>
        <w:rPr>
          <w:snapToGrid w:val="0"/>
        </w:rPr>
        <w:t xml:space="preserve"> under this </w:t>
      </w:r>
      <w:r>
        <w:rPr>
          <w:snapToGrid w:val="0"/>
          <w:u w:val="single"/>
        </w:rPr>
        <w:t xml:space="preserve">Section </w:t>
      </w:r>
      <w:r>
        <w:rPr>
          <w:snapToGrid w:val="0"/>
          <w:u w:val="single"/>
        </w:rPr>
        <w:fldChar w:fldCharType="begin"/>
      </w:r>
      <w:r>
        <w:rPr>
          <w:snapToGrid w:val="0"/>
          <w:u w:val="single"/>
        </w:rPr>
        <w:instrText xml:space="preserve"> REF _Ref448381565 \w \h </w:instrText>
      </w:r>
      <w:r>
        <w:rPr>
          <w:snapToGrid w:val="0"/>
          <w:u w:val="single"/>
        </w:rPr>
        <w:fldChar w:fldCharType="separate"/>
      </w:r>
      <w:r w:rsidR="00BC1FC7">
        <w:rPr>
          <w:snapToGrid w:val="0"/>
          <w:u w:val="single"/>
        </w:rPr>
        <w:t>2</w:t>
      </w:r>
      <w:r>
        <w:rPr>
          <w:snapToGrid w:val="0"/>
          <w:u w:val="single"/>
        </w:rPr>
        <w:fldChar w:fldCharType="end"/>
      </w:r>
      <w:r>
        <w:rPr>
          <w:snapToGrid w:val="0"/>
        </w:rPr>
        <w:t>:</w:t>
      </w:r>
    </w:p>
    <w:p w:rsidR="00037C7E">
      <w:pPr>
        <w:pStyle w:val="StandardL3"/>
      </w:pPr>
      <w:bookmarkStart w:id="171" w:name="_Ref448380574"/>
      <w:r>
        <w:t>To the extent permitted by law, the Company will indemnify and hold harmless each selling Holder, and the partners, members, officers, directors, and shareholders of each such Holder; legal counsel and accountants for each such Holder; any underwriter (as defined in the Securities Act or under Canadian Securities Laws) for each such Holder; and each Person, if any, who controls such Holder or underwriter within the meaning of the Securities Act or the Exchange Act or applicable Canadian Securities Laws, against any Damages, and the Company will pay to each such Holder, underwriter, controlling Person, or other aforementioned Person any legal or other expenses reasonably incurred thereby in connection with investigating or defending any</w:t>
      </w:r>
      <w:r>
        <w:rPr>
          <w:szCs w:val="16"/>
        </w:rPr>
        <w:t xml:space="preserve"> claim or</w:t>
      </w:r>
      <w:r>
        <w:t xml:space="preserve"> proceeding from which Damages may result, as such expenses are incurred; </w:t>
      </w:r>
      <w:r>
        <w:rPr>
          <w:u w:val="single"/>
        </w:rPr>
        <w:t>provided</w:t>
      </w:r>
      <w:r>
        <w:t xml:space="preserve">, </w:t>
      </w:r>
      <w:r>
        <w:rPr>
          <w:u w:val="single"/>
        </w:rPr>
        <w:t>however</w:t>
      </w:r>
      <w:r>
        <w:t xml:space="preserve">, that the indemnity agreement contained in this </w:t>
      </w:r>
      <w:r w:rsidR="002206EA">
        <w:rPr>
          <w:u w:val="single"/>
        </w:rPr>
        <w:t>S</w:t>
      </w:r>
      <w:r>
        <w:rPr>
          <w:u w:val="single"/>
        </w:rPr>
        <w:t xml:space="preserve">ection </w:t>
      </w:r>
      <w:r>
        <w:rPr>
          <w:u w:val="single"/>
        </w:rPr>
        <w:fldChar w:fldCharType="begin"/>
      </w:r>
      <w:r>
        <w:rPr>
          <w:u w:val="single"/>
        </w:rPr>
        <w:instrText xml:space="preserve">  REF _Ref448380574 \w \h \* MERGEFORMAT </w:instrText>
      </w:r>
      <w:r>
        <w:rPr>
          <w:u w:val="single"/>
        </w:rPr>
        <w:fldChar w:fldCharType="separate"/>
      </w:r>
      <w:r w:rsidRPr="00BC1FC7" w:rsidR="00BC1FC7">
        <w:rPr>
          <w:color w:val="000000"/>
          <w:u w:val="single"/>
        </w:rPr>
        <w:t>2.8(a)</w:t>
      </w:r>
      <w:r>
        <w:rPr>
          <w:u w:val="single"/>
        </w:rPr>
        <w:fldChar w:fldCharType="end"/>
      </w:r>
      <w:r>
        <w:t xml:space="preserve"> shall not apply to amounts paid in settlement of any such </w:t>
      </w:r>
      <w:r>
        <w:rPr>
          <w:szCs w:val="16"/>
        </w:rPr>
        <w:t>claim</w:t>
      </w:r>
      <w:r>
        <w:t xml:space="preserve"> or proceeding if such settlement is effected without the consent of the Company, which consent shall not be unreasonably withheld, nor shall the Company be liable for any Damages to the extent that they arise out of or are based upon actions or omissions made in reliance upon and in conformity with written information furnished by or on behalf of any such Holder, underwriter, controlling Person, or other aforementioned Person expressly for use in connection with such </w:t>
      </w:r>
      <w:r w:rsidR="00D82735">
        <w:t>registration</w:t>
      </w:r>
      <w:r w:rsidR="002206EA">
        <w:t xml:space="preserve"> </w:t>
      </w:r>
      <w:r w:rsidRPr="00CF55D2" w:rsidR="002206EA">
        <w:rPr>
          <w:szCs w:val="24"/>
        </w:rPr>
        <w:t>[except to the extent such information has been corrected in a subsequent writing prior to or concurrently with the sale of Registrable Securities to the Person asserting the claim]</w:t>
      </w:r>
      <w:r>
        <w:t>.</w:t>
      </w:r>
      <w:bookmarkEnd w:id="171"/>
    </w:p>
    <w:p w:rsidR="00037C7E">
      <w:pPr>
        <w:pStyle w:val="StandardL3"/>
      </w:pPr>
      <w:bookmarkStart w:id="172" w:name="_Ref448380575"/>
      <w:r>
        <w:t xml:space="preserve">To the extent permitted by law, each selling Holder, severally and not jointly, will indemnify and hold harmless the Company, and each of its directors, each of its officers who has signed the </w:t>
      </w:r>
      <w:r w:rsidR="00D82735">
        <w:t>registration statement</w:t>
      </w:r>
      <w:r>
        <w:t xml:space="preserve">, each Person (if any), who controls the Company within the meaning of the Securities Act or applicable Canadian Securities Laws, legal counsel and accountants for the Company, any underwriter (as defined in the Securities Act or applicable Canadian Securities Laws), any other Holder selling securities in such </w:t>
      </w:r>
      <w:r w:rsidR="00D82735">
        <w:t>registration statement</w:t>
      </w:r>
      <w:r>
        <w:t xml:space="preserve">, and any controlling Person of any such underwriter or other Holder, against any Damages, in each case only to the extent that such Damages arise out of or are based upon actions or omissions made in reliance upon and in conformity with written information furnished by or on behalf of such selling Holder expressly for use in connection with such </w:t>
      </w:r>
      <w:r w:rsidR="00D82735">
        <w:t>registration</w:t>
      </w:r>
      <w:r w:rsidR="003174C2">
        <w:t xml:space="preserve"> </w:t>
      </w:r>
      <w:r w:rsidRPr="00CF55D2" w:rsidR="003174C2">
        <w:rPr>
          <w:szCs w:val="24"/>
        </w:rPr>
        <w:t>[and has not been corrected in a subsequent writing prior to or concurrently with the sale of Registrable Securities to the Person asserting the claim]</w:t>
      </w:r>
      <w:r>
        <w:t>; and each such selling Holder will pay to the Company and each other aforementioned Person any legal or other expenses reasonably incurred thereby in connection with investigating or defending any</w:t>
      </w:r>
      <w:r>
        <w:rPr>
          <w:szCs w:val="16"/>
        </w:rPr>
        <w:t xml:space="preserve"> claim or</w:t>
      </w:r>
      <w:r>
        <w:t xml:space="preserve"> proceeding from which Damages may result, as such expenses are incurred; </w:t>
      </w:r>
      <w:r>
        <w:rPr>
          <w:u w:val="single"/>
        </w:rPr>
        <w:t>provided</w:t>
      </w:r>
      <w:r>
        <w:t xml:space="preserve">, </w:t>
      </w:r>
      <w:r>
        <w:rPr>
          <w:u w:val="single"/>
        </w:rPr>
        <w:t>however</w:t>
      </w:r>
      <w:r>
        <w:t xml:space="preserve">, that the indemnity agreement contained in this </w:t>
      </w:r>
      <w:r w:rsidR="003174C2">
        <w:rPr>
          <w:u w:val="single"/>
        </w:rPr>
        <w:t>S</w:t>
      </w:r>
      <w:r>
        <w:rPr>
          <w:u w:val="single"/>
        </w:rPr>
        <w:t xml:space="preserve">ection </w:t>
      </w:r>
      <w:r>
        <w:rPr>
          <w:u w:val="single"/>
        </w:rPr>
        <w:fldChar w:fldCharType="begin"/>
      </w:r>
      <w:r>
        <w:rPr>
          <w:u w:val="single"/>
        </w:rPr>
        <w:instrText xml:space="preserve">  REF _Ref448380575 \w \h \* MERGEFORMAT </w:instrText>
      </w:r>
      <w:r>
        <w:rPr>
          <w:u w:val="single"/>
        </w:rPr>
        <w:fldChar w:fldCharType="separate"/>
      </w:r>
      <w:r w:rsidRPr="00BC1FC7" w:rsidR="00BC1FC7">
        <w:rPr>
          <w:color w:val="000000"/>
          <w:u w:val="single"/>
        </w:rPr>
        <w:t>2.8(b)</w:t>
      </w:r>
      <w:r>
        <w:rPr>
          <w:u w:val="single"/>
        </w:rPr>
        <w:fldChar w:fldCharType="end"/>
      </w:r>
      <w:r>
        <w:t xml:space="preserve"> shall not apply to amounts paid in settlement of any such </w:t>
      </w:r>
      <w:r>
        <w:rPr>
          <w:szCs w:val="16"/>
        </w:rPr>
        <w:t>claim</w:t>
      </w:r>
      <w:r>
        <w:t xml:space="preserve"> or proceeding if such settlement is effected without the consent of the Holder, which consent shall not be unreasonably withheld; and </w:t>
      </w:r>
      <w:r>
        <w:rPr>
          <w:u w:val="single"/>
        </w:rPr>
        <w:t>provided</w:t>
      </w:r>
      <w:r>
        <w:t xml:space="preserve"> </w:t>
      </w:r>
      <w:r>
        <w:rPr>
          <w:u w:val="single"/>
        </w:rPr>
        <w:t>further</w:t>
      </w:r>
      <w:r>
        <w:t xml:space="preserve"> that in no event shall the aggregate amounts payable by any Holder by way of indemnity or contribution under </w:t>
      </w:r>
      <w:r w:rsidR="003174C2">
        <w:rPr>
          <w:u w:val="single"/>
        </w:rPr>
        <w:t>Section</w:t>
      </w:r>
      <w:r>
        <w:rPr>
          <w:u w:val="single"/>
        </w:rPr>
        <w:t xml:space="preserve"> </w:t>
      </w:r>
      <w:r>
        <w:rPr>
          <w:u w:val="single"/>
        </w:rPr>
        <w:fldChar w:fldCharType="begin"/>
      </w:r>
      <w:r>
        <w:rPr>
          <w:u w:val="single"/>
        </w:rPr>
        <w:instrText xml:space="preserve">  REF _Ref448380575 \w \h \* MERGEFORMAT </w:instrText>
      </w:r>
      <w:r>
        <w:rPr>
          <w:u w:val="single"/>
        </w:rPr>
        <w:fldChar w:fldCharType="separate"/>
      </w:r>
      <w:r w:rsidRPr="00BC1FC7" w:rsidR="00BC1FC7">
        <w:rPr>
          <w:color w:val="000000"/>
          <w:u w:val="single"/>
        </w:rPr>
        <w:t>2.8(b)</w:t>
      </w:r>
      <w:r>
        <w:rPr>
          <w:u w:val="single"/>
        </w:rPr>
        <w:fldChar w:fldCharType="end"/>
      </w:r>
      <w:r>
        <w:t xml:space="preserve"> and </w:t>
      </w:r>
      <w:r>
        <w:rPr>
          <w:u w:val="single"/>
        </w:rPr>
        <w:fldChar w:fldCharType="begin"/>
      </w:r>
      <w:r>
        <w:rPr>
          <w:u w:val="single"/>
        </w:rPr>
        <w:instrText xml:space="preserve">  REF _Ref448380577 \w \h \* MERGEFORMAT </w:instrText>
      </w:r>
      <w:r>
        <w:rPr>
          <w:u w:val="single"/>
        </w:rPr>
        <w:fldChar w:fldCharType="separate"/>
      </w:r>
      <w:r w:rsidRPr="00BC1FC7" w:rsidR="00BC1FC7">
        <w:rPr>
          <w:color w:val="000000"/>
          <w:u w:val="single"/>
        </w:rPr>
        <w:t>2.8(d)</w:t>
      </w:r>
      <w:r>
        <w:rPr>
          <w:u w:val="single"/>
        </w:rPr>
        <w:fldChar w:fldCharType="end"/>
      </w:r>
      <w:r>
        <w:t xml:space="preserve"> exceed the proceeds from the offering </w:t>
      </w:r>
      <w:r>
        <w:rPr>
          <w:szCs w:val="16"/>
        </w:rPr>
        <w:t xml:space="preserve">received by such Holder </w:t>
      </w:r>
      <w:r>
        <w:t>(net of any Selling Expenses</w:t>
      </w:r>
      <w:r>
        <w:rPr>
          <w:szCs w:val="16"/>
        </w:rPr>
        <w:t xml:space="preserve"> paid by such Holder</w:t>
      </w:r>
      <w:r>
        <w:t>), except in the case of fraud or willful misconduct by such Holder.</w:t>
      </w:r>
      <w:bookmarkEnd w:id="172"/>
    </w:p>
    <w:p w:rsidR="00037C7E">
      <w:pPr>
        <w:pStyle w:val="StandardL3"/>
      </w:pPr>
      <w:bookmarkStart w:id="173" w:name="_Ref448380576"/>
      <w:r>
        <w:t xml:space="preserve">Promptly after receipt by an indemnified party under this </w:t>
      </w:r>
      <w:r w:rsidR="003174C2">
        <w:rPr>
          <w:u w:val="single"/>
        </w:rPr>
        <w:t>S</w:t>
      </w:r>
      <w:r>
        <w:rPr>
          <w:u w:val="single"/>
        </w:rPr>
        <w:t xml:space="preserve">ection </w:t>
      </w:r>
      <w:r>
        <w:rPr>
          <w:u w:val="single"/>
        </w:rPr>
        <w:fldChar w:fldCharType="begin"/>
      </w:r>
      <w:r>
        <w:rPr>
          <w:u w:val="single"/>
        </w:rPr>
        <w:instrText xml:space="preserve">  REF _Ref448380573 \w \h \* MERGEFORMAT </w:instrText>
      </w:r>
      <w:r>
        <w:rPr>
          <w:u w:val="single"/>
        </w:rPr>
        <w:fldChar w:fldCharType="separate"/>
      </w:r>
      <w:r w:rsidRPr="00BC1FC7" w:rsidR="00BC1FC7">
        <w:rPr>
          <w:color w:val="000000"/>
          <w:u w:val="single"/>
        </w:rPr>
        <w:t>2.8</w:t>
      </w:r>
      <w:r>
        <w:rPr>
          <w:u w:val="single"/>
        </w:rPr>
        <w:fldChar w:fldCharType="end"/>
      </w:r>
      <w:r>
        <w:rPr>
          <w:b/>
        </w:rPr>
        <w:t xml:space="preserve"> </w:t>
      </w:r>
      <w:r>
        <w:t xml:space="preserve">of notice of the commencement of any action (including any governmental action) for which a party may be entitled to indemnification hereunder, such indemnified party will, if a claim in respect thereof is to be made against any indemnifying party under this </w:t>
      </w:r>
      <w:r w:rsidR="003174C2">
        <w:rPr>
          <w:u w:val="single"/>
        </w:rPr>
        <w:t>S</w:t>
      </w:r>
      <w:r>
        <w:rPr>
          <w:u w:val="single"/>
        </w:rPr>
        <w:t xml:space="preserve">ection </w:t>
      </w:r>
      <w:r>
        <w:rPr>
          <w:u w:val="single"/>
        </w:rPr>
        <w:fldChar w:fldCharType="begin"/>
      </w:r>
      <w:r>
        <w:rPr>
          <w:u w:val="single"/>
        </w:rPr>
        <w:instrText xml:space="preserve">  REF _Ref448380573 \w \h \* MERGEFORMAT </w:instrText>
      </w:r>
      <w:r>
        <w:rPr>
          <w:u w:val="single"/>
        </w:rPr>
        <w:fldChar w:fldCharType="separate"/>
      </w:r>
      <w:r w:rsidRPr="00BC1FC7" w:rsidR="00BC1FC7">
        <w:rPr>
          <w:color w:val="000000"/>
          <w:u w:val="single"/>
        </w:rPr>
        <w:t>2.8</w:t>
      </w:r>
      <w:r>
        <w:rPr>
          <w:u w:val="single"/>
        </w:rPr>
        <w:fldChar w:fldCharType="end"/>
      </w:r>
      <w:r>
        <w:rPr>
          <w:szCs w:val="16"/>
        </w:rPr>
        <w:t>,</w:t>
      </w:r>
      <w:r>
        <w:t xml:space="preserve"> give the indemnifying party notice of the commencement thereof. The indemnifying party shall have the right to participate in such action and, to the extent the indemnifying party so desires, participate jointly with any other indemnifying party to which notice has been given, and to assume the defense thereof with counsel mutually satisfactory to the parties; </w:t>
      </w:r>
      <w:r>
        <w:rPr>
          <w:u w:val="single"/>
        </w:rPr>
        <w:t>provided</w:t>
      </w:r>
      <w:r>
        <w:t xml:space="preserve">, </w:t>
      </w:r>
      <w:r>
        <w:rPr>
          <w:u w:val="single"/>
        </w:rPr>
        <w:t>however</w:t>
      </w:r>
      <w:r>
        <w:t xml:space="preserve">, that an indemnified party (together with all other indemnified parties that may be represented without conflict by one counsel) shall have the right to retain one separate counsel, with the fees and expenses to be paid by the indemnifying party, if representation of such indemnified party by the counsel retained by the indemnifying party would be inappropriate due to actual or potential differing interests between such indemnified party and any other party represented by such counsel in such action. [The failure to give notice to the indemnifying party within a reasonable time of the commencement of any such action shall relieve such indemnifying party of any liability to the indemnified party under this </w:t>
      </w:r>
      <w:r w:rsidR="003174C2">
        <w:rPr>
          <w:u w:val="single"/>
        </w:rPr>
        <w:t>S</w:t>
      </w:r>
      <w:r>
        <w:rPr>
          <w:u w:val="single"/>
        </w:rPr>
        <w:t xml:space="preserve">ection </w:t>
      </w:r>
      <w:r>
        <w:rPr>
          <w:u w:val="single"/>
        </w:rPr>
        <w:fldChar w:fldCharType="begin"/>
      </w:r>
      <w:r>
        <w:rPr>
          <w:u w:val="single"/>
        </w:rPr>
        <w:instrText xml:space="preserve">  REF _Ref448380573 \w \h \* MERGEFORMAT </w:instrText>
      </w:r>
      <w:r>
        <w:rPr>
          <w:u w:val="single"/>
        </w:rPr>
        <w:fldChar w:fldCharType="separate"/>
      </w:r>
      <w:r w:rsidRPr="00BC1FC7" w:rsidR="00BC1FC7">
        <w:rPr>
          <w:color w:val="000000"/>
          <w:u w:val="single"/>
        </w:rPr>
        <w:t>2.8</w:t>
      </w:r>
      <w:r>
        <w:rPr>
          <w:u w:val="single"/>
        </w:rPr>
        <w:fldChar w:fldCharType="end"/>
      </w:r>
      <w:r>
        <w:rPr>
          <w:szCs w:val="16"/>
        </w:rPr>
        <w:t>,</w:t>
      </w:r>
      <w:r>
        <w:t xml:space="preserve"> </w:t>
      </w:r>
      <w:r w:rsidR="003174C2">
        <w:t xml:space="preserve">[only] </w:t>
      </w:r>
      <w:r>
        <w:t xml:space="preserve">to the extent that such failure materially prejudices the indemnifying party's ability to defend such action. The failure to give notice to the indemnifying party will not relieve it of any liability that it may have to any indemnified party otherwise than under this </w:t>
      </w:r>
      <w:r w:rsidR="003174C2">
        <w:rPr>
          <w:u w:val="single"/>
        </w:rPr>
        <w:t>S</w:t>
      </w:r>
      <w:r>
        <w:rPr>
          <w:u w:val="single"/>
        </w:rPr>
        <w:t xml:space="preserve">ection </w:t>
      </w:r>
      <w:r>
        <w:rPr>
          <w:u w:val="single"/>
        </w:rPr>
        <w:fldChar w:fldCharType="begin"/>
      </w:r>
      <w:r>
        <w:rPr>
          <w:u w:val="single"/>
        </w:rPr>
        <w:instrText xml:space="preserve">  REF _Ref448380573 \w \h \* MERGEFORMAT </w:instrText>
      </w:r>
      <w:r>
        <w:rPr>
          <w:u w:val="single"/>
        </w:rPr>
        <w:fldChar w:fldCharType="separate"/>
      </w:r>
      <w:r w:rsidRPr="00BC1FC7" w:rsidR="00BC1FC7">
        <w:rPr>
          <w:color w:val="000000"/>
          <w:u w:val="single"/>
        </w:rPr>
        <w:t>2.8</w:t>
      </w:r>
      <w:r>
        <w:rPr>
          <w:u w:val="single"/>
        </w:rPr>
        <w:fldChar w:fldCharType="end"/>
      </w:r>
      <w:r>
        <w:rPr>
          <w:szCs w:val="16"/>
        </w:rPr>
        <w:t>.</w:t>
      </w:r>
      <w:r>
        <w:t>]</w:t>
      </w:r>
      <w:bookmarkEnd w:id="173"/>
    </w:p>
    <w:p w:rsidR="00037C7E">
      <w:pPr>
        <w:pStyle w:val="StandardL3"/>
      </w:pPr>
      <w:bookmarkStart w:id="174" w:name="_Ref448380577"/>
      <w:r>
        <w:t xml:space="preserve">To provide for just and equitable contribution to joint liability under the Securities Act and Canadian Securities Laws in any case in which either: </w:t>
      </w:r>
      <w:bookmarkStart w:id="175" w:name="DocXTextRef120"/>
      <w:r>
        <w:t>(i)</w:t>
      </w:r>
      <w:bookmarkEnd w:id="175"/>
      <w:r>
        <w:t xml:space="preserve"> any party otherwise entitled to indemnification hereunder makes a claim for indemnification pursuant to this </w:t>
      </w:r>
      <w:r w:rsidR="003174C2">
        <w:rPr>
          <w:u w:val="single"/>
        </w:rPr>
        <w:t>S</w:t>
      </w:r>
      <w:r>
        <w:rPr>
          <w:u w:val="single"/>
        </w:rPr>
        <w:t xml:space="preserve">ection </w:t>
      </w:r>
      <w:r>
        <w:rPr>
          <w:u w:val="single"/>
        </w:rPr>
        <w:fldChar w:fldCharType="begin"/>
      </w:r>
      <w:r>
        <w:rPr>
          <w:u w:val="single"/>
        </w:rPr>
        <w:instrText xml:space="preserve">  REF _Ref448380573 \w \h \* MERGEFORMAT </w:instrText>
      </w:r>
      <w:r>
        <w:rPr>
          <w:u w:val="single"/>
        </w:rPr>
        <w:fldChar w:fldCharType="separate"/>
      </w:r>
      <w:r w:rsidRPr="00BC1FC7" w:rsidR="00BC1FC7">
        <w:rPr>
          <w:color w:val="000000"/>
          <w:u w:val="single"/>
        </w:rPr>
        <w:t>2.8</w:t>
      </w:r>
      <w:r>
        <w:rPr>
          <w:u w:val="single"/>
        </w:rPr>
        <w:fldChar w:fldCharType="end"/>
      </w:r>
      <w:r>
        <w:t xml:space="preserve"> but it is judicially determined (by the entry of a final judgment or decree by a court of competent jurisdiction and the expiration of time to appeal or the denial of the last right of appeal) that such indemnification may not be enforced in such case, notwithstanding the fact that this </w:t>
      </w:r>
      <w:r w:rsidR="003174C2">
        <w:rPr>
          <w:u w:val="single"/>
        </w:rPr>
        <w:t>S</w:t>
      </w:r>
      <w:r>
        <w:rPr>
          <w:u w:val="single"/>
        </w:rPr>
        <w:t xml:space="preserve">ection </w:t>
      </w:r>
      <w:r>
        <w:rPr>
          <w:u w:val="single"/>
        </w:rPr>
        <w:fldChar w:fldCharType="begin"/>
      </w:r>
      <w:r>
        <w:rPr>
          <w:u w:val="single"/>
        </w:rPr>
        <w:instrText xml:space="preserve">  REF _Ref448380573 \w \h \* MERGEFORMAT </w:instrText>
      </w:r>
      <w:r>
        <w:rPr>
          <w:u w:val="single"/>
        </w:rPr>
        <w:fldChar w:fldCharType="separate"/>
      </w:r>
      <w:r w:rsidRPr="00BC1FC7" w:rsidR="00BC1FC7">
        <w:rPr>
          <w:color w:val="000000"/>
          <w:u w:val="single"/>
        </w:rPr>
        <w:t>2.8</w:t>
      </w:r>
      <w:r>
        <w:rPr>
          <w:u w:val="single"/>
        </w:rPr>
        <w:fldChar w:fldCharType="end"/>
      </w:r>
      <w:r>
        <w:t xml:space="preserve"> provides for indemnification in such case, or </w:t>
      </w:r>
      <w:bookmarkStart w:id="176" w:name="DocXTextRef121"/>
      <w:r>
        <w:t>(ii)</w:t>
      </w:r>
      <w:bookmarkEnd w:id="176"/>
      <w:r>
        <w:t xml:space="preserve"> contribution under the Securities Act and Canadian Securities Laws may be required on the part of any party hereto for which indemnification is provided under this </w:t>
      </w:r>
      <w:r w:rsidR="003174C2">
        <w:rPr>
          <w:u w:val="single"/>
        </w:rPr>
        <w:t>S</w:t>
      </w:r>
      <w:r>
        <w:rPr>
          <w:u w:val="single"/>
        </w:rPr>
        <w:t xml:space="preserve">ection </w:t>
      </w:r>
      <w:r>
        <w:rPr>
          <w:u w:val="single"/>
        </w:rPr>
        <w:fldChar w:fldCharType="begin"/>
      </w:r>
      <w:r>
        <w:rPr>
          <w:u w:val="single"/>
        </w:rPr>
        <w:instrText xml:space="preserve">  REF _Ref448380573 \w \h \* MERGEFORMAT </w:instrText>
      </w:r>
      <w:r>
        <w:rPr>
          <w:u w:val="single"/>
        </w:rPr>
        <w:fldChar w:fldCharType="separate"/>
      </w:r>
      <w:r w:rsidRPr="00BC1FC7" w:rsidR="00BC1FC7">
        <w:rPr>
          <w:color w:val="000000"/>
          <w:u w:val="single"/>
        </w:rPr>
        <w:t>2.8</w:t>
      </w:r>
      <w:r>
        <w:rPr>
          <w:u w:val="single"/>
        </w:rPr>
        <w:fldChar w:fldCharType="end"/>
      </w:r>
      <w:r>
        <w:rPr>
          <w:szCs w:val="16"/>
        </w:rPr>
        <w:t>,</w:t>
      </w:r>
      <w:r>
        <w:t xml:space="preserve"> then, and in each such case, such parties will contribute to the aggregate losses, claims, damages, liabilities, or expenses to which they may be subject (after contribution from others) in such proportion as is appropriate to reflect the relative fault of each of</w:t>
      </w:r>
      <w:r>
        <w:rPr>
          <w:szCs w:val="16"/>
        </w:rPr>
        <w:t xml:space="preserve"> the</w:t>
      </w:r>
      <w:r>
        <w:t xml:space="preserve"> indemnifying party and the indemnified party in connection with the statements, omissions, or other actions that resulted in such loss, claim, damage, liability, or expense, as well as to reflect any other relevant equitable considerations. The relative fault of the indemnifying party and of the indemnified party shall be determined by reference to, among other things, whether the untrue or allegedly untrue statement of a material fact, or the omission or alleged omission of a material fact, relates to information supplied by the indemnifying party or by the indemnified party and the parties' relative intent, knowledge, access to information, and opportunity to correct or prevent such statement or omission; </w:t>
      </w:r>
      <w:r>
        <w:rPr>
          <w:u w:val="single"/>
        </w:rPr>
        <w:t>provided</w:t>
      </w:r>
      <w:r>
        <w:t xml:space="preserve">, </w:t>
      </w:r>
      <w:r>
        <w:rPr>
          <w:u w:val="single"/>
        </w:rPr>
        <w:t>however</w:t>
      </w:r>
      <w:r>
        <w:t xml:space="preserve">, that, in any such case </w:t>
      </w:r>
      <w:bookmarkStart w:id="177" w:name="DocXTextRef122"/>
      <w:r>
        <w:t>(x)</w:t>
      </w:r>
      <w:bookmarkEnd w:id="177"/>
      <w:r>
        <w:t xml:space="preserve"> no Holder will be required to contribute any amount in excess of the public offering price of all such Registrable Securities offered and sold by such Holder pursuant to such </w:t>
      </w:r>
      <w:r w:rsidR="00D82735">
        <w:t>registration statement</w:t>
      </w:r>
      <w:r>
        <w:t xml:space="preserve">, and </w:t>
      </w:r>
      <w:bookmarkStart w:id="178" w:name="DocXTextRef123"/>
      <w:r>
        <w:t>(y)</w:t>
      </w:r>
      <w:bookmarkEnd w:id="178"/>
      <w:r>
        <w:t xml:space="preserve"> no Person guilty of fraudulent misrepresentation (within the meaning of Section </w:t>
      </w:r>
      <w:bookmarkStart w:id="179" w:name="DocXTextRef119"/>
      <w:r>
        <w:t>11(f)</w:t>
      </w:r>
      <w:bookmarkEnd w:id="179"/>
      <w:r>
        <w:t xml:space="preserve"> of the Securities Act) will be entitled to contribution from any Person who was not guilty of such fraudulent misrepresentation; and </w:t>
      </w:r>
      <w:r>
        <w:rPr>
          <w:u w:val="single"/>
        </w:rPr>
        <w:t>provided</w:t>
      </w:r>
      <w:r>
        <w:t xml:space="preserve"> </w:t>
      </w:r>
      <w:r>
        <w:rPr>
          <w:u w:val="single"/>
        </w:rPr>
        <w:t>further</w:t>
      </w:r>
      <w:r>
        <w:t xml:space="preserve"> that in no event shall a Holder's liability pursuant to this </w:t>
      </w:r>
      <w:r w:rsidR="003174C2">
        <w:rPr>
          <w:u w:val="single"/>
        </w:rPr>
        <w:t>S</w:t>
      </w:r>
      <w:r>
        <w:rPr>
          <w:u w:val="single"/>
        </w:rPr>
        <w:t xml:space="preserve">ection </w:t>
      </w:r>
      <w:r>
        <w:rPr>
          <w:u w:val="single"/>
        </w:rPr>
        <w:fldChar w:fldCharType="begin"/>
      </w:r>
      <w:r>
        <w:rPr>
          <w:u w:val="single"/>
        </w:rPr>
        <w:instrText xml:space="preserve">  REF _Ref448380577 \w \h \* MERGEFORMAT </w:instrText>
      </w:r>
      <w:r>
        <w:rPr>
          <w:u w:val="single"/>
        </w:rPr>
        <w:fldChar w:fldCharType="separate"/>
      </w:r>
      <w:r w:rsidRPr="00BC1FC7" w:rsidR="00BC1FC7">
        <w:rPr>
          <w:color w:val="000000"/>
          <w:u w:val="single"/>
        </w:rPr>
        <w:t>2.8(d)</w:t>
      </w:r>
      <w:r>
        <w:rPr>
          <w:u w:val="single"/>
        </w:rPr>
        <w:fldChar w:fldCharType="end"/>
      </w:r>
      <w:r>
        <w:t xml:space="preserve">, when combined with the amounts paid or payable by such Holder pursuant to </w:t>
      </w:r>
      <w:r w:rsidR="003174C2">
        <w:rPr>
          <w:u w:val="single"/>
        </w:rPr>
        <w:t>S</w:t>
      </w:r>
      <w:r>
        <w:rPr>
          <w:u w:val="single"/>
        </w:rPr>
        <w:t xml:space="preserve">ection </w:t>
      </w:r>
      <w:r>
        <w:rPr>
          <w:u w:val="single"/>
        </w:rPr>
        <w:fldChar w:fldCharType="begin"/>
      </w:r>
      <w:r>
        <w:rPr>
          <w:u w:val="single"/>
        </w:rPr>
        <w:instrText xml:space="preserve">  REF _Ref448380575 \w \h \* MERGEFORMAT </w:instrText>
      </w:r>
      <w:r>
        <w:rPr>
          <w:u w:val="single"/>
        </w:rPr>
        <w:fldChar w:fldCharType="separate"/>
      </w:r>
      <w:r w:rsidRPr="00BC1FC7" w:rsidR="00BC1FC7">
        <w:rPr>
          <w:color w:val="000000"/>
          <w:u w:val="single"/>
        </w:rPr>
        <w:t>2.8(b)</w:t>
      </w:r>
      <w:r>
        <w:rPr>
          <w:u w:val="single"/>
        </w:rPr>
        <w:fldChar w:fldCharType="end"/>
      </w:r>
      <w:r>
        <w:t xml:space="preserve">, exceed the proceeds from the offering </w:t>
      </w:r>
      <w:r>
        <w:rPr>
          <w:szCs w:val="16"/>
        </w:rPr>
        <w:t xml:space="preserve">received by such Holder </w:t>
      </w:r>
      <w:r>
        <w:t xml:space="preserve">(net of any Selling Expenses </w:t>
      </w:r>
      <w:r>
        <w:rPr>
          <w:szCs w:val="16"/>
        </w:rPr>
        <w:t>paid</w:t>
      </w:r>
      <w:r>
        <w:t xml:space="preserve"> by such Holder</w:t>
      </w:r>
      <w:r>
        <w:rPr>
          <w:szCs w:val="16"/>
        </w:rPr>
        <w:t>)</w:t>
      </w:r>
      <w:r>
        <w:t>, except in the case of willful misconduct or fraud by such Holder.</w:t>
      </w:r>
      <w:bookmarkEnd w:id="174"/>
    </w:p>
    <w:p w:rsidR="00037C7E">
      <w:pPr>
        <w:pStyle w:val="StandardL3"/>
      </w:pPr>
      <w:bookmarkStart w:id="180" w:name="_Ref448380578"/>
      <w:r>
        <w:t>[Notwithstanding the foregoing, to the extent that the provisions on indemnification and contribution contained in the underwriting agreement entered into in connection with the underwritten public offering are in conflict with the foregoing provisions, the provisions in the underwriting agreement shall control</w:t>
      </w:r>
      <w:r w:rsidRPr="00CF55D2" w:rsidR="003174C2">
        <w:rPr>
          <w:szCs w:val="24"/>
        </w:rPr>
        <w:t xml:space="preserve">; </w:t>
      </w:r>
      <w:r w:rsidRPr="00CF55D2" w:rsidR="003174C2">
        <w:rPr>
          <w:szCs w:val="24"/>
          <w:u w:val="words"/>
        </w:rPr>
        <w:t>provided</w:t>
      </w:r>
      <w:r w:rsidRPr="0043440B" w:rsidR="003174C2">
        <w:rPr>
          <w:szCs w:val="24"/>
        </w:rPr>
        <w:t>,</w:t>
      </w:r>
      <w:r w:rsidRPr="00CF55D2" w:rsidR="003174C2">
        <w:rPr>
          <w:szCs w:val="24"/>
          <w:u w:val="words"/>
        </w:rPr>
        <w:t xml:space="preserve"> however</w:t>
      </w:r>
      <w:r w:rsidRPr="00CF55D2" w:rsidR="003174C2">
        <w:rPr>
          <w:szCs w:val="24"/>
        </w:rPr>
        <w:t>, that any matter expressly provided for or addressed by the foregoing provisions that is not expressly provided for or addressed by the underwriting agreement shall be controlled by the foregoing provisions</w:t>
      </w:r>
      <w:r>
        <w:t>.]</w:t>
      </w:r>
      <w:bookmarkEnd w:id="180"/>
    </w:p>
    <w:p w:rsidR="00037C7E">
      <w:pPr>
        <w:pStyle w:val="StandardL3"/>
      </w:pPr>
      <w:bookmarkStart w:id="181" w:name="_Ref448380579"/>
      <w:r>
        <w:t xml:space="preserve">Unless otherwise superseded by an underwriting agreement entered into in connection with the underwritten public offering, the obligations of the Company and Holders under this </w:t>
      </w:r>
      <w:r w:rsidR="003174C2">
        <w:rPr>
          <w:u w:val="single"/>
        </w:rPr>
        <w:t>S</w:t>
      </w:r>
      <w:r>
        <w:rPr>
          <w:u w:val="single"/>
        </w:rPr>
        <w:t xml:space="preserve">ection </w:t>
      </w:r>
      <w:r>
        <w:rPr>
          <w:u w:val="single"/>
        </w:rPr>
        <w:fldChar w:fldCharType="begin"/>
      </w:r>
      <w:r>
        <w:rPr>
          <w:u w:val="single"/>
        </w:rPr>
        <w:instrText xml:space="preserve">  REF _Ref448380573 \w \h \* MERGEFORMAT </w:instrText>
      </w:r>
      <w:r>
        <w:rPr>
          <w:u w:val="single"/>
        </w:rPr>
        <w:fldChar w:fldCharType="separate"/>
      </w:r>
      <w:r w:rsidRPr="00BC1FC7" w:rsidR="00BC1FC7">
        <w:rPr>
          <w:color w:val="000000"/>
          <w:u w:val="single"/>
        </w:rPr>
        <w:t>2.8</w:t>
      </w:r>
      <w:r>
        <w:rPr>
          <w:u w:val="single"/>
        </w:rPr>
        <w:fldChar w:fldCharType="end"/>
      </w:r>
      <w:r>
        <w:t xml:space="preserve"> shall survive the completion of any offering of Registrable Securities in a </w:t>
      </w:r>
      <w:r w:rsidR="00D82735">
        <w:t>registration</w:t>
      </w:r>
      <w:r>
        <w:t xml:space="preserve"> under this </w:t>
      </w:r>
      <w:r>
        <w:rPr>
          <w:u w:val="single"/>
        </w:rPr>
        <w:t xml:space="preserve">Section </w:t>
      </w:r>
      <w:r>
        <w:rPr>
          <w:u w:val="single"/>
        </w:rPr>
        <w:fldChar w:fldCharType="begin"/>
      </w:r>
      <w:r>
        <w:rPr>
          <w:u w:val="single"/>
        </w:rPr>
        <w:instrText xml:space="preserve"> REF _Ref448381679 \w \h </w:instrText>
      </w:r>
      <w:r>
        <w:rPr>
          <w:u w:val="single"/>
        </w:rPr>
        <w:fldChar w:fldCharType="separate"/>
      </w:r>
      <w:r w:rsidR="00BC1FC7">
        <w:rPr>
          <w:u w:val="single"/>
        </w:rPr>
        <w:t>2</w:t>
      </w:r>
      <w:r>
        <w:rPr>
          <w:u w:val="single"/>
        </w:rPr>
        <w:fldChar w:fldCharType="end"/>
      </w:r>
      <w:r>
        <w:t>, and otherwise shall survive the termination of this Agreement</w:t>
      </w:r>
      <w:r w:rsidR="003174C2">
        <w:t xml:space="preserve"> </w:t>
      </w:r>
      <w:r w:rsidRPr="00CF55D2" w:rsidR="003174C2">
        <w:rPr>
          <w:szCs w:val="24"/>
        </w:rPr>
        <w:t>or any provision(s) of this Agreement</w:t>
      </w:r>
      <w:r>
        <w:t>.</w:t>
      </w:r>
      <w:bookmarkEnd w:id="181"/>
    </w:p>
    <w:p w:rsidR="00037C7E">
      <w:pPr>
        <w:pStyle w:val="StandardL2"/>
      </w:pPr>
      <w:bookmarkStart w:id="182" w:name="_Ref448380580"/>
      <w:bookmarkStart w:id="183" w:name="_Toc56499771"/>
      <w:r>
        <w:t>Resale of Securities</w:t>
      </w:r>
      <w:r>
        <w:rPr>
          <w:snapToGrid w:val="0"/>
        </w:rPr>
        <w:t>.</w:t>
      </w:r>
      <w:bookmarkEnd w:id="182"/>
      <w:bookmarkEnd w:id="183"/>
    </w:p>
    <w:p w:rsidR="00037C7E">
      <w:pPr>
        <w:pStyle w:val="StandardL3"/>
      </w:pPr>
      <w:bookmarkStart w:id="184" w:name="_Ref448380581"/>
      <w:r>
        <w:t xml:space="preserve">With a view to making available to the Holders the benefits of SEC Rule </w:t>
      </w:r>
      <w:bookmarkStart w:id="185" w:name="DocXTextRef126"/>
      <w:r>
        <w:t>144</w:t>
      </w:r>
      <w:bookmarkEnd w:id="185"/>
      <w:r>
        <w:t xml:space="preserve"> and any other rule or regulation of the SEC that may at any time permit a Holder to sell securities of the Company to the public without </w:t>
      </w:r>
      <w:r w:rsidR="00D82735">
        <w:t>registration</w:t>
      </w:r>
      <w:r>
        <w:t xml:space="preserve"> or pursuant to a </w:t>
      </w:r>
      <w:r w:rsidR="00D82735">
        <w:t>registration</w:t>
      </w:r>
      <w:r>
        <w:t xml:space="preserve"> on Form S</w:t>
      </w:r>
      <w:r w:rsidRPr="005E1A53">
        <w:noBreakHyphen/>
      </w:r>
      <w:bookmarkStart w:id="186" w:name="DocXTextRef127"/>
      <w:r w:rsidRPr="005E1A53">
        <w:t>3</w:t>
      </w:r>
      <w:bookmarkEnd w:id="186"/>
      <w:r w:rsidRPr="005E1A53">
        <w:t xml:space="preserve"> or Form F-3, the Company shall, following a </w:t>
      </w:r>
      <w:r w:rsidRPr="005E1A53" w:rsidR="00D82735">
        <w:t>registration</w:t>
      </w:r>
      <w:r w:rsidRPr="005E1A53">
        <w:t xml:space="preserve"> under the Securities Act:</w:t>
      </w:r>
      <w:bookmarkEnd w:id="184"/>
    </w:p>
    <w:p w:rsidR="00037C7E">
      <w:pPr>
        <w:pStyle w:val="StandardL4"/>
      </w:pPr>
      <w:bookmarkStart w:id="187" w:name="_Ref448380582"/>
      <w:r>
        <w:t xml:space="preserve">make and keep </w:t>
      </w:r>
      <w:r>
        <w:rPr>
          <w:szCs w:val="16"/>
        </w:rPr>
        <w:t xml:space="preserve">available adequate current </w:t>
      </w:r>
      <w:r>
        <w:t xml:space="preserve">public information, as those terms are understood and defined in SEC Rule </w:t>
      </w:r>
      <w:bookmarkStart w:id="188" w:name="DocXTextRef128"/>
      <w:r>
        <w:t>144</w:t>
      </w:r>
      <w:bookmarkEnd w:id="188"/>
      <w:r>
        <w:t xml:space="preserve">, at all times after the effective date of the </w:t>
      </w:r>
      <w:r w:rsidR="00D82735">
        <w:t>registration statement</w:t>
      </w:r>
      <w:r>
        <w:t xml:space="preserve"> filed by the Company for the IPO;</w:t>
      </w:r>
      <w:bookmarkEnd w:id="187"/>
    </w:p>
    <w:p w:rsidR="00037C7E">
      <w:pPr>
        <w:pStyle w:val="StandardL4"/>
      </w:pPr>
      <w:bookmarkStart w:id="189" w:name="_Ref448380583"/>
      <w:r>
        <w:t>use commercially reasonable efforts to file with the SEC in a timely manner all reports and other documents required of the Company under the Securities Act and the Exchange Act (at any time after the Company has become subject to such reporting requirements); and</w:t>
      </w:r>
      <w:bookmarkEnd w:id="189"/>
    </w:p>
    <w:p w:rsidR="00037C7E">
      <w:pPr>
        <w:pStyle w:val="StandardL4"/>
      </w:pPr>
      <w:bookmarkStart w:id="190" w:name="_Ref448380584"/>
      <w:r>
        <w:t xml:space="preserve">furnish to any Holder, so long as the Holder owns any Registrable Securities, forthwith upon request </w:t>
      </w:r>
      <w:bookmarkStart w:id="191" w:name="DocXTextRef129"/>
      <w:r>
        <w:t>(i)</w:t>
      </w:r>
      <w:bookmarkEnd w:id="191"/>
      <w:r>
        <w:t xml:space="preserve"> </w:t>
      </w:r>
      <w:r>
        <w:rPr>
          <w:szCs w:val="16"/>
        </w:rPr>
        <w:t xml:space="preserve">to the extent accurate, </w:t>
      </w:r>
      <w:r>
        <w:t xml:space="preserve">a written statement by the Company that it has complied with the reporting requirements of SEC Rule </w:t>
      </w:r>
      <w:bookmarkStart w:id="192" w:name="DocXTextRef130"/>
      <w:r>
        <w:t>144</w:t>
      </w:r>
      <w:bookmarkEnd w:id="192"/>
      <w:r>
        <w:t xml:space="preserve"> (at any time after ninety (90) days after the effective date of the </w:t>
      </w:r>
      <w:r w:rsidR="00D82735">
        <w:t>registration statement</w:t>
      </w:r>
      <w:r>
        <w:t xml:space="preserve"> filed by the Company for the IPO), the Securities Act, and the Exchange Act (at any time after the Company has become subject to such reporting requirements), or that it qualifies as a registrant whose securities may be resold pursuant to Form S</w:t>
      </w:r>
      <w:r>
        <w:noBreakHyphen/>
      </w:r>
      <w:bookmarkStart w:id="193" w:name="DocXTextRef131"/>
      <w:r>
        <w:t>3</w:t>
      </w:r>
      <w:bookmarkEnd w:id="193"/>
      <w:r>
        <w:t xml:space="preserve"> or Form F-3 (at any time after the Company so qualifies); </w:t>
      </w:r>
      <w:r>
        <w:rPr>
          <w:szCs w:val="16"/>
        </w:rPr>
        <w:t>[</w:t>
      </w:r>
      <w:r>
        <w:t>(ii) a copy of the most recent annual or quarterly report of the Company and such other reports and documents so filed by the Company;</w:t>
      </w:r>
      <w:bookmarkStart w:id="194" w:name="_Ref448380696"/>
      <w:r>
        <w:rPr>
          <w:rStyle w:val="FootnoteReference"/>
        </w:rPr>
        <w:footnoteReference w:id="28"/>
      </w:r>
      <w:bookmarkEnd w:id="194"/>
      <w:r>
        <w:t xml:space="preserve">] and </w:t>
      </w:r>
      <w:bookmarkStart w:id="195" w:name="DocXTextRef132"/>
      <w:r>
        <w:t>(iii)</w:t>
      </w:r>
      <w:bookmarkEnd w:id="195"/>
      <w:r>
        <w:t xml:space="preserve"> such other information as may be reasonably requested in availing any Holder of any rule or regulation of the SEC that permits the selling of any such securities without </w:t>
      </w:r>
      <w:r w:rsidR="00D82735">
        <w:t>registration</w:t>
      </w:r>
      <w:r>
        <w:t xml:space="preserve"> (at any time after the Company has become subject to the reporting requirements under the Exchange Act) or pursuant to Form S</w:t>
      </w:r>
      <w:r>
        <w:noBreakHyphen/>
      </w:r>
      <w:bookmarkStart w:id="196" w:name="DocXTextRef133"/>
      <w:r>
        <w:t>3</w:t>
      </w:r>
      <w:bookmarkEnd w:id="196"/>
      <w:r>
        <w:t xml:space="preserve"> or Form F-3 (at any time after the Company so qualifies to use such form).</w:t>
      </w:r>
      <w:bookmarkEnd w:id="190"/>
    </w:p>
    <w:p w:rsidR="00037C7E">
      <w:pPr>
        <w:pStyle w:val="StandardL3"/>
      </w:pPr>
      <w:bookmarkStart w:id="197" w:name="_Ref448380585"/>
      <w:r>
        <w:t>At any time that a Holder seeks to rely on the provisions of National Instrument 45-102 or any successor instrument promulgated by the Canadian securities regulators ("</w:t>
      </w:r>
      <w:r>
        <w:rPr>
          <w:b/>
        </w:rPr>
        <w:t>NI 45-102</w:t>
      </w:r>
      <w:r>
        <w:t xml:space="preserve">") to resell its Registrable Securities under Canadian Securities Laws, the Company shall ensure that </w:t>
      </w:r>
      <w:r>
        <w:rPr>
          <w:b/>
        </w:rPr>
        <w:t xml:space="preserve"> </w:t>
      </w:r>
      <w:r>
        <w:t>the Company is not in default of Canadian Securities Laws of the Canadian jurisdictions in which the Company is a reporting issuer, and otherwise take such steps as are required to satisfy the other requirements of NI 45-102.</w:t>
      </w:r>
      <w:bookmarkEnd w:id="197"/>
    </w:p>
    <w:p w:rsidR="00037C7E">
      <w:pPr>
        <w:pStyle w:val="StandardL2"/>
      </w:pPr>
      <w:bookmarkStart w:id="198" w:name="_Ref448380586"/>
      <w:bookmarkStart w:id="199" w:name="_Toc56499772"/>
      <w:r>
        <w:t xml:space="preserve">Limitations on Subsequent </w:t>
      </w:r>
      <w:r w:rsidR="009D66BB">
        <w:t>R</w:t>
      </w:r>
      <w:r w:rsidR="00D82735">
        <w:t>egistration</w:t>
      </w:r>
      <w:r>
        <w:t xml:space="preserve"> Rights</w:t>
      </w:r>
      <w:r>
        <w:rPr>
          <w:snapToGrid w:val="0"/>
        </w:rPr>
        <w:t>.</w:t>
      </w:r>
      <w:bookmarkEnd w:id="198"/>
      <w:bookmarkEnd w:id="199"/>
    </w:p>
    <w:p w:rsidR="00037C7E">
      <w:pPr>
        <w:pStyle w:val="StandardCont2"/>
      </w:pPr>
      <w:r>
        <w:rPr>
          <w:snapToGrid w:val="0"/>
        </w:rPr>
        <w:t>From and after the date of this Agreement, the Company shall not, without the prior written consent of the Holders of [</w:t>
      </w:r>
      <w:r w:rsidRPr="00D82735" w:rsidR="00D15EAC">
        <w:rPr>
          <w:i/>
          <w:snapToGrid w:val="0"/>
        </w:rPr>
        <w:t>specify percentage</w:t>
      </w:r>
      <w:r>
        <w:rPr>
          <w:snapToGrid w:val="0"/>
        </w:rPr>
        <w:t>] the Registrable Securities then outstanding, enter into any agreement with any holder or prospective holder of any securities of the Company that would [</w:t>
      </w:r>
      <w:r w:rsidR="00D15EAC">
        <w:rPr>
          <w:snapToGrid w:val="0"/>
        </w:rPr>
        <w:t xml:space="preserve">(i) </w:t>
      </w:r>
      <w:r>
        <w:rPr>
          <w:snapToGrid w:val="0"/>
        </w:rPr>
        <w:t xml:space="preserve">provide to such holder </w:t>
      </w:r>
      <w:r w:rsidR="00D15EAC">
        <w:rPr>
          <w:snapToGrid w:val="0"/>
        </w:rPr>
        <w:t xml:space="preserve">or prospective holder </w:t>
      </w:r>
      <w:r>
        <w:rPr>
          <w:snapToGrid w:val="0"/>
        </w:rPr>
        <w:t xml:space="preserve">the right to include securities in any </w:t>
      </w:r>
      <w:r w:rsidR="00D82735">
        <w:rPr>
          <w:snapToGrid w:val="0"/>
        </w:rPr>
        <w:t>registration</w:t>
      </w:r>
      <w:r>
        <w:rPr>
          <w:snapToGrid w:val="0"/>
        </w:rPr>
        <w:t xml:space="preserve"> on other than either a pro rata basis with respect to the Registrable Securities or on a subordinate basis after all Holders have had the opportunity to include in the </w:t>
      </w:r>
      <w:r w:rsidR="00D82735">
        <w:rPr>
          <w:snapToGrid w:val="0"/>
        </w:rPr>
        <w:t>registration</w:t>
      </w:r>
      <w:r>
        <w:rPr>
          <w:snapToGrid w:val="0"/>
        </w:rPr>
        <w:t xml:space="preserve"> and offering all Registrable Securities that they wish to so include][</w:t>
      </w:r>
      <w:r w:rsidR="00D15EAC">
        <w:rPr>
          <w:snapToGrid w:val="0"/>
        </w:rPr>
        <w:t xml:space="preserve">(i) </w:t>
      </w:r>
      <w:r>
        <w:rPr>
          <w:snapToGrid w:val="0"/>
        </w:rPr>
        <w:t xml:space="preserve">allow such holder or prospective holder to include such securities in any </w:t>
      </w:r>
      <w:r w:rsidR="00D82735">
        <w:rPr>
          <w:snapToGrid w:val="0"/>
        </w:rPr>
        <w:t>registration</w:t>
      </w:r>
      <w:r>
        <w:rPr>
          <w:snapToGrid w:val="0"/>
        </w:rPr>
        <w:t xml:space="preserve"> unless, under the terms of such agreement, such holder or prospective holder may include such securities in any such </w:t>
      </w:r>
      <w:r w:rsidR="00D82735">
        <w:rPr>
          <w:snapToGrid w:val="0"/>
        </w:rPr>
        <w:t>registration</w:t>
      </w:r>
      <w:r>
        <w:rPr>
          <w:snapToGrid w:val="0"/>
        </w:rPr>
        <w:t xml:space="preserve"> only to the extent that the inclusion of such securities will not reduce the number of the Registrable Securities of the Holders that are included]; [or </w:t>
      </w:r>
      <w:bookmarkStart w:id="200" w:name="DocXTextRef137"/>
      <w:r>
        <w:rPr>
          <w:snapToGrid w:val="0"/>
        </w:rPr>
        <w:t>(ii)</w:t>
      </w:r>
      <w:bookmarkEnd w:id="200"/>
      <w:r>
        <w:rPr>
          <w:snapToGrid w:val="0"/>
        </w:rPr>
        <w:t xml:space="preserve"> allow such holder or prospective holder to initiate a demand for </w:t>
      </w:r>
      <w:r w:rsidR="00D82735">
        <w:rPr>
          <w:snapToGrid w:val="0"/>
        </w:rPr>
        <w:t>registration</w:t>
      </w:r>
      <w:r>
        <w:rPr>
          <w:snapToGrid w:val="0"/>
        </w:rPr>
        <w:t xml:space="preserve"> of any securities held by such holder or prospective holder]; provided that this limitation shall not apply to </w:t>
      </w:r>
      <w:r w:rsidR="00D15EAC">
        <w:rPr>
          <w:snapToGrid w:val="0"/>
        </w:rPr>
        <w:t xml:space="preserve">Registrable Securities acquired by </w:t>
      </w:r>
      <w:r>
        <w:rPr>
          <w:snapToGrid w:val="0"/>
        </w:rPr>
        <w:t xml:space="preserve">any </w:t>
      </w:r>
      <w:r>
        <w:rPr>
          <w:snapToGrid w:val="0"/>
          <w:szCs w:val="16"/>
        </w:rPr>
        <w:t>additional</w:t>
      </w:r>
      <w:r>
        <w:rPr>
          <w:snapToGrid w:val="0"/>
        </w:rPr>
        <w:t xml:space="preserve"> Investor </w:t>
      </w:r>
      <w:r w:rsidR="00D15EAC">
        <w:rPr>
          <w:snapToGrid w:val="0"/>
        </w:rPr>
        <w:t>that</w:t>
      </w:r>
      <w:r>
        <w:rPr>
          <w:snapToGrid w:val="0"/>
        </w:rPr>
        <w:t xml:space="preserve"> becomes a party to this Agreement in accordance with </w:t>
      </w:r>
      <w:r w:rsidR="00CB6909">
        <w:rPr>
          <w:snapToGrid w:val="0"/>
          <w:u w:val="single"/>
        </w:rPr>
        <w:t>S</w:t>
      </w:r>
      <w:r w:rsidRPr="00943197">
        <w:rPr>
          <w:snapToGrid w:val="0"/>
          <w:u w:val="single"/>
        </w:rPr>
        <w:t>ection</w:t>
      </w:r>
      <w:r w:rsidRPr="00943197">
        <w:rPr>
          <w:snapToGrid w:val="0"/>
          <w:szCs w:val="16"/>
          <w:u w:val="single"/>
        </w:rPr>
        <w:t xml:space="preserve"> </w:t>
      </w:r>
      <w:r w:rsidRPr="00943197">
        <w:rPr>
          <w:snapToGrid w:val="0"/>
          <w:szCs w:val="16"/>
          <w:u w:val="single"/>
        </w:rPr>
        <w:fldChar w:fldCharType="begin"/>
      </w:r>
      <w:r w:rsidRPr="00943197">
        <w:rPr>
          <w:snapToGrid w:val="0"/>
          <w:szCs w:val="16"/>
          <w:u w:val="single"/>
        </w:rPr>
        <w:instrText xml:space="preserve">  REF _Ref448380667 \w \h \* MERGEFORMAT </w:instrText>
      </w:r>
      <w:r w:rsidRPr="00943197">
        <w:rPr>
          <w:snapToGrid w:val="0"/>
          <w:szCs w:val="16"/>
          <w:u w:val="single"/>
        </w:rPr>
        <w:fldChar w:fldCharType="separate"/>
      </w:r>
      <w:r w:rsidRPr="00BC1FC7" w:rsidR="00BC1FC7">
        <w:rPr>
          <w:snapToGrid w:val="0"/>
          <w:color w:val="000000"/>
          <w:szCs w:val="16"/>
          <w:u w:val="single"/>
        </w:rPr>
        <w:t>6.9</w:t>
      </w:r>
      <w:r w:rsidRPr="00943197">
        <w:rPr>
          <w:snapToGrid w:val="0"/>
          <w:szCs w:val="16"/>
          <w:u w:val="single"/>
        </w:rPr>
        <w:fldChar w:fldCharType="end"/>
      </w:r>
      <w:r>
        <w:rPr>
          <w:snapToGrid w:val="0"/>
          <w:szCs w:val="16"/>
        </w:rPr>
        <w:t>.</w:t>
      </w:r>
      <w:bookmarkStart w:id="201" w:name="_Ref448380697"/>
      <w:r>
        <w:rPr>
          <w:rStyle w:val="FootnoteReference"/>
          <w:snapToGrid w:val="0"/>
          <w:color w:val="000000"/>
          <w:szCs w:val="16"/>
        </w:rPr>
        <w:footnoteReference w:id="29"/>
      </w:r>
      <w:bookmarkEnd w:id="201"/>
    </w:p>
    <w:p w:rsidR="00037C7E">
      <w:pPr>
        <w:pStyle w:val="StandardL2"/>
      </w:pPr>
      <w:bookmarkStart w:id="202" w:name="_Ref448380587"/>
      <w:bookmarkStart w:id="203" w:name="_Toc56499773"/>
      <w:r>
        <w:t>"Market Stand</w:t>
      </w:r>
      <w:r>
        <w:noBreakHyphen/>
        <w:t>off" Agreement</w:t>
      </w:r>
      <w:r>
        <w:rPr>
          <w:snapToGrid w:val="0"/>
        </w:rPr>
        <w:t>.</w:t>
      </w:r>
      <w:bookmarkStart w:id="204" w:name="_Ref448380698"/>
      <w:r>
        <w:rPr>
          <w:rStyle w:val="FootnoteReference"/>
          <w:snapToGrid w:val="0"/>
          <w:u w:val="none"/>
        </w:rPr>
        <w:footnoteReference w:id="30"/>
      </w:r>
      <w:bookmarkEnd w:id="202"/>
      <w:bookmarkEnd w:id="203"/>
      <w:bookmarkEnd w:id="204"/>
    </w:p>
    <w:p w:rsidR="00037C7E">
      <w:pPr>
        <w:pStyle w:val="StandardCont2"/>
      </w:pPr>
      <w:r>
        <w:rPr>
          <w:snapToGrid w:val="0"/>
        </w:rPr>
        <w:t xml:space="preserve">Each Holder hereby agrees that it will not, without the prior written consent of the managing underwriter, during the period commencing on the date of the final prospectus relating to the </w:t>
      </w:r>
      <w:r w:rsidR="00D82735">
        <w:rPr>
          <w:snapToGrid w:val="0"/>
          <w:szCs w:val="16"/>
        </w:rPr>
        <w:t>registration</w:t>
      </w:r>
      <w:r>
        <w:rPr>
          <w:snapToGrid w:val="0"/>
          <w:szCs w:val="16"/>
        </w:rPr>
        <w:t xml:space="preserve"> by the Company [for its own behalf] of its Common Shares or any other equity securities under</w:t>
      </w:r>
      <w:r>
        <w:rPr>
          <w:snapToGrid w:val="0"/>
        </w:rPr>
        <w:t xml:space="preserve"> the</w:t>
      </w:r>
      <w:r>
        <w:rPr>
          <w:snapToGrid w:val="0"/>
          <w:szCs w:val="16"/>
        </w:rPr>
        <w:t xml:space="preserve"> Securities Act on a</w:t>
      </w:r>
      <w:r>
        <w:rPr>
          <w:b/>
          <w:snapToGrid w:val="0"/>
        </w:rPr>
        <w:t xml:space="preserve"> </w:t>
      </w:r>
      <w:r w:rsidR="00D82735">
        <w:rPr>
          <w:snapToGrid w:val="0"/>
        </w:rPr>
        <w:t>registration statement</w:t>
      </w:r>
      <w:r>
        <w:rPr>
          <w:snapToGrid w:val="0"/>
        </w:rPr>
        <w:t xml:space="preserve"> </w:t>
      </w:r>
      <w:r w:rsidR="002A0A03">
        <w:rPr>
          <w:snapToGrid w:val="0"/>
        </w:rPr>
        <w:t>[</w:t>
      </w:r>
      <w:r>
        <w:rPr>
          <w:snapToGrid w:val="0"/>
          <w:szCs w:val="16"/>
        </w:rPr>
        <w:t>on Form S-1, Form F-1, Form S-3 or Form F-3 or under Canadian Securities Laws</w:t>
      </w:r>
      <w:r w:rsidR="002A0A03">
        <w:rPr>
          <w:snapToGrid w:val="0"/>
          <w:szCs w:val="16"/>
        </w:rPr>
        <w:t>]</w:t>
      </w:r>
      <w:r>
        <w:rPr>
          <w:snapToGrid w:val="0"/>
          <w:szCs w:val="16"/>
        </w:rPr>
        <w:t>,</w:t>
      </w:r>
      <w:r>
        <w:rPr>
          <w:snapToGrid w:val="0"/>
        </w:rPr>
        <w:t xml:space="preserve"> </w:t>
      </w:r>
      <w:r>
        <w:rPr>
          <w:snapToGrid w:val="0"/>
          <w:szCs w:val="16"/>
        </w:rPr>
        <w:t xml:space="preserve">and ending on the date specified by the Company and the managing underwriter (such period not to exceed one hundred eighty (180) days in the case of the IPO [or ninety (90) days in the case of any </w:t>
      </w:r>
      <w:r w:rsidR="00D82735">
        <w:rPr>
          <w:snapToGrid w:val="0"/>
          <w:szCs w:val="16"/>
        </w:rPr>
        <w:t>registration</w:t>
      </w:r>
      <w:r>
        <w:rPr>
          <w:snapToGrid w:val="0"/>
          <w:szCs w:val="16"/>
        </w:rPr>
        <w:t xml:space="preserve"> other than the IPO</w:t>
      </w:r>
      <w:r w:rsidR="00CB6909">
        <w:rPr>
          <w:snapToGrid w:val="0"/>
          <w:szCs w:val="16"/>
        </w:rPr>
        <w:t>]</w:t>
      </w:r>
      <w:bookmarkStart w:id="205" w:name="_Ref55162647"/>
      <w:r>
        <w:rPr>
          <w:rStyle w:val="FootnoteReference"/>
          <w:snapToGrid w:val="0"/>
          <w:szCs w:val="16"/>
        </w:rPr>
        <w:footnoteReference w:id="31"/>
      </w:r>
      <w:bookmarkEnd w:id="205"/>
      <w:r>
        <w:rPr>
          <w:snapToGrid w:val="0"/>
          <w:szCs w:val="16"/>
        </w:rPr>
        <w:t xml:space="preserve">[, or such other period as may be requested by the Company or an underwriter to accommodate regulatory restrictions on </w:t>
      </w:r>
      <w:bookmarkStart w:id="206" w:name="DocXTextRef145"/>
      <w:r>
        <w:rPr>
          <w:snapToGrid w:val="0"/>
          <w:szCs w:val="16"/>
        </w:rPr>
        <w:t>(1)</w:t>
      </w:r>
      <w:bookmarkEnd w:id="206"/>
      <w:r>
        <w:rPr>
          <w:snapToGrid w:val="0"/>
          <w:szCs w:val="16"/>
        </w:rPr>
        <w:t xml:space="preserve"> the publication or other distribution of research reports and </w:t>
      </w:r>
      <w:bookmarkStart w:id="207" w:name="DocXTextRef146"/>
      <w:r>
        <w:rPr>
          <w:snapToGrid w:val="0"/>
          <w:szCs w:val="16"/>
        </w:rPr>
        <w:t>(2)</w:t>
      </w:r>
      <w:bookmarkEnd w:id="207"/>
      <w:r>
        <w:rPr>
          <w:snapToGrid w:val="0"/>
          <w:szCs w:val="16"/>
        </w:rPr>
        <w:t xml:space="preserve"> analyst recommendations and opinions, including, but not limited to, the restrictions contained in</w:t>
      </w:r>
      <w:r w:rsidR="00880A95">
        <w:rPr>
          <w:snapToGrid w:val="0"/>
          <w:szCs w:val="16"/>
        </w:rPr>
        <w:t xml:space="preserve"> applicable</w:t>
      </w:r>
      <w:r>
        <w:rPr>
          <w:snapToGrid w:val="0"/>
          <w:szCs w:val="16"/>
        </w:rPr>
        <w:t xml:space="preserve"> FINRA </w:t>
      </w:r>
      <w:r w:rsidR="00880A95">
        <w:rPr>
          <w:snapToGrid w:val="0"/>
          <w:szCs w:val="16"/>
        </w:rPr>
        <w:t>rules</w:t>
      </w:r>
      <w:r>
        <w:rPr>
          <w:snapToGrid w:val="0"/>
          <w:szCs w:val="16"/>
        </w:rPr>
        <w:t xml:space="preserve">, or any successor provisions or amendments thereto], </w:t>
      </w:r>
      <w:bookmarkStart w:id="208" w:name="DocXTextRef148"/>
      <w:r>
        <w:rPr>
          <w:snapToGrid w:val="0"/>
        </w:rPr>
        <w:t>(i)</w:t>
      </w:r>
      <w:bookmarkEnd w:id="208"/>
      <w:r>
        <w:rPr>
          <w:snapToGrid w:val="0"/>
        </w:rPr>
        <w:t xml:space="preserve"> lend; offer; pledge; sell; contract to sell; sell any option or contract to purchase; purchase any option or contract to sell; grant any option, right, or warrant to purchase; or otherwise transfer or dispose of, directly or indirectly, any Common Shares or any securities convertible into or exercisable or exchangeable </w:t>
      </w:r>
      <w:r>
        <w:rPr>
          <w:snapToGrid w:val="0"/>
          <w:szCs w:val="16"/>
        </w:rPr>
        <w:t xml:space="preserve">(directly or indirectly) </w:t>
      </w:r>
      <w:r>
        <w:rPr>
          <w:snapToGrid w:val="0"/>
        </w:rPr>
        <w:t>for Common Shares held immediately</w:t>
      </w:r>
      <w:r>
        <w:rPr>
          <w:b/>
          <w:snapToGrid w:val="0"/>
        </w:rPr>
        <w:t xml:space="preserve"> </w:t>
      </w:r>
      <w:r>
        <w:rPr>
          <w:snapToGrid w:val="0"/>
        </w:rPr>
        <w:t xml:space="preserve">before the effective date of the </w:t>
      </w:r>
      <w:r w:rsidR="00D82735">
        <w:rPr>
          <w:snapToGrid w:val="0"/>
        </w:rPr>
        <w:t>registration statement</w:t>
      </w:r>
      <w:r>
        <w:rPr>
          <w:snapToGrid w:val="0"/>
        </w:rPr>
        <w:t xml:space="preserve"> for such offering</w:t>
      </w:r>
      <w:r>
        <w:rPr>
          <w:rStyle w:val="FootnoteReference"/>
          <w:snapToGrid w:val="0"/>
        </w:rPr>
        <w:footnoteReference w:id="32"/>
      </w:r>
      <w:r>
        <w:rPr>
          <w:b/>
          <w:snapToGrid w:val="0"/>
        </w:rPr>
        <w:t xml:space="preserve"> </w:t>
      </w:r>
      <w:r>
        <w:rPr>
          <w:snapToGrid w:val="0"/>
        </w:rPr>
        <w:t xml:space="preserve">or </w:t>
      </w:r>
      <w:bookmarkStart w:id="209" w:name="DocXTextRef149"/>
      <w:r>
        <w:rPr>
          <w:snapToGrid w:val="0"/>
        </w:rPr>
        <w:t>(ii)</w:t>
      </w:r>
      <w:bookmarkEnd w:id="209"/>
      <w:r>
        <w:rPr>
          <w:snapToGrid w:val="0"/>
        </w:rPr>
        <w:t xml:space="preserve"> enter into any swap or other arrangement that transfers to another, in whole or in part, any of the economic consequences of ownership of </w:t>
      </w:r>
      <w:r>
        <w:rPr>
          <w:snapToGrid w:val="0"/>
          <w:szCs w:val="16"/>
        </w:rPr>
        <w:t>such securities</w:t>
      </w:r>
      <w:r>
        <w:rPr>
          <w:snapToGrid w:val="0"/>
        </w:rPr>
        <w:t xml:space="preserve">, whether any such transaction described in clause </w:t>
      </w:r>
      <w:bookmarkStart w:id="210" w:name="DocXTextRef141"/>
      <w:r>
        <w:rPr>
          <w:snapToGrid w:val="0"/>
        </w:rPr>
        <w:t>(i)</w:t>
      </w:r>
      <w:bookmarkEnd w:id="210"/>
      <w:r>
        <w:rPr>
          <w:snapToGrid w:val="0"/>
        </w:rPr>
        <w:t xml:space="preserve"> or </w:t>
      </w:r>
      <w:bookmarkStart w:id="211" w:name="DocXTextRef150"/>
      <w:r>
        <w:rPr>
          <w:snapToGrid w:val="0"/>
        </w:rPr>
        <w:t>(ii)</w:t>
      </w:r>
      <w:bookmarkEnd w:id="211"/>
      <w:r>
        <w:rPr>
          <w:snapToGrid w:val="0"/>
        </w:rPr>
        <w:t xml:space="preserve"> above is to be settled by delivery of Common Shares or other securities, in cash, or otherwise. The foregoing provisions of this </w:t>
      </w:r>
      <w:r w:rsidR="00880A95">
        <w:rPr>
          <w:snapToGrid w:val="0"/>
          <w:u w:val="single"/>
        </w:rPr>
        <w:t>S</w:t>
      </w:r>
      <w:r>
        <w:rPr>
          <w:snapToGrid w:val="0"/>
          <w:u w:val="single"/>
        </w:rPr>
        <w:t xml:space="preserve">ection </w:t>
      </w:r>
      <w:r>
        <w:rPr>
          <w:snapToGrid w:val="0"/>
          <w:u w:val="single"/>
        </w:rPr>
        <w:fldChar w:fldCharType="begin"/>
      </w:r>
      <w:r>
        <w:rPr>
          <w:snapToGrid w:val="0"/>
          <w:u w:val="single"/>
        </w:rPr>
        <w:instrText xml:space="preserve">  REF _Ref448380587 \w \h \* MERGEFORMAT </w:instrText>
      </w:r>
      <w:r>
        <w:rPr>
          <w:snapToGrid w:val="0"/>
          <w:u w:val="single"/>
        </w:rPr>
        <w:fldChar w:fldCharType="separate"/>
      </w:r>
      <w:r w:rsidRPr="00BC1FC7" w:rsidR="00BC1FC7">
        <w:rPr>
          <w:snapToGrid w:val="0"/>
          <w:color w:val="000000"/>
          <w:u w:val="single"/>
        </w:rPr>
        <w:t>2.11</w:t>
      </w:r>
      <w:r>
        <w:rPr>
          <w:snapToGrid w:val="0"/>
          <w:u w:val="single"/>
        </w:rPr>
        <w:fldChar w:fldCharType="end"/>
      </w:r>
      <w:r>
        <w:rPr>
          <w:b/>
          <w:snapToGrid w:val="0"/>
        </w:rPr>
        <w:t xml:space="preserve"> </w:t>
      </w:r>
      <w:r>
        <w:rPr>
          <w:snapToGrid w:val="0"/>
          <w:szCs w:val="16"/>
        </w:rPr>
        <w:t>[</w:t>
      </w:r>
      <w:r>
        <w:rPr>
          <w:snapToGrid w:val="0"/>
        </w:rPr>
        <w:t>shall apply only to the IPO,</w:t>
      </w:r>
      <w:r>
        <w:rPr>
          <w:snapToGrid w:val="0"/>
          <w:szCs w:val="16"/>
        </w:rPr>
        <w:t>]</w:t>
      </w:r>
      <w:r>
        <w:rPr>
          <w:snapToGrid w:val="0"/>
        </w:rPr>
        <w:t xml:space="preserve"> shall not apply to the sale of any shares to an underwriter pursuant to an underwriting agreement</w:t>
      </w:r>
      <w:r w:rsidR="00880A95">
        <w:rPr>
          <w:snapToGrid w:val="0"/>
        </w:rPr>
        <w:t xml:space="preserve"> </w:t>
      </w:r>
      <w:r w:rsidRPr="00CF55D2" w:rsidR="00880A95">
        <w:rPr>
          <w:szCs w:val="24"/>
        </w:rPr>
        <w:t>[or to the establishment of a trading plan pursuant to Rule 10b5-1</w:t>
      </w:r>
      <w:r w:rsidR="007D192F">
        <w:rPr>
          <w:szCs w:val="24"/>
        </w:rPr>
        <w:t xml:space="preserve"> or similar trading plan under applicable Canadian Securities Laws</w:t>
      </w:r>
      <w:r w:rsidRPr="00CF55D2" w:rsidR="00880A95">
        <w:rPr>
          <w:szCs w:val="24"/>
        </w:rPr>
        <w:t xml:space="preserve">, </w:t>
      </w:r>
      <w:r w:rsidRPr="0043440B" w:rsidR="00880A95">
        <w:rPr>
          <w:szCs w:val="24"/>
          <w:u w:val="single"/>
        </w:rPr>
        <w:t>provided</w:t>
      </w:r>
      <w:r w:rsidRPr="00CF55D2" w:rsidR="00880A95">
        <w:rPr>
          <w:szCs w:val="24"/>
        </w:rPr>
        <w:t xml:space="preserve"> that such plan does not permit transfers during the restricted period]</w:t>
      </w:r>
      <w:r>
        <w:rPr>
          <w:snapToGrid w:val="0"/>
        </w:rPr>
        <w:t xml:space="preserve">, </w:t>
      </w:r>
      <w:r>
        <w:rPr>
          <w:snapToGrid w:val="0"/>
          <w:szCs w:val="16"/>
        </w:rPr>
        <w:t>[or the transfer of any shares to any trust for the direct or indirect benefit of the Holder or the immediate family of the Holder, provided that the trustee of the trust agrees to be bound in writing by the restrictions set forth herein, and provided further that any such transfer shall not involve a disposition for value,]</w:t>
      </w:r>
      <w:r>
        <w:rPr>
          <w:snapToGrid w:val="0"/>
          <w:szCs w:val="22"/>
        </w:rPr>
        <w:t xml:space="preserve"> and shall be applicable to the Holders only if all officers and directors are subject to the same restrictions [and the Company uses commercially reasonable efforts to obtain a similar agreement from all shareholders individually owning more than [one - five] percent ([1-5]%) of the Company's outstanding Common Shares (after giving effect to conversion into Common Shares of all outstanding [Class A] Preferred Shares)</w:t>
      </w:r>
      <w:bookmarkStart w:id="212" w:name="_Ref448380702"/>
      <w:r>
        <w:rPr>
          <w:rStyle w:val="FootnoteReference"/>
          <w:snapToGrid w:val="0"/>
          <w:szCs w:val="22"/>
        </w:rPr>
        <w:footnoteReference w:id="33"/>
      </w:r>
      <w:bookmarkEnd w:id="212"/>
      <w:r>
        <w:rPr>
          <w:snapToGrid w:val="0"/>
        </w:rPr>
        <w:t xml:space="preserve">]. The underwriters in connection with </w:t>
      </w:r>
      <w:r>
        <w:rPr>
          <w:snapToGrid w:val="0"/>
          <w:szCs w:val="16"/>
        </w:rPr>
        <w:t>such</w:t>
      </w:r>
      <w:r>
        <w:rPr>
          <w:snapToGrid w:val="0"/>
        </w:rPr>
        <w:t xml:space="preserve"> </w:t>
      </w:r>
      <w:r w:rsidR="00D82735">
        <w:rPr>
          <w:snapToGrid w:val="0"/>
          <w:szCs w:val="16"/>
        </w:rPr>
        <w:t>registration</w:t>
      </w:r>
      <w:r>
        <w:rPr>
          <w:snapToGrid w:val="0"/>
        </w:rPr>
        <w:t xml:space="preserve"> are intended third</w:t>
      </w:r>
      <w:r>
        <w:rPr>
          <w:snapToGrid w:val="0"/>
        </w:rPr>
        <w:noBreakHyphen/>
        <w:t xml:space="preserve">party beneficiaries of this </w:t>
      </w:r>
      <w:r w:rsidR="00D86894">
        <w:rPr>
          <w:snapToGrid w:val="0"/>
          <w:u w:val="single"/>
        </w:rPr>
        <w:t>S</w:t>
      </w:r>
      <w:r>
        <w:rPr>
          <w:snapToGrid w:val="0"/>
          <w:u w:val="single"/>
        </w:rPr>
        <w:t xml:space="preserve">ection </w:t>
      </w:r>
      <w:r>
        <w:rPr>
          <w:snapToGrid w:val="0"/>
          <w:u w:val="single"/>
        </w:rPr>
        <w:fldChar w:fldCharType="begin"/>
      </w:r>
      <w:r>
        <w:rPr>
          <w:snapToGrid w:val="0"/>
          <w:u w:val="single"/>
        </w:rPr>
        <w:instrText xml:space="preserve">  REF _Ref448380587 \w \h \* MERGEFORMAT </w:instrText>
      </w:r>
      <w:r>
        <w:rPr>
          <w:snapToGrid w:val="0"/>
          <w:u w:val="single"/>
        </w:rPr>
        <w:fldChar w:fldCharType="separate"/>
      </w:r>
      <w:r w:rsidRPr="00BC1FC7" w:rsidR="00BC1FC7">
        <w:rPr>
          <w:snapToGrid w:val="0"/>
          <w:color w:val="000000"/>
          <w:u w:val="single"/>
        </w:rPr>
        <w:t>2.11</w:t>
      </w:r>
      <w:r>
        <w:rPr>
          <w:snapToGrid w:val="0"/>
          <w:u w:val="single"/>
        </w:rPr>
        <w:fldChar w:fldCharType="end"/>
      </w:r>
      <w:r>
        <w:rPr>
          <w:snapToGrid w:val="0"/>
        </w:rPr>
        <w:t xml:space="preserve"> and shall have the right, power and authority to enforce the provisions hereof as though they were a party hereto. Each Holder further agrees to execute such agreements as may be reasonably requested by the underwriters in </w:t>
      </w:r>
      <w:r>
        <w:rPr>
          <w:snapToGrid w:val="0"/>
          <w:szCs w:val="16"/>
        </w:rPr>
        <w:t xml:space="preserve">connection with such </w:t>
      </w:r>
      <w:r w:rsidR="00D82735">
        <w:rPr>
          <w:snapToGrid w:val="0"/>
          <w:szCs w:val="16"/>
        </w:rPr>
        <w:t>registration</w:t>
      </w:r>
      <w:r>
        <w:rPr>
          <w:snapToGrid w:val="0"/>
        </w:rPr>
        <w:t xml:space="preserve"> that are consistent with this </w:t>
      </w:r>
      <w:r w:rsidR="00D86894">
        <w:rPr>
          <w:snapToGrid w:val="0"/>
          <w:u w:val="single"/>
        </w:rPr>
        <w:t>S</w:t>
      </w:r>
      <w:r>
        <w:rPr>
          <w:snapToGrid w:val="0"/>
          <w:u w:val="single"/>
        </w:rPr>
        <w:t xml:space="preserve">ection </w:t>
      </w:r>
      <w:r>
        <w:rPr>
          <w:snapToGrid w:val="0"/>
          <w:u w:val="single"/>
        </w:rPr>
        <w:fldChar w:fldCharType="begin"/>
      </w:r>
      <w:r>
        <w:rPr>
          <w:snapToGrid w:val="0"/>
          <w:u w:val="single"/>
        </w:rPr>
        <w:instrText xml:space="preserve">  REF _Ref448380587 \w \h \* MERGEFORMAT </w:instrText>
      </w:r>
      <w:r>
        <w:rPr>
          <w:snapToGrid w:val="0"/>
          <w:u w:val="single"/>
        </w:rPr>
        <w:fldChar w:fldCharType="separate"/>
      </w:r>
      <w:r w:rsidRPr="00BC1FC7" w:rsidR="00BC1FC7">
        <w:rPr>
          <w:snapToGrid w:val="0"/>
          <w:color w:val="000000"/>
          <w:u w:val="single"/>
        </w:rPr>
        <w:t>2.11</w:t>
      </w:r>
      <w:r>
        <w:rPr>
          <w:snapToGrid w:val="0"/>
          <w:u w:val="single"/>
        </w:rPr>
        <w:fldChar w:fldCharType="end"/>
      </w:r>
      <w:r>
        <w:rPr>
          <w:snapToGrid w:val="0"/>
        </w:rPr>
        <w:t xml:space="preserve"> or that are necessary to give further effect thereto. [Any discretionary waiver or termination of the restrictions of any or all of such agreements by the Company or the underwriters shall apply pro rata to all </w:t>
      </w:r>
      <w:r w:rsidR="00D15EAC">
        <w:rPr>
          <w:snapToGrid w:val="0"/>
        </w:rPr>
        <w:t>Company shareholders</w:t>
      </w:r>
      <w:r w:rsidR="00107E43">
        <w:rPr>
          <w:snapToGrid w:val="0"/>
        </w:rPr>
        <w:t xml:space="preserve"> </w:t>
      </w:r>
      <w:r w:rsidR="00D15EAC">
        <w:rPr>
          <w:snapToGrid w:val="0"/>
        </w:rPr>
        <w:t xml:space="preserve">that are </w:t>
      </w:r>
      <w:r>
        <w:rPr>
          <w:snapToGrid w:val="0"/>
        </w:rPr>
        <w:t>subject to such agreements, based on the number of shares subject to such agreements[, except that, notwithstanding the foregoing, the Company and the underwriters may, in their sole discretion, waive or terminate these restrictions with respect to up to [______( )] Common Shares].]</w:t>
      </w:r>
      <w:bookmarkStart w:id="213" w:name="_Ref448380703"/>
      <w:r>
        <w:rPr>
          <w:rStyle w:val="FootnoteReference"/>
          <w:snapToGrid w:val="0"/>
        </w:rPr>
        <w:footnoteReference w:id="34"/>
      </w:r>
      <w:bookmarkEnd w:id="213"/>
    </w:p>
    <w:p w:rsidR="00037C7E">
      <w:pPr>
        <w:pStyle w:val="StandardL2"/>
      </w:pPr>
      <w:bookmarkStart w:id="214" w:name="_Ref448380588"/>
      <w:bookmarkStart w:id="215" w:name="_Toc56499774"/>
      <w:r>
        <w:t>Restrictions on Transfer</w:t>
      </w:r>
      <w:r>
        <w:rPr>
          <w:snapToGrid w:val="0"/>
        </w:rPr>
        <w:t>.</w:t>
      </w:r>
      <w:bookmarkStart w:id="216" w:name="_Ref448380704"/>
      <w:r>
        <w:rPr>
          <w:rStyle w:val="FootnoteReference"/>
          <w:snapToGrid w:val="0"/>
          <w:u w:val="none"/>
        </w:rPr>
        <w:footnoteReference w:id="35"/>
      </w:r>
      <w:bookmarkEnd w:id="214"/>
      <w:bookmarkEnd w:id="215"/>
      <w:bookmarkEnd w:id="216"/>
    </w:p>
    <w:p w:rsidR="00037C7E">
      <w:pPr>
        <w:pStyle w:val="StandardL3"/>
      </w:pPr>
      <w:bookmarkStart w:id="217" w:name="_Ref448380589"/>
      <w:r>
        <w:t xml:space="preserve">The [Class A] Preferred Shares and the Registrable Securities shall not be sold, pledged, or otherwise transferred, and the Company shall not recognize and shall issue stop-transfer instructions to its transfer agent with respect to any such sale, pledge, or transfer, except upon the conditions specified in this Agreement, which conditions are intended to ensure compliance with the provisions of the Securities Act and applicable Canadian Securities Laws. A transferring Holder will cause any proposed purchaser, pledgee, </w:t>
      </w:r>
      <w:r w:rsidR="00D86894">
        <w:t>or transferee of the [Class A] Preferred Shares</w:t>
      </w:r>
      <w:r>
        <w:t xml:space="preserve"> and the Registrable Securities held by such Holder to agree to take and hold such securities subject to the provisions and upon the conditions specified in this Agreement.</w:t>
      </w:r>
      <w:bookmarkEnd w:id="217"/>
      <w:r w:rsidR="00D86894">
        <w:t xml:space="preserve"> </w:t>
      </w:r>
      <w:r w:rsidRPr="00CF55D2" w:rsidR="00D86894">
        <w:rPr>
          <w:szCs w:val="24"/>
        </w:rPr>
        <w:t>[Notwithstanding the foregoing, the Company shall not require any transferee of shares pursuant to an effective registration statement or, following the IPO, SEC Rule 144</w:t>
      </w:r>
      <w:r w:rsidR="00D86894">
        <w:rPr>
          <w:szCs w:val="24"/>
        </w:rPr>
        <w:t xml:space="preserve"> or </w:t>
      </w:r>
      <w:r w:rsidR="00D86894">
        <w:t>NI 45-102</w:t>
      </w:r>
      <w:r w:rsidRPr="00CF55D2" w:rsidR="00D86894">
        <w:rPr>
          <w:szCs w:val="24"/>
        </w:rPr>
        <w:t>, in each case, to be bound by the terms of this Agreement.]</w:t>
      </w:r>
    </w:p>
    <w:p w:rsidR="00037C7E">
      <w:pPr>
        <w:pStyle w:val="StandardL3"/>
      </w:pPr>
      <w:bookmarkStart w:id="218" w:name="_Ref448380590"/>
      <w:r>
        <w:t xml:space="preserve">Each certificate, </w:t>
      </w:r>
      <w:r>
        <w:rPr>
          <w:szCs w:val="16"/>
        </w:rPr>
        <w:t xml:space="preserve">instrument, or book entry </w:t>
      </w:r>
      <w:r>
        <w:t xml:space="preserve">representing </w:t>
      </w:r>
      <w:bookmarkStart w:id="219" w:name="DocXTextRef159"/>
      <w:r>
        <w:t>(i)</w:t>
      </w:r>
      <w:bookmarkEnd w:id="219"/>
      <w:r>
        <w:t xml:space="preserve"> the [Class A] Preferred Shares, </w:t>
      </w:r>
      <w:bookmarkStart w:id="220" w:name="DocXTextRef160"/>
      <w:r>
        <w:t>(ii)</w:t>
      </w:r>
      <w:bookmarkEnd w:id="220"/>
      <w:r>
        <w:t xml:space="preserve"> the Registrable Securities, and </w:t>
      </w:r>
      <w:bookmarkStart w:id="221" w:name="DocXTextRef161"/>
      <w:r>
        <w:t>(iii)</w:t>
      </w:r>
      <w:bookmarkEnd w:id="221"/>
      <w:r>
        <w:t xml:space="preserve"> any other securities issued in respect of the securities referenced in clauses </w:t>
      </w:r>
      <w:bookmarkStart w:id="222" w:name="DocXTextRef158"/>
      <w:r>
        <w:t>(i)</w:t>
      </w:r>
      <w:bookmarkEnd w:id="222"/>
      <w:r>
        <w:t xml:space="preserve"> and </w:t>
      </w:r>
      <w:bookmarkStart w:id="223" w:name="DocXTextRef162"/>
      <w:r>
        <w:t>(ii)</w:t>
      </w:r>
      <w:bookmarkEnd w:id="223"/>
      <w:r>
        <w:t xml:space="preserve">, upon any stock split, stock dividend, recapitalization, merger, consolidation, or similar event, shall (unless otherwise permitted by the provisions of </w:t>
      </w:r>
      <w:r w:rsidR="00D86894">
        <w:rPr>
          <w:u w:val="single"/>
        </w:rPr>
        <w:t>S</w:t>
      </w:r>
      <w:r>
        <w:rPr>
          <w:u w:val="single"/>
        </w:rPr>
        <w:t xml:space="preserve">ection </w:t>
      </w:r>
      <w:r>
        <w:rPr>
          <w:u w:val="single"/>
        </w:rPr>
        <w:fldChar w:fldCharType="begin"/>
      </w:r>
      <w:r>
        <w:rPr>
          <w:u w:val="single"/>
        </w:rPr>
        <w:instrText xml:space="preserve">  REF _Ref448380591 \w \h \* MERGEFORMAT </w:instrText>
      </w:r>
      <w:r>
        <w:rPr>
          <w:u w:val="single"/>
        </w:rPr>
        <w:fldChar w:fldCharType="separate"/>
      </w:r>
      <w:r w:rsidRPr="00BC1FC7" w:rsidR="00BC1FC7">
        <w:rPr>
          <w:color w:val="000000"/>
          <w:u w:val="single"/>
        </w:rPr>
        <w:t>2.12(c)</w:t>
      </w:r>
      <w:r>
        <w:rPr>
          <w:u w:val="single"/>
        </w:rPr>
        <w:fldChar w:fldCharType="end"/>
      </w:r>
      <w:r>
        <w:t xml:space="preserve">) be notated with a legend </w:t>
      </w:r>
      <w:r>
        <w:rPr>
          <w:szCs w:val="16"/>
        </w:rPr>
        <w:t xml:space="preserve">substantially </w:t>
      </w:r>
      <w:r>
        <w:t>in the following form:</w:t>
      </w:r>
      <w:bookmarkEnd w:id="218"/>
    </w:p>
    <w:p w:rsidR="00037C7E">
      <w:pPr>
        <w:pStyle w:val="Quote"/>
      </w:pPr>
      <w:r>
        <w:t xml:space="preserve">UNLESS PERMITTED UNDER SECURITIES LEGISLATION, THE HOLDER OF THIS SECURITY MUST NOT TRADE THE SECURITY BEFORE THE DATE THAT IS 4 MONTHS AND A DAY AFTER THE LATER OF </w:t>
      </w:r>
      <w:bookmarkStart w:id="224" w:name="DocXTextRef163"/>
      <w:r>
        <w:t>(i)</w:t>
      </w:r>
      <w:bookmarkEnd w:id="224"/>
      <w:r>
        <w:t xml:space="preserve"> </w:t>
      </w:r>
      <w:r>
        <w:rPr>
          <w:i/>
        </w:rPr>
        <w:t>[insert the distribution date]</w:t>
      </w:r>
      <w:bookmarkStart w:id="225" w:name="_Ref448380705"/>
      <w:r>
        <w:rPr>
          <w:rStyle w:val="FootnoteReference"/>
          <w:szCs w:val="16"/>
        </w:rPr>
        <w:footnoteReference w:id="36"/>
      </w:r>
      <w:bookmarkEnd w:id="225"/>
      <w:r>
        <w:t xml:space="preserve"> AND </w:t>
      </w:r>
      <w:bookmarkStart w:id="227" w:name="DocXTextRef164"/>
      <w:r>
        <w:t>(ii)</w:t>
      </w:r>
      <w:bookmarkEnd w:id="227"/>
      <w:r>
        <w:t xml:space="preserve"> THE DATE THE COMPANY BECAME A REPORTING ISSUER IN ANY PROVINCE OR TERRITORY.</w:t>
      </w:r>
    </w:p>
    <w:p w:rsidR="00037C7E">
      <w:pPr>
        <w:pStyle w:val="Quote"/>
        <w:rPr>
          <w:color w:val="000000"/>
        </w:rPr>
      </w:pPr>
      <w:r>
        <w:t xml:space="preserve">THE SECURITIES REPRESENTED HEREBY HAVE BEEN ACQUIRED FOR INVESTMENT AND HAVE NOT BEEN REGISTERED UNDER THE SECURITIES ACT OF 1933. SUCH SHARES MAY NOT BE SOLD, PLEDGED, OR TRANSFERRED IN THE ABSENCE OF SUCH </w:t>
      </w:r>
      <w:r w:rsidR="00D15EAC">
        <w:t>REGISTRATION</w:t>
      </w:r>
      <w:r>
        <w:t xml:space="preserve"> OR A VALID EXEMPTION FROM THE </w:t>
      </w:r>
      <w:r w:rsidR="00D15EAC">
        <w:t>REGISTRATION</w:t>
      </w:r>
      <w:r>
        <w:t xml:space="preserve"> AND PROSPECTUS DELIVERY REQUIREMENTS OF SAID ACT.</w:t>
      </w:r>
    </w:p>
    <w:p w:rsidR="00037C7E">
      <w:pPr>
        <w:pStyle w:val="Qutoe"/>
        <w:spacing w:after="240"/>
        <w:rPr>
          <w:color w:val="000000"/>
        </w:rPr>
      </w:pPr>
      <w:r>
        <w:t>THE SECURITIES REPRESENTED HEREBY MAY BE TRANSFERRED ONLY IN ACCORDANCE WITH THE TERMS OF AN AGREEMENT BETWEEN THE COMPANY AND THE SHAREHOLDER, A COPY OF WHICH IS ON FILE WITH THE SECRETARY OF THE COMPANY.</w:t>
      </w:r>
    </w:p>
    <w:p w:rsidR="00037C7E">
      <w:pPr>
        <w:pStyle w:val="StandardCont2"/>
      </w:pPr>
      <w:r>
        <w:t xml:space="preserve">The Holders consent to the Company making a notation in its records and giving instructions to any transfer agent of the Restricted Securities in order to implement the restrictions on transfer set forth in this </w:t>
      </w:r>
      <w:r w:rsidR="00D86894">
        <w:rPr>
          <w:u w:val="single"/>
        </w:rPr>
        <w:t>S</w:t>
      </w:r>
      <w:r>
        <w:rPr>
          <w:u w:val="single"/>
        </w:rPr>
        <w:t xml:space="preserve">ection </w:t>
      </w:r>
      <w:r>
        <w:rPr>
          <w:u w:val="single"/>
        </w:rPr>
        <w:fldChar w:fldCharType="begin"/>
      </w:r>
      <w:r>
        <w:rPr>
          <w:u w:val="single"/>
        </w:rPr>
        <w:instrText xml:space="preserve">  REF _Ref448380588 \w \h \* MERGEFORMAT </w:instrText>
      </w:r>
      <w:r>
        <w:rPr>
          <w:u w:val="single"/>
        </w:rPr>
        <w:fldChar w:fldCharType="separate"/>
      </w:r>
      <w:r w:rsidRPr="00BC1FC7" w:rsidR="00BC1FC7">
        <w:rPr>
          <w:color w:val="000000"/>
          <w:u w:val="single"/>
        </w:rPr>
        <w:t>2.12</w:t>
      </w:r>
      <w:r>
        <w:rPr>
          <w:u w:val="single"/>
        </w:rPr>
        <w:fldChar w:fldCharType="end"/>
      </w:r>
      <w:r>
        <w:rPr>
          <w:szCs w:val="16"/>
        </w:rPr>
        <w:t>.</w:t>
      </w:r>
    </w:p>
    <w:p w:rsidR="00037C7E">
      <w:pPr>
        <w:pStyle w:val="StandardL3"/>
      </w:pPr>
      <w:bookmarkStart w:id="228" w:name="_Ref448380591"/>
      <w:r>
        <w:t xml:space="preserve">The holder of such Restricted Securities, by acceptance of ownership thereof, agrees to comply in all respects with the provisions of this </w:t>
      </w:r>
      <w:r>
        <w:rPr>
          <w:snapToGrid w:val="0"/>
          <w:u w:val="single"/>
        </w:rPr>
        <w:t xml:space="preserve">Section </w:t>
      </w:r>
      <w:r>
        <w:rPr>
          <w:snapToGrid w:val="0"/>
          <w:u w:val="single"/>
        </w:rPr>
        <w:fldChar w:fldCharType="begin"/>
      </w:r>
      <w:r>
        <w:rPr>
          <w:snapToGrid w:val="0"/>
          <w:u w:val="single"/>
        </w:rPr>
        <w:instrText xml:space="preserve"> REF _Ref448381565 \w \h </w:instrText>
      </w:r>
      <w:r>
        <w:rPr>
          <w:snapToGrid w:val="0"/>
          <w:u w:val="single"/>
        </w:rPr>
        <w:fldChar w:fldCharType="separate"/>
      </w:r>
      <w:r w:rsidR="00BC1FC7">
        <w:rPr>
          <w:snapToGrid w:val="0"/>
          <w:u w:val="single"/>
        </w:rPr>
        <w:t>2</w:t>
      </w:r>
      <w:r>
        <w:rPr>
          <w:snapToGrid w:val="0"/>
          <w:u w:val="single"/>
        </w:rPr>
        <w:fldChar w:fldCharType="end"/>
      </w:r>
      <w:r>
        <w:t xml:space="preserve">. Before any proposed sale, pledge, or transfer of any Restricted Securities, unless there is in effect a </w:t>
      </w:r>
      <w:r w:rsidR="00D82735">
        <w:t>registration statement</w:t>
      </w:r>
      <w:r>
        <w:t xml:space="preserve"> under the Securities Act or Canadian Securities Laws covering the proposed transaction</w:t>
      </w:r>
      <w:r w:rsidR="00D86894">
        <w:t xml:space="preserve"> </w:t>
      </w:r>
      <w:r w:rsidRPr="00CF55D2" w:rsidR="00D86894">
        <w:rPr>
          <w:szCs w:val="24"/>
        </w:rPr>
        <w:t xml:space="preserve">[or following the IPO, the transfer is made pursuant to </w:t>
      </w:r>
      <w:r w:rsidRPr="00EA471D" w:rsidR="00D86894">
        <w:rPr>
          <w:szCs w:val="24"/>
        </w:rPr>
        <w:t>SEC Rule 144 or NI 45-102]</w:t>
      </w:r>
      <w:r w:rsidRPr="00EA471D">
        <w:t>, the Holder thereof shall give notice to the Company of such Holder's intention to effect such sale, pledge, or transfer</w:t>
      </w:r>
      <w:bookmarkStart w:id="229" w:name="_cp_text_1_74"/>
      <w:r w:rsidRPr="00EA471D" w:rsidR="00D86894">
        <w:rPr>
          <w:szCs w:val="24"/>
        </w:rPr>
        <w:t xml:space="preserve">[, </w:t>
      </w:r>
      <w:r w:rsidRPr="00EA471D" w:rsidR="00D86894">
        <w:rPr>
          <w:szCs w:val="24"/>
          <w:u w:val="single"/>
        </w:rPr>
        <w:t>provided</w:t>
      </w:r>
      <w:r w:rsidRPr="00EA471D" w:rsidR="00D86894">
        <w:rPr>
          <w:szCs w:val="24"/>
        </w:rPr>
        <w:t xml:space="preserve"> that no such notice shall be required in connection </w:t>
      </w:r>
      <w:r w:rsidR="007D192F">
        <w:rPr>
          <w:szCs w:val="24"/>
        </w:rPr>
        <w:t xml:space="preserve">therewith </w:t>
      </w:r>
      <w:r w:rsidRPr="00EA471D" w:rsidR="00D86894">
        <w:rPr>
          <w:szCs w:val="24"/>
        </w:rPr>
        <w:t>if the intended sale, pledge or transfer complies with SEC Rule 144 or NI 45-102]</w:t>
      </w:r>
      <w:bookmarkEnd w:id="229"/>
      <w:r w:rsidRPr="00EA471D">
        <w:t>. Each such notice shall describe the manner and circumstances of the proposed sale, pledge, or transfer</w:t>
      </w:r>
      <w:r>
        <w:t xml:space="preserve"> in sufficient detail and, if reasonably requested by the Company in respect of any Holder to whom US securities laws apply, shall be accompanied at such Holder's expense by either </w:t>
      </w:r>
      <w:bookmarkStart w:id="230" w:name="DocXTextRef170"/>
      <w:r>
        <w:t>(i)</w:t>
      </w:r>
      <w:bookmarkEnd w:id="230"/>
      <w:r>
        <w:t xml:space="preserve"> a written opinion of legal counsel who shall, and whose legal opinion shall, be reasonably satisfactory to the Company, addressed to the Company, to the effect that the proposed transaction may be effected without </w:t>
      </w:r>
      <w:r w:rsidR="00D82735">
        <w:t>registration</w:t>
      </w:r>
      <w:r>
        <w:t xml:space="preserve"> under the Securities Act; </w:t>
      </w:r>
      <w:bookmarkStart w:id="231" w:name="DocXTextRef171"/>
      <w:r>
        <w:t>(ii)</w:t>
      </w:r>
      <w:bookmarkEnd w:id="231"/>
      <w:r>
        <w:t xml:space="preserve"> a "no action" letter from the SEC to the effect that the proposed sale, pledge, or transfer of such Restricted Securities without </w:t>
      </w:r>
      <w:r w:rsidR="00D82735">
        <w:t>registration</w:t>
      </w:r>
      <w:r>
        <w:t xml:space="preserve"> will not result in a recommendation by the staff of the SEC that action be taken with respect thereto; or </w:t>
      </w:r>
      <w:bookmarkStart w:id="232" w:name="DocXTextRef172"/>
      <w:r>
        <w:t>(iii)</w:t>
      </w:r>
      <w:bookmarkEnd w:id="232"/>
      <w:r>
        <w:t xml:space="preserve"> any other evidence reasonably satisfactory to counsel to the Company to the effect that the proposed sale, pledge, or transfer of the Restricted Securities may be effected without </w:t>
      </w:r>
      <w:r w:rsidR="00D82735">
        <w:t>registration</w:t>
      </w:r>
      <w:r>
        <w:t xml:space="preserve"> under the Securities Act</w:t>
      </w:r>
      <w:r w:rsidR="007D192F">
        <w:t xml:space="preserve"> and applicable Canadian Securities Laws</w:t>
      </w:r>
      <w:r>
        <w:t xml:space="preserve">, whereupon the Holder of such Restricted Securities shall be entitled to sell, pledge, or transfer such Restricted Securities in accordance with the terms of the </w:t>
      </w:r>
      <w:r w:rsidRPr="00EA471D">
        <w:t>notice given by the Holder to the Company. The Company will not require such a</w:t>
      </w:r>
      <w:r w:rsidRPr="00EA471D" w:rsidR="00D86894">
        <w:t xml:space="preserve"> notice,</w:t>
      </w:r>
      <w:r w:rsidRPr="00EA471D">
        <w:t xml:space="preserve"> legal opinion or "no action" letter </w:t>
      </w:r>
      <w:bookmarkStart w:id="233" w:name="DocXTextRef173"/>
      <w:r w:rsidRPr="00EA471D">
        <w:t>(x)</w:t>
      </w:r>
      <w:bookmarkEnd w:id="233"/>
      <w:r w:rsidRPr="00EA471D">
        <w:t xml:space="preserve"> in any transaction in compliance with </w:t>
      </w:r>
      <w:r w:rsidRPr="00EA471D">
        <w:rPr>
          <w:szCs w:val="16"/>
        </w:rPr>
        <w:t xml:space="preserve">SEC </w:t>
      </w:r>
      <w:r w:rsidRPr="00EA471D">
        <w:t xml:space="preserve">Rule </w:t>
      </w:r>
      <w:bookmarkStart w:id="234" w:name="DocXTextRef174"/>
      <w:r w:rsidRPr="00EA471D">
        <w:t>144</w:t>
      </w:r>
      <w:bookmarkEnd w:id="234"/>
      <w:r w:rsidRPr="00EA471D" w:rsidR="00B915AD">
        <w:t xml:space="preserve"> </w:t>
      </w:r>
      <w:r w:rsidRPr="00EA471D" w:rsidR="00B915AD">
        <w:rPr>
          <w:szCs w:val="24"/>
        </w:rPr>
        <w:t>or NI 45-102</w:t>
      </w:r>
      <w:r w:rsidRPr="00EA471D">
        <w:t xml:space="preserve">; or </w:t>
      </w:r>
      <w:bookmarkStart w:id="235" w:name="DocXTextRef175"/>
      <w:r w:rsidRPr="00EA471D">
        <w:t>(y)</w:t>
      </w:r>
      <w:bookmarkEnd w:id="235"/>
      <w:r w:rsidRPr="00EA471D">
        <w:t xml:space="preserve"> in</w:t>
      </w:r>
      <w:r>
        <w:t xml:space="preserve"> any transaction in which such Holder distributes Restricted Securities to an Affiliate of such Holder for no consideration; </w:t>
      </w:r>
      <w:r>
        <w:rPr>
          <w:u w:val="single"/>
        </w:rPr>
        <w:t>provided</w:t>
      </w:r>
      <w:r>
        <w:t xml:space="preserve"> that </w:t>
      </w:r>
      <w:r w:rsidR="00B915AD">
        <w:t xml:space="preserve">[with respect to transfers under the foregoing clause (y),] </w:t>
      </w:r>
      <w:r>
        <w:t xml:space="preserve">each transferee agrees in writing to be subject to the terms of this </w:t>
      </w:r>
      <w:r w:rsidR="00B915AD">
        <w:rPr>
          <w:u w:val="single"/>
        </w:rPr>
        <w:t>S</w:t>
      </w:r>
      <w:r>
        <w:rPr>
          <w:u w:val="single"/>
        </w:rPr>
        <w:t xml:space="preserve">ection </w:t>
      </w:r>
      <w:r>
        <w:rPr>
          <w:u w:val="single"/>
        </w:rPr>
        <w:fldChar w:fldCharType="begin"/>
      </w:r>
      <w:r>
        <w:rPr>
          <w:u w:val="single"/>
        </w:rPr>
        <w:instrText xml:space="preserve">  REF _Ref448380588 \w \h \* MERGEFORMAT </w:instrText>
      </w:r>
      <w:r>
        <w:rPr>
          <w:u w:val="single"/>
        </w:rPr>
        <w:fldChar w:fldCharType="separate"/>
      </w:r>
      <w:r w:rsidRPr="00BC1FC7" w:rsidR="00BC1FC7">
        <w:rPr>
          <w:color w:val="000000"/>
          <w:u w:val="single"/>
        </w:rPr>
        <w:t>2.12</w:t>
      </w:r>
      <w:r>
        <w:rPr>
          <w:u w:val="single"/>
        </w:rPr>
        <w:fldChar w:fldCharType="end"/>
      </w:r>
      <w:r>
        <w:rPr>
          <w:szCs w:val="16"/>
        </w:rPr>
        <w:t xml:space="preserve">. </w:t>
      </w:r>
      <w:r>
        <w:t xml:space="preserve">Each certificate, </w:t>
      </w:r>
      <w:r>
        <w:rPr>
          <w:szCs w:val="16"/>
        </w:rPr>
        <w:t xml:space="preserve">instrument, or book entry </w:t>
      </w:r>
      <w:r>
        <w:t xml:space="preserve">representing the Restricted Securities transferred as above provided shall be notated with, except if such transfer is made pursuant to </w:t>
      </w:r>
      <w:r>
        <w:rPr>
          <w:szCs w:val="16"/>
        </w:rPr>
        <w:t xml:space="preserve">SEC </w:t>
      </w:r>
      <w:r>
        <w:t xml:space="preserve">Rule </w:t>
      </w:r>
      <w:bookmarkStart w:id="236" w:name="DocXTextRef176"/>
      <w:r>
        <w:t>144</w:t>
      </w:r>
      <w:bookmarkEnd w:id="236"/>
      <w:r>
        <w:t xml:space="preserve">, the appropriate restrictive legend set forth in </w:t>
      </w:r>
      <w:r w:rsidR="00B915AD">
        <w:rPr>
          <w:u w:val="single"/>
        </w:rPr>
        <w:t>S</w:t>
      </w:r>
      <w:r>
        <w:rPr>
          <w:u w:val="single"/>
        </w:rPr>
        <w:t xml:space="preserve">ection </w:t>
      </w:r>
      <w:r>
        <w:rPr>
          <w:u w:val="single"/>
        </w:rPr>
        <w:fldChar w:fldCharType="begin"/>
      </w:r>
      <w:r>
        <w:rPr>
          <w:u w:val="single"/>
        </w:rPr>
        <w:instrText xml:space="preserve">  REF _Ref448380590 \w \h \* MERGEFORMAT </w:instrText>
      </w:r>
      <w:r>
        <w:rPr>
          <w:u w:val="single"/>
        </w:rPr>
        <w:fldChar w:fldCharType="separate"/>
      </w:r>
      <w:r w:rsidRPr="00BC1FC7" w:rsidR="00BC1FC7">
        <w:rPr>
          <w:color w:val="000000"/>
          <w:u w:val="single"/>
        </w:rPr>
        <w:t>2.12(b)</w:t>
      </w:r>
      <w:r>
        <w:rPr>
          <w:u w:val="single"/>
        </w:rPr>
        <w:fldChar w:fldCharType="end"/>
      </w:r>
      <w:r>
        <w:t>, except that such certificate instrument, or book entry shall not be notated with such restrictive legend if, in the opinion of counsel for such Holder and the Company, such legend is not required in order to establish compliance with any provisions of the Securities Act.</w:t>
      </w:r>
      <w:bookmarkEnd w:id="228"/>
    </w:p>
    <w:p w:rsidR="00037C7E">
      <w:pPr>
        <w:pStyle w:val="StandardL2"/>
      </w:pPr>
      <w:bookmarkStart w:id="237" w:name="_Ref448380592"/>
      <w:bookmarkStart w:id="238" w:name="_Toc56499775"/>
      <w:r>
        <w:t xml:space="preserve">Termination of </w:t>
      </w:r>
      <w:r w:rsidR="009D66BB">
        <w:t>R</w:t>
      </w:r>
      <w:r w:rsidR="00D82735">
        <w:t>egistration</w:t>
      </w:r>
      <w:r>
        <w:t xml:space="preserve"> Rights</w:t>
      </w:r>
      <w:r>
        <w:rPr>
          <w:snapToGrid w:val="0"/>
        </w:rPr>
        <w:t>.</w:t>
      </w:r>
      <w:bookmarkEnd w:id="237"/>
      <w:bookmarkEnd w:id="238"/>
    </w:p>
    <w:p w:rsidR="00037C7E">
      <w:pPr>
        <w:pStyle w:val="StandardCont2"/>
      </w:pPr>
      <w:r>
        <w:rPr>
          <w:snapToGrid w:val="0"/>
        </w:rPr>
        <w:t xml:space="preserve">The right of any Holder to request </w:t>
      </w:r>
      <w:r w:rsidR="00D82735">
        <w:rPr>
          <w:snapToGrid w:val="0"/>
        </w:rPr>
        <w:t>registration</w:t>
      </w:r>
      <w:r>
        <w:rPr>
          <w:snapToGrid w:val="0"/>
        </w:rPr>
        <w:t xml:space="preserve"> or inclusion of Registrable Securities in any </w:t>
      </w:r>
      <w:r w:rsidR="00D82735">
        <w:rPr>
          <w:snapToGrid w:val="0"/>
        </w:rPr>
        <w:t>registration</w:t>
      </w:r>
      <w:r>
        <w:rPr>
          <w:snapToGrid w:val="0"/>
        </w:rPr>
        <w:t xml:space="preserve"> pursuant to </w:t>
      </w:r>
      <w:r w:rsidR="00B915AD">
        <w:rPr>
          <w:snapToGrid w:val="0"/>
          <w:u w:val="single"/>
        </w:rPr>
        <w:t>S</w:t>
      </w:r>
      <w:r>
        <w:rPr>
          <w:snapToGrid w:val="0"/>
          <w:u w:val="single"/>
        </w:rPr>
        <w:t xml:space="preserve">ections </w:t>
      </w:r>
      <w:r>
        <w:rPr>
          <w:snapToGrid w:val="0"/>
          <w:u w:val="single"/>
        </w:rPr>
        <w:fldChar w:fldCharType="begin"/>
      </w:r>
      <w:r>
        <w:rPr>
          <w:snapToGrid w:val="0"/>
          <w:u w:val="single"/>
        </w:rPr>
        <w:instrText xml:space="preserve">  REF _Ref448380548 \w \h \* MERGEFORMAT </w:instrText>
      </w:r>
      <w:r>
        <w:rPr>
          <w:snapToGrid w:val="0"/>
          <w:u w:val="single"/>
        </w:rPr>
        <w:fldChar w:fldCharType="separate"/>
      </w:r>
      <w:r w:rsidRPr="00BC1FC7" w:rsidR="00BC1FC7">
        <w:rPr>
          <w:snapToGrid w:val="0"/>
          <w:color w:val="000000"/>
          <w:u w:val="single"/>
        </w:rPr>
        <w:t>2.1</w:t>
      </w:r>
      <w:r>
        <w:rPr>
          <w:snapToGrid w:val="0"/>
          <w:u w:val="single"/>
        </w:rPr>
        <w:fldChar w:fldCharType="end"/>
      </w:r>
      <w:r>
        <w:rPr>
          <w:snapToGrid w:val="0"/>
        </w:rPr>
        <w:t xml:space="preserve"> or </w:t>
      </w:r>
      <w:r>
        <w:rPr>
          <w:snapToGrid w:val="0"/>
        </w:rPr>
        <w:fldChar w:fldCharType="begin"/>
      </w:r>
      <w:r>
        <w:rPr>
          <w:snapToGrid w:val="0"/>
        </w:rPr>
        <w:instrText xml:space="preserve">  REF _Ref448380554 \w \h \* MERGEFORMAT </w:instrText>
      </w:r>
      <w:r>
        <w:rPr>
          <w:snapToGrid w:val="0"/>
        </w:rPr>
        <w:fldChar w:fldCharType="separate"/>
      </w:r>
      <w:r w:rsidRPr="00BC1FC7" w:rsidR="00BC1FC7">
        <w:rPr>
          <w:snapToGrid w:val="0"/>
          <w:color w:val="000000"/>
        </w:rPr>
        <w:t>2.2</w:t>
      </w:r>
      <w:r>
        <w:rPr>
          <w:snapToGrid w:val="0"/>
        </w:rPr>
        <w:fldChar w:fldCharType="end"/>
      </w:r>
      <w:r>
        <w:rPr>
          <w:snapToGrid w:val="0"/>
        </w:rPr>
        <w:t xml:space="preserve"> shall terminate upon </w:t>
      </w:r>
      <w:r>
        <w:rPr>
          <w:snapToGrid w:val="0"/>
          <w:szCs w:val="16"/>
        </w:rPr>
        <w:t>[</w:t>
      </w:r>
      <w:r>
        <w:rPr>
          <w:snapToGrid w:val="0"/>
        </w:rPr>
        <w:t xml:space="preserve">the </w:t>
      </w:r>
      <w:r>
        <w:rPr>
          <w:snapToGrid w:val="0"/>
          <w:szCs w:val="16"/>
        </w:rPr>
        <w:t>earliest to occur</w:t>
      </w:r>
      <w:r>
        <w:rPr>
          <w:snapToGrid w:val="0"/>
        </w:rPr>
        <w:t xml:space="preserve"> of</w:t>
      </w:r>
      <w:r>
        <w:rPr>
          <w:snapToGrid w:val="0"/>
          <w:szCs w:val="16"/>
        </w:rPr>
        <w:t>]</w:t>
      </w:r>
      <w:r>
        <w:rPr>
          <w:snapToGrid w:val="0"/>
        </w:rPr>
        <w:t>:</w:t>
      </w:r>
    </w:p>
    <w:p w:rsidR="00037C7E">
      <w:pPr>
        <w:pStyle w:val="StandardL3"/>
      </w:pPr>
      <w:bookmarkStart w:id="239" w:name="_Ref448380593"/>
      <w:r>
        <w:t>[the closing of a Deemed Liquidation Event, as such term is defined in the Company's Articles</w:t>
      </w:r>
      <w:r w:rsidR="00B915AD">
        <w:t xml:space="preserve">, </w:t>
      </w:r>
      <w:r w:rsidRPr="000A1E16" w:rsidR="00B915AD">
        <w:rPr>
          <w:szCs w:val="24"/>
        </w:rPr>
        <w:t>[in which the consideration received by the Investors in such Deemed Liquidation Event is in the form of cash and/or publicly traded securities</w:t>
      </w:r>
      <w:r w:rsidRPr="009959BB" w:rsidR="00B915AD">
        <w:rPr>
          <w:szCs w:val="24"/>
        </w:rPr>
        <w:t xml:space="preserve">, or if the Investors receive </w:t>
      </w:r>
      <w:r w:rsidRPr="006370E7" w:rsidR="00B915AD">
        <w:rPr>
          <w:szCs w:val="24"/>
        </w:rPr>
        <w:t xml:space="preserve">registration rights from the acquiring company or other successor to the Company reasonably comparable to those set forth in </w:t>
      </w:r>
      <w:r w:rsidRPr="00B915AD" w:rsidR="00B915AD">
        <w:rPr>
          <w:szCs w:val="24"/>
        </w:rPr>
        <w:t xml:space="preserve">this </w:t>
      </w:r>
      <w:r w:rsidR="00B915AD">
        <w:rPr>
          <w:szCs w:val="24"/>
          <w:u w:val="single"/>
        </w:rPr>
        <w:t xml:space="preserve">Section </w:t>
      </w:r>
      <w:r w:rsidR="00B915AD">
        <w:rPr>
          <w:szCs w:val="24"/>
          <w:u w:val="single"/>
        </w:rPr>
        <w:fldChar w:fldCharType="begin"/>
      </w:r>
      <w:r w:rsidR="00B915AD">
        <w:rPr>
          <w:szCs w:val="24"/>
          <w:u w:val="single"/>
        </w:rPr>
        <w:instrText xml:space="preserve"> REF _Ref448381206 \r \h </w:instrText>
      </w:r>
      <w:r w:rsidR="00B915AD">
        <w:rPr>
          <w:szCs w:val="24"/>
          <w:u w:val="single"/>
        </w:rPr>
        <w:fldChar w:fldCharType="separate"/>
      </w:r>
      <w:r w:rsidR="00BC1FC7">
        <w:rPr>
          <w:szCs w:val="24"/>
          <w:u w:val="single"/>
        </w:rPr>
        <w:t>2</w:t>
      </w:r>
      <w:r w:rsidR="00B915AD">
        <w:rPr>
          <w:szCs w:val="24"/>
          <w:u w:val="single"/>
        </w:rPr>
        <w:fldChar w:fldCharType="end"/>
      </w:r>
      <w:r w:rsidRPr="008A3C4F" w:rsidR="00B915AD">
        <w:rPr>
          <w:szCs w:val="24"/>
          <w:u w:val="single"/>
        </w:rPr>
        <w:t>]</w:t>
      </w:r>
      <w:r>
        <w:t>;]</w:t>
      </w:r>
      <w:bookmarkEnd w:id="239"/>
    </w:p>
    <w:p w:rsidR="00037C7E">
      <w:pPr>
        <w:pStyle w:val="StandardL3"/>
        <w:rPr>
          <w:color w:val="000000"/>
        </w:rPr>
      </w:pPr>
      <w:bookmarkStart w:id="240" w:name="_Ref448380594"/>
      <w:r>
        <w:t>[such time</w:t>
      </w:r>
      <w:r w:rsidR="00D15EAC">
        <w:t xml:space="preserve"> after consummation of the IPO</w:t>
      </w:r>
      <w:r>
        <w:t xml:space="preserve"> as:</w:t>
      </w:r>
      <w:bookmarkEnd w:id="240"/>
    </w:p>
    <w:p w:rsidR="00037C7E">
      <w:pPr>
        <w:pStyle w:val="StandardL4"/>
        <w:rPr>
          <w:color w:val="000000"/>
        </w:rPr>
      </w:pPr>
      <w:bookmarkStart w:id="241" w:name="_Ref448380595"/>
      <w:r>
        <w:t xml:space="preserve">SEC </w:t>
      </w:r>
      <w:r w:rsidR="0041095D">
        <w:t xml:space="preserve">Rule </w:t>
      </w:r>
      <w:bookmarkStart w:id="242" w:name="DocXTextRef179"/>
      <w:r w:rsidR="0041095D">
        <w:t>144</w:t>
      </w:r>
      <w:bookmarkEnd w:id="242"/>
      <w:r w:rsidR="0041095D">
        <w:t>, Regulation S or another similar exemption under the Securities Act is available for the sale of</w:t>
      </w:r>
      <w:r w:rsidR="0041095D">
        <w:rPr>
          <w:b/>
        </w:rPr>
        <w:t xml:space="preserve"> </w:t>
      </w:r>
      <w:r w:rsidR="0041095D">
        <w:t>all of such Holder's shares without limitation</w:t>
      </w:r>
      <w:r>
        <w:t>,</w:t>
      </w:r>
      <w:r w:rsidR="0041095D">
        <w:t xml:space="preserve"> during a three</w:t>
      </w:r>
      <w:r>
        <w:t xml:space="preserve"> (3)</w:t>
      </w:r>
      <w:r w:rsidR="0041095D">
        <w:t xml:space="preserve">-month period without </w:t>
      </w:r>
      <w:r w:rsidR="00D82735">
        <w:t>registration</w:t>
      </w:r>
      <w:r>
        <w:t xml:space="preserve"> </w:t>
      </w:r>
      <w:r w:rsidRPr="00CD7BEE">
        <w:rPr>
          <w:szCs w:val="24"/>
        </w:rPr>
        <w:t xml:space="preserve">[(and without the requirement for the Company to be in compliance with the current public information required under </w:t>
      </w:r>
      <w:bookmarkStart w:id="243" w:name="_9kR3WTr2CC4BK77rqufv2y4t8"/>
      <w:r w:rsidRPr="00CD7BEE">
        <w:rPr>
          <w:szCs w:val="24"/>
        </w:rPr>
        <w:t>subsection (c)(1)</w:t>
      </w:r>
      <w:bookmarkEnd w:id="243"/>
      <w:r w:rsidRPr="00CD7BEE">
        <w:rPr>
          <w:szCs w:val="24"/>
        </w:rPr>
        <w:t xml:space="preserve"> of SEC Rule 144) and such Holder (together with its </w:t>
      </w:r>
      <w:r>
        <w:rPr>
          <w:szCs w:val="24"/>
        </w:rPr>
        <w:t>“</w:t>
      </w:r>
      <w:r w:rsidRPr="00CD7BEE">
        <w:rPr>
          <w:szCs w:val="24"/>
        </w:rPr>
        <w:t>affiliates</w:t>
      </w:r>
      <w:r>
        <w:rPr>
          <w:szCs w:val="24"/>
        </w:rPr>
        <w:t>”</w:t>
      </w:r>
      <w:r w:rsidRPr="00CD7BEE">
        <w:rPr>
          <w:szCs w:val="24"/>
        </w:rPr>
        <w:t xml:space="preserve"> determined under SEC Rule 144) holds less than one percent (1%) of the outstanding </w:t>
      </w:r>
      <w:r w:rsidR="00507C0B">
        <w:rPr>
          <w:szCs w:val="24"/>
        </w:rPr>
        <w:t>shares</w:t>
      </w:r>
      <w:r w:rsidRPr="00CD7BEE">
        <w:rPr>
          <w:szCs w:val="24"/>
        </w:rPr>
        <w:t xml:space="preserve"> of the Company]</w:t>
      </w:r>
      <w:r>
        <w:rPr>
          <w:rStyle w:val="FootnoteReference"/>
          <w:szCs w:val="24"/>
        </w:rPr>
        <w:footnoteReference w:id="37"/>
      </w:r>
      <w:r w:rsidR="0041095D">
        <w:t>; and</w:t>
      </w:r>
      <w:bookmarkEnd w:id="241"/>
    </w:p>
    <w:p w:rsidR="00037C7E">
      <w:pPr>
        <w:pStyle w:val="StandardL4"/>
        <w:rPr>
          <w:color w:val="000000"/>
        </w:rPr>
      </w:pPr>
      <w:bookmarkStart w:id="244" w:name="_Ref448380596"/>
      <w:r>
        <w:t>the sale of all such Holder's shares would not be a distribution under Section 2.5 or Section 2.6 of NI 45-102, and would not be a control distribution (as defined in NI 45-102); and]</w:t>
      </w:r>
      <w:bookmarkStart w:id="245" w:name="_Ref448380706"/>
      <w:r>
        <w:rPr>
          <w:rStyle w:val="FootnoteReference"/>
          <w:szCs w:val="16"/>
        </w:rPr>
        <w:footnoteReference w:id="38"/>
      </w:r>
      <w:bookmarkEnd w:id="244"/>
      <w:bookmarkEnd w:id="245"/>
    </w:p>
    <w:p w:rsidR="00037C7E">
      <w:pPr>
        <w:pStyle w:val="StandardL3"/>
      </w:pPr>
      <w:bookmarkStart w:id="255" w:name="_Ref448380597"/>
      <w:r>
        <w:t>the [</w:t>
      </w:r>
      <w:r w:rsidR="00330250">
        <w:t>third-fifth] ([3</w:t>
      </w:r>
      <w:r w:rsidRPr="00330250" w:rsidR="00330250">
        <w:rPr>
          <w:vertAlign w:val="superscript"/>
        </w:rPr>
        <w:t>rd</w:t>
      </w:r>
      <w:r w:rsidR="00330250">
        <w:t>-5</w:t>
      </w:r>
      <w:r w:rsidRPr="00330250" w:rsidR="00330250">
        <w:rPr>
          <w:vertAlign w:val="superscript"/>
        </w:rPr>
        <w:t>th</w:t>
      </w:r>
      <w:r w:rsidR="00330250">
        <w:t>]</w:t>
      </w:r>
      <w:r w:rsidR="00C364FE">
        <w:t>)</w:t>
      </w:r>
      <w:r w:rsidR="00330250">
        <w:t xml:space="preserve"> anniversary of the [IPO]</w:t>
      </w:r>
      <w:r w:rsidRPr="00CF55D2" w:rsidR="00330250">
        <w:rPr>
          <w:szCs w:val="24"/>
        </w:rPr>
        <w:t>[(or such later date that is one hundred eighty (180) days following the expiration of all deferrals of the Company</w:t>
      </w:r>
      <w:r w:rsidR="00330250">
        <w:rPr>
          <w:szCs w:val="24"/>
        </w:rPr>
        <w:t>’</w:t>
      </w:r>
      <w:r w:rsidRPr="00CF55D2" w:rsidR="00330250">
        <w:rPr>
          <w:szCs w:val="24"/>
        </w:rPr>
        <w:t xml:space="preserve">s obligations pursuant to </w:t>
      </w:r>
      <w:r w:rsidR="00294294">
        <w:rPr>
          <w:szCs w:val="24"/>
          <w:u w:val="single"/>
        </w:rPr>
        <w:t xml:space="preserve">Section </w:t>
      </w:r>
      <w:r w:rsidR="00294294">
        <w:rPr>
          <w:szCs w:val="24"/>
          <w:u w:val="single"/>
        </w:rPr>
        <w:fldChar w:fldCharType="begin"/>
      </w:r>
      <w:r w:rsidR="00294294">
        <w:rPr>
          <w:szCs w:val="24"/>
          <w:u w:val="single"/>
        </w:rPr>
        <w:instrText xml:space="preserve"> REF _Ref448381206 \r \h </w:instrText>
      </w:r>
      <w:r w:rsidR="00294294">
        <w:rPr>
          <w:szCs w:val="24"/>
          <w:u w:val="single"/>
        </w:rPr>
        <w:fldChar w:fldCharType="separate"/>
      </w:r>
      <w:r w:rsidR="00BC1FC7">
        <w:rPr>
          <w:szCs w:val="24"/>
          <w:u w:val="single"/>
        </w:rPr>
        <w:t>2</w:t>
      </w:r>
      <w:r w:rsidR="00294294">
        <w:rPr>
          <w:szCs w:val="24"/>
          <w:u w:val="single"/>
        </w:rPr>
        <w:fldChar w:fldCharType="end"/>
      </w:r>
      <w:r w:rsidRPr="00CF55D2" w:rsidR="00330250">
        <w:rPr>
          <w:szCs w:val="24"/>
        </w:rPr>
        <w:t xml:space="preserve"> that remain in effect as of the [third-fifth] </w:t>
      </w:r>
      <w:r w:rsidR="00330250">
        <w:rPr>
          <w:szCs w:val="24"/>
        </w:rPr>
        <w:t>([3</w:t>
      </w:r>
      <w:r w:rsidRPr="0078233A" w:rsidR="00330250">
        <w:rPr>
          <w:szCs w:val="24"/>
          <w:vertAlign w:val="superscript"/>
        </w:rPr>
        <w:t>rd</w:t>
      </w:r>
      <w:r w:rsidR="00330250">
        <w:rPr>
          <w:szCs w:val="24"/>
        </w:rPr>
        <w:t>-5</w:t>
      </w:r>
      <w:r w:rsidRPr="0078233A" w:rsidR="00330250">
        <w:rPr>
          <w:szCs w:val="24"/>
          <w:vertAlign w:val="superscript"/>
        </w:rPr>
        <w:t>th</w:t>
      </w:r>
      <w:r w:rsidR="00330250">
        <w:rPr>
          <w:szCs w:val="24"/>
        </w:rPr>
        <w:t>])</w:t>
      </w:r>
      <w:r w:rsidRPr="00CF55D2" w:rsidR="00330250">
        <w:rPr>
          <w:szCs w:val="24"/>
        </w:rPr>
        <w:t xml:space="preserve"> anniversary of the consummation of the IPO)]</w:t>
      </w:r>
      <w:r>
        <w:t>.</w:t>
      </w:r>
      <w:bookmarkEnd w:id="255"/>
    </w:p>
    <w:p w:rsidR="00037C7E">
      <w:pPr>
        <w:pStyle w:val="StandardL2"/>
      </w:pPr>
      <w:bookmarkStart w:id="256" w:name="_Ref448380598"/>
      <w:bookmarkStart w:id="257" w:name="_Toc56499776"/>
      <w:r>
        <w:t>Additional Rights - Canada</w:t>
      </w:r>
      <w:bookmarkEnd w:id="256"/>
      <w:bookmarkEnd w:id="257"/>
    </w:p>
    <w:p w:rsidR="00037C7E">
      <w:pPr>
        <w:pStyle w:val="StandardL3"/>
      </w:pPr>
      <w:bookmarkStart w:id="258" w:name="_Ref448380599"/>
      <w:r>
        <w:t>If:</w:t>
      </w:r>
      <w:bookmarkEnd w:id="258"/>
    </w:p>
    <w:p w:rsidR="00037C7E">
      <w:pPr>
        <w:pStyle w:val="StandardL4"/>
      </w:pPr>
      <w:bookmarkStart w:id="259" w:name="_Ref448380600"/>
      <w:r>
        <w:t>a public offering is completed under the Securities Act and such public offering is not also made pursuant to a Canadian prospectus in respect of which a receipt or decision document is issued by a Canadian securities regulator;</w:t>
      </w:r>
      <w:bookmarkEnd w:id="259"/>
    </w:p>
    <w:p w:rsidR="00037C7E">
      <w:pPr>
        <w:pStyle w:val="StandardL4"/>
      </w:pPr>
      <w:bookmarkStart w:id="260" w:name="_Ref448380601"/>
      <w:r>
        <w:t>Common Shares are listed on an exchange or quoted on a market outside of Canada;</w:t>
      </w:r>
      <w:bookmarkEnd w:id="260"/>
    </w:p>
    <w:p w:rsidR="00037C7E">
      <w:pPr>
        <w:pStyle w:val="StandardL4"/>
      </w:pPr>
      <w:bookmarkStart w:id="261" w:name="_Ref448380602"/>
      <w:r>
        <w:t>a Major Holder who is resident in a Canadian jurisdiction (a "</w:t>
      </w:r>
      <w:r>
        <w:rPr>
          <w:b/>
        </w:rPr>
        <w:t>Canadian Holder</w:t>
      </w:r>
      <w:r>
        <w:t>") is not permitted under the Canadian Securities Laws of such jurisdiction to sell its Registrable Securities on the exchange or market on which the Common Shares are listed or quoted without filing a prospectus under applicable Canadian Securities Laws; and</w:t>
      </w:r>
      <w:bookmarkEnd w:id="261"/>
    </w:p>
    <w:p w:rsidR="00037C7E">
      <w:pPr>
        <w:pStyle w:val="StandardL4"/>
      </w:pPr>
      <w:bookmarkStart w:id="262" w:name="_Ref448380603"/>
      <w:r>
        <w:t>the Canadian Holder provides a notice to the Company, not earlier than 180 days following the US public offering, that it wishes to sell Registrable Securities,</w:t>
      </w:r>
      <w:bookmarkEnd w:id="262"/>
    </w:p>
    <w:p w:rsidR="00037C7E">
      <w:pPr>
        <w:pStyle w:val="StandardCont3"/>
      </w:pPr>
      <w:r>
        <w:t>then the Company will either:</w:t>
      </w:r>
    </w:p>
    <w:p w:rsidR="00037C7E">
      <w:pPr>
        <w:pStyle w:val="StandardL5"/>
      </w:pPr>
      <w:bookmarkStart w:id="263" w:name="_Ref448380604"/>
      <w:r>
        <w:t>obtain, within 60 days following receipt by the Company of the notice from the Canadian Holder, discretionary exemptive relief from the applicable Canadian securities commissions permitting the sale of the Registrable Securities held by the Canadian Holder on the exchange or market on which the Common Shares are listed or quoted without filing a prospectus under applicable Canadian Securities Laws and otherwise subject to such conditions as may be imposed by the applicable Canadian securities regulators and as the Canadian Holder and the Company agree to, acting reasonably; or</w:t>
      </w:r>
      <w:bookmarkEnd w:id="263"/>
    </w:p>
    <w:p w:rsidR="00037C7E">
      <w:pPr>
        <w:pStyle w:val="StandardL5"/>
      </w:pPr>
      <w:bookmarkStart w:id="264" w:name="_Ref448380605"/>
      <w:r>
        <w:t>use commercially reasonable efforts to become a reporting issuer under the Canadian Securities Laws of any jurisdiction of Canada (at the Company's discretion) within 90 days following receipt by the Company of the notice from the Canadian Holder or as soon thereafter as is reasonably practicable.</w:t>
      </w:r>
      <w:bookmarkEnd w:id="264"/>
    </w:p>
    <w:p w:rsidR="00037C7E">
      <w:pPr>
        <w:pStyle w:val="StandardL2"/>
      </w:pPr>
      <w:bookmarkStart w:id="265" w:name="_Ref448380606"/>
      <w:bookmarkStart w:id="266" w:name="_Toc56499777"/>
      <w:r>
        <w:t>Additional Rights – United States</w:t>
      </w:r>
      <w:bookmarkEnd w:id="265"/>
      <w:bookmarkEnd w:id="266"/>
    </w:p>
    <w:p w:rsidR="00037C7E">
      <w:pPr>
        <w:pStyle w:val="StandardL3"/>
      </w:pPr>
      <w:bookmarkStart w:id="267" w:name="_Ref448380607"/>
      <w:r>
        <w:t>If:</w:t>
      </w:r>
      <w:bookmarkEnd w:id="267"/>
    </w:p>
    <w:p w:rsidR="00037C7E">
      <w:pPr>
        <w:pStyle w:val="StandardL4"/>
      </w:pPr>
      <w:bookmarkStart w:id="268" w:name="_Ref448380608"/>
      <w:r>
        <w:t xml:space="preserve">a public offering is completed under Canadian Securities Laws and such public offering is not also made pursuant to a </w:t>
      </w:r>
      <w:r w:rsidR="00D82735">
        <w:t>registration statement</w:t>
      </w:r>
      <w:r>
        <w:t xml:space="preserve"> declared effective by the SEC;</w:t>
      </w:r>
      <w:bookmarkEnd w:id="268"/>
    </w:p>
    <w:p w:rsidR="00037C7E">
      <w:pPr>
        <w:pStyle w:val="StandardL4"/>
      </w:pPr>
      <w:bookmarkStart w:id="269" w:name="_Ref448380609"/>
      <w:r>
        <w:t>Common Shares are listed on an exchange or quoted on a market outside of the United States;</w:t>
      </w:r>
      <w:bookmarkEnd w:id="269"/>
    </w:p>
    <w:p w:rsidR="00037C7E">
      <w:pPr>
        <w:pStyle w:val="StandardL4"/>
      </w:pPr>
      <w:bookmarkStart w:id="270" w:name="_Ref448380610"/>
      <w:r>
        <w:t>a Major Holder who is resident in the United States (a "</w:t>
      </w:r>
      <w:r>
        <w:rPr>
          <w:b/>
        </w:rPr>
        <w:t>US Holder</w:t>
      </w:r>
      <w:r>
        <w:t xml:space="preserve">") is not permitted under United States securities laws to sell its Registrable Securities on the exchange or market on which the Common Shares are listed or quoted without filing a </w:t>
      </w:r>
      <w:r w:rsidR="00D82735">
        <w:t>registration statement</w:t>
      </w:r>
      <w:r>
        <w:t xml:space="preserve"> under the Securities Act;</w:t>
      </w:r>
      <w:bookmarkEnd w:id="270"/>
    </w:p>
    <w:p w:rsidR="00037C7E">
      <w:pPr>
        <w:pStyle w:val="StandardL4"/>
      </w:pPr>
      <w:bookmarkStart w:id="271" w:name="_Ref448380611"/>
      <w:r>
        <w:t>the US Holder provides a written notice (the "</w:t>
      </w:r>
      <w:r>
        <w:rPr>
          <w:b/>
        </w:rPr>
        <w:t>Sale Notice</w:t>
      </w:r>
      <w:r>
        <w:t xml:space="preserve">") to the Company, not earlier than 180 days following the Canadian public offering, that it wishes to sell Registrable Securities and an opinion of counsel confirming that such US Holder is not permitted under United States securities laws to sell its Registrable Securities on the exchange or market on which the Common Shares are listed or quoted without filing a </w:t>
      </w:r>
      <w:r w:rsidR="00D82735">
        <w:t>registration statement</w:t>
      </w:r>
      <w:r>
        <w:t xml:space="preserve"> under the Securities Act; and</w:t>
      </w:r>
      <w:bookmarkEnd w:id="271"/>
    </w:p>
    <w:p w:rsidR="00037C7E">
      <w:pPr>
        <w:pStyle w:val="StandardL4"/>
      </w:pPr>
      <w:bookmarkStart w:id="272" w:name="_Ref448380612"/>
      <w:r>
        <w:t xml:space="preserve">the Company does not obtain, within 60 days following receipt by the Company of the Sale Notice, a no-action letter or similar relief from the SEC permitting the sale of the Registrable Securities held by the US Holder on the exchange or market on which the Common Shares are listed or quoted without filing a </w:t>
      </w:r>
      <w:r w:rsidR="00D82735">
        <w:t>registration statement</w:t>
      </w:r>
      <w:r>
        <w:t xml:space="preserve"> and otherwise subject to such conditions as may be imposed by the SEC and as the US Holder and the Company agree to, acting reasonably,</w:t>
      </w:r>
      <w:bookmarkEnd w:id="272"/>
    </w:p>
    <w:p w:rsidR="00037C7E">
      <w:pPr>
        <w:pStyle w:val="StandardCont3"/>
      </w:pPr>
      <w:r>
        <w:t>then the Company will, as promptly as practicable after (and in any case not later than 90 days following) receipt of the Sale Notice</w:t>
      </w:r>
      <w:r w:rsidR="00EA24FA">
        <w:t>,</w:t>
      </w:r>
      <w:r>
        <w:t xml:space="preserve"> file a </w:t>
      </w:r>
      <w:r w:rsidR="00D82735">
        <w:t>registration statement</w:t>
      </w:r>
      <w:r>
        <w:t xml:space="preserve"> under the Securities Act covering the Registrable Securities requested to be registered and use commercially reasonable efforts to effect such </w:t>
      </w:r>
      <w:r w:rsidR="00D82735">
        <w:t>registration</w:t>
      </w:r>
      <w:r>
        <w:t xml:space="preserve"> in a manner that would permit or facilitate the distribution of all or such portion of such Registrable Securities as are specified in the Sale Notice.</w:t>
      </w:r>
    </w:p>
    <w:p w:rsidR="001A7FF9" w:rsidP="001A7FF9">
      <w:pPr>
        <w:pStyle w:val="StandardL2"/>
      </w:pPr>
      <w:bookmarkStart w:id="273" w:name="_Toc56499778"/>
      <w:r>
        <w:t>Jurisdictional Limitations.</w:t>
      </w:r>
      <w:bookmarkEnd w:id="273"/>
      <w:r>
        <w:t xml:space="preserve"> </w:t>
      </w:r>
    </w:p>
    <w:p w:rsidR="00037C7E" w:rsidP="001A7FF9">
      <w:pPr>
        <w:pStyle w:val="BodyText-FLI-10"/>
        <w:ind w:firstLine="0"/>
      </w:pPr>
      <w:r w:rsidRPr="001A7FF9">
        <w:rPr>
          <w:rFonts w:eastAsia="Times New Roman" w:cs="Times New Roman"/>
          <w:snapToGrid w:val="0"/>
          <w:szCs w:val="20"/>
        </w:rPr>
        <w:t>The Company may determine whether the IPO will be undertaken solely in the United States, solely in Canada, or in both the</w:t>
      </w:r>
      <w:r>
        <w:t xml:space="preserve"> United States and Canada. If the IPO is undertaken solely in Canada, the Company may determine the provinces and territories in which the Company becomes a reporting issuer. Except pursuant to </w:t>
      </w:r>
      <w:r w:rsidR="00273322">
        <w:rPr>
          <w:u w:val="single"/>
        </w:rPr>
        <w:t>S</w:t>
      </w:r>
      <w:r w:rsidRPr="00943197">
        <w:rPr>
          <w:u w:val="single"/>
        </w:rPr>
        <w:t xml:space="preserve">ections </w:t>
      </w:r>
      <w:r w:rsidRPr="00943197">
        <w:rPr>
          <w:u w:val="single"/>
        </w:rPr>
        <w:fldChar w:fldCharType="begin"/>
      </w:r>
      <w:r w:rsidRPr="00943197">
        <w:rPr>
          <w:u w:val="single"/>
        </w:rPr>
        <w:instrText xml:space="preserve">  REF _Ref448380598 \w \h \* MERGEFORMAT </w:instrText>
      </w:r>
      <w:r w:rsidRPr="00943197">
        <w:rPr>
          <w:u w:val="single"/>
        </w:rPr>
        <w:fldChar w:fldCharType="separate"/>
      </w:r>
      <w:r w:rsidRPr="00BC1FC7" w:rsidR="00BC1FC7">
        <w:rPr>
          <w:color w:val="000000"/>
          <w:u w:val="single"/>
        </w:rPr>
        <w:t>2.14</w:t>
      </w:r>
      <w:r w:rsidRPr="00943197">
        <w:rPr>
          <w:u w:val="single"/>
        </w:rPr>
        <w:fldChar w:fldCharType="end"/>
      </w:r>
      <w:r>
        <w:t xml:space="preserve"> or </w:t>
      </w:r>
      <w:r w:rsidRPr="00943197">
        <w:rPr>
          <w:u w:val="single"/>
        </w:rPr>
        <w:fldChar w:fldCharType="begin"/>
      </w:r>
      <w:r w:rsidRPr="00943197">
        <w:rPr>
          <w:u w:val="single"/>
        </w:rPr>
        <w:instrText xml:space="preserve">  REF _Ref448380606 \w \h \* MERGEFORMAT </w:instrText>
      </w:r>
      <w:r w:rsidRPr="00943197">
        <w:rPr>
          <w:u w:val="single"/>
        </w:rPr>
        <w:fldChar w:fldCharType="separate"/>
      </w:r>
      <w:r w:rsidRPr="00BC1FC7" w:rsidR="00BC1FC7">
        <w:rPr>
          <w:color w:val="000000"/>
          <w:u w:val="single"/>
        </w:rPr>
        <w:t>2.15</w:t>
      </w:r>
      <w:r w:rsidRPr="00943197">
        <w:rPr>
          <w:u w:val="single"/>
        </w:rPr>
        <w:fldChar w:fldCharType="end"/>
      </w:r>
      <w:r>
        <w:t xml:space="preserve">, if the IPO is made solely in the United States, the Company is not required to file a </w:t>
      </w:r>
      <w:r w:rsidR="00D82735">
        <w:t>registration statement</w:t>
      </w:r>
      <w:r>
        <w:t xml:space="preserve"> in Canada in respect of any demand </w:t>
      </w:r>
      <w:r w:rsidR="00D82735">
        <w:t>registration</w:t>
      </w:r>
      <w:r>
        <w:t xml:space="preserve"> pursuant to </w:t>
      </w:r>
      <w:r w:rsidR="00273322">
        <w:rPr>
          <w:u w:val="single"/>
        </w:rPr>
        <w:t>S</w:t>
      </w:r>
      <w:r w:rsidRPr="00943197">
        <w:rPr>
          <w:u w:val="single"/>
        </w:rPr>
        <w:t xml:space="preserve">ections </w:t>
      </w:r>
      <w:r w:rsidRPr="00943197">
        <w:rPr>
          <w:u w:val="single"/>
        </w:rPr>
        <w:fldChar w:fldCharType="begin"/>
      </w:r>
      <w:r w:rsidRPr="00943197">
        <w:rPr>
          <w:u w:val="single"/>
        </w:rPr>
        <w:instrText xml:space="preserve">  REF _Ref448380549 \w \h \* MERGEFORMAT </w:instrText>
      </w:r>
      <w:r w:rsidRPr="00943197">
        <w:rPr>
          <w:u w:val="single"/>
        </w:rPr>
        <w:fldChar w:fldCharType="separate"/>
      </w:r>
      <w:r w:rsidRPr="00BC1FC7" w:rsidR="00BC1FC7">
        <w:rPr>
          <w:color w:val="000000"/>
          <w:u w:val="single"/>
        </w:rPr>
        <w:t>2.1(a)</w:t>
      </w:r>
      <w:r w:rsidRPr="00943197">
        <w:rPr>
          <w:u w:val="single"/>
        </w:rPr>
        <w:fldChar w:fldCharType="end"/>
      </w:r>
      <w:r>
        <w:t xml:space="preserve"> or </w:t>
      </w:r>
      <w:r w:rsidRPr="00943197">
        <w:rPr>
          <w:u w:val="single"/>
        </w:rPr>
        <w:fldChar w:fldCharType="begin"/>
      </w:r>
      <w:r w:rsidRPr="00943197">
        <w:rPr>
          <w:u w:val="single"/>
        </w:rPr>
        <w:instrText xml:space="preserve">  REF _Ref448380550 \w \h \* MERGEFORMAT </w:instrText>
      </w:r>
      <w:r w:rsidRPr="00943197">
        <w:rPr>
          <w:u w:val="single"/>
        </w:rPr>
        <w:fldChar w:fldCharType="separate"/>
      </w:r>
      <w:r w:rsidRPr="00BC1FC7" w:rsidR="00BC1FC7">
        <w:rPr>
          <w:color w:val="000000"/>
          <w:u w:val="single"/>
        </w:rPr>
        <w:t>2.1(b)</w:t>
      </w:r>
      <w:r w:rsidRPr="00943197">
        <w:rPr>
          <w:u w:val="single"/>
        </w:rPr>
        <w:fldChar w:fldCharType="end"/>
      </w:r>
      <w:r>
        <w:t xml:space="preserve">, and if the IPO is made solely in Canada, the Company is not required to file a </w:t>
      </w:r>
      <w:r w:rsidR="00D82735">
        <w:t>registration statement</w:t>
      </w:r>
      <w:r>
        <w:t xml:space="preserve"> in the United States, or in any province or territory in which the IPO was not undertaken, in respect of any demand </w:t>
      </w:r>
      <w:r w:rsidR="00D82735">
        <w:t>registration</w:t>
      </w:r>
      <w:r>
        <w:t xml:space="preserve"> pursuant to </w:t>
      </w:r>
      <w:r w:rsidR="00273322">
        <w:rPr>
          <w:u w:val="single"/>
        </w:rPr>
        <w:t>S</w:t>
      </w:r>
      <w:r w:rsidRPr="00943197">
        <w:rPr>
          <w:u w:val="single"/>
        </w:rPr>
        <w:t xml:space="preserve">ections </w:t>
      </w:r>
      <w:r w:rsidRPr="00943197">
        <w:rPr>
          <w:u w:val="single"/>
        </w:rPr>
        <w:fldChar w:fldCharType="begin"/>
      </w:r>
      <w:r w:rsidRPr="00943197">
        <w:rPr>
          <w:u w:val="single"/>
        </w:rPr>
        <w:instrText xml:space="preserve">  REF _Ref448380549 \w \h \* MERGEFORMAT </w:instrText>
      </w:r>
      <w:r w:rsidRPr="00943197">
        <w:rPr>
          <w:u w:val="single"/>
        </w:rPr>
        <w:fldChar w:fldCharType="separate"/>
      </w:r>
      <w:r w:rsidRPr="00BC1FC7" w:rsidR="00BC1FC7">
        <w:rPr>
          <w:color w:val="000000"/>
          <w:u w:val="single"/>
        </w:rPr>
        <w:t>2.1(a)</w:t>
      </w:r>
      <w:r w:rsidRPr="00943197">
        <w:rPr>
          <w:u w:val="single"/>
        </w:rPr>
        <w:fldChar w:fldCharType="end"/>
      </w:r>
      <w:r>
        <w:t xml:space="preserve"> or </w:t>
      </w:r>
      <w:r w:rsidRPr="00943197">
        <w:rPr>
          <w:u w:val="single"/>
        </w:rPr>
        <w:fldChar w:fldCharType="begin"/>
      </w:r>
      <w:r w:rsidRPr="00943197">
        <w:rPr>
          <w:u w:val="single"/>
        </w:rPr>
        <w:instrText xml:space="preserve">  REF _Ref448380550 \w \h \* MERGEFORMAT </w:instrText>
      </w:r>
      <w:r w:rsidRPr="00943197">
        <w:rPr>
          <w:u w:val="single"/>
        </w:rPr>
        <w:fldChar w:fldCharType="separate"/>
      </w:r>
      <w:r w:rsidRPr="00BC1FC7" w:rsidR="00BC1FC7">
        <w:rPr>
          <w:color w:val="000000"/>
          <w:u w:val="single"/>
        </w:rPr>
        <w:t>2.1(b)</w:t>
      </w:r>
      <w:r w:rsidRPr="00943197">
        <w:rPr>
          <w:u w:val="single"/>
        </w:rPr>
        <w:fldChar w:fldCharType="end"/>
      </w:r>
      <w:r>
        <w:t>.</w:t>
      </w:r>
    </w:p>
    <w:p w:rsidR="00037C7E">
      <w:pPr>
        <w:pStyle w:val="StandardL1"/>
        <w:keepNext/>
      </w:pPr>
      <w:bookmarkStart w:id="274" w:name="_Ref448380613"/>
      <w:bookmarkStart w:id="275" w:name="_Toc56499779"/>
      <w:r>
        <w:t>Information and Observer Rights</w:t>
      </w:r>
      <w:r>
        <w:rPr>
          <w:snapToGrid w:val="0"/>
        </w:rPr>
        <w:t>.</w:t>
      </w:r>
      <w:bookmarkEnd w:id="274"/>
      <w:bookmarkEnd w:id="275"/>
    </w:p>
    <w:p w:rsidR="00037C7E">
      <w:pPr>
        <w:pStyle w:val="StandardL2"/>
      </w:pPr>
      <w:bookmarkStart w:id="276" w:name="_Ref448380614"/>
      <w:bookmarkStart w:id="277" w:name="_Toc56499780"/>
      <w:r>
        <w:t>Delivery of Financial Statements</w:t>
      </w:r>
      <w:r>
        <w:rPr>
          <w:snapToGrid w:val="0"/>
        </w:rPr>
        <w:t>.</w:t>
      </w:r>
      <w:bookmarkEnd w:id="276"/>
      <w:bookmarkEnd w:id="277"/>
    </w:p>
    <w:p w:rsidR="00037C7E">
      <w:pPr>
        <w:pStyle w:val="StandardCont2"/>
      </w:pPr>
      <w:r>
        <w:rPr>
          <w:snapToGrid w:val="0"/>
        </w:rPr>
        <w:t>The Company shall deliver to each Major Investor</w:t>
      </w:r>
      <w:bookmarkStart w:id="278" w:name="_Ref448380707"/>
      <w:r>
        <w:rPr>
          <w:rStyle w:val="FootnoteReference"/>
          <w:snapToGrid w:val="0"/>
        </w:rPr>
        <w:footnoteReference w:id="39"/>
      </w:r>
      <w:bookmarkEnd w:id="278"/>
      <w:r>
        <w:rPr>
          <w:snapToGrid w:val="0"/>
        </w:rPr>
        <w:t xml:space="preserve"> [, provided that the Board of Directors has not reasonably determined that such Major Investor is a competitor of the Company</w:t>
      </w:r>
      <w:bookmarkStart w:id="279" w:name="_Ref448380708"/>
      <w:r>
        <w:rPr>
          <w:rStyle w:val="FootnoteReference"/>
          <w:snapToGrid w:val="0"/>
        </w:rPr>
        <w:footnoteReference w:id="40"/>
      </w:r>
      <w:bookmarkEnd w:id="279"/>
      <w:r>
        <w:rPr>
          <w:snapToGrid w:val="0"/>
        </w:rPr>
        <w:t>]:</w:t>
      </w:r>
    </w:p>
    <w:p w:rsidR="00037C7E">
      <w:pPr>
        <w:pStyle w:val="StandardL3"/>
      </w:pPr>
      <w:bookmarkStart w:id="280" w:name="_Ref448380615"/>
      <w:r>
        <w:t xml:space="preserve">as soon as practicable, but in any event within [ninety - one hundred twenty (90-120)] days after the end of each fiscal year of the Company </w:t>
      </w:r>
      <w:bookmarkStart w:id="281" w:name="DocXTextRef198"/>
      <w:r>
        <w:t>(i)</w:t>
      </w:r>
      <w:bookmarkEnd w:id="281"/>
      <w:r>
        <w:t xml:space="preserve"> a balance sheet as of the end of such year, (ii) statements of income and of cash flows for such year[, and a comparison between </w:t>
      </w:r>
      <w:bookmarkStart w:id="282" w:name="DocXTextRef199"/>
      <w:r>
        <w:t>(x)</w:t>
      </w:r>
      <w:bookmarkEnd w:id="282"/>
      <w:r>
        <w:t xml:space="preserve"> the actual amounts as of and for such fiscal year and </w:t>
      </w:r>
      <w:bookmarkStart w:id="283" w:name="DocXTextRef200"/>
      <w:r>
        <w:t>(y)</w:t>
      </w:r>
      <w:bookmarkEnd w:id="283"/>
      <w:r>
        <w:t xml:space="preserve"> the comparable amounts for the prior year and as included in the Budget (as defined in </w:t>
      </w:r>
      <w:r w:rsidR="00294294">
        <w:rPr>
          <w:u w:val="single"/>
        </w:rPr>
        <w:t>S</w:t>
      </w:r>
      <w:r>
        <w:rPr>
          <w:u w:val="single"/>
        </w:rPr>
        <w:t xml:space="preserve">ection </w:t>
      </w:r>
      <w:r>
        <w:rPr>
          <w:u w:val="single"/>
        </w:rPr>
        <w:fldChar w:fldCharType="begin"/>
      </w:r>
      <w:r>
        <w:rPr>
          <w:u w:val="single"/>
        </w:rPr>
        <w:instrText xml:space="preserve">  REF _Ref448380619 \w \h \* MERGEFORMAT </w:instrText>
      </w:r>
      <w:r>
        <w:rPr>
          <w:u w:val="single"/>
        </w:rPr>
        <w:fldChar w:fldCharType="separate"/>
      </w:r>
      <w:r w:rsidRPr="00BC1FC7" w:rsidR="00BC1FC7">
        <w:rPr>
          <w:color w:val="000000"/>
          <w:u w:val="single"/>
        </w:rPr>
        <w:t>3.1(e)</w:t>
      </w:r>
      <w:r>
        <w:rPr>
          <w:u w:val="single"/>
        </w:rPr>
        <w:fldChar w:fldCharType="end"/>
      </w:r>
      <w:r>
        <w:t xml:space="preserve">) for such year, with an explanation of any material differences between such amounts and a schedule as to the sources and applications of funds for such year], and </w:t>
      </w:r>
      <w:bookmarkStart w:id="284" w:name="DocXTextRef201"/>
      <w:r>
        <w:t>(iii)</w:t>
      </w:r>
      <w:bookmarkEnd w:id="284"/>
      <w:r>
        <w:t xml:space="preserve"> a statement of shareholders' equity as of the end of such year</w:t>
      </w:r>
      <w:r>
        <w:rPr>
          <w:szCs w:val="16"/>
        </w:rPr>
        <w:t>[</w:t>
      </w:r>
      <w:r>
        <w:t>,</w:t>
      </w:r>
      <w:r>
        <w:rPr>
          <w:szCs w:val="16"/>
        </w:rPr>
        <w:t xml:space="preserve"> all such financial statements</w:t>
      </w:r>
      <w:r>
        <w:t xml:space="preserve"> audited and accompanied by a report of independent auditors of </w:t>
      </w:r>
      <w:r>
        <w:rPr>
          <w:szCs w:val="16"/>
        </w:rPr>
        <w:t>[</w:t>
      </w:r>
      <w:r>
        <w:t>nationally</w:t>
      </w:r>
      <w:r>
        <w:rPr>
          <w:szCs w:val="16"/>
        </w:rPr>
        <w:t>][regionally]</w:t>
      </w:r>
      <w:r>
        <w:t xml:space="preserve"> recognized standing selected by the Company</w:t>
      </w:r>
      <w:r>
        <w:rPr>
          <w:szCs w:val="16"/>
        </w:rPr>
        <w:t>]</w:t>
      </w:r>
      <w:r>
        <w:t>;</w:t>
      </w:r>
      <w:bookmarkStart w:id="285" w:name="_Ref448380709"/>
      <w:r>
        <w:rPr>
          <w:rStyle w:val="FootnoteReference"/>
        </w:rPr>
        <w:footnoteReference w:id="41"/>
      </w:r>
      <w:bookmarkEnd w:id="280"/>
      <w:bookmarkEnd w:id="285"/>
    </w:p>
    <w:p w:rsidR="00037C7E">
      <w:pPr>
        <w:pStyle w:val="StandardL3"/>
      </w:pPr>
      <w:bookmarkStart w:id="286" w:name="_Ref448380616"/>
      <w:r>
        <w:t>as soon as practicable, but in any event within forty</w:t>
      </w:r>
      <w:r>
        <w:noBreakHyphen/>
        <w:t xml:space="preserve">five (45) days after the end of each </w:t>
      </w:r>
      <w:r w:rsidR="00294294">
        <w:t>quarter</w:t>
      </w:r>
      <w:r>
        <w:t xml:space="preserve"> of each fiscal year of the Company, unaudited statements of income and cash flows for such fiscal quarter, and an unaudited balance sheet [and a statement of shareholders' equity] as of the end of such fiscal quarter</w:t>
      </w:r>
      <w:r>
        <w:rPr>
          <w:szCs w:val="16"/>
        </w:rPr>
        <w:t xml:space="preserve">, all prepared in accordance with GAAP (except that such financial statements may (i) be subject to normal year-end audit adjustments; and </w:t>
      </w:r>
      <w:bookmarkStart w:id="287" w:name="DocXTextRef203"/>
      <w:r>
        <w:rPr>
          <w:szCs w:val="16"/>
        </w:rPr>
        <w:t>(ii)</w:t>
      </w:r>
      <w:bookmarkEnd w:id="287"/>
      <w:r>
        <w:rPr>
          <w:szCs w:val="16"/>
        </w:rPr>
        <w:t xml:space="preserve"> not contain all notes thereto that may be required in accordance with GAAP)</w:t>
      </w:r>
      <w:r>
        <w:t>;</w:t>
      </w:r>
      <w:bookmarkEnd w:id="286"/>
    </w:p>
    <w:p w:rsidR="00037C7E">
      <w:pPr>
        <w:pStyle w:val="StandardL3"/>
      </w:pPr>
      <w:bookmarkStart w:id="288" w:name="_Ref448380617"/>
      <w:r>
        <w:t>[as soon as practicable, but in any event within forty-five (45</w:t>
      </w:r>
      <w:r w:rsidR="00294294">
        <w:t xml:space="preserve">) days after the end of each quarter </w:t>
      </w:r>
      <w:r>
        <w:t xml:space="preserve">of each fiscal year of the Company, a statement showing the number of shares of each class and series and securities convertible into or exercisable for shares outstanding at the end of the period, the Common Shares issuable upon conversion or exercise of any outstanding securities convertible or exercisable for Common Shares and the exchange ratio or exercise price applicable thereto, and the number of </w:t>
      </w:r>
      <w:r w:rsidR="00EA24FA">
        <w:t xml:space="preserve">shares subject to </w:t>
      </w:r>
      <w:r>
        <w:t>issued stock options and stock options not yet issued but reserved for issuance, if any, all in sufficient detail as to permit the Major Investors to calculate their respective percentage equity ownership in the Company, and certified by the chief financial officer or chief executive officer of the Company as being true, complete, and correct;]</w:t>
      </w:r>
      <w:bookmarkEnd w:id="288"/>
    </w:p>
    <w:p w:rsidR="00037C7E">
      <w:pPr>
        <w:pStyle w:val="StandardL3"/>
        <w:rPr>
          <w:color w:val="000000"/>
          <w:szCs w:val="16"/>
        </w:rPr>
      </w:pPr>
      <w:bookmarkStart w:id="289" w:name="_Ref448380618"/>
      <w:r>
        <w:t xml:space="preserve">[as soon as practicable, but in any </w:t>
      </w:r>
      <w:r w:rsidR="00294294">
        <w:t>event within thirty (30) days after</w:t>
      </w:r>
      <w:r>
        <w:t xml:space="preserve"> the end of each month, an unaudited income statement </w:t>
      </w:r>
      <w:r>
        <w:rPr>
          <w:szCs w:val="16"/>
        </w:rPr>
        <w:t>[and statement of cash flows] for such month, and</w:t>
      </w:r>
      <w:r>
        <w:t xml:space="preserve"> an unaudited balance </w:t>
      </w:r>
      <w:r>
        <w:rPr>
          <w:szCs w:val="16"/>
        </w:rPr>
        <w:t>sheet [and</w:t>
      </w:r>
      <w:r>
        <w:t xml:space="preserve"> statement</w:t>
      </w:r>
      <w:r>
        <w:rPr>
          <w:szCs w:val="16"/>
        </w:rPr>
        <w:t xml:space="preserve"> of shareholders' equity] as of the end of such month, all prepared in accordance with GAAP (except that such financial statements may (i) be subject to normal year-end audit adjustments and </w:t>
      </w:r>
      <w:bookmarkStart w:id="290" w:name="DocXTextRef205"/>
      <w:r>
        <w:rPr>
          <w:szCs w:val="16"/>
        </w:rPr>
        <w:t>(ii)</w:t>
      </w:r>
      <w:bookmarkEnd w:id="290"/>
      <w:r>
        <w:rPr>
          <w:szCs w:val="16"/>
        </w:rPr>
        <w:t xml:space="preserve"> not contain all notes thereto that may be required in accordance with GAAP)</w:t>
      </w:r>
      <w:r>
        <w:t>;</w:t>
      </w:r>
      <w:r>
        <w:rPr>
          <w:szCs w:val="16"/>
        </w:rPr>
        <w:t>]</w:t>
      </w:r>
      <w:bookmarkEnd w:id="289"/>
    </w:p>
    <w:p w:rsidR="00037C7E">
      <w:pPr>
        <w:pStyle w:val="StandardL3"/>
      </w:pPr>
      <w:bookmarkStart w:id="291" w:name="_Ref448380619"/>
      <w:r>
        <w:t>as soon as practicable, but in any event thirty (30) days before the end of each fiscal year, a budget and busines</w:t>
      </w:r>
      <w:r w:rsidR="00294294">
        <w:t>s plan for the next fiscal year,</w:t>
      </w:r>
      <w:r>
        <w:t xml:space="preserve"> prepared on a monthly basis, including balance sheets, income statements, and statements of cash flow for such months and, promptly after prepared, any other budgets or revised budgets prepared by the Company</w:t>
      </w:r>
      <w:r w:rsidR="00294294">
        <w:t xml:space="preserve"> </w:t>
      </w:r>
      <w:r w:rsidRPr="00CF55D2" w:rsidR="00294294">
        <w:rPr>
          <w:szCs w:val="24"/>
        </w:rPr>
        <w:t xml:space="preserve">(such budget and business plan that is approved by the Board of Directors [(including the vote of [one/each] of the </w:t>
      </w:r>
      <w:bookmarkStart w:id="292" w:name="_cp_text_1_105"/>
      <w:r w:rsidRPr="00CF55D2" w:rsidR="00294294">
        <w:rPr>
          <w:szCs w:val="24"/>
        </w:rPr>
        <w:t xml:space="preserve">Preferred </w:t>
      </w:r>
      <w:bookmarkEnd w:id="292"/>
      <w:r w:rsidRPr="00CF55D2" w:rsidR="00294294">
        <w:rPr>
          <w:szCs w:val="24"/>
        </w:rPr>
        <w:t xml:space="preserve">Directors then seated, the </w:t>
      </w:r>
      <w:r w:rsidR="00240723">
        <w:t>"</w:t>
      </w:r>
      <w:r w:rsidRPr="00CF55D2" w:rsidR="00294294">
        <w:rPr>
          <w:b/>
          <w:szCs w:val="24"/>
        </w:rPr>
        <w:t>Requisite Preferred Director Vote</w:t>
      </w:r>
      <w:r w:rsidR="00240723">
        <w:t>"</w:t>
      </w:r>
      <w:r w:rsidRPr="00CF55D2" w:rsidR="00294294">
        <w:rPr>
          <w:szCs w:val="24"/>
        </w:rPr>
        <w:t xml:space="preserve">)] is collectively referred to herein as the </w:t>
      </w:r>
      <w:r w:rsidR="00240723">
        <w:t>"</w:t>
      </w:r>
      <w:r w:rsidRPr="00CF55D2" w:rsidR="00294294">
        <w:rPr>
          <w:b/>
          <w:szCs w:val="24"/>
        </w:rPr>
        <w:t>Budget</w:t>
      </w:r>
      <w:r w:rsidR="00240723">
        <w:t>"</w:t>
      </w:r>
      <w:r w:rsidRPr="00CF55D2" w:rsidR="00294294">
        <w:rPr>
          <w:szCs w:val="24"/>
        </w:rPr>
        <w:t>)</w:t>
      </w:r>
      <w:r>
        <w:t>;</w:t>
      </w:r>
      <w:bookmarkEnd w:id="291"/>
    </w:p>
    <w:p w:rsidR="00037C7E">
      <w:pPr>
        <w:pStyle w:val="StandardL3"/>
      </w:pPr>
      <w:bookmarkStart w:id="293" w:name="_Ref448380620"/>
      <w:r>
        <w:t xml:space="preserve">[with respect to the financial statements called for in </w:t>
      </w:r>
      <w:r w:rsidR="00240723">
        <w:rPr>
          <w:u w:val="single"/>
        </w:rPr>
        <w:t>S</w:t>
      </w:r>
      <w:r>
        <w:rPr>
          <w:u w:val="single"/>
        </w:rPr>
        <w:t xml:space="preserve">ection </w:t>
      </w:r>
      <w:r>
        <w:rPr>
          <w:u w:val="single"/>
        </w:rPr>
        <w:fldChar w:fldCharType="begin"/>
      </w:r>
      <w:r>
        <w:rPr>
          <w:u w:val="single"/>
        </w:rPr>
        <w:instrText xml:space="preserve">  REF _Ref448380615 \w \h \* MERGEFORMAT </w:instrText>
      </w:r>
      <w:r>
        <w:rPr>
          <w:u w:val="single"/>
        </w:rPr>
        <w:fldChar w:fldCharType="separate"/>
      </w:r>
      <w:r w:rsidRPr="00BC1FC7" w:rsidR="00BC1FC7">
        <w:rPr>
          <w:color w:val="000000"/>
          <w:u w:val="single"/>
        </w:rPr>
        <w:t>3.1(a)</w:t>
      </w:r>
      <w:r>
        <w:rPr>
          <w:u w:val="single"/>
        </w:rPr>
        <w:fldChar w:fldCharType="end"/>
      </w:r>
      <w:r>
        <w:t xml:space="preserve">, </w:t>
      </w:r>
      <w:r w:rsidR="00240723">
        <w:rPr>
          <w:u w:val="single"/>
        </w:rPr>
        <w:t>S</w:t>
      </w:r>
      <w:r>
        <w:rPr>
          <w:u w:val="single"/>
        </w:rPr>
        <w:t xml:space="preserve">ection </w:t>
      </w:r>
      <w:r>
        <w:rPr>
          <w:u w:val="single"/>
        </w:rPr>
        <w:fldChar w:fldCharType="begin"/>
      </w:r>
      <w:r>
        <w:rPr>
          <w:u w:val="single"/>
        </w:rPr>
        <w:instrText xml:space="preserve">  REF _Ref448380616 \w \h \* MERGEFORMAT </w:instrText>
      </w:r>
      <w:r>
        <w:rPr>
          <w:u w:val="single"/>
        </w:rPr>
        <w:fldChar w:fldCharType="separate"/>
      </w:r>
      <w:r w:rsidRPr="00BC1FC7" w:rsidR="00BC1FC7">
        <w:rPr>
          <w:color w:val="000000"/>
          <w:u w:val="single"/>
        </w:rPr>
        <w:t>3.1(b)</w:t>
      </w:r>
      <w:r>
        <w:rPr>
          <w:u w:val="single"/>
        </w:rPr>
        <w:fldChar w:fldCharType="end"/>
      </w:r>
      <w:r>
        <w:t xml:space="preserve"> </w:t>
      </w:r>
      <w:r>
        <w:rPr>
          <w:szCs w:val="16"/>
        </w:rPr>
        <w:t>[</w:t>
      </w:r>
      <w:r>
        <w:t xml:space="preserve">and </w:t>
      </w:r>
      <w:r w:rsidR="00240723">
        <w:rPr>
          <w:u w:val="single"/>
        </w:rPr>
        <w:t>S</w:t>
      </w:r>
      <w:r>
        <w:rPr>
          <w:u w:val="single"/>
        </w:rPr>
        <w:t xml:space="preserve">ection </w:t>
      </w:r>
      <w:bookmarkStart w:id="294" w:name="DocXTextRef208"/>
      <w:r>
        <w:rPr>
          <w:u w:val="single"/>
        </w:rPr>
        <w:t>3.1(d</w:t>
      </w:r>
      <w:bookmarkEnd w:id="294"/>
      <w:r>
        <w:rPr>
          <w:u w:val="single"/>
        </w:rPr>
        <w:t>)</w:t>
      </w:r>
      <w:r>
        <w:rPr>
          <w:szCs w:val="16"/>
        </w:rPr>
        <w:t>]</w:t>
      </w:r>
      <w:r>
        <w:t xml:space="preserve">, an instrument executed by the chief financial officer and chief executive officer of the Company certifying that such financial statements were prepared in accordance with GAAP consistently applied with prior practice for earlier periods (except as otherwise set forth in </w:t>
      </w:r>
      <w:r w:rsidR="00240723">
        <w:rPr>
          <w:u w:val="single"/>
        </w:rPr>
        <w:t>S</w:t>
      </w:r>
      <w:r>
        <w:rPr>
          <w:u w:val="single"/>
        </w:rPr>
        <w:t xml:space="preserve">ection </w:t>
      </w:r>
      <w:r>
        <w:rPr>
          <w:u w:val="single"/>
        </w:rPr>
        <w:fldChar w:fldCharType="begin"/>
      </w:r>
      <w:r>
        <w:rPr>
          <w:u w:val="single"/>
        </w:rPr>
        <w:instrText xml:space="preserve">  REF _Ref448380616 \w \h \* MERGEFORMAT </w:instrText>
      </w:r>
      <w:r>
        <w:rPr>
          <w:u w:val="single"/>
        </w:rPr>
        <w:fldChar w:fldCharType="separate"/>
      </w:r>
      <w:r w:rsidRPr="00BC1FC7" w:rsidR="00BC1FC7">
        <w:rPr>
          <w:color w:val="000000"/>
          <w:u w:val="single"/>
        </w:rPr>
        <w:t>3.1(b)</w:t>
      </w:r>
      <w:r>
        <w:rPr>
          <w:u w:val="single"/>
        </w:rPr>
        <w:fldChar w:fldCharType="end"/>
      </w:r>
      <w:r>
        <w:t xml:space="preserve"> </w:t>
      </w:r>
      <w:r>
        <w:rPr>
          <w:szCs w:val="16"/>
        </w:rPr>
        <w:t>[</w:t>
      </w:r>
      <w:r>
        <w:t xml:space="preserve">and </w:t>
      </w:r>
      <w:r w:rsidR="00240723">
        <w:rPr>
          <w:u w:val="single"/>
        </w:rPr>
        <w:t>S</w:t>
      </w:r>
      <w:r>
        <w:rPr>
          <w:u w:val="single"/>
        </w:rPr>
        <w:t xml:space="preserve">ection </w:t>
      </w:r>
      <w:bookmarkStart w:id="295" w:name="DocXTextRef210"/>
      <w:r>
        <w:rPr>
          <w:u w:val="single"/>
        </w:rPr>
        <w:t>3.1(d</w:t>
      </w:r>
      <w:bookmarkEnd w:id="295"/>
      <w:r>
        <w:rPr>
          <w:u w:val="single"/>
        </w:rPr>
        <w:t>)</w:t>
      </w:r>
      <w:r>
        <w:rPr>
          <w:szCs w:val="16"/>
        </w:rPr>
        <w:t>]</w:t>
      </w:r>
      <w:r>
        <w:t>) and fairly present the financial condition of the Company and its results of operation for the periods specified therein; and]</w:t>
      </w:r>
      <w:bookmarkEnd w:id="293"/>
    </w:p>
    <w:p w:rsidR="00037C7E">
      <w:pPr>
        <w:pStyle w:val="StandardL3"/>
      </w:pPr>
      <w:bookmarkStart w:id="296" w:name="_Ref448380621"/>
      <w:r>
        <w:t>[such other information</w:t>
      </w:r>
      <w:bookmarkStart w:id="297" w:name="_Ref448380710"/>
      <w:r>
        <w:rPr>
          <w:rStyle w:val="FootnoteReference"/>
        </w:rPr>
        <w:footnoteReference w:id="42"/>
      </w:r>
      <w:bookmarkEnd w:id="297"/>
      <w:r>
        <w:t xml:space="preserve"> relating to the financial condition, business, prospects, or corporate affairs of the Company as any Major Investor may from time to time reasonably request; </w:t>
      </w:r>
      <w:r>
        <w:rPr>
          <w:u w:val="single"/>
        </w:rPr>
        <w:t>provided</w:t>
      </w:r>
      <w:r>
        <w:t xml:space="preserve">, </w:t>
      </w:r>
      <w:r>
        <w:rPr>
          <w:u w:val="single"/>
        </w:rPr>
        <w:t>however</w:t>
      </w:r>
      <w:r>
        <w:t xml:space="preserve">, that the Company shall not be obligated under this </w:t>
      </w:r>
      <w:r w:rsidR="00240723">
        <w:rPr>
          <w:u w:val="single"/>
        </w:rPr>
        <w:t>S</w:t>
      </w:r>
      <w:r>
        <w:rPr>
          <w:u w:val="single"/>
        </w:rPr>
        <w:t xml:space="preserve">ection </w:t>
      </w:r>
      <w:r>
        <w:rPr>
          <w:u w:val="single"/>
        </w:rPr>
        <w:fldChar w:fldCharType="begin"/>
      </w:r>
      <w:r>
        <w:rPr>
          <w:u w:val="single"/>
        </w:rPr>
        <w:instrText xml:space="preserve">  REF _Ref448380614 \w \h \* MERGEFORMAT </w:instrText>
      </w:r>
      <w:r>
        <w:rPr>
          <w:u w:val="single"/>
        </w:rPr>
        <w:fldChar w:fldCharType="separate"/>
      </w:r>
      <w:r w:rsidRPr="00BC1FC7" w:rsidR="00BC1FC7">
        <w:rPr>
          <w:color w:val="000000"/>
          <w:u w:val="single"/>
        </w:rPr>
        <w:t>3.1</w:t>
      </w:r>
      <w:r>
        <w:rPr>
          <w:u w:val="single"/>
        </w:rPr>
        <w:fldChar w:fldCharType="end"/>
      </w:r>
      <w:r>
        <w:t xml:space="preserve"> to provide information </w:t>
      </w:r>
      <w:bookmarkStart w:id="298" w:name="DocXTextRef212"/>
      <w:r>
        <w:t>(i)</w:t>
      </w:r>
      <w:bookmarkEnd w:id="298"/>
      <w:r>
        <w:t xml:space="preserve"> that the Company reasonably determines in good faith to be a trade secret or confidential information (unless covered by an enforceable confidentiality agreement, in a form acceptable to the Company); or </w:t>
      </w:r>
      <w:bookmarkStart w:id="299" w:name="DocXTextRef213"/>
      <w:r>
        <w:t>(ii)</w:t>
      </w:r>
      <w:bookmarkEnd w:id="299"/>
      <w:r>
        <w:t xml:space="preserve"> the disclosure of which would adversely affect the attorney-client privilege between the Company and its counsel.]</w:t>
      </w:r>
      <w:bookmarkEnd w:id="296"/>
    </w:p>
    <w:p w:rsidR="00037C7E">
      <w:pPr>
        <w:pStyle w:val="StandardCont2"/>
      </w:pPr>
      <w:r>
        <w:t>If, for any period, the Company has any subsidiary whose accounts are consolidated with those of the Company, then in respect of such period the financial statements delivered pursuant to the foregoing sections shall be the consolidated and consolidating financial statements of the Company and all such consolidated subsidiaries.</w:t>
      </w:r>
    </w:p>
    <w:p w:rsidR="00037C7E">
      <w:pPr>
        <w:pStyle w:val="StandardCont2"/>
      </w:pPr>
      <w:r>
        <w:t xml:space="preserve">Notwithstanding anything else in this </w:t>
      </w:r>
      <w:r w:rsidR="00240723">
        <w:rPr>
          <w:u w:val="single"/>
        </w:rPr>
        <w:t>S</w:t>
      </w:r>
      <w:r w:rsidRPr="00943197">
        <w:rPr>
          <w:u w:val="single"/>
        </w:rPr>
        <w:t xml:space="preserve">ection </w:t>
      </w:r>
      <w:r w:rsidRPr="00943197">
        <w:rPr>
          <w:u w:val="single"/>
        </w:rPr>
        <w:fldChar w:fldCharType="begin"/>
      </w:r>
      <w:r w:rsidRPr="00943197">
        <w:rPr>
          <w:u w:val="single"/>
        </w:rPr>
        <w:instrText xml:space="preserve">  REF _Ref448380614 \w \h \* MERGEFORMAT </w:instrText>
      </w:r>
      <w:r w:rsidRPr="00943197">
        <w:rPr>
          <w:u w:val="single"/>
        </w:rPr>
        <w:fldChar w:fldCharType="separate"/>
      </w:r>
      <w:r w:rsidRPr="00BC1FC7" w:rsidR="00BC1FC7">
        <w:rPr>
          <w:color w:val="000000"/>
          <w:u w:val="single"/>
        </w:rPr>
        <w:t>3.1</w:t>
      </w:r>
      <w:r w:rsidRPr="00943197">
        <w:rPr>
          <w:u w:val="single"/>
        </w:rPr>
        <w:fldChar w:fldCharType="end"/>
      </w:r>
      <w:r>
        <w:t xml:space="preserve"> to the contrary, the Company may cease providing the information set forth in this </w:t>
      </w:r>
      <w:r w:rsidR="00240723">
        <w:rPr>
          <w:u w:val="single"/>
        </w:rPr>
        <w:t>S</w:t>
      </w:r>
      <w:r w:rsidRPr="00943197">
        <w:rPr>
          <w:u w:val="single"/>
        </w:rPr>
        <w:t xml:space="preserve">ection </w:t>
      </w:r>
      <w:r w:rsidRPr="00943197">
        <w:rPr>
          <w:u w:val="single"/>
        </w:rPr>
        <w:fldChar w:fldCharType="begin"/>
      </w:r>
      <w:r w:rsidRPr="00943197">
        <w:rPr>
          <w:u w:val="single"/>
        </w:rPr>
        <w:instrText xml:space="preserve">  REF _Ref448380614 \w \h \* MERGEFORMAT </w:instrText>
      </w:r>
      <w:r w:rsidRPr="00943197">
        <w:rPr>
          <w:u w:val="single"/>
        </w:rPr>
        <w:fldChar w:fldCharType="separate"/>
      </w:r>
      <w:r w:rsidRPr="00BC1FC7" w:rsidR="00BC1FC7">
        <w:rPr>
          <w:color w:val="000000"/>
          <w:u w:val="single"/>
        </w:rPr>
        <w:t>3.1</w:t>
      </w:r>
      <w:r w:rsidRPr="00943197">
        <w:rPr>
          <w:u w:val="single"/>
        </w:rPr>
        <w:fldChar w:fldCharType="end"/>
      </w:r>
      <w:r>
        <w:t xml:space="preserve"> during the period starting with the date </w:t>
      </w:r>
      <w:r>
        <w:rPr>
          <w:szCs w:val="16"/>
        </w:rPr>
        <w:t>[thirty</w:t>
      </w:r>
      <w:r w:rsidR="00240723">
        <w:rPr>
          <w:szCs w:val="16"/>
        </w:rPr>
        <w:t xml:space="preserve"> (30)</w:t>
      </w:r>
      <w:r>
        <w:rPr>
          <w:szCs w:val="16"/>
        </w:rPr>
        <w:t xml:space="preserve"> - </w:t>
      </w:r>
      <w:r w:rsidR="00240723">
        <w:t>sixty (</w:t>
      </w:r>
      <w:r>
        <w:t>60)</w:t>
      </w:r>
      <w:r>
        <w:rPr>
          <w:szCs w:val="16"/>
        </w:rPr>
        <w:t>]</w:t>
      </w:r>
      <w:r>
        <w:t xml:space="preserve"> days before the Company's good-faith estimate of the date of filing</w:t>
      </w:r>
      <w:r>
        <w:rPr>
          <w:szCs w:val="16"/>
        </w:rPr>
        <w:t xml:space="preserve"> of a </w:t>
      </w:r>
      <w:r w:rsidR="00D82735">
        <w:rPr>
          <w:szCs w:val="16"/>
        </w:rPr>
        <w:t>registration statement</w:t>
      </w:r>
      <w:r>
        <w:rPr>
          <w:szCs w:val="16"/>
        </w:rPr>
        <w:t xml:space="preserve"> if it reasonably concludes it must do so to comply with the SEC rules or Canadian Securities Laws applicable to such </w:t>
      </w:r>
      <w:r w:rsidR="00D82735">
        <w:rPr>
          <w:szCs w:val="16"/>
        </w:rPr>
        <w:t>registration statement</w:t>
      </w:r>
      <w:r>
        <w:rPr>
          <w:szCs w:val="16"/>
        </w:rPr>
        <w:t xml:space="preserve"> and related offering</w:t>
      </w:r>
      <w:r>
        <w:t xml:space="preserve">; provided that the Company's covenants under this </w:t>
      </w:r>
      <w:r w:rsidR="00240723">
        <w:rPr>
          <w:u w:val="single"/>
        </w:rPr>
        <w:t>S</w:t>
      </w:r>
      <w:r w:rsidRPr="00943197">
        <w:rPr>
          <w:u w:val="single"/>
        </w:rPr>
        <w:t xml:space="preserve">ection </w:t>
      </w:r>
      <w:r w:rsidRPr="00943197">
        <w:rPr>
          <w:u w:val="single"/>
        </w:rPr>
        <w:fldChar w:fldCharType="begin"/>
      </w:r>
      <w:r w:rsidRPr="00943197">
        <w:rPr>
          <w:u w:val="single"/>
        </w:rPr>
        <w:instrText xml:space="preserve">  REF _Ref448380614 \w \h \* MERGEFORMAT </w:instrText>
      </w:r>
      <w:r w:rsidRPr="00943197">
        <w:rPr>
          <w:u w:val="single"/>
        </w:rPr>
        <w:fldChar w:fldCharType="separate"/>
      </w:r>
      <w:r w:rsidRPr="00BC1FC7" w:rsidR="00BC1FC7">
        <w:rPr>
          <w:color w:val="000000"/>
          <w:u w:val="single"/>
        </w:rPr>
        <w:t>3.1</w:t>
      </w:r>
      <w:r w:rsidRPr="00943197">
        <w:rPr>
          <w:u w:val="single"/>
        </w:rPr>
        <w:fldChar w:fldCharType="end"/>
      </w:r>
      <w:r>
        <w:t xml:space="preserve"> shall be reinstated at such time as the Company is no longer actively employing its commercially reasonable efforts to cause such </w:t>
      </w:r>
      <w:r w:rsidR="00D82735">
        <w:t>registration statement</w:t>
      </w:r>
      <w:r>
        <w:t xml:space="preserve"> to become effective.</w:t>
      </w:r>
    </w:p>
    <w:p w:rsidR="00037C7E">
      <w:pPr>
        <w:pStyle w:val="StandardL2"/>
      </w:pPr>
      <w:bookmarkStart w:id="300" w:name="_Ref448380622"/>
      <w:bookmarkStart w:id="301" w:name="_Toc56499781"/>
      <w:r>
        <w:t>Inspection</w:t>
      </w:r>
      <w:r>
        <w:rPr>
          <w:snapToGrid w:val="0"/>
        </w:rPr>
        <w:t>.</w:t>
      </w:r>
      <w:bookmarkEnd w:id="300"/>
      <w:bookmarkEnd w:id="301"/>
    </w:p>
    <w:p w:rsidR="00037C7E">
      <w:pPr>
        <w:pStyle w:val="StandardCont2"/>
      </w:pPr>
      <w:r>
        <w:rPr>
          <w:snapToGrid w:val="0"/>
        </w:rPr>
        <w:t xml:space="preserve">The Company shall permit each Major Investor [(provided that the Board of Directors has not reasonably determined that such Major Investor is a competitor of the Company)], at such Major Investor's expense, to visit and inspect the Company's properties; examine its books of account and records; and discuss the Company's affairs, finances, and accounts with its officers, during normal business hours of the Company as may be reasonably requested by the Major Investor; provided, however, that the Company shall not be obligated pursuant to this </w:t>
      </w:r>
      <w:r w:rsidR="00240723">
        <w:rPr>
          <w:snapToGrid w:val="0"/>
          <w:u w:val="single"/>
        </w:rPr>
        <w:t>S</w:t>
      </w:r>
      <w:r w:rsidRPr="00943197">
        <w:rPr>
          <w:snapToGrid w:val="0"/>
          <w:u w:val="single"/>
        </w:rPr>
        <w:t xml:space="preserve">ection </w:t>
      </w:r>
      <w:r w:rsidRPr="00943197">
        <w:rPr>
          <w:snapToGrid w:val="0"/>
          <w:u w:val="single"/>
        </w:rPr>
        <w:fldChar w:fldCharType="begin"/>
      </w:r>
      <w:r w:rsidRPr="00943197">
        <w:rPr>
          <w:snapToGrid w:val="0"/>
          <w:u w:val="single"/>
        </w:rPr>
        <w:instrText xml:space="preserve">  REF _Ref448380622 \w \h \* MERGEFORMAT </w:instrText>
      </w:r>
      <w:r w:rsidRPr="00943197">
        <w:rPr>
          <w:snapToGrid w:val="0"/>
          <w:u w:val="single"/>
        </w:rPr>
        <w:fldChar w:fldCharType="separate"/>
      </w:r>
      <w:r w:rsidRPr="00BC1FC7" w:rsidR="00BC1FC7">
        <w:rPr>
          <w:snapToGrid w:val="0"/>
          <w:color w:val="000000"/>
          <w:u w:val="single"/>
        </w:rPr>
        <w:t>3.2</w:t>
      </w:r>
      <w:r w:rsidRPr="00943197">
        <w:rPr>
          <w:snapToGrid w:val="0"/>
          <w:u w:val="single"/>
        </w:rPr>
        <w:fldChar w:fldCharType="end"/>
      </w:r>
      <w:r>
        <w:rPr>
          <w:snapToGrid w:val="0"/>
        </w:rPr>
        <w:t xml:space="preserve"> to provide access to any information that it reasonably and in good faith considers to be a trade secret or confidential information (unless covered by an enforceable confidentiality agreement, in form acceptable to the Company) or the disclosure of which would adversely affect the attorney-client privilege between the Company and its counsel.</w:t>
      </w:r>
    </w:p>
    <w:p w:rsidR="00037C7E">
      <w:pPr>
        <w:pStyle w:val="StandardL2"/>
      </w:pPr>
      <w:bookmarkStart w:id="302" w:name="_Ref448380623"/>
      <w:bookmarkStart w:id="303" w:name="_Toc56499782"/>
      <w:r>
        <w:t>[Observer Rights</w:t>
      </w:r>
      <w:r>
        <w:rPr>
          <w:snapToGrid w:val="0"/>
        </w:rPr>
        <w:t>.</w:t>
      </w:r>
      <w:bookmarkEnd w:id="302"/>
      <w:bookmarkEnd w:id="303"/>
    </w:p>
    <w:p w:rsidR="00037C7E">
      <w:pPr>
        <w:pStyle w:val="StandardCont2"/>
      </w:pPr>
      <w:r>
        <w:rPr>
          <w:snapToGrid w:val="0"/>
        </w:rPr>
        <w:t>As long as [_____] owns not less than [_____] percent [(____%)] of the [Class A] Preferred Shares it is purchasing under the Purchase Agreement (or an equivalent amount of Common Shares issued upon conversion thereof), the Company shall invite a representative of [_____] to attend all meetings of its Board of Directors in a nonvoting observer capacity and, in this respect, shall give such representative copies of all notices, minutes, consents, and other materials that it provides to its directors [at the same time and in the same manner as provided to such directors]; provided, however, that such representative shall agree to hold in confidence all information so provided; and provided further, that the Company reserves the right to withhold any information and to exclude such representative from any meeting or portion thereof if access to such information or attendance at such meeting could adversely affect the attorney-client privilege between the Company and its counsel or result in disclosure of trade secrets or a conflict of interest, or if such Investor or its representative is a competitor of the Company.]</w:t>
      </w:r>
      <w:bookmarkStart w:id="304" w:name="_Ref448380711"/>
      <w:r>
        <w:rPr>
          <w:rStyle w:val="FootnoteReference"/>
          <w:snapToGrid w:val="0"/>
        </w:rPr>
        <w:footnoteReference w:id="43"/>
      </w:r>
      <w:bookmarkEnd w:id="304"/>
    </w:p>
    <w:p w:rsidR="00037C7E">
      <w:pPr>
        <w:pStyle w:val="StandardL2"/>
      </w:pPr>
      <w:bookmarkStart w:id="305" w:name="_Ref448380624"/>
      <w:bookmarkStart w:id="306" w:name="_Toc56499783"/>
      <w:r>
        <w:t>Termination of Information [and Observer Rights]</w:t>
      </w:r>
      <w:r>
        <w:rPr>
          <w:snapToGrid w:val="0"/>
        </w:rPr>
        <w:t>.</w:t>
      </w:r>
      <w:bookmarkEnd w:id="305"/>
      <w:bookmarkEnd w:id="306"/>
    </w:p>
    <w:p w:rsidR="00037C7E">
      <w:pPr>
        <w:pStyle w:val="StandardCont2"/>
      </w:pPr>
      <w:r>
        <w:rPr>
          <w:snapToGrid w:val="0"/>
        </w:rPr>
        <w:t xml:space="preserve">The covenants set forth in </w:t>
      </w:r>
      <w:r w:rsidR="00240723">
        <w:rPr>
          <w:snapToGrid w:val="0"/>
          <w:u w:val="single"/>
        </w:rPr>
        <w:t>S</w:t>
      </w:r>
      <w:r w:rsidRPr="00943197">
        <w:rPr>
          <w:snapToGrid w:val="0"/>
          <w:u w:val="single"/>
        </w:rPr>
        <w:t xml:space="preserve">ection </w:t>
      </w:r>
      <w:r w:rsidRPr="00943197">
        <w:rPr>
          <w:snapToGrid w:val="0"/>
          <w:u w:val="single"/>
        </w:rPr>
        <w:fldChar w:fldCharType="begin"/>
      </w:r>
      <w:r w:rsidRPr="00943197">
        <w:rPr>
          <w:snapToGrid w:val="0"/>
          <w:u w:val="single"/>
        </w:rPr>
        <w:instrText xml:space="preserve">  REF _Ref448380614 \w \h \* MERGEFORMAT </w:instrText>
      </w:r>
      <w:r w:rsidRPr="00943197">
        <w:rPr>
          <w:snapToGrid w:val="0"/>
          <w:u w:val="single"/>
        </w:rPr>
        <w:fldChar w:fldCharType="separate"/>
      </w:r>
      <w:r w:rsidRPr="00BC1FC7" w:rsidR="00BC1FC7">
        <w:rPr>
          <w:snapToGrid w:val="0"/>
          <w:color w:val="000000"/>
          <w:u w:val="single"/>
        </w:rPr>
        <w:t>3.1</w:t>
      </w:r>
      <w:r w:rsidRPr="00943197">
        <w:rPr>
          <w:snapToGrid w:val="0"/>
          <w:u w:val="single"/>
        </w:rPr>
        <w:fldChar w:fldCharType="end"/>
      </w:r>
      <w:r>
        <w:rPr>
          <w:snapToGrid w:val="0"/>
        </w:rPr>
        <w:t xml:space="preserve"> [,] [and] </w:t>
      </w:r>
      <w:r w:rsidR="00240723">
        <w:rPr>
          <w:snapToGrid w:val="0"/>
          <w:u w:val="single"/>
        </w:rPr>
        <w:t>S</w:t>
      </w:r>
      <w:r w:rsidRPr="00943197">
        <w:rPr>
          <w:snapToGrid w:val="0"/>
          <w:u w:val="single"/>
        </w:rPr>
        <w:t xml:space="preserve">ection </w:t>
      </w:r>
      <w:r w:rsidRPr="00943197">
        <w:rPr>
          <w:snapToGrid w:val="0"/>
          <w:u w:val="single"/>
        </w:rPr>
        <w:fldChar w:fldCharType="begin"/>
      </w:r>
      <w:r w:rsidRPr="00943197">
        <w:rPr>
          <w:snapToGrid w:val="0"/>
          <w:u w:val="single"/>
        </w:rPr>
        <w:instrText xml:space="preserve">  REF _Ref448380622 \w \h \* MERGEFORMAT </w:instrText>
      </w:r>
      <w:r w:rsidRPr="00943197">
        <w:rPr>
          <w:snapToGrid w:val="0"/>
          <w:u w:val="single"/>
        </w:rPr>
        <w:fldChar w:fldCharType="separate"/>
      </w:r>
      <w:r w:rsidRPr="00BC1FC7" w:rsidR="00BC1FC7">
        <w:rPr>
          <w:snapToGrid w:val="0"/>
          <w:color w:val="000000"/>
          <w:u w:val="single"/>
        </w:rPr>
        <w:t>3.2</w:t>
      </w:r>
      <w:r w:rsidRPr="00943197">
        <w:rPr>
          <w:snapToGrid w:val="0"/>
          <w:u w:val="single"/>
        </w:rPr>
        <w:fldChar w:fldCharType="end"/>
      </w:r>
      <w:r>
        <w:rPr>
          <w:snapToGrid w:val="0"/>
        </w:rPr>
        <w:t xml:space="preserve"> [, and </w:t>
      </w:r>
      <w:r w:rsidR="00240723">
        <w:rPr>
          <w:snapToGrid w:val="0"/>
          <w:u w:val="single"/>
        </w:rPr>
        <w:t>S</w:t>
      </w:r>
      <w:r w:rsidRPr="00943197">
        <w:rPr>
          <w:snapToGrid w:val="0"/>
          <w:u w:val="single"/>
        </w:rPr>
        <w:t xml:space="preserve">ection </w:t>
      </w:r>
      <w:r w:rsidRPr="00943197">
        <w:rPr>
          <w:snapToGrid w:val="0"/>
          <w:u w:val="single"/>
        </w:rPr>
        <w:fldChar w:fldCharType="begin"/>
      </w:r>
      <w:r w:rsidRPr="00943197">
        <w:rPr>
          <w:snapToGrid w:val="0"/>
          <w:u w:val="single"/>
        </w:rPr>
        <w:instrText xml:space="preserve"> REF _Ref448380623 \w \h </w:instrText>
      </w:r>
      <w:r w:rsidR="00943197">
        <w:rPr>
          <w:snapToGrid w:val="0"/>
          <w:u w:val="single"/>
        </w:rPr>
        <w:instrText xml:space="preserve"> \* MERGEFORMAT </w:instrText>
      </w:r>
      <w:r w:rsidRPr="00943197">
        <w:rPr>
          <w:snapToGrid w:val="0"/>
          <w:u w:val="single"/>
        </w:rPr>
        <w:fldChar w:fldCharType="separate"/>
      </w:r>
      <w:r w:rsidR="00BC1FC7">
        <w:rPr>
          <w:snapToGrid w:val="0"/>
          <w:u w:val="single"/>
        </w:rPr>
        <w:t>3.3</w:t>
      </w:r>
      <w:r w:rsidRPr="00943197">
        <w:rPr>
          <w:snapToGrid w:val="0"/>
          <w:u w:val="single"/>
        </w:rPr>
        <w:fldChar w:fldCharType="end"/>
      </w:r>
      <w:r>
        <w:rPr>
          <w:snapToGrid w:val="0"/>
        </w:rPr>
        <w:t xml:space="preserve">] shall terminate and be of no further force or effect </w:t>
      </w:r>
      <w:bookmarkStart w:id="307" w:name="DocXTextRef221"/>
      <w:r>
        <w:rPr>
          <w:snapToGrid w:val="0"/>
        </w:rPr>
        <w:t>(i)</w:t>
      </w:r>
      <w:bookmarkEnd w:id="307"/>
      <w:r>
        <w:rPr>
          <w:snapToGrid w:val="0"/>
        </w:rPr>
        <w:t xml:space="preserve"> immediately before the consummation of the IPO,</w:t>
      </w:r>
      <w:bookmarkStart w:id="308" w:name="_Ref448380712"/>
      <w:r>
        <w:rPr>
          <w:rStyle w:val="FootnoteReference"/>
          <w:snapToGrid w:val="0"/>
        </w:rPr>
        <w:footnoteReference w:id="44"/>
      </w:r>
      <w:bookmarkEnd w:id="308"/>
      <w:r>
        <w:rPr>
          <w:b/>
          <w:snapToGrid w:val="0"/>
        </w:rPr>
        <w:t xml:space="preserve"> </w:t>
      </w:r>
      <w:r>
        <w:rPr>
          <w:snapToGrid w:val="0"/>
          <w:szCs w:val="16"/>
        </w:rPr>
        <w:t xml:space="preserve">[or] </w:t>
      </w:r>
      <w:bookmarkStart w:id="309" w:name="DocXTextRef222"/>
      <w:r>
        <w:rPr>
          <w:snapToGrid w:val="0"/>
        </w:rPr>
        <w:t>(ii)</w:t>
      </w:r>
      <w:bookmarkEnd w:id="309"/>
      <w:r>
        <w:rPr>
          <w:snapToGrid w:val="0"/>
        </w:rPr>
        <w:t xml:space="preserve"> when the Company first becomes subject to the periodic reporting requirements of Section </w:t>
      </w:r>
      <w:bookmarkStart w:id="310" w:name="DocXTextRef220"/>
      <w:r>
        <w:rPr>
          <w:snapToGrid w:val="0"/>
        </w:rPr>
        <w:t>12(g)</w:t>
      </w:r>
      <w:bookmarkEnd w:id="310"/>
      <w:r>
        <w:rPr>
          <w:snapToGrid w:val="0"/>
        </w:rPr>
        <w:t xml:space="preserve"> or </w:t>
      </w:r>
      <w:bookmarkStart w:id="311" w:name="DocXTextRef223"/>
      <w:r>
        <w:rPr>
          <w:snapToGrid w:val="0"/>
        </w:rPr>
        <w:t>15(d)</w:t>
      </w:r>
      <w:bookmarkEnd w:id="311"/>
      <w:r>
        <w:rPr>
          <w:snapToGrid w:val="0"/>
        </w:rPr>
        <w:t xml:space="preserve"> of the Exchange Act, </w:t>
      </w:r>
      <w:r>
        <w:rPr>
          <w:snapToGrid w:val="0"/>
          <w:szCs w:val="16"/>
        </w:rPr>
        <w:t>[</w:t>
      </w:r>
      <w:r>
        <w:rPr>
          <w:snapToGrid w:val="0"/>
        </w:rPr>
        <w:t xml:space="preserve">or </w:t>
      </w:r>
      <w:bookmarkStart w:id="312" w:name="DocXTextRef224"/>
      <w:r>
        <w:rPr>
          <w:snapToGrid w:val="0"/>
        </w:rPr>
        <w:t>(iii)</w:t>
      </w:r>
      <w:bookmarkEnd w:id="312"/>
      <w:r>
        <w:rPr>
          <w:snapToGrid w:val="0"/>
        </w:rPr>
        <w:t xml:space="preserve"> upon </w:t>
      </w:r>
      <w:r w:rsidR="00EA24FA">
        <w:rPr>
          <w:snapToGrid w:val="0"/>
        </w:rPr>
        <w:t xml:space="preserve">the closing of a </w:t>
      </w:r>
      <w:r>
        <w:rPr>
          <w:snapToGrid w:val="0"/>
        </w:rPr>
        <w:t>Deemed Liquidation Event</w:t>
      </w:r>
      <w:r w:rsidR="00240723">
        <w:rPr>
          <w:snapToGrid w:val="0"/>
        </w:rPr>
        <w:t>[</w:t>
      </w:r>
      <w:r>
        <w:rPr>
          <w:snapToGrid w:val="0"/>
        </w:rPr>
        <w:t>, as such term is defined in the Company's Articles,</w:t>
      </w:r>
      <w:r w:rsidR="00240723">
        <w:rPr>
          <w:snapToGrid w:val="0"/>
        </w:rPr>
        <w:t>]</w:t>
      </w:r>
      <w:r>
        <w:rPr>
          <w:snapToGrid w:val="0"/>
          <w:szCs w:val="16"/>
        </w:rPr>
        <w:t>]</w:t>
      </w:r>
      <w:r>
        <w:rPr>
          <w:snapToGrid w:val="0"/>
        </w:rPr>
        <w:t xml:space="preserve"> whichever event occurs first</w:t>
      </w:r>
      <w:bookmarkStart w:id="313" w:name="_cp_text_1_109"/>
      <w:r w:rsidRPr="00CF55D2" w:rsidR="00240723">
        <w:rPr>
          <w:szCs w:val="24"/>
        </w:rPr>
        <w:t xml:space="preserve">[; </w:t>
      </w:r>
      <w:r w:rsidRPr="0043440B" w:rsidR="00240723">
        <w:rPr>
          <w:szCs w:val="24"/>
          <w:u w:val="single"/>
        </w:rPr>
        <w:t>provided</w:t>
      </w:r>
      <w:r w:rsidRPr="00CF55D2" w:rsidR="00240723">
        <w:rPr>
          <w:szCs w:val="24"/>
        </w:rPr>
        <w:t xml:space="preserve">, that, with respect to </w:t>
      </w:r>
      <w:r w:rsidRPr="0043440B" w:rsidR="00240723">
        <w:rPr>
          <w:szCs w:val="24"/>
          <w:u w:val="single"/>
        </w:rPr>
        <w:t>clause (iii)</w:t>
      </w:r>
      <w:r w:rsidRPr="00CF55D2" w:rsidR="00240723">
        <w:rPr>
          <w:szCs w:val="24"/>
        </w:rPr>
        <w:t xml:space="preserve">, the covenants set forth in </w:t>
      </w:r>
      <w:r w:rsidR="00240723">
        <w:rPr>
          <w:snapToGrid w:val="0"/>
          <w:u w:val="single"/>
        </w:rPr>
        <w:t>S</w:t>
      </w:r>
      <w:r w:rsidRPr="00943197" w:rsidR="00240723">
        <w:rPr>
          <w:snapToGrid w:val="0"/>
          <w:u w:val="single"/>
        </w:rPr>
        <w:t xml:space="preserve">ection </w:t>
      </w:r>
      <w:r w:rsidRPr="00943197" w:rsidR="00240723">
        <w:rPr>
          <w:snapToGrid w:val="0"/>
          <w:u w:val="single"/>
        </w:rPr>
        <w:fldChar w:fldCharType="begin"/>
      </w:r>
      <w:r w:rsidRPr="00943197" w:rsidR="00240723">
        <w:rPr>
          <w:snapToGrid w:val="0"/>
          <w:u w:val="single"/>
        </w:rPr>
        <w:instrText xml:space="preserve">  REF _Ref448380614 \w \h \* MERGEFORMAT </w:instrText>
      </w:r>
      <w:r w:rsidRPr="00943197" w:rsidR="00240723">
        <w:rPr>
          <w:snapToGrid w:val="0"/>
          <w:u w:val="single"/>
        </w:rPr>
        <w:fldChar w:fldCharType="separate"/>
      </w:r>
      <w:r w:rsidRPr="00BC1FC7" w:rsidR="00BC1FC7">
        <w:rPr>
          <w:snapToGrid w:val="0"/>
          <w:color w:val="000000"/>
          <w:u w:val="single"/>
        </w:rPr>
        <w:t>3.1</w:t>
      </w:r>
      <w:r w:rsidRPr="00943197" w:rsidR="00240723">
        <w:rPr>
          <w:snapToGrid w:val="0"/>
          <w:u w:val="single"/>
        </w:rPr>
        <w:fldChar w:fldCharType="end"/>
      </w:r>
      <w:r w:rsidRPr="00CF55D2" w:rsidR="00240723">
        <w:rPr>
          <w:szCs w:val="24"/>
        </w:rPr>
        <w:t xml:space="preserve"> shall only terminate if the consideration received by the Investors in such Deemed Liquidation Event is </w:t>
      </w:r>
      <w:bookmarkStart w:id="314" w:name="_cp_text_4_110"/>
      <w:bookmarkEnd w:id="313"/>
      <w:r w:rsidRPr="00CF55D2" w:rsidR="00240723">
        <w:rPr>
          <w:szCs w:val="24"/>
        </w:rPr>
        <w:t xml:space="preserve">in the </w:t>
      </w:r>
      <w:bookmarkEnd w:id="314"/>
      <w:r w:rsidRPr="00CF55D2" w:rsidR="00240723">
        <w:rPr>
          <w:szCs w:val="24"/>
        </w:rPr>
        <w:t xml:space="preserve">form of cash and/or publicly traded securities or if the Investors receive financial information from the acquiring </w:t>
      </w:r>
      <w:bookmarkStart w:id="315" w:name="_9kMLK5YVt46679COHy0poD"/>
      <w:bookmarkStart w:id="316" w:name="_9kMLK5YVt4667ACNHy0poD"/>
      <w:r w:rsidRPr="00CF55D2" w:rsidR="00240723">
        <w:rPr>
          <w:szCs w:val="24"/>
        </w:rPr>
        <w:t>company</w:t>
      </w:r>
      <w:bookmarkEnd w:id="315"/>
      <w:bookmarkEnd w:id="316"/>
      <w:r w:rsidRPr="00CF55D2" w:rsidR="00240723">
        <w:rPr>
          <w:szCs w:val="24"/>
        </w:rPr>
        <w:t xml:space="preserve"> or other successor to the Company comparable to those set forth in </w:t>
      </w:r>
      <w:r w:rsidR="00240723">
        <w:rPr>
          <w:snapToGrid w:val="0"/>
          <w:u w:val="single"/>
        </w:rPr>
        <w:t>S</w:t>
      </w:r>
      <w:r w:rsidRPr="00943197" w:rsidR="00240723">
        <w:rPr>
          <w:snapToGrid w:val="0"/>
          <w:u w:val="single"/>
        </w:rPr>
        <w:t xml:space="preserve">ection </w:t>
      </w:r>
      <w:r w:rsidRPr="00943197" w:rsidR="00240723">
        <w:rPr>
          <w:snapToGrid w:val="0"/>
          <w:u w:val="single"/>
        </w:rPr>
        <w:fldChar w:fldCharType="begin"/>
      </w:r>
      <w:r w:rsidRPr="00943197" w:rsidR="00240723">
        <w:rPr>
          <w:snapToGrid w:val="0"/>
          <w:u w:val="single"/>
        </w:rPr>
        <w:instrText xml:space="preserve">  REF _Ref448380614 \w \h \* MERGEFORMAT </w:instrText>
      </w:r>
      <w:r w:rsidRPr="00943197" w:rsidR="00240723">
        <w:rPr>
          <w:snapToGrid w:val="0"/>
          <w:u w:val="single"/>
        </w:rPr>
        <w:fldChar w:fldCharType="separate"/>
      </w:r>
      <w:r w:rsidRPr="00BC1FC7" w:rsidR="00BC1FC7">
        <w:rPr>
          <w:snapToGrid w:val="0"/>
          <w:color w:val="000000"/>
          <w:u w:val="single"/>
        </w:rPr>
        <w:t>3.1</w:t>
      </w:r>
      <w:r w:rsidRPr="00943197" w:rsidR="00240723">
        <w:rPr>
          <w:snapToGrid w:val="0"/>
          <w:u w:val="single"/>
        </w:rPr>
        <w:fldChar w:fldCharType="end"/>
      </w:r>
      <w:r w:rsidRPr="00CF55D2" w:rsidR="00240723">
        <w:rPr>
          <w:szCs w:val="24"/>
        </w:rPr>
        <w:t>]</w:t>
      </w:r>
      <w:r>
        <w:rPr>
          <w:snapToGrid w:val="0"/>
        </w:rPr>
        <w:t>.</w:t>
      </w:r>
    </w:p>
    <w:p w:rsidR="00037C7E">
      <w:pPr>
        <w:pStyle w:val="StandardL2"/>
      </w:pPr>
      <w:bookmarkStart w:id="317" w:name="_Ref448380625"/>
      <w:bookmarkStart w:id="318" w:name="_Toc56499784"/>
      <w:r>
        <w:t>Confidentiality</w:t>
      </w:r>
      <w:r>
        <w:rPr>
          <w:snapToGrid w:val="0"/>
        </w:rPr>
        <w:t>.</w:t>
      </w:r>
      <w:bookmarkEnd w:id="317"/>
      <w:bookmarkEnd w:id="318"/>
    </w:p>
    <w:p w:rsidR="00900B19" w:rsidP="00900B19">
      <w:pPr>
        <w:pStyle w:val="StandardCont2"/>
        <w:rPr>
          <w:snapToGrid w:val="0"/>
        </w:rPr>
      </w:pPr>
      <w:r>
        <w:rPr>
          <w:snapToGrid w:val="0"/>
        </w:rPr>
        <w:t>Each Investor agrees that such Investor will keep confidential and will not disclose, divulge, or use for any purpose (other than to monitor</w:t>
      </w:r>
      <w:r w:rsidR="00240723">
        <w:rPr>
          <w:snapToGrid w:val="0"/>
        </w:rPr>
        <w:t xml:space="preserve"> or make decisions with respect to</w:t>
      </w:r>
      <w:r>
        <w:rPr>
          <w:snapToGrid w:val="0"/>
        </w:rPr>
        <w:t xml:space="preserve"> its investment in the Company) any confidential information obtained from the Company pursuant to the terms of this Agreement (including notice of the Company's intention to file a </w:t>
      </w:r>
      <w:r w:rsidR="00D82735">
        <w:rPr>
          <w:snapToGrid w:val="0"/>
        </w:rPr>
        <w:t>registration statement</w:t>
      </w:r>
      <w:r>
        <w:rPr>
          <w:snapToGrid w:val="0"/>
        </w:rPr>
        <w:t xml:space="preserve">), unless such confidential information </w:t>
      </w:r>
      <w:bookmarkStart w:id="319" w:name="DocXTextRef227"/>
      <w:r>
        <w:rPr>
          <w:snapToGrid w:val="0"/>
        </w:rPr>
        <w:t>(a)</w:t>
      </w:r>
      <w:bookmarkEnd w:id="319"/>
      <w:r>
        <w:rPr>
          <w:snapToGrid w:val="0"/>
        </w:rPr>
        <w:t xml:space="preserve"> is known or becomes known to the public in general (other than as a result of a breach of this </w:t>
      </w:r>
      <w:r w:rsidR="00240723">
        <w:rPr>
          <w:snapToGrid w:val="0"/>
          <w:u w:val="single"/>
        </w:rPr>
        <w:t>S</w:t>
      </w:r>
      <w:r w:rsidRPr="00943197">
        <w:rPr>
          <w:snapToGrid w:val="0"/>
          <w:u w:val="single"/>
        </w:rPr>
        <w:t xml:space="preserve">ection </w:t>
      </w:r>
      <w:r w:rsidRPr="00943197">
        <w:rPr>
          <w:snapToGrid w:val="0"/>
          <w:u w:val="single"/>
        </w:rPr>
        <w:fldChar w:fldCharType="begin"/>
      </w:r>
      <w:r w:rsidRPr="00943197">
        <w:rPr>
          <w:snapToGrid w:val="0"/>
          <w:u w:val="single"/>
        </w:rPr>
        <w:instrText xml:space="preserve">  REF _Ref448380625 \w \h \* MERGEFORMAT </w:instrText>
      </w:r>
      <w:r w:rsidRPr="00943197">
        <w:rPr>
          <w:snapToGrid w:val="0"/>
          <w:u w:val="single"/>
        </w:rPr>
        <w:fldChar w:fldCharType="separate"/>
      </w:r>
      <w:r w:rsidRPr="00BC1FC7" w:rsidR="00BC1FC7">
        <w:rPr>
          <w:snapToGrid w:val="0"/>
          <w:color w:val="000000"/>
          <w:u w:val="single"/>
        </w:rPr>
        <w:t>3.5</w:t>
      </w:r>
      <w:r w:rsidRPr="00943197">
        <w:rPr>
          <w:snapToGrid w:val="0"/>
          <w:u w:val="single"/>
        </w:rPr>
        <w:fldChar w:fldCharType="end"/>
      </w:r>
      <w:r>
        <w:rPr>
          <w:snapToGrid w:val="0"/>
        </w:rPr>
        <w:t xml:space="preserve"> by such Investor), </w:t>
      </w:r>
      <w:bookmarkStart w:id="320" w:name="DocXTextRef228"/>
      <w:r>
        <w:rPr>
          <w:snapToGrid w:val="0"/>
        </w:rPr>
        <w:t>(b)</w:t>
      </w:r>
      <w:bookmarkEnd w:id="320"/>
      <w:r>
        <w:rPr>
          <w:snapToGrid w:val="0"/>
        </w:rPr>
        <w:t xml:space="preserve"> is or has been independently developed or conceived by </w:t>
      </w:r>
      <w:r w:rsidR="005E6B78">
        <w:rPr>
          <w:snapToGrid w:val="0"/>
        </w:rPr>
        <w:t>such</w:t>
      </w:r>
      <w:r>
        <w:rPr>
          <w:snapToGrid w:val="0"/>
        </w:rPr>
        <w:t xml:space="preserve"> Investor without use of the Company's confidential information, or </w:t>
      </w:r>
      <w:bookmarkStart w:id="321" w:name="DocXTextRef229"/>
      <w:r>
        <w:rPr>
          <w:snapToGrid w:val="0"/>
        </w:rPr>
        <w:t>(c)</w:t>
      </w:r>
      <w:bookmarkEnd w:id="321"/>
      <w:r>
        <w:rPr>
          <w:snapToGrid w:val="0"/>
        </w:rPr>
        <w:t xml:space="preserve"> is or has been made known or disclosed to </w:t>
      </w:r>
      <w:r w:rsidR="005E6B78">
        <w:rPr>
          <w:snapToGrid w:val="0"/>
        </w:rPr>
        <w:t>such</w:t>
      </w:r>
      <w:r>
        <w:rPr>
          <w:snapToGrid w:val="0"/>
        </w:rPr>
        <w:t xml:space="preserve"> Investor by a third party without a breach of any obligation of confidentiality such third party may have to the Company; provided, however, that an Investor may disclose confidential information </w:t>
      </w:r>
      <w:bookmarkStart w:id="322" w:name="DocXTextRef230"/>
      <w:r>
        <w:rPr>
          <w:snapToGrid w:val="0"/>
        </w:rPr>
        <w:t>(i)</w:t>
      </w:r>
      <w:bookmarkEnd w:id="322"/>
      <w:r>
        <w:rPr>
          <w:snapToGrid w:val="0"/>
        </w:rPr>
        <w:t xml:space="preserve"> to its attorneys, accountants, consultants, and other professionals to the extent </w:t>
      </w:r>
      <w:r w:rsidR="00240723">
        <w:rPr>
          <w:snapToGrid w:val="0"/>
        </w:rPr>
        <w:t xml:space="preserve">reasonably </w:t>
      </w:r>
      <w:r>
        <w:rPr>
          <w:snapToGrid w:val="0"/>
        </w:rPr>
        <w:t xml:space="preserve">necessary to obtain their services in connection with monitoring its investment in the Company; </w:t>
      </w:r>
      <w:bookmarkStart w:id="323" w:name="DocXTextRef231"/>
      <w:r>
        <w:rPr>
          <w:snapToGrid w:val="0"/>
        </w:rPr>
        <w:t>(ii)</w:t>
      </w:r>
      <w:bookmarkEnd w:id="323"/>
      <w:r>
        <w:rPr>
          <w:snapToGrid w:val="0"/>
        </w:rPr>
        <w:t xml:space="preserve"> to any prospective purchaser of any Registrable Securities from such Investor, if such prospective purchaser agrees to be bound by the provisions of this </w:t>
      </w:r>
      <w:r w:rsidR="00240723">
        <w:rPr>
          <w:snapToGrid w:val="0"/>
          <w:u w:val="single"/>
        </w:rPr>
        <w:t>S</w:t>
      </w:r>
      <w:r w:rsidRPr="00943197">
        <w:rPr>
          <w:snapToGrid w:val="0"/>
          <w:u w:val="single"/>
        </w:rPr>
        <w:t xml:space="preserve">ection </w:t>
      </w:r>
      <w:r w:rsidRPr="00943197">
        <w:rPr>
          <w:snapToGrid w:val="0"/>
          <w:u w:val="single"/>
        </w:rPr>
        <w:fldChar w:fldCharType="begin"/>
      </w:r>
      <w:r w:rsidRPr="00943197">
        <w:rPr>
          <w:snapToGrid w:val="0"/>
          <w:u w:val="single"/>
        </w:rPr>
        <w:instrText xml:space="preserve">  REF _Ref448380625 \w \h \* MERGEFORMAT </w:instrText>
      </w:r>
      <w:r w:rsidRPr="00943197">
        <w:rPr>
          <w:snapToGrid w:val="0"/>
          <w:u w:val="single"/>
        </w:rPr>
        <w:fldChar w:fldCharType="separate"/>
      </w:r>
      <w:r w:rsidRPr="00BC1FC7" w:rsidR="00BC1FC7">
        <w:rPr>
          <w:snapToGrid w:val="0"/>
          <w:color w:val="000000"/>
          <w:u w:val="single"/>
        </w:rPr>
        <w:t>3.5</w:t>
      </w:r>
      <w:r w:rsidRPr="00943197">
        <w:rPr>
          <w:snapToGrid w:val="0"/>
          <w:u w:val="single"/>
        </w:rPr>
        <w:fldChar w:fldCharType="end"/>
      </w:r>
      <w:r>
        <w:rPr>
          <w:snapToGrid w:val="0"/>
        </w:rPr>
        <w:t>;</w:t>
      </w:r>
      <w:bookmarkStart w:id="324" w:name="_Ref448380713"/>
      <w:r>
        <w:rPr>
          <w:rStyle w:val="FootnoteReference"/>
          <w:snapToGrid w:val="0"/>
        </w:rPr>
        <w:footnoteReference w:id="45"/>
      </w:r>
      <w:bookmarkEnd w:id="324"/>
      <w:r>
        <w:rPr>
          <w:b/>
          <w:snapToGrid w:val="0"/>
        </w:rPr>
        <w:t xml:space="preserve"> </w:t>
      </w:r>
      <w:bookmarkStart w:id="325" w:name="DocXTextRef232"/>
      <w:r>
        <w:rPr>
          <w:snapToGrid w:val="0"/>
        </w:rPr>
        <w:t>(iii)</w:t>
      </w:r>
      <w:bookmarkEnd w:id="325"/>
      <w:r>
        <w:rPr>
          <w:snapToGrid w:val="0"/>
        </w:rPr>
        <w:t xml:space="preserve"> to any </w:t>
      </w:r>
      <w:r>
        <w:rPr>
          <w:snapToGrid w:val="0"/>
          <w:szCs w:val="16"/>
        </w:rPr>
        <w:t>[existing or prospective]</w:t>
      </w:r>
      <w:bookmarkStart w:id="326" w:name="_Ref448380714"/>
      <w:r>
        <w:rPr>
          <w:rStyle w:val="FootnoteReference"/>
          <w:snapToGrid w:val="0"/>
          <w:szCs w:val="16"/>
        </w:rPr>
        <w:footnoteReference w:id="46"/>
      </w:r>
      <w:bookmarkEnd w:id="326"/>
      <w:r>
        <w:rPr>
          <w:snapToGrid w:val="0"/>
        </w:rPr>
        <w:t xml:space="preserve"> Affiliate, partner, member, shareholder, or wholly owned subsidiary of such Investor in the ordinary course of business, </w:t>
      </w:r>
      <w:r>
        <w:rPr>
          <w:snapToGrid w:val="0"/>
          <w:szCs w:val="16"/>
        </w:rPr>
        <w:t>provided that such Investor informs such Person that such information is confidential and directs such Person to maintain the confidentiality of such information;</w:t>
      </w:r>
      <w:r>
        <w:rPr>
          <w:snapToGrid w:val="0"/>
        </w:rPr>
        <w:t xml:space="preserve"> or </w:t>
      </w:r>
      <w:bookmarkStart w:id="327" w:name="DocXTextRef233"/>
      <w:r>
        <w:rPr>
          <w:snapToGrid w:val="0"/>
        </w:rPr>
        <w:t>(iv)</w:t>
      </w:r>
      <w:bookmarkEnd w:id="327"/>
      <w:r>
        <w:rPr>
          <w:snapToGrid w:val="0"/>
        </w:rPr>
        <w:t xml:space="preserve"> as may otherwise be required by law, </w:t>
      </w:r>
      <w:r w:rsidR="00EA24FA">
        <w:rPr>
          <w:snapToGrid w:val="0"/>
        </w:rPr>
        <w:t>regulation, rule, court order or subpoena</w:t>
      </w:r>
      <w:r w:rsidR="00D82735">
        <w:rPr>
          <w:snapToGrid w:val="0"/>
        </w:rPr>
        <w:t>,</w:t>
      </w:r>
      <w:r w:rsidR="00EA24FA">
        <w:rPr>
          <w:snapToGrid w:val="0"/>
        </w:rPr>
        <w:t xml:space="preserve"> </w:t>
      </w:r>
      <w:r>
        <w:rPr>
          <w:snapToGrid w:val="0"/>
        </w:rPr>
        <w:t xml:space="preserve">provided that </w:t>
      </w:r>
      <w:r w:rsidR="005E6B78">
        <w:rPr>
          <w:snapToGrid w:val="0"/>
        </w:rPr>
        <w:t>such</w:t>
      </w:r>
      <w:r>
        <w:rPr>
          <w:snapToGrid w:val="0"/>
        </w:rPr>
        <w:t xml:space="preserve"> Investor promptly notifies the Company of such disclosure and takes reasonable steps to minimize the extent of any such required disclosure.</w:t>
      </w:r>
    </w:p>
    <w:p w:rsidR="00900B19" w:rsidRPr="001967C7" w:rsidP="00900B19">
      <w:pPr>
        <w:pStyle w:val="StandardL2"/>
      </w:pPr>
      <w:bookmarkStart w:id="328" w:name="_Toc56499785"/>
      <w:r w:rsidRPr="001967C7">
        <w:t>Waiver of Statutory Information Rights</w:t>
      </w:r>
      <w:r w:rsidRPr="001967C7">
        <w:rPr>
          <w:snapToGrid w:val="0"/>
        </w:rPr>
        <w:t>.</w:t>
      </w:r>
      <w:bookmarkEnd w:id="328"/>
    </w:p>
    <w:p w:rsidR="00900B19" w:rsidRPr="00900B19" w:rsidP="00900B19">
      <w:pPr>
        <w:pStyle w:val="StandardCont2"/>
        <w:rPr>
          <w:snapToGrid w:val="0"/>
        </w:rPr>
      </w:pPr>
      <w:r w:rsidRPr="001967C7">
        <w:rPr>
          <w:szCs w:val="24"/>
        </w:rPr>
        <w:t xml:space="preserve">Each Investor hereby acknowledges and agrees that until the consummation of the IPO, such Investor shall hereby be deemed to have unconditionally and irrevocably, to the fullest extent permitted by law, on behalf of such Investor and all beneficial owners of the Common Shares or [Class A] Preferred Shares owned by such Investor (a </w:t>
      </w:r>
      <w:r w:rsidRPr="001967C7">
        <w:t>"</w:t>
      </w:r>
      <w:r w:rsidRPr="001967C7">
        <w:rPr>
          <w:b/>
          <w:szCs w:val="24"/>
        </w:rPr>
        <w:t>Beneficial Owner</w:t>
      </w:r>
      <w:r w:rsidRPr="001967C7">
        <w:t>"</w:t>
      </w:r>
      <w:r w:rsidRPr="001967C7">
        <w:rPr>
          <w:szCs w:val="24"/>
        </w:rPr>
        <w:t xml:space="preserve">), waived any rights such Investor or a Beneficial Owner might otherwise have had under </w:t>
      </w:r>
      <w:r w:rsidRPr="00F06AE2" w:rsidR="001967C7">
        <w:rPr>
          <w:szCs w:val="24"/>
        </w:rPr>
        <w:t xml:space="preserve">the </w:t>
      </w:r>
      <w:r w:rsidR="00C364FE">
        <w:rPr>
          <w:szCs w:val="24"/>
        </w:rPr>
        <w:t>Act</w:t>
      </w:r>
      <w:r w:rsidRPr="00F06AE2">
        <w:rPr>
          <w:szCs w:val="24"/>
        </w:rPr>
        <w:t xml:space="preserve"> (or under similar rights under other applicable law) to inspect for any proper purpose and to make copies and extracts from the Company’s</w:t>
      </w:r>
      <w:r w:rsidRPr="00F06AE2" w:rsidR="00F06AE2">
        <w:rPr>
          <w:szCs w:val="24"/>
        </w:rPr>
        <w:t xml:space="preserve"> corporate records,</w:t>
      </w:r>
      <w:r w:rsidRPr="00F06AE2">
        <w:rPr>
          <w:szCs w:val="24"/>
        </w:rPr>
        <w:t xml:space="preserve"> </w:t>
      </w:r>
      <w:r w:rsidRPr="00F06AE2" w:rsidR="00F06AE2">
        <w:rPr>
          <w:szCs w:val="24"/>
        </w:rPr>
        <w:t>securities register</w:t>
      </w:r>
      <w:r w:rsidRPr="00F06AE2">
        <w:rPr>
          <w:szCs w:val="24"/>
        </w:rPr>
        <w:t xml:space="preserve">, a list of its </w:t>
      </w:r>
      <w:bookmarkStart w:id="329" w:name="_9kMH4L6ZWu57789Cfd6qnty3tn2H"/>
      <w:r w:rsidRPr="00F06AE2" w:rsidR="001967C7">
        <w:rPr>
          <w:szCs w:val="24"/>
        </w:rPr>
        <w:t>share</w:t>
      </w:r>
      <w:r w:rsidRPr="00F06AE2">
        <w:rPr>
          <w:szCs w:val="24"/>
        </w:rPr>
        <w:t>holders</w:t>
      </w:r>
      <w:bookmarkEnd w:id="329"/>
      <w:r w:rsidRPr="00F06AE2">
        <w:rPr>
          <w:szCs w:val="24"/>
        </w:rPr>
        <w:t xml:space="preserve"> and its other books and records or the books and records of any subsidiary. This waiver applies only in such Investor’s capacity as a </w:t>
      </w:r>
      <w:bookmarkStart w:id="330" w:name="_9kMH5M6ZWu57789Cfd6qnty3tn2H"/>
      <w:r w:rsidRPr="00F06AE2">
        <w:rPr>
          <w:szCs w:val="24"/>
        </w:rPr>
        <w:t>s</w:t>
      </w:r>
      <w:r w:rsidRPr="00F06AE2" w:rsidR="001967C7">
        <w:rPr>
          <w:szCs w:val="24"/>
        </w:rPr>
        <w:t>hare</w:t>
      </w:r>
      <w:r w:rsidRPr="00F06AE2">
        <w:rPr>
          <w:szCs w:val="24"/>
        </w:rPr>
        <w:t>holder</w:t>
      </w:r>
      <w:bookmarkEnd w:id="330"/>
      <w:r w:rsidRPr="00F06AE2">
        <w:rPr>
          <w:szCs w:val="24"/>
        </w:rPr>
        <w:t xml:space="preserve"> and does not affect any other information and inspection rights such Investor may expressly have pursuant to </w:t>
      </w:r>
      <w:r w:rsidRPr="00F06AE2">
        <w:rPr>
          <w:szCs w:val="24"/>
          <w:u w:val="single"/>
        </w:rPr>
        <w:t xml:space="preserve">Sections </w:t>
      </w:r>
      <w:r w:rsidRPr="00F06AE2" w:rsidR="001967C7">
        <w:rPr>
          <w:snapToGrid w:val="0"/>
          <w:u w:val="single"/>
        </w:rPr>
        <w:fldChar w:fldCharType="begin"/>
      </w:r>
      <w:r w:rsidRPr="00F06AE2" w:rsidR="001967C7">
        <w:rPr>
          <w:snapToGrid w:val="0"/>
          <w:u w:val="single"/>
        </w:rPr>
        <w:instrText xml:space="preserve">  REF _Ref448380614 \w \h \* MERGEFORMAT </w:instrText>
      </w:r>
      <w:r w:rsidRPr="00F06AE2" w:rsidR="001967C7">
        <w:rPr>
          <w:snapToGrid w:val="0"/>
          <w:u w:val="single"/>
        </w:rPr>
        <w:fldChar w:fldCharType="separate"/>
      </w:r>
      <w:r w:rsidRPr="00BC1FC7" w:rsidR="00BC1FC7">
        <w:rPr>
          <w:snapToGrid w:val="0"/>
          <w:color w:val="000000"/>
          <w:u w:val="single"/>
        </w:rPr>
        <w:t>3.1</w:t>
      </w:r>
      <w:r w:rsidRPr="00F06AE2" w:rsidR="001967C7">
        <w:rPr>
          <w:snapToGrid w:val="0"/>
          <w:u w:val="single"/>
        </w:rPr>
        <w:fldChar w:fldCharType="end"/>
      </w:r>
      <w:r w:rsidRPr="00F06AE2">
        <w:rPr>
          <w:szCs w:val="24"/>
        </w:rPr>
        <w:t xml:space="preserve"> and</w:t>
      </w:r>
      <w:r w:rsidRPr="001967C7">
        <w:rPr>
          <w:szCs w:val="24"/>
        </w:rPr>
        <w:t xml:space="preserve"> </w:t>
      </w:r>
      <w:r w:rsidRPr="001967C7" w:rsidR="001967C7">
        <w:rPr>
          <w:snapToGrid w:val="0"/>
          <w:u w:val="single"/>
        </w:rPr>
        <w:fldChar w:fldCharType="begin"/>
      </w:r>
      <w:r w:rsidRPr="001967C7" w:rsidR="001967C7">
        <w:rPr>
          <w:snapToGrid w:val="0"/>
          <w:u w:val="single"/>
        </w:rPr>
        <w:instrText xml:space="preserve">  REF _Ref448380622 \w \h \* MERGEFORMAT </w:instrText>
      </w:r>
      <w:r w:rsidRPr="001967C7" w:rsidR="001967C7">
        <w:rPr>
          <w:snapToGrid w:val="0"/>
          <w:u w:val="single"/>
        </w:rPr>
        <w:fldChar w:fldCharType="separate"/>
      </w:r>
      <w:r w:rsidRPr="00BC1FC7" w:rsidR="00BC1FC7">
        <w:rPr>
          <w:snapToGrid w:val="0"/>
          <w:color w:val="000000"/>
          <w:u w:val="single"/>
        </w:rPr>
        <w:t>3.2</w:t>
      </w:r>
      <w:r w:rsidRPr="001967C7" w:rsidR="001967C7">
        <w:rPr>
          <w:snapToGrid w:val="0"/>
          <w:u w:val="single"/>
        </w:rPr>
        <w:fldChar w:fldCharType="end"/>
      </w:r>
      <w:r w:rsidRPr="001967C7" w:rsidR="001967C7">
        <w:rPr>
          <w:snapToGrid w:val="0"/>
        </w:rPr>
        <w:t xml:space="preserve"> </w:t>
      </w:r>
      <w:r w:rsidRPr="001967C7">
        <w:rPr>
          <w:szCs w:val="24"/>
        </w:rPr>
        <w:t xml:space="preserve">of this Agreement. Each Investor hereby further warrants and represents that such Investor has reviewed this waiver with its legal counsel, and that such Investor knowingly and voluntarily waives its rights otherwise provided by </w:t>
      </w:r>
      <w:r w:rsidRPr="001967C7" w:rsidR="001967C7">
        <w:rPr>
          <w:szCs w:val="24"/>
        </w:rPr>
        <w:t xml:space="preserve">the </w:t>
      </w:r>
      <w:r w:rsidR="00E41335">
        <w:rPr>
          <w:szCs w:val="24"/>
        </w:rPr>
        <w:t>Act</w:t>
      </w:r>
      <w:r w:rsidRPr="001967C7" w:rsidR="001967C7">
        <w:rPr>
          <w:szCs w:val="24"/>
        </w:rPr>
        <w:t xml:space="preserve"> </w:t>
      </w:r>
      <w:r w:rsidRPr="001967C7">
        <w:rPr>
          <w:szCs w:val="24"/>
        </w:rPr>
        <w:t>(or under similar rights under other applicable law).]</w:t>
      </w:r>
      <w:r>
        <w:rPr>
          <w:rStyle w:val="FootnoteReference"/>
          <w:rFonts w:eastAsiaTheme="majorEastAsia"/>
          <w:szCs w:val="24"/>
        </w:rPr>
        <w:footnoteReference w:id="47"/>
      </w:r>
    </w:p>
    <w:p w:rsidR="00037C7E">
      <w:pPr>
        <w:pStyle w:val="StandardL1"/>
      </w:pPr>
      <w:bookmarkStart w:id="331" w:name="_Ref448380626"/>
      <w:bookmarkStart w:id="332" w:name="_Toc56499786"/>
      <w:r>
        <w:t>Rights to Future Share Issuances</w:t>
      </w:r>
      <w:r>
        <w:rPr>
          <w:snapToGrid w:val="0"/>
        </w:rPr>
        <w:t>.</w:t>
      </w:r>
      <w:bookmarkEnd w:id="331"/>
      <w:bookmarkEnd w:id="332"/>
    </w:p>
    <w:p w:rsidR="00037C7E">
      <w:pPr>
        <w:pStyle w:val="StandardL2"/>
      </w:pPr>
      <w:bookmarkStart w:id="333" w:name="_Ref448380627"/>
      <w:bookmarkStart w:id="334" w:name="_Toc56499787"/>
      <w:r>
        <w:t>Right of First Offer</w:t>
      </w:r>
      <w:r>
        <w:rPr>
          <w:snapToGrid w:val="0"/>
        </w:rPr>
        <w:t>.</w:t>
      </w:r>
      <w:bookmarkEnd w:id="333"/>
      <w:bookmarkEnd w:id="334"/>
    </w:p>
    <w:p w:rsidR="00037C7E">
      <w:pPr>
        <w:pStyle w:val="StandardCont2"/>
      </w:pPr>
      <w:r>
        <w:rPr>
          <w:snapToGrid w:val="0"/>
        </w:rPr>
        <w:t xml:space="preserve">Subject to the terms and conditions of this </w:t>
      </w:r>
      <w:r w:rsidR="00900B19">
        <w:rPr>
          <w:snapToGrid w:val="0"/>
          <w:u w:val="single"/>
        </w:rPr>
        <w:t>S</w:t>
      </w:r>
      <w:r w:rsidRPr="00943197">
        <w:rPr>
          <w:snapToGrid w:val="0"/>
          <w:u w:val="single"/>
        </w:rPr>
        <w:t xml:space="preserve">ection </w:t>
      </w:r>
      <w:r w:rsidRPr="00943197">
        <w:rPr>
          <w:snapToGrid w:val="0"/>
          <w:u w:val="single"/>
        </w:rPr>
        <w:fldChar w:fldCharType="begin"/>
      </w:r>
      <w:r w:rsidRPr="00943197">
        <w:rPr>
          <w:snapToGrid w:val="0"/>
          <w:u w:val="single"/>
        </w:rPr>
        <w:instrText xml:space="preserve">  REF _Ref448380627 \w \h \* MERGEFORMAT </w:instrText>
      </w:r>
      <w:r w:rsidRPr="00943197">
        <w:rPr>
          <w:snapToGrid w:val="0"/>
          <w:u w:val="single"/>
        </w:rPr>
        <w:fldChar w:fldCharType="separate"/>
      </w:r>
      <w:r w:rsidRPr="00BC1FC7" w:rsidR="00BC1FC7">
        <w:rPr>
          <w:snapToGrid w:val="0"/>
          <w:color w:val="000000"/>
          <w:u w:val="single"/>
        </w:rPr>
        <w:t>4.1</w:t>
      </w:r>
      <w:r w:rsidRPr="00943197">
        <w:rPr>
          <w:snapToGrid w:val="0"/>
          <w:u w:val="single"/>
        </w:rPr>
        <w:fldChar w:fldCharType="end"/>
      </w:r>
      <w:r>
        <w:rPr>
          <w:snapToGrid w:val="0"/>
        </w:rPr>
        <w:t xml:space="preserve"> and applicable securities laws, if the Company proposes to offer or sell any New Securities, the Company shall first offer such New Securities to each Major Investor.</w:t>
      </w:r>
      <w:bookmarkStart w:id="335" w:name="_Ref448380715"/>
      <w:r>
        <w:rPr>
          <w:rStyle w:val="FootnoteReference"/>
          <w:snapToGrid w:val="0"/>
        </w:rPr>
        <w:footnoteReference w:id="48"/>
      </w:r>
      <w:bookmarkEnd w:id="335"/>
      <w:r>
        <w:rPr>
          <w:snapToGrid w:val="0"/>
        </w:rPr>
        <w:t xml:space="preserve"> A Major Investor shall be entitled to apportion the right of first offer hereby granted to it. in such proportions as it deems appropriate, among </w:t>
      </w:r>
      <w:bookmarkStart w:id="336" w:name="DocXTextRef236"/>
      <w:r>
        <w:rPr>
          <w:snapToGrid w:val="0"/>
        </w:rPr>
        <w:t>(i)</w:t>
      </w:r>
      <w:bookmarkEnd w:id="336"/>
      <w:r>
        <w:rPr>
          <w:snapToGrid w:val="0"/>
        </w:rPr>
        <w:t xml:space="preserve"> itself, </w:t>
      </w:r>
      <w:bookmarkStart w:id="337" w:name="DocXTextRef237"/>
      <w:r>
        <w:rPr>
          <w:snapToGrid w:val="0"/>
        </w:rPr>
        <w:t>(ii)</w:t>
      </w:r>
      <w:bookmarkEnd w:id="337"/>
      <w:r>
        <w:rPr>
          <w:snapToGrid w:val="0"/>
        </w:rPr>
        <w:t xml:space="preserve"> its Affiliates [and </w:t>
      </w:r>
      <w:bookmarkStart w:id="338" w:name="DocXTextRef238"/>
      <w:r>
        <w:rPr>
          <w:snapToGrid w:val="0"/>
        </w:rPr>
        <w:t>(iii)</w:t>
      </w:r>
      <w:bookmarkEnd w:id="338"/>
      <w:r>
        <w:rPr>
          <w:snapToGrid w:val="0"/>
        </w:rPr>
        <w:t> its beneficial interest holders, such as limited partners, members or any other Person having "beneficial ownership," as such term is defined in Rule 13d-3 promulgated under the Exchange Act, of such Major Investor ("</w:t>
      </w:r>
      <w:r>
        <w:rPr>
          <w:b/>
          <w:snapToGrid w:val="0"/>
        </w:rPr>
        <w:t>Investor Beneficial Owners</w:t>
      </w:r>
      <w:r>
        <w:rPr>
          <w:snapToGrid w:val="0"/>
        </w:rPr>
        <w:t>"); provided</w:t>
      </w:r>
      <w:r>
        <w:rPr>
          <w:i/>
          <w:snapToGrid w:val="0"/>
        </w:rPr>
        <w:t xml:space="preserve"> </w:t>
      </w:r>
      <w:r>
        <w:rPr>
          <w:snapToGrid w:val="0"/>
        </w:rPr>
        <w:t xml:space="preserve">that each such Affiliate or Investor Beneficial Owner </w:t>
      </w:r>
      <w:bookmarkStart w:id="339" w:name="DocXTextRef239"/>
      <w:r>
        <w:rPr>
          <w:snapToGrid w:val="0"/>
        </w:rPr>
        <w:t>(x)</w:t>
      </w:r>
      <w:bookmarkEnd w:id="339"/>
      <w:r>
        <w:rPr>
          <w:snapToGrid w:val="0"/>
        </w:rPr>
        <w:t xml:space="preserve"> is not a Competitor or FOIA Party, unless such party's purchase of New Securities is otherwise consented to by the Board of Directors, </w:t>
      </w:r>
      <w:bookmarkStart w:id="340" w:name="DocXTextRef240"/>
      <w:r>
        <w:rPr>
          <w:snapToGrid w:val="0"/>
        </w:rPr>
        <w:t>(y)</w:t>
      </w:r>
      <w:bookmarkEnd w:id="340"/>
      <w:r>
        <w:rPr>
          <w:snapToGrid w:val="0"/>
        </w:rPr>
        <w:t xml:space="preserve"> agrees to enter into this Agreement and each of the </w:t>
      </w:r>
      <w:r w:rsidR="005E6B78">
        <w:rPr>
          <w:snapToGrid w:val="0"/>
        </w:rPr>
        <w:t xml:space="preserve">[Amended and Restated] </w:t>
      </w:r>
      <w:r>
        <w:rPr>
          <w:snapToGrid w:val="0"/>
        </w:rPr>
        <w:t>Voting Agreement of even date herewith among the Company, the Investors and the other parties named therein, as an "</w:t>
      </w:r>
      <w:r>
        <w:rPr>
          <w:b/>
          <w:snapToGrid w:val="0"/>
        </w:rPr>
        <w:t>Investor</w:t>
      </w:r>
      <w:r>
        <w:rPr>
          <w:snapToGrid w:val="0"/>
        </w:rPr>
        <w:t xml:space="preserve">" under each such agreement (provided that any Competitor or FOIA Party shall not be entitled to any rights as a Major Investor under </w:t>
      </w:r>
      <w:r w:rsidR="00C23AFE">
        <w:rPr>
          <w:snapToGrid w:val="0"/>
          <w:u w:val="single"/>
        </w:rPr>
        <w:t>S</w:t>
      </w:r>
      <w:r w:rsidRPr="00943197">
        <w:rPr>
          <w:snapToGrid w:val="0"/>
          <w:u w:val="single"/>
        </w:rPr>
        <w:t xml:space="preserve">ections </w:t>
      </w:r>
      <w:r w:rsidRPr="00943197">
        <w:rPr>
          <w:snapToGrid w:val="0"/>
          <w:u w:val="single"/>
        </w:rPr>
        <w:fldChar w:fldCharType="begin"/>
      </w:r>
      <w:r w:rsidRPr="00943197">
        <w:rPr>
          <w:snapToGrid w:val="0"/>
          <w:u w:val="single"/>
        </w:rPr>
        <w:instrText xml:space="preserve">  REF _Ref448380614 \w \h \* MERGEFORMAT </w:instrText>
      </w:r>
      <w:r w:rsidRPr="00943197">
        <w:rPr>
          <w:snapToGrid w:val="0"/>
          <w:u w:val="single"/>
        </w:rPr>
        <w:fldChar w:fldCharType="separate"/>
      </w:r>
      <w:r w:rsidRPr="00BC1FC7" w:rsidR="00BC1FC7">
        <w:rPr>
          <w:snapToGrid w:val="0"/>
          <w:color w:val="000000"/>
          <w:u w:val="single"/>
        </w:rPr>
        <w:t>3.1</w:t>
      </w:r>
      <w:r w:rsidRPr="00943197">
        <w:rPr>
          <w:snapToGrid w:val="0"/>
          <w:u w:val="single"/>
        </w:rPr>
        <w:fldChar w:fldCharType="end"/>
      </w:r>
      <w:r>
        <w:rPr>
          <w:snapToGrid w:val="0"/>
        </w:rPr>
        <w:t xml:space="preserve">, </w:t>
      </w:r>
      <w:r w:rsidRPr="00943197">
        <w:rPr>
          <w:snapToGrid w:val="0"/>
          <w:u w:val="single"/>
        </w:rPr>
        <w:fldChar w:fldCharType="begin"/>
      </w:r>
      <w:r w:rsidRPr="00943197">
        <w:rPr>
          <w:snapToGrid w:val="0"/>
          <w:u w:val="single"/>
        </w:rPr>
        <w:instrText xml:space="preserve">  REF _Ref448380622 \w \h \* MERGEFORMAT </w:instrText>
      </w:r>
      <w:r w:rsidRPr="00943197">
        <w:rPr>
          <w:snapToGrid w:val="0"/>
          <w:u w:val="single"/>
        </w:rPr>
        <w:fldChar w:fldCharType="separate"/>
      </w:r>
      <w:r w:rsidRPr="00BC1FC7" w:rsidR="00BC1FC7">
        <w:rPr>
          <w:snapToGrid w:val="0"/>
          <w:color w:val="000000"/>
          <w:u w:val="single"/>
        </w:rPr>
        <w:t>3.2</w:t>
      </w:r>
      <w:r w:rsidRPr="00943197">
        <w:rPr>
          <w:snapToGrid w:val="0"/>
          <w:u w:val="single"/>
        </w:rPr>
        <w:fldChar w:fldCharType="end"/>
      </w:r>
      <w:r>
        <w:rPr>
          <w:snapToGrid w:val="0"/>
        </w:rPr>
        <w:t xml:space="preserve"> and </w:t>
      </w:r>
      <w:r w:rsidRPr="00943197">
        <w:rPr>
          <w:snapToGrid w:val="0"/>
          <w:u w:val="single"/>
        </w:rPr>
        <w:fldChar w:fldCharType="begin"/>
      </w:r>
      <w:r w:rsidRPr="00943197">
        <w:rPr>
          <w:snapToGrid w:val="0"/>
          <w:u w:val="single"/>
        </w:rPr>
        <w:instrText xml:space="preserve">  REF _Ref448380627 \w \h \* MERGEFORMAT </w:instrText>
      </w:r>
      <w:r w:rsidRPr="00943197">
        <w:rPr>
          <w:snapToGrid w:val="0"/>
          <w:u w:val="single"/>
        </w:rPr>
        <w:fldChar w:fldCharType="separate"/>
      </w:r>
      <w:r w:rsidRPr="00BC1FC7" w:rsidR="00BC1FC7">
        <w:rPr>
          <w:snapToGrid w:val="0"/>
          <w:color w:val="000000"/>
          <w:u w:val="single"/>
        </w:rPr>
        <w:t>4.1</w:t>
      </w:r>
      <w:r w:rsidRPr="00943197">
        <w:rPr>
          <w:snapToGrid w:val="0"/>
          <w:u w:val="single"/>
        </w:rPr>
        <w:fldChar w:fldCharType="end"/>
      </w:r>
      <w:r>
        <w:rPr>
          <w:snapToGrid w:val="0"/>
        </w:rPr>
        <w:t xml:space="preserve"> hereof), and </w:t>
      </w:r>
      <w:bookmarkStart w:id="341" w:name="DocXTextRef243"/>
      <w:r>
        <w:rPr>
          <w:snapToGrid w:val="0"/>
        </w:rPr>
        <w:t>(z)</w:t>
      </w:r>
      <w:bookmarkEnd w:id="341"/>
      <w:r>
        <w:rPr>
          <w:snapToGrid w:val="0"/>
        </w:rPr>
        <w:t> agrees to purchase at least such number of New Securities as are allocable hereunder to the Major Investor holding the fewest number of [Class A] Preferred Shares and any other Derivative Securities].</w:t>
      </w:r>
    </w:p>
    <w:p w:rsidR="00037C7E">
      <w:pPr>
        <w:pStyle w:val="StandardL3"/>
      </w:pPr>
      <w:bookmarkStart w:id="342" w:name="_Ref448380628"/>
      <w:r>
        <w:t>The Company shall give notice (the "</w:t>
      </w:r>
      <w:r>
        <w:rPr>
          <w:b/>
        </w:rPr>
        <w:t>Offer Notice</w:t>
      </w:r>
      <w:r>
        <w:t xml:space="preserve">") to each Major Investor, stating </w:t>
      </w:r>
      <w:bookmarkStart w:id="343" w:name="DocXTextRef244"/>
      <w:r>
        <w:t>(i)</w:t>
      </w:r>
      <w:bookmarkEnd w:id="343"/>
      <w:r>
        <w:t xml:space="preserve"> its bona fide intention to offer such New Securities, </w:t>
      </w:r>
      <w:bookmarkStart w:id="344" w:name="DocXTextRef245"/>
      <w:r>
        <w:t>(ii)</w:t>
      </w:r>
      <w:bookmarkEnd w:id="344"/>
      <w:r>
        <w:t xml:space="preserve"> the number of such New Securities to be offered, and </w:t>
      </w:r>
      <w:bookmarkStart w:id="345" w:name="DocXTextRef246"/>
      <w:r>
        <w:t>(iii)</w:t>
      </w:r>
      <w:bookmarkEnd w:id="345"/>
      <w:r>
        <w:t xml:space="preserve"> the price and terms, if any, upon which it proposes to offer such New Securities.</w:t>
      </w:r>
      <w:bookmarkEnd w:id="342"/>
    </w:p>
    <w:p w:rsidR="00037C7E">
      <w:pPr>
        <w:pStyle w:val="StandardL3"/>
        <w:rPr>
          <w:szCs w:val="16"/>
        </w:rPr>
      </w:pPr>
      <w:bookmarkStart w:id="346" w:name="_Ref448380629"/>
      <w:r>
        <w:t>By notification to the Company within twenty (20) days after the Offer Notice is given, each Major Investor may elect to purchase or otherwise acquire, at the price and on the terms specified in the Offer Notice, up to that portion of such New Securities</w:t>
      </w:r>
      <w:bookmarkStart w:id="347" w:name="_Ref448380716"/>
      <w:r>
        <w:rPr>
          <w:rStyle w:val="FootnoteReference"/>
        </w:rPr>
        <w:footnoteReference w:id="49"/>
      </w:r>
      <w:bookmarkEnd w:id="347"/>
      <w:r>
        <w:t xml:space="preserve"> which equals the proportion that the Common Shares then held by such Major Investor (including all Common Shares then issuable </w:t>
      </w:r>
      <w:r>
        <w:rPr>
          <w:szCs w:val="16"/>
        </w:rPr>
        <w:t xml:space="preserve">(directly or indirectly) </w:t>
      </w:r>
      <w:r>
        <w:t xml:space="preserve">upon conversion </w:t>
      </w:r>
      <w:r>
        <w:rPr>
          <w:szCs w:val="16"/>
        </w:rPr>
        <w:t xml:space="preserve">and/or exercise, as applicable, </w:t>
      </w:r>
      <w:r>
        <w:t>of the</w:t>
      </w:r>
      <w:r>
        <w:rPr>
          <w:szCs w:val="16"/>
        </w:rPr>
        <w:t xml:space="preserve"> [Class A]</w:t>
      </w:r>
      <w:r>
        <w:t xml:space="preserve"> Preferred Shares and any other Derivative Securities then held by such Major Investor) bears to the total Common Shares of the Company [then outstanding (assuming full conversion and</w:t>
      </w:r>
      <w:r>
        <w:rPr>
          <w:szCs w:val="16"/>
        </w:rPr>
        <w:t>/or</w:t>
      </w:r>
      <w:r>
        <w:t xml:space="preserve"> exercise</w:t>
      </w:r>
      <w:r>
        <w:rPr>
          <w:szCs w:val="16"/>
        </w:rPr>
        <w:t>, as applicable,</w:t>
      </w:r>
      <w:r>
        <w:t xml:space="preserve"> of all </w:t>
      </w:r>
      <w:r>
        <w:rPr>
          <w:szCs w:val="16"/>
        </w:rPr>
        <w:t xml:space="preserve">[Class A] Preferred Shares and </w:t>
      </w:r>
      <w:r w:rsidR="005E6B78">
        <w:rPr>
          <w:szCs w:val="16"/>
        </w:rPr>
        <w:t xml:space="preserve">any </w:t>
      </w:r>
      <w:r>
        <w:rPr>
          <w:szCs w:val="16"/>
        </w:rPr>
        <w:t xml:space="preserve">other </w:t>
      </w:r>
      <w:r>
        <w:t>Derivative Securities</w:t>
      </w:r>
      <w:r w:rsidR="005E6B78">
        <w:t xml:space="preserve"> then outstanding</w:t>
      </w:r>
      <w:r>
        <w:t>)][</w:t>
      </w:r>
      <w:r>
        <w:rPr>
          <w:i/>
          <w:szCs w:val="16"/>
        </w:rPr>
        <w:t>Alternative:</w:t>
      </w:r>
      <w:r>
        <w:t xml:space="preserve"> then held by all the Major Investors (including all Common Shares issuable </w:t>
      </w:r>
      <w:r>
        <w:rPr>
          <w:szCs w:val="16"/>
        </w:rPr>
        <w:t xml:space="preserve">(directly or indirectly) </w:t>
      </w:r>
      <w:r>
        <w:t xml:space="preserve">upon conversion </w:t>
      </w:r>
      <w:r>
        <w:rPr>
          <w:szCs w:val="16"/>
        </w:rPr>
        <w:t xml:space="preserve">and/or exercise, as applicable, </w:t>
      </w:r>
      <w:r>
        <w:t xml:space="preserve">of the </w:t>
      </w:r>
      <w:r>
        <w:rPr>
          <w:szCs w:val="16"/>
        </w:rPr>
        <w:t xml:space="preserve">[Class A] </w:t>
      </w:r>
      <w:r>
        <w:t>Preferred Shares</w:t>
      </w:r>
      <w:r>
        <w:rPr>
          <w:szCs w:val="16"/>
        </w:rPr>
        <w:t xml:space="preserve"> and any other Derivative Securities</w:t>
      </w:r>
      <w:r>
        <w:rPr>
          <w:b/>
        </w:rPr>
        <w:t xml:space="preserve"> </w:t>
      </w:r>
      <w:r>
        <w:t>then held by the Major Investors)].</w:t>
      </w:r>
      <w:bookmarkStart w:id="349" w:name="_Ref448380717"/>
      <w:r>
        <w:rPr>
          <w:rStyle w:val="FootnoteReference"/>
        </w:rPr>
        <w:footnoteReference w:id="50"/>
      </w:r>
      <w:bookmarkEnd w:id="349"/>
      <w:r>
        <w:t xml:space="preserve"> At the expiration of such twenty (20) day period, the Company shall promptly notify each Major Investor that elects to purchase or acquire all the shares available to it (each, a "</w:t>
      </w:r>
      <w:r>
        <w:rPr>
          <w:b/>
        </w:rPr>
        <w:t>Fully Exercising Investor</w:t>
      </w:r>
      <w:r>
        <w:t xml:space="preserve">") of any other Major Investor's failure to do likewise. During the ten (10) day period commencing after the Company has given such notice, each Fully Exercising Investor may, by giving notice to the Company, elect to purchase or acquire, in addition to the number of shares specified above, up to that portion of the New Securities for which Major Investors were entitled to subscribe but that were not subscribed for by the Major Investors which is equal to the proportion that the Common Shares issued and held, or issuable (directly or indirectly) upon conversion </w:t>
      </w:r>
      <w:r>
        <w:rPr>
          <w:szCs w:val="16"/>
        </w:rPr>
        <w:t>and/or exercise, as applicable, of [Class A]</w:t>
      </w:r>
      <w:r>
        <w:t xml:space="preserve"> Preferred Shares</w:t>
      </w:r>
      <w:r>
        <w:rPr>
          <w:szCs w:val="16"/>
        </w:rPr>
        <w:t xml:space="preserve"> and any other Derivative Securities</w:t>
      </w:r>
      <w:r>
        <w:t xml:space="preserve"> then held, by such Fully Exercising Investor bears to the Common Shares issued and held, or issuable </w:t>
      </w:r>
      <w:r>
        <w:rPr>
          <w:szCs w:val="16"/>
        </w:rPr>
        <w:t xml:space="preserve">(directly or indirectly) </w:t>
      </w:r>
      <w:r>
        <w:t xml:space="preserve">upon conversion </w:t>
      </w:r>
      <w:r>
        <w:rPr>
          <w:szCs w:val="16"/>
        </w:rPr>
        <w:t xml:space="preserve">and/or exercise, as applicable, </w:t>
      </w:r>
      <w:r>
        <w:t xml:space="preserve">of the </w:t>
      </w:r>
      <w:r>
        <w:rPr>
          <w:szCs w:val="16"/>
        </w:rPr>
        <w:t xml:space="preserve">[Class A] </w:t>
      </w:r>
      <w:r>
        <w:t>Preferred Shares</w:t>
      </w:r>
      <w:r>
        <w:rPr>
          <w:szCs w:val="16"/>
        </w:rPr>
        <w:t xml:space="preserve"> and any other Derivative Securities</w:t>
      </w:r>
      <w:r>
        <w:rPr>
          <w:b/>
        </w:rPr>
        <w:t xml:space="preserve"> </w:t>
      </w:r>
      <w:r>
        <w:t>then held, by all Fully Exercising Investors who wish to purchase such unsubscribed shares.</w:t>
      </w:r>
      <w:bookmarkStart w:id="350" w:name="_Ref448380718"/>
      <w:r>
        <w:rPr>
          <w:rStyle w:val="FootnoteReference"/>
        </w:rPr>
        <w:footnoteReference w:id="51"/>
      </w:r>
      <w:bookmarkEnd w:id="350"/>
      <w:r>
        <w:t xml:space="preserve"> The closing of any sale pursuant to this </w:t>
      </w:r>
      <w:r w:rsidR="00C23AFE">
        <w:rPr>
          <w:u w:val="single"/>
        </w:rPr>
        <w:t>S</w:t>
      </w:r>
      <w:r>
        <w:rPr>
          <w:u w:val="single"/>
        </w:rPr>
        <w:t xml:space="preserve">ection </w:t>
      </w:r>
      <w:r>
        <w:rPr>
          <w:u w:val="single"/>
        </w:rPr>
        <w:fldChar w:fldCharType="begin"/>
      </w:r>
      <w:r>
        <w:rPr>
          <w:u w:val="single"/>
        </w:rPr>
        <w:instrText xml:space="preserve">  REF _Ref448380629 \w \h \* MERGEFORMAT </w:instrText>
      </w:r>
      <w:r>
        <w:rPr>
          <w:u w:val="single"/>
        </w:rPr>
        <w:fldChar w:fldCharType="separate"/>
      </w:r>
      <w:r w:rsidRPr="00BC1FC7" w:rsidR="00BC1FC7">
        <w:rPr>
          <w:color w:val="000000"/>
          <w:u w:val="single"/>
        </w:rPr>
        <w:t>4.1(b)</w:t>
      </w:r>
      <w:r>
        <w:rPr>
          <w:u w:val="single"/>
        </w:rPr>
        <w:fldChar w:fldCharType="end"/>
      </w:r>
      <w:r>
        <w:t xml:space="preserve"> shall occur within the later of [ninety/one hundred twenty (90/</w:t>
      </w:r>
      <w:bookmarkStart w:id="351" w:name="DocXTextRef249"/>
      <w:r>
        <w:t>120</w:t>
      </w:r>
      <w:bookmarkEnd w:id="351"/>
      <w:r>
        <w:t xml:space="preserve">)] days of the date that the Offer Notice is given and the date of initial sale of New Securities pursuant to </w:t>
      </w:r>
      <w:r w:rsidR="00C23AFE">
        <w:rPr>
          <w:u w:val="single"/>
        </w:rPr>
        <w:t>S</w:t>
      </w:r>
      <w:r>
        <w:rPr>
          <w:u w:val="single"/>
        </w:rPr>
        <w:t xml:space="preserve">ection </w:t>
      </w:r>
      <w:r>
        <w:rPr>
          <w:u w:val="single"/>
        </w:rPr>
        <w:fldChar w:fldCharType="begin"/>
      </w:r>
      <w:r>
        <w:rPr>
          <w:u w:val="single"/>
        </w:rPr>
        <w:instrText xml:space="preserve">  REF _Ref448380630 \w \h \* MERGEFORMAT </w:instrText>
      </w:r>
      <w:r>
        <w:rPr>
          <w:u w:val="single"/>
        </w:rPr>
        <w:fldChar w:fldCharType="separate"/>
      </w:r>
      <w:r w:rsidRPr="00BC1FC7" w:rsidR="00BC1FC7">
        <w:rPr>
          <w:color w:val="000000"/>
          <w:u w:val="single"/>
        </w:rPr>
        <w:t>4.1(c)</w:t>
      </w:r>
      <w:r>
        <w:rPr>
          <w:u w:val="single"/>
        </w:rPr>
        <w:fldChar w:fldCharType="end"/>
      </w:r>
      <w:r>
        <w:t>.</w:t>
      </w:r>
      <w:bookmarkEnd w:id="346"/>
    </w:p>
    <w:p w:rsidR="00037C7E">
      <w:pPr>
        <w:pStyle w:val="StandardL3"/>
      </w:pPr>
      <w:bookmarkStart w:id="352" w:name="_Ref448380630"/>
      <w:r>
        <w:t xml:space="preserve">If all New Securities referred to in the Offer Notice are not elected to be purchased or acquired as provided in </w:t>
      </w:r>
      <w:r w:rsidR="00C23AFE">
        <w:rPr>
          <w:u w:val="single"/>
        </w:rPr>
        <w:t>S</w:t>
      </w:r>
      <w:r>
        <w:rPr>
          <w:u w:val="single"/>
        </w:rPr>
        <w:t xml:space="preserve">ection </w:t>
      </w:r>
      <w:r>
        <w:rPr>
          <w:u w:val="single"/>
        </w:rPr>
        <w:fldChar w:fldCharType="begin"/>
      </w:r>
      <w:r>
        <w:rPr>
          <w:u w:val="single"/>
        </w:rPr>
        <w:instrText xml:space="preserve">  REF _Ref448380629 \w \h \* MERGEFORMAT </w:instrText>
      </w:r>
      <w:r>
        <w:rPr>
          <w:u w:val="single"/>
        </w:rPr>
        <w:fldChar w:fldCharType="separate"/>
      </w:r>
      <w:r w:rsidRPr="00BC1FC7" w:rsidR="00BC1FC7">
        <w:rPr>
          <w:color w:val="000000"/>
          <w:u w:val="single"/>
        </w:rPr>
        <w:t>4.1(b)</w:t>
      </w:r>
      <w:r>
        <w:rPr>
          <w:u w:val="single"/>
        </w:rPr>
        <w:fldChar w:fldCharType="end"/>
      </w:r>
      <w:r>
        <w:t xml:space="preserve">, the Company may, during the [ninety (90)] day period following the expiration of the periods provided in </w:t>
      </w:r>
      <w:r w:rsidR="00C23AFE">
        <w:rPr>
          <w:u w:val="single"/>
        </w:rPr>
        <w:t>S</w:t>
      </w:r>
      <w:r>
        <w:rPr>
          <w:u w:val="single"/>
        </w:rPr>
        <w:t xml:space="preserve">ection </w:t>
      </w:r>
      <w:r>
        <w:rPr>
          <w:u w:val="single"/>
        </w:rPr>
        <w:fldChar w:fldCharType="begin"/>
      </w:r>
      <w:r>
        <w:rPr>
          <w:u w:val="single"/>
        </w:rPr>
        <w:instrText xml:space="preserve">  REF _Ref448380629 \w \h \* MERGEFORMAT </w:instrText>
      </w:r>
      <w:r>
        <w:rPr>
          <w:u w:val="single"/>
        </w:rPr>
        <w:fldChar w:fldCharType="separate"/>
      </w:r>
      <w:r w:rsidRPr="00BC1FC7" w:rsidR="00BC1FC7">
        <w:rPr>
          <w:color w:val="000000"/>
          <w:u w:val="single"/>
        </w:rPr>
        <w:t>4.1(b)</w:t>
      </w:r>
      <w:r>
        <w:rPr>
          <w:u w:val="single"/>
        </w:rPr>
        <w:fldChar w:fldCharType="end"/>
      </w:r>
      <w:r>
        <w:t xml:space="preserve">, offer and sell the remaining unsubscribed portion of such New Securities to any Person or Persons at a price not less than, and upon terms no more favorable to the offeree than, those specified in the Offer Notice. If the Company does not enter into an agreement for the sale of the New Securities within such period, or if such agreement is not consummated within [thirty (30)] days of the execution thereof, the right provided hereunder shall be deemed to be revived and such New Securities shall not be offered unless first reoffered to the Major Investors in accordance with this </w:t>
      </w:r>
      <w:r w:rsidR="00C23AFE">
        <w:rPr>
          <w:u w:val="single"/>
        </w:rPr>
        <w:t>S</w:t>
      </w:r>
      <w:r>
        <w:rPr>
          <w:u w:val="single"/>
        </w:rPr>
        <w:t xml:space="preserve">ection </w:t>
      </w:r>
      <w:r>
        <w:rPr>
          <w:u w:val="single"/>
        </w:rPr>
        <w:fldChar w:fldCharType="begin"/>
      </w:r>
      <w:r>
        <w:rPr>
          <w:u w:val="single"/>
        </w:rPr>
        <w:instrText xml:space="preserve">  REF _Ref448380627 \w \h \* MERGEFORMAT </w:instrText>
      </w:r>
      <w:r>
        <w:rPr>
          <w:u w:val="single"/>
        </w:rPr>
        <w:fldChar w:fldCharType="separate"/>
      </w:r>
      <w:r w:rsidRPr="00BC1FC7" w:rsidR="00BC1FC7">
        <w:rPr>
          <w:color w:val="000000"/>
          <w:u w:val="single"/>
        </w:rPr>
        <w:t>4.1</w:t>
      </w:r>
      <w:r>
        <w:rPr>
          <w:u w:val="single"/>
        </w:rPr>
        <w:fldChar w:fldCharType="end"/>
      </w:r>
      <w:r>
        <w:t>.</w:t>
      </w:r>
      <w:bookmarkEnd w:id="352"/>
    </w:p>
    <w:p w:rsidR="00037C7E">
      <w:pPr>
        <w:pStyle w:val="StandardL3"/>
      </w:pPr>
      <w:bookmarkStart w:id="353" w:name="_Ref448380631"/>
      <w:r>
        <w:t xml:space="preserve">The right of first offer in this </w:t>
      </w:r>
      <w:r w:rsidR="00C23AFE">
        <w:rPr>
          <w:u w:val="single"/>
        </w:rPr>
        <w:t>S</w:t>
      </w:r>
      <w:r>
        <w:rPr>
          <w:u w:val="single"/>
        </w:rPr>
        <w:t xml:space="preserve">ection </w:t>
      </w:r>
      <w:r>
        <w:rPr>
          <w:u w:val="single"/>
        </w:rPr>
        <w:fldChar w:fldCharType="begin"/>
      </w:r>
      <w:r>
        <w:rPr>
          <w:u w:val="single"/>
        </w:rPr>
        <w:instrText xml:space="preserve">  REF _Ref448380627 \w \h \* MERGEFORMAT </w:instrText>
      </w:r>
      <w:r>
        <w:rPr>
          <w:u w:val="single"/>
        </w:rPr>
        <w:fldChar w:fldCharType="separate"/>
      </w:r>
      <w:r w:rsidRPr="00BC1FC7" w:rsidR="00BC1FC7">
        <w:rPr>
          <w:color w:val="000000"/>
          <w:u w:val="single"/>
        </w:rPr>
        <w:t>4.1</w:t>
      </w:r>
      <w:r>
        <w:rPr>
          <w:u w:val="single"/>
        </w:rPr>
        <w:fldChar w:fldCharType="end"/>
      </w:r>
      <w:r>
        <w:t xml:space="preserve"> shall not be applicable to</w:t>
      </w:r>
      <w:bookmarkStart w:id="354" w:name="_Ref448380719"/>
      <w:r>
        <w:rPr>
          <w:rStyle w:val="FootnoteReference"/>
        </w:rPr>
        <w:footnoteReference w:id="52"/>
      </w:r>
      <w:bookmarkEnd w:id="354"/>
      <w:r>
        <w:t xml:space="preserve"> </w:t>
      </w:r>
      <w:bookmarkStart w:id="355" w:name="DocXTextRef255"/>
      <w:r>
        <w:t>(i)</w:t>
      </w:r>
      <w:bookmarkEnd w:id="355"/>
      <w:r>
        <w:t xml:space="preserve"> </w:t>
      </w:r>
      <w:r>
        <w:rPr>
          <w:szCs w:val="16"/>
        </w:rPr>
        <w:t>Exempted Securities</w:t>
      </w:r>
      <w:r>
        <w:t xml:space="preserve"> (as defined in the Company's</w:t>
      </w:r>
      <w:r>
        <w:rPr>
          <w:szCs w:val="16"/>
        </w:rPr>
        <w:t xml:space="preserve"> Articles)</w:t>
      </w:r>
      <w:r>
        <w:t>;</w:t>
      </w:r>
      <w:r>
        <w:rPr>
          <w:szCs w:val="16"/>
        </w:rPr>
        <w:t xml:space="preserve"> [and]</w:t>
      </w:r>
      <w:r>
        <w:t xml:space="preserve"> </w:t>
      </w:r>
      <w:bookmarkStart w:id="356" w:name="DocXTextRef256"/>
      <w:r>
        <w:t>(ii)</w:t>
      </w:r>
      <w:bookmarkEnd w:id="356"/>
      <w:r>
        <w:t xml:space="preserve"> Common Shares issued in the IPO</w:t>
      </w:r>
      <w:r>
        <w:rPr>
          <w:szCs w:val="16"/>
        </w:rPr>
        <w:t>[</w:t>
      </w:r>
      <w:r>
        <w:t>;</w:t>
      </w:r>
      <w:r>
        <w:rPr>
          <w:szCs w:val="16"/>
        </w:rPr>
        <w:t xml:space="preserve"> and</w:t>
      </w:r>
      <w:r>
        <w:rPr>
          <w:b/>
        </w:rPr>
        <w:t xml:space="preserve"> </w:t>
      </w:r>
      <w:bookmarkStart w:id="357" w:name="DocXTextRef257"/>
      <w:r>
        <w:t>(iii)</w:t>
      </w:r>
      <w:bookmarkEnd w:id="357"/>
      <w:r>
        <w:t xml:space="preserve"> the issuance of [Class A] Preferred Shares to Additional </w:t>
      </w:r>
      <w:r>
        <w:rPr>
          <w:szCs w:val="16"/>
        </w:rPr>
        <w:t>Purchasers</w:t>
      </w:r>
      <w:r>
        <w:t xml:space="preserve"> pursuant to </w:t>
      </w:r>
      <w:r w:rsidR="00C23AFE">
        <w:rPr>
          <w:u w:val="single"/>
        </w:rPr>
        <w:t>S</w:t>
      </w:r>
      <w:r>
        <w:rPr>
          <w:u w:val="single"/>
        </w:rPr>
        <w:t>ection [</w:t>
      </w:r>
      <w:r>
        <w:rPr>
          <w:szCs w:val="16"/>
          <w:u w:val="single"/>
        </w:rPr>
        <w:t>1.3</w:t>
      </w:r>
      <w:r>
        <w:t>] of the Purchase Agreement.</w:t>
      </w:r>
      <w:r>
        <w:rPr>
          <w:szCs w:val="16"/>
        </w:rPr>
        <w:t>]</w:t>
      </w:r>
      <w:bookmarkEnd w:id="353"/>
    </w:p>
    <w:p w:rsidR="00037C7E">
      <w:pPr>
        <w:pStyle w:val="StandardL3"/>
      </w:pPr>
      <w:bookmarkStart w:id="358" w:name="_Ref448380632"/>
      <w:r>
        <w:t xml:space="preserve">[The right of first offer set forth in this </w:t>
      </w:r>
      <w:r w:rsidR="00C23AFE">
        <w:rPr>
          <w:u w:val="single"/>
        </w:rPr>
        <w:t>S</w:t>
      </w:r>
      <w:r>
        <w:rPr>
          <w:u w:val="single"/>
        </w:rPr>
        <w:t xml:space="preserve">ection </w:t>
      </w:r>
      <w:r>
        <w:rPr>
          <w:u w:val="single"/>
        </w:rPr>
        <w:fldChar w:fldCharType="begin"/>
      </w:r>
      <w:r>
        <w:rPr>
          <w:u w:val="single"/>
        </w:rPr>
        <w:instrText xml:space="preserve">  REF _Ref448380627 \w \h \* MERGEFORMAT </w:instrText>
      </w:r>
      <w:r>
        <w:rPr>
          <w:u w:val="single"/>
        </w:rPr>
        <w:fldChar w:fldCharType="separate"/>
      </w:r>
      <w:r w:rsidRPr="00BC1FC7" w:rsidR="00BC1FC7">
        <w:rPr>
          <w:color w:val="000000"/>
          <w:u w:val="single"/>
        </w:rPr>
        <w:t>4.1</w:t>
      </w:r>
      <w:r>
        <w:rPr>
          <w:u w:val="single"/>
        </w:rPr>
        <w:fldChar w:fldCharType="end"/>
      </w:r>
      <w:r>
        <w:t xml:space="preserve"> shall terminate with respect to any Major Investor who fails to purchase, in any transaction subject to this </w:t>
      </w:r>
      <w:r w:rsidR="00C23AFE">
        <w:rPr>
          <w:u w:val="single"/>
        </w:rPr>
        <w:t>S</w:t>
      </w:r>
      <w:r>
        <w:rPr>
          <w:u w:val="single"/>
        </w:rPr>
        <w:t xml:space="preserve">ection </w:t>
      </w:r>
      <w:r>
        <w:rPr>
          <w:u w:val="single"/>
        </w:rPr>
        <w:fldChar w:fldCharType="begin"/>
      </w:r>
      <w:r>
        <w:rPr>
          <w:u w:val="single"/>
        </w:rPr>
        <w:instrText xml:space="preserve">  REF _Ref448380627 \w \h \* MERGEFORMAT </w:instrText>
      </w:r>
      <w:r>
        <w:rPr>
          <w:u w:val="single"/>
        </w:rPr>
        <w:fldChar w:fldCharType="separate"/>
      </w:r>
      <w:r w:rsidRPr="00BC1FC7" w:rsidR="00BC1FC7">
        <w:rPr>
          <w:color w:val="000000"/>
          <w:u w:val="single"/>
        </w:rPr>
        <w:t>4.1</w:t>
      </w:r>
      <w:r>
        <w:rPr>
          <w:u w:val="single"/>
        </w:rPr>
        <w:fldChar w:fldCharType="end"/>
      </w:r>
      <w:r>
        <w:t xml:space="preserve">, all of such Major Investor's pro rata amount of the New Securities allocated (or, if less than such Major Investor's pro rata amount is offered by the Company, such lesser amount so offered) to such Major Investor pursuant to this </w:t>
      </w:r>
      <w:r w:rsidR="00C23AFE">
        <w:rPr>
          <w:u w:val="single"/>
        </w:rPr>
        <w:t>S</w:t>
      </w:r>
      <w:r>
        <w:rPr>
          <w:u w:val="single"/>
        </w:rPr>
        <w:t xml:space="preserve">ection </w:t>
      </w:r>
      <w:r>
        <w:rPr>
          <w:u w:val="single"/>
        </w:rPr>
        <w:fldChar w:fldCharType="begin"/>
      </w:r>
      <w:r>
        <w:rPr>
          <w:u w:val="single"/>
        </w:rPr>
        <w:instrText xml:space="preserve">  REF _Ref448380627 \w \h \* MERGEFORMAT </w:instrText>
      </w:r>
      <w:r>
        <w:rPr>
          <w:u w:val="single"/>
        </w:rPr>
        <w:fldChar w:fldCharType="separate"/>
      </w:r>
      <w:r w:rsidRPr="00BC1FC7" w:rsidR="00BC1FC7">
        <w:rPr>
          <w:color w:val="000000"/>
          <w:u w:val="single"/>
        </w:rPr>
        <w:t>4.1</w:t>
      </w:r>
      <w:r>
        <w:rPr>
          <w:u w:val="single"/>
        </w:rPr>
        <w:fldChar w:fldCharType="end"/>
      </w:r>
      <w:r>
        <w:t xml:space="preserve">. Following any such termination, such Investor shall no longer be deemed a "Major Investor" for any purpose of this </w:t>
      </w:r>
      <w:r w:rsidR="00C23AFE">
        <w:rPr>
          <w:u w:val="single"/>
        </w:rPr>
        <w:t>S</w:t>
      </w:r>
      <w:r>
        <w:rPr>
          <w:u w:val="single"/>
        </w:rPr>
        <w:t xml:space="preserve">ection </w:t>
      </w:r>
      <w:r>
        <w:rPr>
          <w:u w:val="single"/>
        </w:rPr>
        <w:fldChar w:fldCharType="begin"/>
      </w:r>
      <w:r>
        <w:rPr>
          <w:u w:val="single"/>
        </w:rPr>
        <w:instrText xml:space="preserve">  REF _Ref448380627 \w \h \* MERGEFORMAT </w:instrText>
      </w:r>
      <w:r>
        <w:rPr>
          <w:u w:val="single"/>
        </w:rPr>
        <w:fldChar w:fldCharType="separate"/>
      </w:r>
      <w:r w:rsidRPr="00BC1FC7" w:rsidR="00BC1FC7">
        <w:rPr>
          <w:color w:val="000000"/>
          <w:u w:val="single"/>
        </w:rPr>
        <w:t>4.1</w:t>
      </w:r>
      <w:r>
        <w:rPr>
          <w:u w:val="single"/>
        </w:rPr>
        <w:fldChar w:fldCharType="end"/>
      </w:r>
      <w:r>
        <w:rPr>
          <w:u w:val="single"/>
        </w:rPr>
        <w:t>.</w:t>
      </w:r>
      <w:r>
        <w:t>]</w:t>
      </w:r>
      <w:bookmarkEnd w:id="358"/>
    </w:p>
    <w:p w:rsidR="00037C7E">
      <w:pPr>
        <w:pStyle w:val="StandardL3"/>
      </w:pPr>
      <w:bookmarkStart w:id="359" w:name="_Ref448380633"/>
      <w:r>
        <w:t xml:space="preserve">[Notwithstanding any provision hereof to the contrary, in lieu of complying with the provisions of this </w:t>
      </w:r>
      <w:r w:rsidR="00C23AFE">
        <w:rPr>
          <w:u w:val="single"/>
        </w:rPr>
        <w:t>S</w:t>
      </w:r>
      <w:r>
        <w:rPr>
          <w:u w:val="single"/>
        </w:rPr>
        <w:t xml:space="preserve">ection </w:t>
      </w:r>
      <w:r>
        <w:rPr>
          <w:u w:val="single"/>
        </w:rPr>
        <w:fldChar w:fldCharType="begin"/>
      </w:r>
      <w:r>
        <w:rPr>
          <w:u w:val="single"/>
        </w:rPr>
        <w:instrText xml:space="preserve">  REF _Ref448380627 \w \h \* MERGEFORMAT </w:instrText>
      </w:r>
      <w:r>
        <w:rPr>
          <w:u w:val="single"/>
        </w:rPr>
        <w:fldChar w:fldCharType="separate"/>
      </w:r>
      <w:r w:rsidRPr="00BC1FC7" w:rsidR="00BC1FC7">
        <w:rPr>
          <w:color w:val="000000"/>
          <w:u w:val="single"/>
        </w:rPr>
        <w:t>4.1</w:t>
      </w:r>
      <w:r>
        <w:rPr>
          <w:u w:val="single"/>
        </w:rPr>
        <w:fldChar w:fldCharType="end"/>
      </w:r>
      <w:r>
        <w:t xml:space="preserve">, the Company may elect to give notice to the Major Investors within thirty (30) days after the issuance of New Securities. Such notice shall describe the type, price, and terms of the New Securities. Each Major Investor shall have twenty (20) days from the date notice is given to elect to purchase up to the number of New Securities that would, if purchased by such Major Investor, maintain such Major Investor's percentage-ownership position, calculated as set forth in </w:t>
      </w:r>
      <w:r w:rsidR="00C23AFE">
        <w:rPr>
          <w:u w:val="single"/>
        </w:rPr>
        <w:t>S</w:t>
      </w:r>
      <w:r>
        <w:rPr>
          <w:u w:val="single"/>
        </w:rPr>
        <w:t xml:space="preserve">ection </w:t>
      </w:r>
      <w:r>
        <w:rPr>
          <w:u w:val="single"/>
        </w:rPr>
        <w:fldChar w:fldCharType="begin"/>
      </w:r>
      <w:r>
        <w:rPr>
          <w:u w:val="single"/>
        </w:rPr>
        <w:instrText xml:space="preserve">  REF _Ref448380629 \w \h \* MERGEFORMAT </w:instrText>
      </w:r>
      <w:r>
        <w:rPr>
          <w:u w:val="single"/>
        </w:rPr>
        <w:fldChar w:fldCharType="separate"/>
      </w:r>
      <w:r w:rsidRPr="00BC1FC7" w:rsidR="00BC1FC7">
        <w:rPr>
          <w:color w:val="000000"/>
          <w:u w:val="single"/>
        </w:rPr>
        <w:t>4.1(b)</w:t>
      </w:r>
      <w:r>
        <w:rPr>
          <w:u w:val="single"/>
        </w:rPr>
        <w:fldChar w:fldCharType="end"/>
      </w:r>
      <w:r>
        <w:t xml:space="preserve"> before giving effect to the issuance of such New Securities.</w:t>
      </w:r>
      <w:bookmarkStart w:id="360" w:name="_Ref448380720"/>
      <w:r>
        <w:rPr>
          <w:rStyle w:val="FootnoteReference"/>
        </w:rPr>
        <w:footnoteReference w:id="53"/>
      </w:r>
      <w:bookmarkEnd w:id="360"/>
      <w:r>
        <w:t xml:space="preserve"> The closing of such sale shall occur within sixty (60) days of the date notice is given to the Major Investors.]</w:t>
      </w:r>
      <w:bookmarkEnd w:id="359"/>
    </w:p>
    <w:p w:rsidR="00037C7E">
      <w:pPr>
        <w:pStyle w:val="StandardL2"/>
      </w:pPr>
      <w:bookmarkStart w:id="361" w:name="_Ref448380635"/>
      <w:bookmarkStart w:id="362" w:name="_Toc56499788"/>
      <w:r>
        <w:t>Termination</w:t>
      </w:r>
      <w:r>
        <w:rPr>
          <w:snapToGrid w:val="0"/>
        </w:rPr>
        <w:t>.</w:t>
      </w:r>
      <w:bookmarkEnd w:id="361"/>
      <w:bookmarkEnd w:id="362"/>
    </w:p>
    <w:p w:rsidR="00037C7E">
      <w:pPr>
        <w:pStyle w:val="StandardCont2"/>
      </w:pPr>
      <w:r>
        <w:rPr>
          <w:snapToGrid w:val="0"/>
        </w:rPr>
        <w:t xml:space="preserve">The covenants set forth in </w:t>
      </w:r>
      <w:r w:rsidR="00260686">
        <w:rPr>
          <w:snapToGrid w:val="0"/>
          <w:u w:val="single"/>
        </w:rPr>
        <w:t>S</w:t>
      </w:r>
      <w:r>
        <w:rPr>
          <w:snapToGrid w:val="0"/>
          <w:u w:val="single"/>
        </w:rPr>
        <w:t xml:space="preserve">ection </w:t>
      </w:r>
      <w:r>
        <w:rPr>
          <w:snapToGrid w:val="0"/>
          <w:u w:val="single"/>
        </w:rPr>
        <w:fldChar w:fldCharType="begin"/>
      </w:r>
      <w:r>
        <w:rPr>
          <w:snapToGrid w:val="0"/>
          <w:u w:val="single"/>
        </w:rPr>
        <w:instrText xml:space="preserve">  REF _Ref448380627 \w \h \* MERGEFORMAT </w:instrText>
      </w:r>
      <w:r>
        <w:rPr>
          <w:snapToGrid w:val="0"/>
          <w:u w:val="single"/>
        </w:rPr>
        <w:fldChar w:fldCharType="separate"/>
      </w:r>
      <w:r w:rsidRPr="00BC1FC7" w:rsidR="00BC1FC7">
        <w:rPr>
          <w:snapToGrid w:val="0"/>
          <w:color w:val="000000"/>
          <w:u w:val="single"/>
        </w:rPr>
        <w:t>4.1</w:t>
      </w:r>
      <w:r>
        <w:rPr>
          <w:snapToGrid w:val="0"/>
          <w:u w:val="single"/>
        </w:rPr>
        <w:fldChar w:fldCharType="end"/>
      </w:r>
      <w:r w:rsidR="00260686">
        <w:rPr>
          <w:snapToGrid w:val="0"/>
        </w:rPr>
        <w:t xml:space="preserve"> </w:t>
      </w:r>
      <w:r>
        <w:rPr>
          <w:snapToGrid w:val="0"/>
        </w:rPr>
        <w:t xml:space="preserve">shall terminate and be of no further force or effect </w:t>
      </w:r>
      <w:bookmarkStart w:id="363" w:name="DocXTextRef272"/>
      <w:r>
        <w:rPr>
          <w:snapToGrid w:val="0"/>
        </w:rPr>
        <w:t>(i)</w:t>
      </w:r>
      <w:bookmarkEnd w:id="363"/>
      <w:r>
        <w:rPr>
          <w:snapToGrid w:val="0"/>
        </w:rPr>
        <w:t xml:space="preserve"> immediately before the consummation of the IPO</w:t>
      </w:r>
      <w:r w:rsidR="00260686">
        <w:rPr>
          <w:snapToGrid w:val="0"/>
          <w:szCs w:val="16"/>
        </w:rPr>
        <w:t xml:space="preserve"> </w:t>
      </w:r>
      <w:r>
        <w:rPr>
          <w:snapToGrid w:val="0"/>
          <w:szCs w:val="16"/>
        </w:rPr>
        <w:t xml:space="preserve">or </w:t>
      </w:r>
      <w:bookmarkStart w:id="364" w:name="DocXTextRef274"/>
      <w:r w:rsidR="00260686">
        <w:rPr>
          <w:snapToGrid w:val="0"/>
          <w:szCs w:val="16"/>
        </w:rPr>
        <w:t>(i</w:t>
      </w:r>
      <w:r>
        <w:rPr>
          <w:snapToGrid w:val="0"/>
          <w:szCs w:val="16"/>
        </w:rPr>
        <w:t>i)</w:t>
      </w:r>
      <w:bookmarkEnd w:id="364"/>
      <w:r>
        <w:rPr>
          <w:snapToGrid w:val="0"/>
          <w:szCs w:val="16"/>
        </w:rPr>
        <w:t xml:space="preserve"> </w:t>
      </w:r>
      <w:r>
        <w:rPr>
          <w:snapToGrid w:val="0"/>
        </w:rPr>
        <w:t xml:space="preserve">upon </w:t>
      </w:r>
      <w:r w:rsidR="00EA24FA">
        <w:rPr>
          <w:snapToGrid w:val="0"/>
        </w:rPr>
        <w:t xml:space="preserve">the closing of </w:t>
      </w:r>
      <w:r>
        <w:rPr>
          <w:snapToGrid w:val="0"/>
        </w:rPr>
        <w:t>a Deemed Liquidation Event</w:t>
      </w:r>
      <w:r w:rsidR="00260686">
        <w:rPr>
          <w:snapToGrid w:val="0"/>
        </w:rPr>
        <w:t>[</w:t>
      </w:r>
      <w:r>
        <w:rPr>
          <w:snapToGrid w:val="0"/>
        </w:rPr>
        <w:t>, as such term is defined in the Company's Articles,</w:t>
      </w:r>
      <w:r>
        <w:rPr>
          <w:snapToGrid w:val="0"/>
          <w:szCs w:val="16"/>
        </w:rPr>
        <w:t>]</w:t>
      </w:r>
      <w:r w:rsidR="00260686">
        <w:rPr>
          <w:snapToGrid w:val="0"/>
          <w:szCs w:val="16"/>
        </w:rPr>
        <w:t xml:space="preserve"> </w:t>
      </w:r>
      <w:r w:rsidRPr="00CF55D2" w:rsidR="00260686">
        <w:rPr>
          <w:szCs w:val="24"/>
        </w:rPr>
        <w:t xml:space="preserve">[in which the consideration received by the Investors in such Deemed Liquidation Event is in the form of cash and/or publicly traded securities, or if the Investors receive participation rights from the acquiring company or other successor to the Company reasonably comparable to those set forth in </w:t>
      </w:r>
      <w:r w:rsidR="00260686">
        <w:rPr>
          <w:szCs w:val="24"/>
        </w:rPr>
        <w:t xml:space="preserve">this </w:t>
      </w:r>
      <w:r w:rsidR="00260686">
        <w:rPr>
          <w:szCs w:val="24"/>
          <w:u w:val="single"/>
        </w:rPr>
        <w:t xml:space="preserve">Section </w:t>
      </w:r>
      <w:r w:rsidR="00260686">
        <w:rPr>
          <w:szCs w:val="24"/>
          <w:u w:val="single"/>
        </w:rPr>
        <w:fldChar w:fldCharType="begin"/>
      </w:r>
      <w:r w:rsidR="00260686">
        <w:rPr>
          <w:szCs w:val="24"/>
          <w:u w:val="single"/>
        </w:rPr>
        <w:instrText xml:space="preserve"> REF _Ref448380626 \r \h </w:instrText>
      </w:r>
      <w:r w:rsidR="00260686">
        <w:rPr>
          <w:szCs w:val="24"/>
          <w:u w:val="single"/>
        </w:rPr>
        <w:fldChar w:fldCharType="separate"/>
      </w:r>
      <w:r w:rsidR="00BC1FC7">
        <w:rPr>
          <w:szCs w:val="24"/>
          <w:u w:val="single"/>
        </w:rPr>
        <w:t>4</w:t>
      </w:r>
      <w:r w:rsidR="00260686">
        <w:rPr>
          <w:szCs w:val="24"/>
          <w:u w:val="single"/>
        </w:rPr>
        <w:fldChar w:fldCharType="end"/>
      </w:r>
      <w:r w:rsidRPr="00CF55D2" w:rsidR="00260686">
        <w:rPr>
          <w:szCs w:val="24"/>
          <w:u w:val="single"/>
        </w:rPr>
        <w:t>]</w:t>
      </w:r>
      <w:r w:rsidR="00260686">
        <w:rPr>
          <w:szCs w:val="24"/>
        </w:rPr>
        <w:t>,</w:t>
      </w:r>
      <w:r>
        <w:rPr>
          <w:snapToGrid w:val="0"/>
        </w:rPr>
        <w:t xml:space="preserve"> whichever event occurs first [and, as to each Major Investor, in accordance with </w:t>
      </w:r>
      <w:r w:rsidR="00260686">
        <w:rPr>
          <w:snapToGrid w:val="0"/>
          <w:u w:val="single"/>
        </w:rPr>
        <w:t>S</w:t>
      </w:r>
      <w:r w:rsidRPr="00F251F0">
        <w:rPr>
          <w:snapToGrid w:val="0"/>
          <w:u w:val="single"/>
        </w:rPr>
        <w:t xml:space="preserve">ection </w:t>
      </w:r>
      <w:bookmarkStart w:id="365" w:name="DocXTextRef270"/>
      <w:r w:rsidRPr="00F251F0">
        <w:rPr>
          <w:snapToGrid w:val="0"/>
          <w:u w:val="single"/>
        </w:rPr>
        <w:fldChar w:fldCharType="begin"/>
      </w:r>
      <w:r w:rsidRPr="00F251F0">
        <w:rPr>
          <w:snapToGrid w:val="0"/>
          <w:u w:val="single"/>
        </w:rPr>
        <w:instrText xml:space="preserve"> REF _Ref448380632 \w \h </w:instrText>
      </w:r>
      <w:r w:rsidR="00F251F0">
        <w:rPr>
          <w:snapToGrid w:val="0"/>
          <w:u w:val="single"/>
        </w:rPr>
        <w:instrText xml:space="preserve"> \* MERGEFORMAT </w:instrText>
      </w:r>
      <w:r w:rsidRPr="00F251F0">
        <w:rPr>
          <w:snapToGrid w:val="0"/>
          <w:u w:val="single"/>
        </w:rPr>
        <w:fldChar w:fldCharType="separate"/>
      </w:r>
      <w:r w:rsidR="00BC1FC7">
        <w:rPr>
          <w:snapToGrid w:val="0"/>
          <w:u w:val="single"/>
        </w:rPr>
        <w:t>4.1(e)</w:t>
      </w:r>
      <w:r w:rsidRPr="00F251F0">
        <w:rPr>
          <w:snapToGrid w:val="0"/>
          <w:u w:val="single"/>
        </w:rPr>
        <w:fldChar w:fldCharType="end"/>
      </w:r>
      <w:bookmarkEnd w:id="365"/>
      <w:r>
        <w:rPr>
          <w:snapToGrid w:val="0"/>
        </w:rPr>
        <w:t>].</w:t>
      </w:r>
    </w:p>
    <w:p w:rsidR="00037C7E">
      <w:pPr>
        <w:pStyle w:val="StandardL1"/>
      </w:pPr>
      <w:bookmarkStart w:id="366" w:name="_Ref448380636"/>
      <w:bookmarkStart w:id="367" w:name="_Toc56499789"/>
      <w:r>
        <w:t>Additional Covenants</w:t>
      </w:r>
      <w:r>
        <w:rPr>
          <w:snapToGrid w:val="0"/>
        </w:rPr>
        <w:t>.</w:t>
      </w:r>
      <w:bookmarkEnd w:id="366"/>
      <w:bookmarkEnd w:id="367"/>
    </w:p>
    <w:p w:rsidR="00037C7E">
      <w:pPr>
        <w:pStyle w:val="StandardL2"/>
      </w:pPr>
      <w:bookmarkStart w:id="368" w:name="_Ref448380637"/>
      <w:bookmarkStart w:id="369" w:name="_Toc56499790"/>
      <w:r>
        <w:t>Insurance</w:t>
      </w:r>
      <w:r>
        <w:rPr>
          <w:snapToGrid w:val="0"/>
        </w:rPr>
        <w:t>.</w:t>
      </w:r>
      <w:bookmarkEnd w:id="368"/>
      <w:bookmarkEnd w:id="369"/>
    </w:p>
    <w:p w:rsidR="00037C7E">
      <w:pPr>
        <w:pStyle w:val="StandardCont2"/>
      </w:pPr>
      <w:r>
        <w:rPr>
          <w:snapToGrid w:val="0"/>
        </w:rPr>
        <w:t xml:space="preserve">The Company shall </w:t>
      </w:r>
      <w:r w:rsidRPr="00260686" w:rsidR="00EA24FA">
        <w:rPr>
          <w:snapToGrid w:val="0"/>
        </w:rPr>
        <w:t>[</w:t>
      </w:r>
      <w:r w:rsidRPr="00260686">
        <w:rPr>
          <w:snapToGrid w:val="0"/>
        </w:rPr>
        <w:t>use its commercially reasonable efforts to</w:t>
      </w:r>
      <w:r w:rsidRPr="00260686" w:rsidR="00EA24FA">
        <w:rPr>
          <w:snapToGrid w:val="0"/>
        </w:rPr>
        <w:t>]</w:t>
      </w:r>
      <w:r>
        <w:rPr>
          <w:snapToGrid w:val="0"/>
        </w:rPr>
        <w:t xml:space="preserve"> obtain, within ninety (90) days of the date hereof, from financially sound and reputable insurers Directors and Officers li</w:t>
      </w:r>
      <w:r w:rsidR="00D7366A">
        <w:rPr>
          <w:snapToGrid w:val="0"/>
        </w:rPr>
        <w:t xml:space="preserve">ability insurance and term "key </w:t>
      </w:r>
      <w:r>
        <w:rPr>
          <w:snapToGrid w:val="0"/>
        </w:rPr>
        <w:t xml:space="preserve">person" insurance on [_____], each in an amount and on terms and conditions satisfactory to the Board of Directors, and will use commercially reasonable efforts to cause such insurance policies to be maintained until such time as the Board of Directors determines that such insurance </w:t>
      </w:r>
      <w:r w:rsidR="00D7366A">
        <w:rPr>
          <w:snapToGrid w:val="0"/>
        </w:rPr>
        <w:t xml:space="preserve">should be discontinued. The key </w:t>
      </w:r>
      <w:r>
        <w:rPr>
          <w:snapToGrid w:val="0"/>
        </w:rPr>
        <w:t>person policy shall name the Company as loss payee, and neither policy shall be cancelable by the Company without prior approval by the Board of Directors [</w:t>
      </w:r>
      <w:r w:rsidR="00D7366A">
        <w:rPr>
          <w:snapToGrid w:val="0"/>
        </w:rPr>
        <w:t xml:space="preserve">, </w:t>
      </w:r>
      <w:r>
        <w:rPr>
          <w:snapToGrid w:val="0"/>
        </w:rPr>
        <w:t xml:space="preserve">including the </w:t>
      </w:r>
      <w:r w:rsidR="00D7366A">
        <w:rPr>
          <w:snapToGrid w:val="0"/>
        </w:rPr>
        <w:t>Requisite Preferred</w:t>
      </w:r>
      <w:r>
        <w:rPr>
          <w:snapToGrid w:val="0"/>
        </w:rPr>
        <w:t xml:space="preserve"> Director</w:t>
      </w:r>
      <w:r w:rsidR="00D7366A">
        <w:rPr>
          <w:snapToGrid w:val="0"/>
        </w:rPr>
        <w:t xml:space="preserve"> Vote</w:t>
      </w:r>
      <w:r>
        <w:rPr>
          <w:snapToGrid w:val="0"/>
        </w:rPr>
        <w:t xml:space="preserve">][and holders of a [majority] of the Preferred Shares]. [Notwithstanding any other provision of this </w:t>
      </w:r>
      <w:r w:rsidRPr="00F251F0">
        <w:rPr>
          <w:snapToGrid w:val="0"/>
          <w:u w:val="single"/>
        </w:rPr>
        <w:t xml:space="preserve">Section </w:t>
      </w:r>
      <w:r w:rsidRPr="00F251F0">
        <w:rPr>
          <w:snapToGrid w:val="0"/>
          <w:u w:val="single"/>
        </w:rPr>
        <w:fldChar w:fldCharType="begin"/>
      </w:r>
      <w:r w:rsidRPr="00F251F0">
        <w:rPr>
          <w:snapToGrid w:val="0"/>
          <w:u w:val="single"/>
        </w:rPr>
        <w:instrText xml:space="preserve">  REF _Ref448380637 \w \h \* MERGEFORMAT </w:instrText>
      </w:r>
      <w:r w:rsidRPr="00F251F0">
        <w:rPr>
          <w:snapToGrid w:val="0"/>
          <w:u w:val="single"/>
        </w:rPr>
        <w:fldChar w:fldCharType="separate"/>
      </w:r>
      <w:r w:rsidRPr="00BC1FC7" w:rsidR="00BC1FC7">
        <w:rPr>
          <w:snapToGrid w:val="0"/>
          <w:color w:val="000000"/>
          <w:u w:val="single"/>
        </w:rPr>
        <w:t>5.1</w:t>
      </w:r>
      <w:r w:rsidRPr="00F251F0">
        <w:rPr>
          <w:snapToGrid w:val="0"/>
          <w:u w:val="single"/>
        </w:rPr>
        <w:fldChar w:fldCharType="end"/>
      </w:r>
      <w:r>
        <w:rPr>
          <w:snapToGrid w:val="0"/>
        </w:rPr>
        <w:t xml:space="preserve"> to the contrary, for so long as a </w:t>
      </w:r>
      <w:r w:rsidR="00D7366A">
        <w:rPr>
          <w:snapToGrid w:val="0"/>
        </w:rPr>
        <w:t>Preferred Director</w:t>
      </w:r>
      <w:r>
        <w:rPr>
          <w:snapToGrid w:val="0"/>
        </w:rPr>
        <w:t xml:space="preserve"> is serving on the Board of Directors, the Company shall not cease to maintain a Directors and Officers liability insurance policy in an amount of at least [Cdn$</w:t>
      </w:r>
      <w:r w:rsidR="00EA24FA">
        <w:rPr>
          <w:snapToGrid w:val="0"/>
        </w:rPr>
        <w:t xml:space="preserve">3 </w:t>
      </w:r>
      <w:r>
        <w:rPr>
          <w:snapToGrid w:val="0"/>
        </w:rPr>
        <w:t>million</w:t>
      </w:r>
      <w:r w:rsidR="00EA24FA">
        <w:rPr>
          <w:snapToGrid w:val="0"/>
        </w:rPr>
        <w:t>]</w:t>
      </w:r>
      <w:r>
        <w:rPr>
          <w:snapToGrid w:val="0"/>
        </w:rPr>
        <w:t xml:space="preserve"> unless approved by such </w:t>
      </w:r>
      <w:r w:rsidR="00D7366A">
        <w:rPr>
          <w:snapToGrid w:val="0"/>
        </w:rPr>
        <w:t>Preferred</w:t>
      </w:r>
      <w:r>
        <w:rPr>
          <w:snapToGrid w:val="0"/>
        </w:rPr>
        <w:t xml:space="preserve"> Director, </w:t>
      </w:r>
      <w:r w:rsidRPr="00CF55D2" w:rsidR="00D7366A">
        <w:rPr>
          <w:szCs w:val="24"/>
        </w:rPr>
        <w:t xml:space="preserve">[shall include the Investor[s] entitled to designate the </w:t>
      </w:r>
      <w:bookmarkStart w:id="370" w:name="_cp_text_1_124"/>
      <w:r w:rsidRPr="00CF55D2" w:rsidR="00D7366A">
        <w:rPr>
          <w:szCs w:val="24"/>
        </w:rPr>
        <w:t xml:space="preserve">Preferred </w:t>
      </w:r>
      <w:bookmarkEnd w:id="370"/>
      <w:r w:rsidRPr="00CF55D2" w:rsidR="00D7366A">
        <w:rPr>
          <w:szCs w:val="24"/>
        </w:rPr>
        <w:t>Director pursuant to the Voting Agreement as additional insureds in such policy,]</w:t>
      </w:r>
      <w:r>
        <w:rPr>
          <w:rStyle w:val="FootnoteReference"/>
          <w:rFonts w:eastAsiaTheme="majorEastAsia"/>
          <w:szCs w:val="24"/>
        </w:rPr>
        <w:footnoteReference w:id="54"/>
      </w:r>
      <w:r w:rsidRPr="00CF55D2" w:rsidR="00D7366A">
        <w:rPr>
          <w:szCs w:val="24"/>
        </w:rPr>
        <w:t xml:space="preserve"> </w:t>
      </w:r>
      <w:r>
        <w:rPr>
          <w:snapToGrid w:val="0"/>
        </w:rPr>
        <w:t xml:space="preserve">and shall annually, within one hundred twenty (120) days after the end of each fiscal year of the Company, deliver to the </w:t>
      </w:r>
      <w:r w:rsidR="00D7366A">
        <w:rPr>
          <w:snapToGrid w:val="0"/>
        </w:rPr>
        <w:t>Investors</w:t>
      </w:r>
      <w:r>
        <w:rPr>
          <w:snapToGrid w:val="0"/>
        </w:rPr>
        <w:t xml:space="preserve"> a certification that such a Directors and Officers liability insurance policy remains in effect.] [Each Key Holder hereby covenants and agrees that, to the extent such Key Holder is named under such key-person policy, such Key Holder will execute and deliver to the Company, as reasonably requested, a written notice and consent form with respect to such policy.]</w:t>
      </w:r>
      <w:bookmarkStart w:id="371" w:name="_Ref448380723"/>
      <w:r>
        <w:rPr>
          <w:rStyle w:val="FootnoteReference"/>
          <w:snapToGrid w:val="0"/>
        </w:rPr>
        <w:footnoteReference w:id="55"/>
      </w:r>
      <w:bookmarkEnd w:id="371"/>
    </w:p>
    <w:p w:rsidR="00037C7E">
      <w:pPr>
        <w:pStyle w:val="StandardL2"/>
      </w:pPr>
      <w:bookmarkStart w:id="372" w:name="_Ref448380638"/>
      <w:bookmarkStart w:id="373" w:name="_Toc56499791"/>
      <w:r>
        <w:t>Employee Agreements</w:t>
      </w:r>
      <w:r>
        <w:rPr>
          <w:snapToGrid w:val="0"/>
        </w:rPr>
        <w:t>.</w:t>
      </w:r>
      <w:bookmarkEnd w:id="372"/>
      <w:bookmarkEnd w:id="373"/>
    </w:p>
    <w:p w:rsidR="00037C7E">
      <w:pPr>
        <w:pStyle w:val="StandardCont2"/>
      </w:pPr>
      <w:r w:rsidRPr="00CF55D2">
        <w:rPr>
          <w:szCs w:val="24"/>
        </w:rPr>
        <w:t xml:space="preserve">Unless otherwise approved by the Board of Directors, [including the Requisite Preferred Director Vote,] </w:t>
      </w:r>
      <w:r>
        <w:rPr>
          <w:szCs w:val="24"/>
        </w:rPr>
        <w:t>t</w:t>
      </w:r>
      <w:r w:rsidR="0041095D">
        <w:rPr>
          <w:snapToGrid w:val="0"/>
        </w:rPr>
        <w:t xml:space="preserve">he Company will cause </w:t>
      </w:r>
      <w:bookmarkStart w:id="374" w:name="DocXTextRef277"/>
      <w:r w:rsidR="0041095D">
        <w:rPr>
          <w:snapToGrid w:val="0"/>
        </w:rPr>
        <w:t>(i)</w:t>
      </w:r>
      <w:bookmarkEnd w:id="374"/>
      <w:r w:rsidR="0041095D">
        <w:rPr>
          <w:snapToGrid w:val="0"/>
        </w:rPr>
        <w:t xml:space="preserve"> each </w:t>
      </w:r>
      <w:r w:rsidR="00891728">
        <w:rPr>
          <w:snapToGrid w:val="0"/>
        </w:rPr>
        <w:t>P</w:t>
      </w:r>
      <w:r w:rsidR="0041095D">
        <w:rPr>
          <w:snapToGrid w:val="0"/>
          <w:szCs w:val="16"/>
        </w:rPr>
        <w:t>erson</w:t>
      </w:r>
      <w:r w:rsidR="0041095D">
        <w:rPr>
          <w:snapToGrid w:val="0"/>
        </w:rPr>
        <w:t xml:space="preserve"> now or hereafter employed by it or by any subsidiary (or engaged by the Company or any subsidiary as a consultant/independent contractor) with access to confidential information and/or trade secrets t</w:t>
      </w:r>
      <w:r>
        <w:rPr>
          <w:snapToGrid w:val="0"/>
        </w:rPr>
        <w:t>o enter into a nondisclosure,</w:t>
      </w:r>
      <w:r w:rsidR="0041095D">
        <w:rPr>
          <w:snapToGrid w:val="0"/>
        </w:rPr>
        <w:t xml:space="preserve"> proprietary rights assignment</w:t>
      </w:r>
      <w:r>
        <w:rPr>
          <w:snapToGrid w:val="0"/>
        </w:rPr>
        <w:t xml:space="preserve"> and non-solicitation</w:t>
      </w:r>
      <w:r w:rsidR="0041095D">
        <w:rPr>
          <w:snapToGrid w:val="0"/>
        </w:rPr>
        <w:t xml:space="preserve"> agreement</w:t>
      </w:r>
      <w:r>
        <w:rPr>
          <w:snapToGrid w:val="0"/>
        </w:rPr>
        <w:t>[</w:t>
      </w:r>
      <w:r w:rsidR="0041095D">
        <w:rPr>
          <w:snapToGrid w:val="0"/>
        </w:rPr>
        <w:t xml:space="preserve">; and </w:t>
      </w:r>
      <w:bookmarkStart w:id="375" w:name="DocXTextRef278"/>
      <w:r w:rsidR="0041095D">
        <w:rPr>
          <w:snapToGrid w:val="0"/>
        </w:rPr>
        <w:t>(ii)</w:t>
      </w:r>
      <w:bookmarkEnd w:id="375"/>
      <w:r w:rsidR="0041095D">
        <w:rPr>
          <w:snapToGrid w:val="0"/>
        </w:rPr>
        <w:t xml:space="preserve"> eac</w:t>
      </w:r>
      <w:r>
        <w:rPr>
          <w:snapToGrid w:val="0"/>
        </w:rPr>
        <w:t xml:space="preserve">h Key Employee to enter into a </w:t>
      </w:r>
      <w:r w:rsidR="0041095D">
        <w:rPr>
          <w:snapToGrid w:val="0"/>
        </w:rPr>
        <w:t xml:space="preserve">non-competition </w:t>
      </w:r>
      <w:r>
        <w:rPr>
          <w:snapToGrid w:val="0"/>
        </w:rPr>
        <w:t>agreement designed with the advice of counsel</w:t>
      </w:r>
      <w:r w:rsidR="0041095D">
        <w:rPr>
          <w:snapToGrid w:val="0"/>
        </w:rPr>
        <w:t>].</w:t>
      </w:r>
      <w:bookmarkStart w:id="376" w:name="_Ref448380724"/>
      <w:r>
        <w:rPr>
          <w:rStyle w:val="FootnoteReference"/>
          <w:snapToGrid w:val="0"/>
        </w:rPr>
        <w:footnoteReference w:id="56"/>
      </w:r>
      <w:bookmarkEnd w:id="376"/>
      <w:r w:rsidR="0041095D">
        <w:rPr>
          <w:snapToGrid w:val="0"/>
        </w:rPr>
        <w:t xml:space="preserve"> In addition, the Company shall not amend, modify, terminate, waive, or otherwise alter, in whole or in part, any of the above-referenced agreements or any restricted stock agreement between the Company</w:t>
      </w:r>
      <w:r w:rsidR="001B71F8">
        <w:rPr>
          <w:snapToGrid w:val="0"/>
        </w:rPr>
        <w:t xml:space="preserve"> and any employee, without the </w:t>
      </w:r>
      <w:r w:rsidRPr="00CF55D2" w:rsidR="001B71F8">
        <w:rPr>
          <w:szCs w:val="24"/>
        </w:rPr>
        <w:t>consent of the Board of Directors[, including the Requisite Preferred Director Vote]</w:t>
      </w:r>
      <w:r w:rsidR="0041095D">
        <w:rPr>
          <w:snapToGrid w:val="0"/>
        </w:rPr>
        <w:t>.</w:t>
      </w:r>
    </w:p>
    <w:p w:rsidR="00037C7E">
      <w:pPr>
        <w:pStyle w:val="StandardL2"/>
      </w:pPr>
      <w:bookmarkStart w:id="377" w:name="_Ref448380639"/>
      <w:bookmarkStart w:id="378" w:name="_Toc56499792"/>
      <w:r>
        <w:t>Employee Shares</w:t>
      </w:r>
      <w:r>
        <w:rPr>
          <w:snapToGrid w:val="0"/>
        </w:rPr>
        <w:t>.</w:t>
      </w:r>
      <w:bookmarkEnd w:id="377"/>
      <w:bookmarkEnd w:id="378"/>
    </w:p>
    <w:p w:rsidR="00037C7E">
      <w:pPr>
        <w:pStyle w:val="StandardCont2"/>
      </w:pPr>
      <w:r>
        <w:rPr>
          <w:snapToGrid w:val="0"/>
        </w:rPr>
        <w:t xml:space="preserve">Unless otherwise approved by the Board of Directors, </w:t>
      </w:r>
      <w:r w:rsidRPr="00CF55D2" w:rsidR="001B71F8">
        <w:rPr>
          <w:szCs w:val="24"/>
        </w:rPr>
        <w:t>[including the Requisite Preferred Director Vote,]</w:t>
      </w:r>
      <w:r w:rsidR="001B71F8">
        <w:rPr>
          <w:szCs w:val="24"/>
        </w:rPr>
        <w:t xml:space="preserve"> </w:t>
      </w:r>
      <w:r>
        <w:rPr>
          <w:snapToGrid w:val="0"/>
        </w:rPr>
        <w:t xml:space="preserve">all </w:t>
      </w:r>
      <w:r w:rsidR="001B71F8">
        <w:rPr>
          <w:snapToGrid w:val="0"/>
        </w:rPr>
        <w:t>[</w:t>
      </w:r>
      <w:r>
        <w:rPr>
          <w:snapToGrid w:val="0"/>
        </w:rPr>
        <w:t>future</w:t>
      </w:r>
      <w:r w:rsidR="001B71F8">
        <w:rPr>
          <w:snapToGrid w:val="0"/>
        </w:rPr>
        <w:t>]</w:t>
      </w:r>
      <w:r>
        <w:rPr>
          <w:rStyle w:val="FootnoteReference"/>
          <w:snapToGrid w:val="0"/>
        </w:rPr>
        <w:footnoteReference w:id="57"/>
      </w:r>
      <w:r>
        <w:rPr>
          <w:snapToGrid w:val="0"/>
        </w:rPr>
        <w:t xml:space="preserve"> employees of the Company who purchase, receive options to purchase, or receive awards of shares in the capital of the Company after the date hereof shall be required to execute restricted stock or option agreements, as applicable, providing for </w:t>
      </w:r>
      <w:bookmarkStart w:id="379" w:name="DocXTextRef280"/>
      <w:r>
        <w:rPr>
          <w:snapToGrid w:val="0"/>
        </w:rPr>
        <w:t>(i)</w:t>
      </w:r>
      <w:bookmarkEnd w:id="379"/>
      <w:r>
        <w:rPr>
          <w:snapToGrid w:val="0"/>
        </w:rPr>
        <w:t xml:space="preserve"> vesting of shares over a [four (4)] year period, with the first [twenty-five percent (25%)] of such shares vesting following [twelve (12)] months of continued employment or service, and the remaining shares vesting in equal [monthly] installments over the following [thirty-six (36) months], and </w:t>
      </w:r>
      <w:bookmarkStart w:id="380" w:name="DocXTextRef281"/>
      <w:r>
        <w:rPr>
          <w:snapToGrid w:val="0"/>
        </w:rPr>
        <w:t>(ii)</w:t>
      </w:r>
      <w:bookmarkEnd w:id="380"/>
      <w:r>
        <w:rPr>
          <w:snapToGrid w:val="0"/>
        </w:rPr>
        <w:t xml:space="preserve"> a </w:t>
      </w:r>
      <w:r>
        <w:rPr>
          <w:snapToGrid w:val="0"/>
          <w:szCs w:val="16"/>
        </w:rPr>
        <w:t>market stand-off provision substantially similar to that</w:t>
      </w:r>
      <w:r>
        <w:rPr>
          <w:snapToGrid w:val="0"/>
        </w:rPr>
        <w:t xml:space="preserve"> in </w:t>
      </w:r>
      <w:r w:rsidR="00F315A0">
        <w:rPr>
          <w:snapToGrid w:val="0"/>
          <w:szCs w:val="16"/>
          <w:u w:val="single"/>
        </w:rPr>
        <w:t>S</w:t>
      </w:r>
      <w:r>
        <w:rPr>
          <w:snapToGrid w:val="0"/>
          <w:szCs w:val="16"/>
          <w:u w:val="single"/>
        </w:rPr>
        <w:t xml:space="preserve">ection </w:t>
      </w:r>
      <w:r>
        <w:rPr>
          <w:snapToGrid w:val="0"/>
          <w:szCs w:val="16"/>
          <w:u w:val="single"/>
        </w:rPr>
        <w:fldChar w:fldCharType="begin"/>
      </w:r>
      <w:r>
        <w:rPr>
          <w:snapToGrid w:val="0"/>
          <w:szCs w:val="16"/>
          <w:u w:val="single"/>
        </w:rPr>
        <w:instrText xml:space="preserve">  REF _Ref448380587 \w \h \* MERGEFORMAT </w:instrText>
      </w:r>
      <w:r>
        <w:rPr>
          <w:snapToGrid w:val="0"/>
          <w:szCs w:val="16"/>
          <w:u w:val="single"/>
        </w:rPr>
        <w:fldChar w:fldCharType="separate"/>
      </w:r>
      <w:r w:rsidRPr="00BC1FC7" w:rsidR="00BC1FC7">
        <w:rPr>
          <w:snapToGrid w:val="0"/>
          <w:color w:val="000000"/>
          <w:szCs w:val="16"/>
          <w:u w:val="single"/>
        </w:rPr>
        <w:t>2.11</w:t>
      </w:r>
      <w:r>
        <w:rPr>
          <w:snapToGrid w:val="0"/>
          <w:szCs w:val="16"/>
          <w:u w:val="single"/>
        </w:rPr>
        <w:fldChar w:fldCharType="end"/>
      </w:r>
      <w:r>
        <w:rPr>
          <w:snapToGrid w:val="0"/>
          <w:szCs w:val="16"/>
        </w:rPr>
        <w:t xml:space="preserve">. </w:t>
      </w:r>
      <w:r w:rsidR="00EA24FA">
        <w:rPr>
          <w:snapToGrid w:val="0"/>
          <w:szCs w:val="16"/>
        </w:rPr>
        <w:t>Without the prior approval by the Board of Directors, [</w:t>
      </w:r>
      <w:r w:rsidRPr="00CF55D2" w:rsidR="00F315A0">
        <w:rPr>
          <w:szCs w:val="24"/>
        </w:rPr>
        <w:t>including the Requisite Preferred Director Vote</w:t>
      </w:r>
      <w:r w:rsidR="0059753E">
        <w:rPr>
          <w:snapToGrid w:val="0"/>
          <w:szCs w:val="16"/>
        </w:rPr>
        <w:t>,] the Company shall not amend, modify, terminate, waive or otherwise alter, in whole or part, any stock purchase, stock restriction or option agreement with any existing employee or service provider if such amendment would cause it t</w:t>
      </w:r>
      <w:r w:rsidR="00F315A0">
        <w:rPr>
          <w:snapToGrid w:val="0"/>
          <w:szCs w:val="16"/>
        </w:rPr>
        <w:t xml:space="preserve">o be inconsistent with this </w:t>
      </w:r>
      <w:r w:rsidRPr="00F315A0" w:rsidR="00F315A0">
        <w:rPr>
          <w:snapToGrid w:val="0"/>
          <w:szCs w:val="16"/>
          <w:u w:val="single"/>
        </w:rPr>
        <w:t>S</w:t>
      </w:r>
      <w:r w:rsidRPr="00F315A0" w:rsidR="0059753E">
        <w:rPr>
          <w:snapToGrid w:val="0"/>
          <w:szCs w:val="16"/>
          <w:u w:val="single"/>
        </w:rPr>
        <w:t>ection 5.3</w:t>
      </w:r>
      <w:r w:rsidR="0059753E">
        <w:rPr>
          <w:snapToGrid w:val="0"/>
          <w:szCs w:val="16"/>
        </w:rPr>
        <w:t xml:space="preserve">. </w:t>
      </w:r>
      <w:r>
        <w:rPr>
          <w:snapToGrid w:val="0"/>
          <w:szCs w:val="16"/>
        </w:rPr>
        <w:t>In addition, unless otherwise approved by the Board of Directors, [</w:t>
      </w:r>
      <w:r w:rsidRPr="00CF55D2" w:rsidR="00F315A0">
        <w:rPr>
          <w:szCs w:val="24"/>
        </w:rPr>
        <w:t>including the Requisite Preferred Director Vote</w:t>
      </w:r>
      <w:r>
        <w:rPr>
          <w:snapToGrid w:val="0"/>
          <w:szCs w:val="16"/>
        </w:rPr>
        <w:t>,] the</w:t>
      </w:r>
      <w:r>
        <w:rPr>
          <w:b/>
          <w:snapToGrid w:val="0"/>
        </w:rPr>
        <w:t xml:space="preserve"> </w:t>
      </w:r>
      <w:r>
        <w:rPr>
          <w:snapToGrid w:val="0"/>
        </w:rPr>
        <w:t xml:space="preserve">Company </w:t>
      </w:r>
      <w:r w:rsidRPr="00CF55D2" w:rsidR="00F315A0">
        <w:rPr>
          <w:szCs w:val="24"/>
        </w:rPr>
        <w:t xml:space="preserve">[(x) shall not offer or allow any acceleration of vesting, and </w:t>
      </w:r>
      <w:bookmarkStart w:id="381" w:name="DocXTextRef216"/>
      <w:r w:rsidRPr="00CF55D2" w:rsidR="00F315A0">
        <w:rPr>
          <w:szCs w:val="24"/>
        </w:rPr>
        <w:t>(y)</w:t>
      </w:r>
      <w:bookmarkEnd w:id="381"/>
      <w:r w:rsidRPr="00CF55D2" w:rsidR="00F315A0">
        <w:rPr>
          <w:szCs w:val="24"/>
        </w:rPr>
        <w:t>]</w:t>
      </w:r>
      <w:bookmarkStart w:id="382" w:name="_Ref42252642"/>
      <w:r>
        <w:rPr>
          <w:rStyle w:val="FootnoteReference"/>
          <w:rFonts w:eastAsiaTheme="majorEastAsia"/>
          <w:color w:val="000000"/>
          <w:szCs w:val="24"/>
        </w:rPr>
        <w:footnoteReference w:id="58"/>
      </w:r>
      <w:bookmarkEnd w:id="382"/>
      <w:r w:rsidRPr="00CF55D2" w:rsidR="00F315A0">
        <w:rPr>
          <w:szCs w:val="24"/>
        </w:rPr>
        <w:t xml:space="preserve"> </w:t>
      </w:r>
      <w:r>
        <w:rPr>
          <w:snapToGrid w:val="0"/>
        </w:rPr>
        <w:t xml:space="preserve">shall retain </w:t>
      </w:r>
      <w:r w:rsidR="00165B44">
        <w:rPr>
          <w:snapToGrid w:val="0"/>
        </w:rPr>
        <w:t>(</w:t>
      </w:r>
      <w:r w:rsidR="00891728">
        <w:rPr>
          <w:snapToGrid w:val="0"/>
        </w:rPr>
        <w:t>and not waive</w:t>
      </w:r>
      <w:r w:rsidR="00165B44">
        <w:rPr>
          <w:snapToGrid w:val="0"/>
        </w:rPr>
        <w:t>)</w:t>
      </w:r>
      <w:r w:rsidR="00891728">
        <w:rPr>
          <w:snapToGrid w:val="0"/>
        </w:rPr>
        <w:t xml:space="preserve"> </w:t>
      </w:r>
      <w:r>
        <w:rPr>
          <w:snapToGrid w:val="0"/>
        </w:rPr>
        <w:t xml:space="preserve">a "right of first refusal" on employee transfers until the Company's IPO and shall have the right to repurchase unvested shares at cost upon termination of employment of a holder of </w:t>
      </w:r>
      <w:r w:rsidR="007D192F">
        <w:rPr>
          <w:snapToGrid w:val="0"/>
        </w:rPr>
        <w:t>[</w:t>
      </w:r>
      <w:r>
        <w:rPr>
          <w:snapToGrid w:val="0"/>
        </w:rPr>
        <w:t>restricted</w:t>
      </w:r>
      <w:r w:rsidR="007D192F">
        <w:rPr>
          <w:snapToGrid w:val="0"/>
        </w:rPr>
        <w:t>]</w:t>
      </w:r>
      <w:r>
        <w:rPr>
          <w:snapToGrid w:val="0"/>
        </w:rPr>
        <w:t xml:space="preserve"> shares.</w:t>
      </w:r>
    </w:p>
    <w:p w:rsidR="00037C7E">
      <w:pPr>
        <w:pStyle w:val="StandardL2"/>
      </w:pPr>
      <w:bookmarkStart w:id="383" w:name="_Ref448380640"/>
      <w:bookmarkStart w:id="384" w:name="_Toc56499793"/>
      <w:r>
        <w:t xml:space="preserve">Matters Requiring </w:t>
      </w:r>
      <w:r w:rsidR="00730654">
        <w:t>Preferred</w:t>
      </w:r>
      <w:r>
        <w:t xml:space="preserve"> Director Approval</w:t>
      </w:r>
      <w:r>
        <w:rPr>
          <w:snapToGrid w:val="0"/>
        </w:rPr>
        <w:t>.</w:t>
      </w:r>
      <w:bookmarkStart w:id="385" w:name="_Ref448380725"/>
      <w:r>
        <w:rPr>
          <w:rStyle w:val="FootnoteReference"/>
          <w:snapToGrid w:val="0"/>
          <w:u w:val="none"/>
        </w:rPr>
        <w:footnoteReference w:id="59"/>
      </w:r>
      <w:bookmarkEnd w:id="383"/>
      <w:bookmarkEnd w:id="384"/>
      <w:bookmarkEnd w:id="385"/>
    </w:p>
    <w:p w:rsidR="00037C7E">
      <w:pPr>
        <w:pStyle w:val="StandardCont2"/>
      </w:pPr>
      <w:r>
        <w:rPr>
          <w:snapToGrid w:val="0"/>
        </w:rPr>
        <w:t>During such time or times</w:t>
      </w:r>
      <w:r w:rsidR="0041095D">
        <w:rPr>
          <w:snapToGrid w:val="0"/>
        </w:rPr>
        <w:t xml:space="preserve"> as the holders of </w:t>
      </w:r>
      <w:r>
        <w:rPr>
          <w:snapToGrid w:val="0"/>
        </w:rPr>
        <w:t>[</w:t>
      </w:r>
      <w:r w:rsidR="0041095D">
        <w:rPr>
          <w:snapToGrid w:val="0"/>
        </w:rPr>
        <w:t>Class A</w:t>
      </w:r>
      <w:r>
        <w:rPr>
          <w:snapToGrid w:val="0"/>
        </w:rPr>
        <w:t>]</w:t>
      </w:r>
      <w:r w:rsidR="0041095D">
        <w:rPr>
          <w:snapToGrid w:val="0"/>
        </w:rPr>
        <w:t xml:space="preserve"> Preferred Shares are entitled to elect </w:t>
      </w:r>
      <w:r>
        <w:rPr>
          <w:snapToGrid w:val="0"/>
        </w:rPr>
        <w:t>a Preferred</w:t>
      </w:r>
      <w:r w:rsidR="0041095D">
        <w:rPr>
          <w:snapToGrid w:val="0"/>
        </w:rPr>
        <w:t xml:space="preserve"> Director</w:t>
      </w:r>
      <w:r>
        <w:rPr>
          <w:snapToGrid w:val="0"/>
        </w:rPr>
        <w:t xml:space="preserve"> and such seat is filled</w:t>
      </w:r>
      <w:r w:rsidR="0041095D">
        <w:rPr>
          <w:snapToGrid w:val="0"/>
        </w:rPr>
        <w:t xml:space="preserve">, the Company hereby covenants and agrees with each of the Investors that it shall not, without approval of the Board of Directors, which approval must include </w:t>
      </w:r>
      <w:r w:rsidRPr="00CF55D2" w:rsidR="00007601">
        <w:rPr>
          <w:szCs w:val="24"/>
        </w:rPr>
        <w:t>the Requisite Preferred Director Vote</w:t>
      </w:r>
      <w:r w:rsidR="0041095D">
        <w:rPr>
          <w:snapToGrid w:val="0"/>
        </w:rPr>
        <w:t>:</w:t>
      </w:r>
    </w:p>
    <w:p w:rsidR="00037C7E">
      <w:pPr>
        <w:pStyle w:val="StandardL3"/>
      </w:pPr>
      <w:bookmarkStart w:id="386" w:name="_Ref448380641"/>
      <w:r>
        <w:t>make, or permit any subsidiary to make, any loan or advance to, or own any shares or other securities of, any subsidiary or other corporation, partnership, or other entity unless it is wholly owned by the Company;</w:t>
      </w:r>
      <w:bookmarkEnd w:id="386"/>
    </w:p>
    <w:p w:rsidR="00037C7E">
      <w:pPr>
        <w:pStyle w:val="StandardL3"/>
      </w:pPr>
      <w:bookmarkStart w:id="387" w:name="_Ref448380642"/>
      <w:r>
        <w:t xml:space="preserve">make, or permit any subsidiary to make, any loan or advance to any Person, including, without limitation, any employee or director of the Company or any subsidiary, except advances and similar expenditures in the ordinary course of business </w:t>
      </w:r>
      <w:r w:rsidR="00007601">
        <w:t>[</w:t>
      </w:r>
      <w:r>
        <w:t>or under the terms of an employee stock or option plan approved by the Board of Directors</w:t>
      </w:r>
      <w:r w:rsidR="00AC19EB">
        <w:t>]</w:t>
      </w:r>
      <w:r>
        <w:t>;</w:t>
      </w:r>
      <w:bookmarkEnd w:id="387"/>
    </w:p>
    <w:p w:rsidR="00037C7E">
      <w:pPr>
        <w:pStyle w:val="StandardL3"/>
      </w:pPr>
      <w:bookmarkStart w:id="388" w:name="_Ref448380643"/>
      <w:r>
        <w:t>guarantee, directly or indirectly, or permit any subsidiary to guarantee, directly or indirectly, any indebtedness except for trade accounts of the Company or any subsidiary arising in the ordinary course of business;</w:t>
      </w:r>
      <w:bookmarkEnd w:id="388"/>
    </w:p>
    <w:p w:rsidR="00037C7E">
      <w:pPr>
        <w:pStyle w:val="StandardL3"/>
      </w:pPr>
      <w:bookmarkStart w:id="389" w:name="_Ref448380644"/>
      <w:r>
        <w:t>[</w:t>
      </w:r>
      <w:r w:rsidR="0041095D">
        <w:t>make any investment inconsistent with any investment policy approved by the Board of Directors;</w:t>
      </w:r>
      <w:bookmarkEnd w:id="389"/>
      <w:r>
        <w:t>]</w:t>
      </w:r>
    </w:p>
    <w:p w:rsidR="00037C7E">
      <w:pPr>
        <w:pStyle w:val="StandardL3"/>
      </w:pPr>
      <w:bookmarkStart w:id="390" w:name="_Ref448380645"/>
      <w:r>
        <w:t>incur any aggregate i</w:t>
      </w:r>
      <w:r w:rsidR="002679A0">
        <w:t>ndebtedness in excess of [CDN$</w:t>
      </w:r>
      <w:r>
        <w:t xml:space="preserve">_____] that is not already included in </w:t>
      </w:r>
      <w:r w:rsidR="00007601">
        <w:t xml:space="preserve">the Budget (as defined in </w:t>
      </w:r>
      <w:r w:rsidR="00007601">
        <w:rPr>
          <w:u w:val="single"/>
        </w:rPr>
        <w:t xml:space="preserve">Section </w:t>
      </w:r>
      <w:r w:rsidR="00007601">
        <w:rPr>
          <w:u w:val="single"/>
        </w:rPr>
        <w:fldChar w:fldCharType="begin"/>
      </w:r>
      <w:r w:rsidR="00007601">
        <w:rPr>
          <w:u w:val="single"/>
        </w:rPr>
        <w:instrText xml:space="preserve"> REF _Ref448380619 \w \h </w:instrText>
      </w:r>
      <w:r w:rsidR="00007601">
        <w:rPr>
          <w:u w:val="single"/>
        </w:rPr>
        <w:fldChar w:fldCharType="separate"/>
      </w:r>
      <w:r w:rsidR="00BC1FC7">
        <w:rPr>
          <w:u w:val="single"/>
        </w:rPr>
        <w:t>3.1(e)</w:t>
      </w:r>
      <w:r w:rsidR="00007601">
        <w:rPr>
          <w:u w:val="single"/>
        </w:rPr>
        <w:fldChar w:fldCharType="end"/>
      </w:r>
      <w:r w:rsidR="00007601">
        <w:t>)</w:t>
      </w:r>
      <w:r>
        <w:t>, other than trade credit incurred in the ordinary course of business;</w:t>
      </w:r>
      <w:bookmarkEnd w:id="390"/>
    </w:p>
    <w:p w:rsidR="00037C7E">
      <w:pPr>
        <w:pStyle w:val="StandardL3"/>
      </w:pPr>
      <w:bookmarkStart w:id="391" w:name="_Ref448380647"/>
      <w:r>
        <w:t>hire, terminate, or change the compensation of the executive officers, including approving any option grants or stock awards to executive officers;</w:t>
      </w:r>
      <w:bookmarkEnd w:id="391"/>
    </w:p>
    <w:p w:rsidR="00037C7E">
      <w:pPr>
        <w:pStyle w:val="StandardL3"/>
      </w:pPr>
      <w:bookmarkStart w:id="392" w:name="_Ref448380648"/>
      <w:r>
        <w:t>change the principal business of the Company, enter new lines of business, or exit the current line of business;</w:t>
      </w:r>
      <w:bookmarkEnd w:id="392"/>
    </w:p>
    <w:p w:rsidR="00037C7E">
      <w:pPr>
        <w:pStyle w:val="StandardL3"/>
      </w:pPr>
      <w:bookmarkStart w:id="393" w:name="_Ref448380649"/>
      <w:r>
        <w:t>sell, assign, license, pledge, or encumber material technology or intellectual property, other than licenses granted in the ordinary course of business; or</w:t>
      </w:r>
      <w:bookmarkEnd w:id="393"/>
    </w:p>
    <w:p w:rsidR="00037C7E">
      <w:pPr>
        <w:pStyle w:val="StandardL3"/>
      </w:pPr>
      <w:bookmarkStart w:id="394" w:name="_Ref448380650"/>
      <w:r>
        <w:t>enter into any corporate strategic relationship involving the payment, contribution, or assignment by the Company or to the Company of money or assets greater than [CDN$ / US$][</w:t>
      </w:r>
      <w:r w:rsidR="00007601">
        <w:t>five hundred thousand – one million</w:t>
      </w:r>
      <w:r>
        <w:t>]</w:t>
      </w:r>
      <w:r w:rsidR="00007601">
        <w:t xml:space="preserve"> dollars ($[500,000-1,000,000])</w:t>
      </w:r>
      <w:r>
        <w:t>.</w:t>
      </w:r>
      <w:bookmarkEnd w:id="394"/>
    </w:p>
    <w:p w:rsidR="00037C7E">
      <w:pPr>
        <w:pStyle w:val="StandardL2"/>
      </w:pPr>
      <w:bookmarkStart w:id="395" w:name="_Ref448380651"/>
      <w:bookmarkStart w:id="396" w:name="_Toc56499794"/>
      <w:r>
        <w:t>Board Matters</w:t>
      </w:r>
      <w:r>
        <w:rPr>
          <w:snapToGrid w:val="0"/>
        </w:rPr>
        <w:t>.</w:t>
      </w:r>
      <w:bookmarkEnd w:id="395"/>
      <w:bookmarkEnd w:id="396"/>
    </w:p>
    <w:p w:rsidR="00037C7E">
      <w:pPr>
        <w:pStyle w:val="StandardCont2"/>
      </w:pPr>
      <w:r>
        <w:rPr>
          <w:snapToGrid w:val="0"/>
        </w:rPr>
        <w:t xml:space="preserve">The Company shall reimburse the [nonemployee] directors for all reasonable out-of-pocket travel expenses incurred (consistent with the Company's travel policy) in connection with attending meetings of the Board of Directors. [The Company shall cause to be established, as soon as practicable after such request, and will maintain, an audit and compensation committee, each of which shall consist solely of non-management directors. Each non-employee director shall be entitled in such person's discretion to be a member of </w:t>
      </w:r>
      <w:r w:rsidRPr="00CF55D2" w:rsidR="00C9438A">
        <w:rPr>
          <w:szCs w:val="24"/>
        </w:rPr>
        <w:t>[all] [the audit and compensation] committees</w:t>
      </w:r>
      <w:r w:rsidR="00C9438A">
        <w:rPr>
          <w:snapToGrid w:val="0"/>
        </w:rPr>
        <w:t xml:space="preserve"> </w:t>
      </w:r>
      <w:r w:rsidR="00891728">
        <w:rPr>
          <w:snapToGrid w:val="0"/>
        </w:rPr>
        <w:t>of the Board of Directors</w:t>
      </w:r>
      <w:r>
        <w:rPr>
          <w:snapToGrid w:val="0"/>
        </w:rPr>
        <w:t>.]</w:t>
      </w:r>
      <w:bookmarkStart w:id="397" w:name="_Ref42252645"/>
      <w:r>
        <w:rPr>
          <w:rStyle w:val="FootnoteReference"/>
          <w:rFonts w:eastAsiaTheme="majorEastAsia"/>
          <w:szCs w:val="24"/>
        </w:rPr>
        <w:footnoteReference w:id="60"/>
      </w:r>
      <w:bookmarkEnd w:id="397"/>
    </w:p>
    <w:p w:rsidR="00037C7E">
      <w:pPr>
        <w:pStyle w:val="StandardL2"/>
      </w:pPr>
      <w:bookmarkStart w:id="398" w:name="_Ref448380652"/>
      <w:bookmarkStart w:id="399" w:name="_Toc56499795"/>
      <w:r>
        <w:t>Successor Indemnification</w:t>
      </w:r>
      <w:r>
        <w:rPr>
          <w:snapToGrid w:val="0"/>
        </w:rPr>
        <w:t>.</w:t>
      </w:r>
      <w:bookmarkEnd w:id="398"/>
      <w:bookmarkEnd w:id="399"/>
    </w:p>
    <w:p w:rsidR="00037C7E">
      <w:pPr>
        <w:pStyle w:val="StandardCont2"/>
      </w:pPr>
      <w:r>
        <w:rPr>
          <w:snapToGrid w:val="0"/>
        </w:rPr>
        <w:t>If the Company or any of its successors or assignees consolidates with or merges into any other Person and is not the continuing or surviving corporation or entity of such consolidation or merger, then to the extent necessary, proper provision shall be made so that the successors and assignees of the Company assume the obligations of the Company with respect to indemnification of members of the Board of Directors as in effect immediately before such transaction, whether such obligations are contained in the Company's By-laws, its Articles, or elsewhere, as the case may be.</w:t>
      </w:r>
    </w:p>
    <w:p w:rsidR="00037C7E">
      <w:pPr>
        <w:pStyle w:val="StandardL2"/>
      </w:pPr>
      <w:bookmarkStart w:id="400" w:name="_Ref448380653"/>
      <w:bookmarkStart w:id="401" w:name="_Toc56499796"/>
      <w:r>
        <w:t>[Expenses of Counsel</w:t>
      </w:r>
      <w:r>
        <w:rPr>
          <w:snapToGrid w:val="0"/>
        </w:rPr>
        <w:t>.</w:t>
      </w:r>
      <w:bookmarkEnd w:id="400"/>
      <w:bookmarkEnd w:id="401"/>
    </w:p>
    <w:p w:rsidR="00037C7E">
      <w:pPr>
        <w:pStyle w:val="StandardCont2"/>
      </w:pPr>
      <w:r>
        <w:rPr>
          <w:snapToGrid w:val="0"/>
        </w:rPr>
        <w:t xml:space="preserve">In the event of a transaction which is a Sale of the Company (as defined in the </w:t>
      </w:r>
      <w:r w:rsidR="00891728">
        <w:rPr>
          <w:snapToGrid w:val="0"/>
        </w:rPr>
        <w:t xml:space="preserve">[Amended and Restated] </w:t>
      </w:r>
      <w:r>
        <w:rPr>
          <w:snapToGrid w:val="0"/>
        </w:rPr>
        <w:t>Voting Agreement of even date herewith among the Investors</w:t>
      </w:r>
      <w:r w:rsidR="00165B44">
        <w:rPr>
          <w:snapToGrid w:val="0"/>
        </w:rPr>
        <w:t>,</w:t>
      </w:r>
      <w:r>
        <w:rPr>
          <w:snapToGrid w:val="0"/>
        </w:rPr>
        <w:t xml:space="preserve"> the Company</w:t>
      </w:r>
      <w:r w:rsidR="00891728">
        <w:rPr>
          <w:snapToGrid w:val="0"/>
        </w:rPr>
        <w:t xml:space="preserve"> and the other parties named therein</w:t>
      </w:r>
      <w:r>
        <w:rPr>
          <w:snapToGrid w:val="0"/>
        </w:rPr>
        <w:t>), the reasonable fees and disbursements[, not to exceed [CDN$ / US$]_____,] of one counsel for the [Major] Investors ("</w:t>
      </w:r>
      <w:r>
        <w:rPr>
          <w:b/>
          <w:bCs/>
          <w:snapToGrid w:val="0"/>
        </w:rPr>
        <w:t>Investor Counsel</w:t>
      </w:r>
      <w:r>
        <w:rPr>
          <w:snapToGrid w:val="0"/>
        </w:rPr>
        <w:t xml:space="preserve">"), in their capacities as shareholders, shall be borne and paid by the Company. At the outset of considering a transaction which, if consummated would constitute a Sale of the Company, the Company shall obtain the ability to share with the Investor Counsel (and such counsel's clients) and shall share the confidential information (including, without limitation, the initial and all subsequent drafts of memoranda of understanding, letters of intent and other transaction documents and related non-compete, employment, consulting and other compensation agreements and plans) pertaining to and memorializing any of the transactions which, individually or when aggregated with others would constitute the Sale of the Company. The Company shall be obligated to share (and cause the Company's counsel and investment bankers to share) such materials when distributed to the Company's executives and/or any one </w:t>
      </w:r>
      <w:r w:rsidR="00C9438A">
        <w:rPr>
          <w:snapToGrid w:val="0"/>
        </w:rPr>
        <w:t xml:space="preserve">(1) </w:t>
      </w:r>
      <w:r>
        <w:rPr>
          <w:snapToGrid w:val="0"/>
        </w:rPr>
        <w:t>or more of the other parties to such transaction</w:t>
      </w:r>
      <w:bookmarkStart w:id="402" w:name="DocXTextRef285"/>
      <w:r>
        <w:rPr>
          <w:snapToGrid w:val="0"/>
        </w:rPr>
        <w:t>(s)</w:t>
      </w:r>
      <w:bookmarkEnd w:id="402"/>
      <w:r>
        <w:rPr>
          <w:snapToGrid w:val="0"/>
        </w:rPr>
        <w:t xml:space="preserve">. In the event that Investor Counsel deems it appropriate, in its reasonable discretion, to enter into a joint defense </w:t>
      </w:r>
      <w:r w:rsidR="00C9438A">
        <w:rPr>
          <w:snapToGrid w:val="0"/>
        </w:rPr>
        <w:t xml:space="preserve">(or common interest) </w:t>
      </w:r>
      <w:r>
        <w:rPr>
          <w:snapToGrid w:val="0"/>
        </w:rPr>
        <w:t>agreement or other arrangement to enhance the ability of the parties to protect their communications and other reviewed materials under the attorney client privilege, the Company shall, and shall direct its counsel to, execute and deliver to Investor Counsel and its clients such an agreement in form and substance reasonably acceptable to Investor Counsel</w:t>
      </w:r>
      <w:r w:rsidR="00C9438A">
        <w:rPr>
          <w:snapToGrid w:val="0"/>
        </w:rPr>
        <w:t xml:space="preserve"> and the Company’s counsel</w:t>
      </w:r>
      <w:r>
        <w:rPr>
          <w:snapToGrid w:val="0"/>
        </w:rPr>
        <w:t xml:space="preserve">. In the event that one </w:t>
      </w:r>
      <w:r w:rsidR="00C9438A">
        <w:rPr>
          <w:snapToGrid w:val="0"/>
        </w:rPr>
        <w:t xml:space="preserve">(1) </w:t>
      </w:r>
      <w:r>
        <w:rPr>
          <w:snapToGrid w:val="0"/>
        </w:rPr>
        <w:t>or more of the other party or parties to such transactions require the clients of Investor Counsel to enter into a confidentiality agreement and/or joint defense</w:t>
      </w:r>
      <w:r w:rsidR="00C9438A">
        <w:rPr>
          <w:snapToGrid w:val="0"/>
        </w:rPr>
        <w:t xml:space="preserve"> (or common interest)</w:t>
      </w:r>
      <w:r>
        <w:rPr>
          <w:snapToGrid w:val="0"/>
        </w:rPr>
        <w:t xml:space="preserve"> agreement in order to receive such information, then the Company shall share whatever information can be shared without entry into such agreement and shall, at the same time, in good faith work expeditiously to enable Investor Counsel and its clients to negotiate and enter into the appropriate agreement</w:t>
      </w:r>
      <w:bookmarkStart w:id="403" w:name="DocXTextRef286"/>
      <w:r>
        <w:rPr>
          <w:snapToGrid w:val="0"/>
        </w:rPr>
        <w:t>(s)</w:t>
      </w:r>
      <w:bookmarkEnd w:id="403"/>
      <w:r>
        <w:rPr>
          <w:snapToGrid w:val="0"/>
        </w:rPr>
        <w:t xml:space="preserve"> without undue burden to the clients of Investor Counsel.]</w:t>
      </w:r>
      <w:bookmarkStart w:id="404" w:name="_Ref448380727"/>
      <w:r>
        <w:rPr>
          <w:rStyle w:val="FootnoteReference"/>
          <w:snapToGrid w:val="0"/>
        </w:rPr>
        <w:footnoteReference w:id="61"/>
      </w:r>
      <w:bookmarkEnd w:id="404"/>
    </w:p>
    <w:p w:rsidR="00037C7E">
      <w:pPr>
        <w:pStyle w:val="StandardL2"/>
      </w:pPr>
      <w:bookmarkStart w:id="405" w:name="_Ref448380654"/>
      <w:bookmarkStart w:id="406" w:name="_Toc56499797"/>
      <w:r>
        <w:rPr>
          <w:szCs w:val="16"/>
        </w:rPr>
        <w:t>[Indemnification Matters</w:t>
      </w:r>
      <w:r>
        <w:rPr>
          <w:snapToGrid w:val="0"/>
          <w:szCs w:val="16"/>
        </w:rPr>
        <w:t>.</w:t>
      </w:r>
      <w:bookmarkEnd w:id="405"/>
      <w:bookmarkEnd w:id="406"/>
    </w:p>
    <w:p w:rsidR="00037C7E" w:rsidP="004402CA">
      <w:pPr>
        <w:pStyle w:val="StandardCont2"/>
      </w:pPr>
      <w:r>
        <w:rPr>
          <w:snapToGrid w:val="0"/>
        </w:rPr>
        <w:t xml:space="preserve">The Company hereby acknowledges that one </w:t>
      </w:r>
      <w:bookmarkStart w:id="407" w:name="DocXTextRef287"/>
      <w:r>
        <w:rPr>
          <w:snapToGrid w:val="0"/>
        </w:rPr>
        <w:t>(1)</w:t>
      </w:r>
      <w:bookmarkEnd w:id="407"/>
      <w:r>
        <w:rPr>
          <w:snapToGrid w:val="0"/>
        </w:rPr>
        <w:t xml:space="preserve"> or more of the</w:t>
      </w:r>
      <w:r w:rsidR="00BF30B5">
        <w:rPr>
          <w:snapToGrid w:val="0"/>
        </w:rPr>
        <w:t xml:space="preserve"> Preferred D</w:t>
      </w:r>
      <w:r>
        <w:rPr>
          <w:snapToGrid w:val="0"/>
        </w:rPr>
        <w:t>irectors nominated to serve on the Board of Directors by</w:t>
      </w:r>
      <w:r w:rsidR="00BF30B5">
        <w:rPr>
          <w:snapToGrid w:val="0"/>
        </w:rPr>
        <w:t xml:space="preserve"> one (1) or more Investors </w:t>
      </w:r>
      <w:r>
        <w:rPr>
          <w:snapToGrid w:val="0"/>
        </w:rPr>
        <w:t>may have certain rights to indemnification, advancement of expenses and/or insurance provided by one</w:t>
      </w:r>
      <w:r w:rsidR="00BF30B5">
        <w:rPr>
          <w:snapToGrid w:val="0"/>
        </w:rPr>
        <w:t xml:space="preserve"> (1)</w:t>
      </w:r>
      <w:r>
        <w:rPr>
          <w:snapToGrid w:val="0"/>
        </w:rPr>
        <w:t xml:space="preserve"> or more of the Investors and certain of their </w:t>
      </w:r>
      <w:r w:rsidR="002679A0">
        <w:rPr>
          <w:snapToGrid w:val="0"/>
        </w:rPr>
        <w:t xml:space="preserve">Affiliates </w:t>
      </w:r>
      <w:r>
        <w:rPr>
          <w:snapToGrid w:val="0"/>
        </w:rPr>
        <w:t>(collectively, the "</w:t>
      </w:r>
      <w:r w:rsidRPr="002679A0" w:rsidR="002679A0">
        <w:rPr>
          <w:b/>
          <w:snapToGrid w:val="0"/>
        </w:rPr>
        <w:t>Investor</w:t>
      </w:r>
      <w:r w:rsidR="002679A0">
        <w:rPr>
          <w:snapToGrid w:val="0"/>
        </w:rPr>
        <w:t xml:space="preserve"> </w:t>
      </w:r>
      <w:r>
        <w:rPr>
          <w:b/>
          <w:snapToGrid w:val="0"/>
        </w:rPr>
        <w:t>Indemnitors</w:t>
      </w:r>
      <w:r>
        <w:rPr>
          <w:snapToGrid w:val="0"/>
        </w:rPr>
        <w:t xml:space="preserve">"). The Company hereby agrees </w:t>
      </w:r>
      <w:bookmarkStart w:id="408" w:name="DocXTextRef288"/>
      <w:r>
        <w:rPr>
          <w:snapToGrid w:val="0"/>
        </w:rPr>
        <w:t>(a)</w:t>
      </w:r>
      <w:bookmarkEnd w:id="408"/>
      <w:r>
        <w:rPr>
          <w:snapToGrid w:val="0"/>
        </w:rPr>
        <w:t xml:space="preserve"> that it is the indemnitor of first resort (</w:t>
      </w:r>
      <w:r>
        <w:rPr>
          <w:i/>
          <w:snapToGrid w:val="0"/>
        </w:rPr>
        <w:t>i.e.</w:t>
      </w:r>
      <w:r>
        <w:rPr>
          <w:snapToGrid w:val="0"/>
        </w:rPr>
        <w:t xml:space="preserve">, its obligations to any such </w:t>
      </w:r>
      <w:r w:rsidR="00BF30B5">
        <w:rPr>
          <w:snapToGrid w:val="0"/>
        </w:rPr>
        <w:t>Preferred</w:t>
      </w:r>
      <w:r w:rsidR="002679A0">
        <w:rPr>
          <w:snapToGrid w:val="0"/>
        </w:rPr>
        <w:t xml:space="preserve"> </w:t>
      </w:r>
      <w:r>
        <w:rPr>
          <w:snapToGrid w:val="0"/>
        </w:rPr>
        <w:t xml:space="preserve">Director are primary and any obligation of the </w:t>
      </w:r>
      <w:r w:rsidR="002679A0">
        <w:rPr>
          <w:snapToGrid w:val="0"/>
        </w:rPr>
        <w:t xml:space="preserve">Investor </w:t>
      </w:r>
      <w:r>
        <w:rPr>
          <w:snapToGrid w:val="0"/>
        </w:rPr>
        <w:t xml:space="preserve">Indemnitors to advance expenses or to provide indemnification for the same expenses or liabilities incurred by such </w:t>
      </w:r>
      <w:r w:rsidR="00BF30B5">
        <w:rPr>
          <w:snapToGrid w:val="0"/>
        </w:rPr>
        <w:t xml:space="preserve">Preferred Director </w:t>
      </w:r>
      <w:r>
        <w:rPr>
          <w:snapToGrid w:val="0"/>
        </w:rPr>
        <w:t xml:space="preserve">are secondary), </w:t>
      </w:r>
      <w:bookmarkStart w:id="409" w:name="DocXTextRef289"/>
      <w:r>
        <w:rPr>
          <w:snapToGrid w:val="0"/>
        </w:rPr>
        <w:t>(b)</w:t>
      </w:r>
      <w:bookmarkEnd w:id="409"/>
      <w:r>
        <w:rPr>
          <w:snapToGrid w:val="0"/>
        </w:rPr>
        <w:t xml:space="preserve"> that it shall be required to advance the full amount of expenses incurred by such </w:t>
      </w:r>
      <w:r w:rsidR="00BF30B5">
        <w:rPr>
          <w:snapToGrid w:val="0"/>
        </w:rPr>
        <w:t xml:space="preserve">Preferred Director </w:t>
      </w:r>
      <w:r>
        <w:rPr>
          <w:snapToGrid w:val="0"/>
        </w:rPr>
        <w:t xml:space="preserve">and shall be liable for the full amount of all expenses, judgments, penalties, fines and amounts paid in settlement by or on behalf of any such </w:t>
      </w:r>
      <w:r w:rsidR="00BF30B5">
        <w:rPr>
          <w:snapToGrid w:val="0"/>
        </w:rPr>
        <w:t xml:space="preserve">Preferred Director </w:t>
      </w:r>
      <w:r>
        <w:rPr>
          <w:snapToGrid w:val="0"/>
        </w:rPr>
        <w:t xml:space="preserve">to the extent legally permitted and as required by the Articles or By-laws (or any agreement between the Company and such </w:t>
      </w:r>
      <w:r w:rsidR="00BF30B5">
        <w:rPr>
          <w:snapToGrid w:val="0"/>
        </w:rPr>
        <w:t>Preferred Director</w:t>
      </w:r>
      <w:r>
        <w:rPr>
          <w:snapToGrid w:val="0"/>
        </w:rPr>
        <w:t xml:space="preserve">), without regard to any rights such </w:t>
      </w:r>
      <w:r w:rsidR="00BF30B5">
        <w:rPr>
          <w:snapToGrid w:val="0"/>
        </w:rPr>
        <w:t xml:space="preserve">Preferred Director </w:t>
      </w:r>
      <w:r>
        <w:rPr>
          <w:snapToGrid w:val="0"/>
        </w:rPr>
        <w:t xml:space="preserve">may have against the </w:t>
      </w:r>
      <w:r w:rsidR="002679A0">
        <w:rPr>
          <w:snapToGrid w:val="0"/>
        </w:rPr>
        <w:t xml:space="preserve">Investor </w:t>
      </w:r>
      <w:r>
        <w:rPr>
          <w:snapToGrid w:val="0"/>
        </w:rPr>
        <w:t xml:space="preserve">Indemnitors, and, </w:t>
      </w:r>
      <w:bookmarkStart w:id="410" w:name="DocXTextRef290"/>
      <w:r>
        <w:rPr>
          <w:snapToGrid w:val="0"/>
        </w:rPr>
        <w:t>(c)</w:t>
      </w:r>
      <w:bookmarkEnd w:id="410"/>
      <w:r>
        <w:rPr>
          <w:snapToGrid w:val="0"/>
        </w:rPr>
        <w:t xml:space="preserve"> that it irrevocably waives, relinquishes and releases the </w:t>
      </w:r>
      <w:r w:rsidR="002679A0">
        <w:rPr>
          <w:snapToGrid w:val="0"/>
        </w:rPr>
        <w:t xml:space="preserve">Investor </w:t>
      </w:r>
      <w:r>
        <w:rPr>
          <w:snapToGrid w:val="0"/>
        </w:rPr>
        <w:t xml:space="preserve">Indemnitors from any and all claims against the </w:t>
      </w:r>
      <w:r w:rsidR="002679A0">
        <w:rPr>
          <w:snapToGrid w:val="0"/>
        </w:rPr>
        <w:t xml:space="preserve">Investor </w:t>
      </w:r>
      <w:r>
        <w:rPr>
          <w:snapToGrid w:val="0"/>
        </w:rPr>
        <w:t xml:space="preserve">Indemnitors for contribution, subrogation or any other recovery of any kind in respect thereof. The Company further agrees that no advancement or payment by the </w:t>
      </w:r>
      <w:r w:rsidR="002679A0">
        <w:rPr>
          <w:snapToGrid w:val="0"/>
        </w:rPr>
        <w:t xml:space="preserve">Investor </w:t>
      </w:r>
      <w:r>
        <w:rPr>
          <w:snapToGrid w:val="0"/>
        </w:rPr>
        <w:t xml:space="preserve">Indemnitors on behalf of any such </w:t>
      </w:r>
      <w:r w:rsidR="00BF30B5">
        <w:rPr>
          <w:snapToGrid w:val="0"/>
        </w:rPr>
        <w:t xml:space="preserve">Preferred Director </w:t>
      </w:r>
      <w:r>
        <w:rPr>
          <w:snapToGrid w:val="0"/>
        </w:rPr>
        <w:t xml:space="preserve">with respect to any claim for which such </w:t>
      </w:r>
      <w:r w:rsidR="00BF30B5">
        <w:rPr>
          <w:snapToGrid w:val="0"/>
        </w:rPr>
        <w:t xml:space="preserve">Preferred Director </w:t>
      </w:r>
      <w:r>
        <w:rPr>
          <w:snapToGrid w:val="0"/>
        </w:rPr>
        <w:t xml:space="preserve">has sought indemnification from the Company shall affect the foregoing and the </w:t>
      </w:r>
      <w:r w:rsidR="002679A0">
        <w:rPr>
          <w:snapToGrid w:val="0"/>
        </w:rPr>
        <w:t xml:space="preserve">Investor </w:t>
      </w:r>
      <w:r>
        <w:rPr>
          <w:snapToGrid w:val="0"/>
        </w:rPr>
        <w:t xml:space="preserve">Indemnitors shall have a right of contribution and/or be subrogated to the extent of such advancement or payment to all of the rights of recovery of such </w:t>
      </w:r>
      <w:bookmarkStart w:id="411" w:name="_Ref448380728"/>
      <w:r w:rsidR="00BF30B5">
        <w:rPr>
          <w:snapToGrid w:val="0"/>
        </w:rPr>
        <w:t xml:space="preserve">Preferred Director </w:t>
      </w:r>
      <w:r w:rsidR="004402CA">
        <w:rPr>
          <w:snapToGrid w:val="0"/>
        </w:rPr>
        <w:t xml:space="preserve">against the Company. </w:t>
      </w:r>
      <w:r w:rsidRPr="004402CA" w:rsidR="004402CA">
        <w:rPr>
          <w:snapToGrid w:val="0"/>
        </w:rPr>
        <w:t xml:space="preserve">The </w:t>
      </w:r>
      <w:r w:rsidR="00BF30B5">
        <w:rPr>
          <w:snapToGrid w:val="0"/>
        </w:rPr>
        <w:t>Preferred Director</w:t>
      </w:r>
      <w:r w:rsidRPr="004402CA" w:rsidR="004402CA">
        <w:rPr>
          <w:snapToGrid w:val="0"/>
        </w:rPr>
        <w:t>s</w:t>
      </w:r>
      <w:r w:rsidR="004402CA">
        <w:rPr>
          <w:snapToGrid w:val="0"/>
        </w:rPr>
        <w:t xml:space="preserve"> </w:t>
      </w:r>
      <w:r w:rsidRPr="004402CA" w:rsidR="004402CA">
        <w:rPr>
          <w:snapToGrid w:val="0"/>
        </w:rPr>
        <w:t xml:space="preserve">and the Investor Indemnitors are intended third-party beneficiaries of this </w:t>
      </w:r>
      <w:r w:rsidR="00BF30B5">
        <w:rPr>
          <w:snapToGrid w:val="0"/>
          <w:u w:val="single"/>
        </w:rPr>
        <w:t>S</w:t>
      </w:r>
      <w:r w:rsidRPr="00F251F0" w:rsidR="004402CA">
        <w:rPr>
          <w:snapToGrid w:val="0"/>
          <w:u w:val="single"/>
        </w:rPr>
        <w:t xml:space="preserve">ection </w:t>
      </w:r>
      <w:r w:rsidRPr="00F251F0" w:rsidR="009F1BC7">
        <w:rPr>
          <w:snapToGrid w:val="0"/>
          <w:u w:val="single"/>
        </w:rPr>
        <w:fldChar w:fldCharType="begin"/>
      </w:r>
      <w:r w:rsidRPr="00F251F0" w:rsidR="009F1BC7">
        <w:rPr>
          <w:snapToGrid w:val="0"/>
          <w:u w:val="single"/>
        </w:rPr>
        <w:instrText xml:space="preserve"> REF _Ref448380654 \r \h </w:instrText>
      </w:r>
      <w:r w:rsidR="00F251F0">
        <w:rPr>
          <w:snapToGrid w:val="0"/>
          <w:u w:val="single"/>
        </w:rPr>
        <w:instrText xml:space="preserve"> \* MERGEFORMAT </w:instrText>
      </w:r>
      <w:r w:rsidRPr="00F251F0" w:rsidR="009F1BC7">
        <w:rPr>
          <w:snapToGrid w:val="0"/>
          <w:u w:val="single"/>
        </w:rPr>
        <w:fldChar w:fldCharType="separate"/>
      </w:r>
      <w:r w:rsidR="00BC1FC7">
        <w:rPr>
          <w:snapToGrid w:val="0"/>
          <w:u w:val="single"/>
        </w:rPr>
        <w:t>5.8</w:t>
      </w:r>
      <w:r w:rsidRPr="00F251F0" w:rsidR="009F1BC7">
        <w:rPr>
          <w:snapToGrid w:val="0"/>
          <w:u w:val="single"/>
        </w:rPr>
        <w:fldChar w:fldCharType="end"/>
      </w:r>
      <w:r w:rsidR="009F1BC7">
        <w:rPr>
          <w:snapToGrid w:val="0"/>
        </w:rPr>
        <w:t xml:space="preserve"> </w:t>
      </w:r>
      <w:r w:rsidRPr="004402CA" w:rsidR="004402CA">
        <w:rPr>
          <w:snapToGrid w:val="0"/>
        </w:rPr>
        <w:t>and</w:t>
      </w:r>
      <w:r w:rsidR="004402CA">
        <w:rPr>
          <w:snapToGrid w:val="0"/>
        </w:rPr>
        <w:t xml:space="preserve"> </w:t>
      </w:r>
      <w:r w:rsidRPr="004402CA" w:rsidR="004402CA">
        <w:rPr>
          <w:snapToGrid w:val="0"/>
        </w:rPr>
        <w:t xml:space="preserve">shall have the right, power and authority to enforce the provisions of this </w:t>
      </w:r>
      <w:r w:rsidR="00BF30B5">
        <w:rPr>
          <w:snapToGrid w:val="0"/>
          <w:u w:val="single"/>
        </w:rPr>
        <w:t>S</w:t>
      </w:r>
      <w:r w:rsidRPr="00F251F0" w:rsidR="004402CA">
        <w:rPr>
          <w:snapToGrid w:val="0"/>
          <w:u w:val="single"/>
        </w:rPr>
        <w:t xml:space="preserve">ection </w:t>
      </w:r>
      <w:r w:rsidRPr="00F251F0" w:rsidR="009F1BC7">
        <w:rPr>
          <w:snapToGrid w:val="0"/>
          <w:u w:val="single"/>
        </w:rPr>
        <w:fldChar w:fldCharType="begin"/>
      </w:r>
      <w:r w:rsidRPr="00F251F0" w:rsidR="009F1BC7">
        <w:rPr>
          <w:snapToGrid w:val="0"/>
          <w:u w:val="single"/>
        </w:rPr>
        <w:instrText xml:space="preserve"> REF _Ref448380654 \r \h </w:instrText>
      </w:r>
      <w:r w:rsidR="00F251F0">
        <w:rPr>
          <w:snapToGrid w:val="0"/>
          <w:u w:val="single"/>
        </w:rPr>
        <w:instrText xml:space="preserve"> \* MERGEFORMAT </w:instrText>
      </w:r>
      <w:r w:rsidRPr="00F251F0" w:rsidR="009F1BC7">
        <w:rPr>
          <w:snapToGrid w:val="0"/>
          <w:u w:val="single"/>
        </w:rPr>
        <w:fldChar w:fldCharType="separate"/>
      </w:r>
      <w:r w:rsidR="00BC1FC7">
        <w:rPr>
          <w:snapToGrid w:val="0"/>
          <w:u w:val="single"/>
        </w:rPr>
        <w:t>5.8</w:t>
      </w:r>
      <w:r w:rsidRPr="00F251F0" w:rsidR="009F1BC7">
        <w:rPr>
          <w:snapToGrid w:val="0"/>
          <w:u w:val="single"/>
        </w:rPr>
        <w:fldChar w:fldCharType="end"/>
      </w:r>
      <w:r w:rsidR="009F1BC7">
        <w:rPr>
          <w:snapToGrid w:val="0"/>
        </w:rPr>
        <w:t xml:space="preserve"> </w:t>
      </w:r>
      <w:r w:rsidRPr="004402CA" w:rsidR="004402CA">
        <w:rPr>
          <w:snapToGrid w:val="0"/>
        </w:rPr>
        <w:t>as</w:t>
      </w:r>
      <w:r w:rsidR="004402CA">
        <w:rPr>
          <w:snapToGrid w:val="0"/>
        </w:rPr>
        <w:t xml:space="preserve"> </w:t>
      </w:r>
      <w:r w:rsidRPr="004402CA" w:rsidR="004402CA">
        <w:rPr>
          <w:snapToGrid w:val="0"/>
        </w:rPr>
        <w:t>though they were a party to this Agreement.]</w:t>
      </w:r>
      <w:r w:rsidR="004402CA">
        <w:rPr>
          <w:snapToGrid w:val="0"/>
        </w:rPr>
        <w:t xml:space="preserve"> </w:t>
      </w:r>
      <w:r>
        <w:rPr>
          <w:rStyle w:val="FootnoteReference"/>
          <w:snapToGrid w:val="0"/>
        </w:rPr>
        <w:footnoteReference w:id="62"/>
      </w:r>
      <w:bookmarkEnd w:id="411"/>
    </w:p>
    <w:p w:rsidR="00037C7E">
      <w:pPr>
        <w:pStyle w:val="StandardL2"/>
      </w:pPr>
      <w:bookmarkStart w:id="412" w:name="_Ref448380655"/>
      <w:bookmarkStart w:id="413" w:name="_Toc56499798"/>
      <w:r>
        <w:t>[Right to Conduct Activities.</w:t>
      </w:r>
      <w:bookmarkEnd w:id="412"/>
      <w:bookmarkEnd w:id="413"/>
    </w:p>
    <w:p w:rsidR="00037C7E">
      <w:pPr>
        <w:pStyle w:val="StandardCont2"/>
      </w:pPr>
      <w:r>
        <w:t>The Company hereby agrees and acknowledges that</w:t>
      </w:r>
      <w:r>
        <w:rPr>
          <w:b/>
          <w:bCs/>
        </w:rPr>
        <w:t xml:space="preserve"> </w:t>
      </w:r>
      <w:r>
        <w:t xml:space="preserve">[insert VC </w:t>
      </w:r>
      <w:r w:rsidR="001C48D8">
        <w:t>organization</w:t>
      </w:r>
      <w:r>
        <w:t xml:space="preserve"> entity name]</w:t>
      </w:r>
      <w:r>
        <w:rPr>
          <w:rStyle w:val="FootnoteReference"/>
        </w:rPr>
        <w:footnoteReference w:id="63"/>
      </w:r>
      <w:r>
        <w:t xml:space="preserve"> (together with its </w:t>
      </w:r>
      <w:r w:rsidR="001C48D8">
        <w:t>A</w:t>
      </w:r>
      <w:r>
        <w:t xml:space="preserve">ffiliates) is a professional investment </w:t>
      </w:r>
      <w:r w:rsidR="001C48D8">
        <w:t>organization</w:t>
      </w:r>
      <w:r>
        <w:t>, and as such</w:t>
      </w:r>
      <w:r w:rsidR="004402CA">
        <w:t xml:space="preserve"> </w:t>
      </w:r>
      <w:r w:rsidRPr="004402CA" w:rsidR="004402CA">
        <w:t>reviews the business plans and related proprietary information of many enterprises</w:t>
      </w:r>
      <w:r w:rsidR="004402CA">
        <w:t xml:space="preserve"> and</w:t>
      </w:r>
      <w:r>
        <w:t xml:space="preserve"> invests in numerous portfolio companies, some of which may </w:t>
      </w:r>
      <w:r w:rsidR="001C48D8">
        <w:t>compete directly or indirectly</w:t>
      </w:r>
      <w:r>
        <w:t xml:space="preserve"> with the Company's business (as currently conducted or as currently propose to be conducted). </w:t>
      </w:r>
      <w:r w:rsidRPr="00CF55D2" w:rsidR="00B62E5B">
        <w:rPr>
          <w:szCs w:val="24"/>
          <w:lang w:eastAsia="ko-KR"/>
        </w:rPr>
        <w:t>[Nothing in this Agreement shall preclude or in any way restrict the Investors from evaluating or purchasing securities, including publicly traded securities, of a particular enterprise, or investing or participating in any particular enterprise whether or not such enterprise has products or services which compete with those of the Company; and] the</w:t>
      </w:r>
      <w:r>
        <w:t xml:space="preserve"> Company hereby agrees that, to the extent permitted under applicable law, [VC </w:t>
      </w:r>
      <w:r w:rsidR="001C48D8">
        <w:t>organization entity name</w:t>
      </w:r>
      <w:r>
        <w:t>]</w:t>
      </w:r>
      <w:r w:rsidR="00B62E5B">
        <w:t xml:space="preserve"> (and its Affilia</w:t>
      </w:r>
      <w:r w:rsidR="001C48D8">
        <w:t>tes)</w:t>
      </w:r>
      <w:r>
        <w:t xml:space="preserve"> shall not be liable to the Company for any claim arising out of, or based upon, </w:t>
      </w:r>
      <w:bookmarkStart w:id="414" w:name="DocXTextRef291"/>
      <w:r>
        <w:t>(i)</w:t>
      </w:r>
      <w:bookmarkEnd w:id="414"/>
      <w:r>
        <w:t xml:space="preserve"> the investment by [VC </w:t>
      </w:r>
      <w:r w:rsidR="001C48D8">
        <w:t>organization entity name</w:t>
      </w:r>
      <w:r>
        <w:t>]</w:t>
      </w:r>
      <w:r w:rsidR="001C48D8">
        <w:t xml:space="preserve"> (or its Affiliates) </w:t>
      </w:r>
      <w:r>
        <w:t xml:space="preserve">in any entity competitive with the Company, or </w:t>
      </w:r>
      <w:bookmarkStart w:id="415" w:name="DocXTextRef292"/>
      <w:r>
        <w:t>(ii)</w:t>
      </w:r>
      <w:bookmarkEnd w:id="415"/>
      <w:r>
        <w:t xml:space="preserve"> actions taken by any partner, officer</w:t>
      </w:r>
      <w:r w:rsidR="001C48D8">
        <w:t>, employee</w:t>
      </w:r>
      <w:r>
        <w:t xml:space="preserve"> or other representative of [VC </w:t>
      </w:r>
      <w:r w:rsidR="001C48D8">
        <w:t>organization entity name</w:t>
      </w:r>
      <w:r>
        <w:t xml:space="preserve">] </w:t>
      </w:r>
      <w:r w:rsidR="001C48D8">
        <w:t xml:space="preserve">(or its Affiliates) </w:t>
      </w:r>
      <w:r>
        <w:t xml:space="preserve">to assist any such competitive company, whether or not such action was taken as a member of the board of directors of such competitive company or otherwise, and whether or not such action has a detrimental effect on the Company; provided, however, that the foregoing shall not relieve </w:t>
      </w:r>
      <w:bookmarkStart w:id="416" w:name="DocXTextRef293"/>
      <w:r>
        <w:t>(x)</w:t>
      </w:r>
      <w:bookmarkEnd w:id="416"/>
      <w:r>
        <w:t xml:space="preserve"> any of the Investors from liability associated with the unauthorized disclosure of the Company's confidential information obtained pursuant to this Agreement, or </w:t>
      </w:r>
      <w:bookmarkStart w:id="417" w:name="DocXTextRef294"/>
      <w:r>
        <w:t>(y)</w:t>
      </w:r>
      <w:bookmarkEnd w:id="417"/>
      <w:r>
        <w:t xml:space="preserve"> any director or officer of the Company from any liability associated with his or her fiduciary duties to the Company.]</w:t>
      </w:r>
    </w:p>
    <w:p w:rsidR="00037C7E">
      <w:pPr>
        <w:pStyle w:val="StandardL2"/>
      </w:pPr>
      <w:bookmarkStart w:id="418" w:name="_Ref448380656"/>
      <w:bookmarkStart w:id="419" w:name="_Toc56499799"/>
      <w:r>
        <w:t>[</w:t>
      </w:r>
      <w:r w:rsidR="00B62E5B">
        <w:t>Anti-</w:t>
      </w:r>
      <w:r w:rsidR="009B551D">
        <w:t>Harassment Policy</w:t>
      </w:r>
      <w:r>
        <w:t>.</w:t>
      </w:r>
      <w:bookmarkEnd w:id="418"/>
      <w:bookmarkEnd w:id="419"/>
      <w:r w:rsidR="009B551D">
        <w:t xml:space="preserve"> </w:t>
      </w:r>
    </w:p>
    <w:p w:rsidR="009B551D" w:rsidP="009B551D">
      <w:pPr>
        <w:pStyle w:val="StandardCont2"/>
      </w:pPr>
      <w:r>
        <w:t>The Company shall, within sixty (60) days following the Closing (as defined in the Purchase Agreement), adopt and thereafter maintain in effect (i) a Code of Conduct governing appropriate workplace behavior and (ii) an Anti-Harassment and Discrimination Policy prohibiting discrimination and harassment at the Company. Such policy shall be reviewed and approved by the Board of Directors.]</w:t>
      </w:r>
    </w:p>
    <w:p w:rsidR="00B62E5B" w:rsidRPr="00AB4798" w:rsidP="00B62E5B">
      <w:pPr>
        <w:pStyle w:val="StandardL2"/>
      </w:pPr>
      <w:bookmarkStart w:id="420" w:name="_Toc56499800"/>
      <w:r w:rsidRPr="00AB4798">
        <w:t>[</w:t>
      </w:r>
      <w:r w:rsidR="007D192F">
        <w:t>Foreign Corrupt Practices</w:t>
      </w:r>
      <w:r w:rsidRPr="00AB4798">
        <w:t>.</w:t>
      </w:r>
      <w:bookmarkEnd w:id="420"/>
      <w:r w:rsidRPr="00AB4798">
        <w:t xml:space="preserve"> </w:t>
      </w:r>
    </w:p>
    <w:p w:rsidR="00B62E5B" w:rsidRPr="00B62E5B" w:rsidP="00B62E5B">
      <w:pPr>
        <w:pStyle w:val="StandardCont2"/>
      </w:pPr>
      <w:bookmarkStart w:id="421" w:name="_Ref42252562"/>
      <w:r w:rsidRPr="00AB4798">
        <w:t xml:space="preserve">The Company covenants that it shall not (and shall not permit any of its subsidiaries or Affiliates or any of its or their respective directors, officers, managers, employees, independent contractors, </w:t>
      </w:r>
      <w:r w:rsidRPr="00CD2F72">
        <w:t xml:space="preserve">representatives or agents to) promise, authorize or make any payment to, or otherwise contribute any item of value to, directly or indirectly, to any third party, including any </w:t>
      </w:r>
      <w:bookmarkStart w:id="422" w:name="_9kR3WTr2664CMdQxeE9Nlpnonr"/>
      <w:r w:rsidRPr="00CD2F72">
        <w:t>Non-U.S. Official</w:t>
      </w:r>
      <w:bookmarkEnd w:id="422"/>
      <w:r w:rsidRPr="00CD2F72">
        <w:t xml:space="preserve"> (as such term is defined in the U.S. Foreign Corrupt Practices Act of 1977, as amended (the </w:t>
      </w:r>
      <w:r w:rsidRPr="00CD2F72" w:rsidR="00EA471D">
        <w:rPr>
          <w:snapToGrid w:val="0"/>
        </w:rPr>
        <w:t>"</w:t>
      </w:r>
      <w:r w:rsidRPr="00CD2F72">
        <w:rPr>
          <w:b/>
        </w:rPr>
        <w:t>FCPA</w:t>
      </w:r>
      <w:r w:rsidRPr="00CD2F72" w:rsidR="00EA471D">
        <w:rPr>
          <w:snapToGrid w:val="0"/>
        </w:rPr>
        <w:t>"</w:t>
      </w:r>
      <w:r w:rsidRPr="00CD2F72">
        <w:t>)), in each case, in violation of the</w:t>
      </w:r>
      <w:r w:rsidRPr="00CD2F72" w:rsidR="005F39FD">
        <w:t xml:space="preserve"> </w:t>
      </w:r>
      <w:r w:rsidRPr="00CD2F72" w:rsidR="005F39FD">
        <w:rPr>
          <w:bCs/>
          <w:i/>
          <w:iCs/>
        </w:rPr>
        <w:t xml:space="preserve">Corruption of Foreign Public Officials Act </w:t>
      </w:r>
      <w:r w:rsidRPr="00CD2F72" w:rsidR="005F39FD">
        <w:rPr>
          <w:bCs/>
          <w:iCs/>
        </w:rPr>
        <w:t>(Canada)</w:t>
      </w:r>
      <w:r w:rsidRPr="00CD2F72" w:rsidR="005F39FD">
        <w:rPr>
          <w:bCs/>
        </w:rPr>
        <w:t>, as amended (the "</w:t>
      </w:r>
      <w:r w:rsidRPr="00CD2F72" w:rsidR="005F39FD">
        <w:rPr>
          <w:b/>
          <w:bCs/>
        </w:rPr>
        <w:t>CFPO</w:t>
      </w:r>
      <w:r w:rsidRPr="00CD2F72" w:rsidR="005F39FD">
        <w:rPr>
          <w:bCs/>
        </w:rPr>
        <w:t>"), the</w:t>
      </w:r>
      <w:r w:rsidRPr="00CD2F72">
        <w:t xml:space="preserve"> FCPA, the U.K. Bribery Act, or any other applicable anti-bribery or anti-corruption law. </w:t>
      </w:r>
      <w:r w:rsidR="00C364FE">
        <w:t>[</w:t>
      </w:r>
      <w:r w:rsidRPr="00CD2F72">
        <w:t>The Company further covenants that it shall (and shall cause each of its subsidiaries and Affiliates to) cease all of its or their respective activities, as well as remediate any actions taken by the Company, its subsidiaries or Affiliates, or any of their respective directors, officers, managers, employees, independent contractors, representatives or agents in violation of the</w:t>
      </w:r>
      <w:r w:rsidRPr="00CD2F72" w:rsidR="005F39FD">
        <w:t xml:space="preserve"> CFPO, the</w:t>
      </w:r>
      <w:r w:rsidRPr="00CD2F72">
        <w:t xml:space="preserve"> FCPA, the U.K. Bribery Act, or any other applicable anti-bribery or anti-corruption law. The Company further covenants that it shall (and shall cause each of its subsidiaries and Affiliates to) maintain systems of internal controls (including, but not limited to, accounting systems, purchasing systems and billing systems) to ensure compliance with </w:t>
      </w:r>
      <w:r w:rsidRPr="00CD2F72" w:rsidR="005F39FD">
        <w:t xml:space="preserve">the CFPO, the FCPA, </w:t>
      </w:r>
      <w:r w:rsidRPr="00CD2F72">
        <w:t>the U.K. Bribery Act, or any other applicable anti-bribery or anti-corruption law.</w:t>
      </w:r>
      <w:r w:rsidR="00C364FE">
        <w:t>]</w:t>
      </w:r>
      <w:r w:rsidRPr="00CD2F72">
        <w:t xml:space="preserve"> Upon request, the Company agrees to provide responsive information and/or certifications concerning its compliance with applicable anti-corruption laws. The Company shall promptly notify each Investor if the Company becomes aware of any </w:t>
      </w:r>
      <w:bookmarkStart w:id="423" w:name="_9kR3WTr1AB4DELGoq3sgrsuAYC295B"/>
      <w:r w:rsidR="00C364FE">
        <w:t>[</w:t>
      </w:r>
      <w:r w:rsidRPr="00CD2F72">
        <w:t>Enforcement Action</w:t>
      </w:r>
      <w:bookmarkEnd w:id="423"/>
      <w:r w:rsidRPr="00CD2F72">
        <w:t xml:space="preserve"> (as defined in the Purchase Agreement)</w:t>
      </w:r>
      <w:r w:rsidR="00C364FE">
        <w:t>]</w:t>
      </w:r>
      <w:r w:rsidRPr="00CD2F72">
        <w:t xml:space="preserve">. The Company shall, and shall cause any direct or indirect subsidiary or entity controlled by it, whether now in existence or formed in the future, to comply with the </w:t>
      </w:r>
      <w:r w:rsidR="003116F3">
        <w:t xml:space="preserve">[FCPA and </w:t>
      </w:r>
      <w:r w:rsidRPr="00CD2F72" w:rsidR="005F39FD">
        <w:t>CFPO</w:t>
      </w:r>
      <w:r w:rsidR="003116F3">
        <w:t>]</w:t>
      </w:r>
      <w:r w:rsidRPr="00CD2F72">
        <w:t xml:space="preserve">. The Company shall use its </w:t>
      </w:r>
      <w:r w:rsidR="00C364FE">
        <w:t>[</w:t>
      </w:r>
      <w:r w:rsidRPr="00CD2F72">
        <w:t>best efforts</w:t>
      </w:r>
      <w:r w:rsidR="00C364FE">
        <w:t>]</w:t>
      </w:r>
      <w:r w:rsidRPr="00CD2F72">
        <w:t xml:space="preserve"> to cause any direct or indirect subsidiary, whether now in existence or formed in the future, to comply in all material respects with all applicable laws.]</w:t>
      </w:r>
      <w:bookmarkStart w:id="424" w:name="_Ref42252650"/>
      <w:r>
        <w:rPr>
          <w:vertAlign w:val="superscript"/>
        </w:rPr>
        <w:footnoteReference w:id="64"/>
      </w:r>
      <w:bookmarkEnd w:id="421"/>
      <w:bookmarkEnd w:id="424"/>
    </w:p>
    <w:p w:rsidR="00B62E5B" w:rsidRPr="00EA471D" w:rsidP="00B62E5B">
      <w:pPr>
        <w:pStyle w:val="StandardL2"/>
      </w:pPr>
      <w:bookmarkStart w:id="425" w:name="_Toc56499801"/>
      <w:bookmarkStart w:id="426" w:name="_Ref42252563"/>
      <w:r w:rsidRPr="00EA471D">
        <w:t>Cybersecurity.</w:t>
      </w:r>
      <w:bookmarkEnd w:id="425"/>
      <w:r w:rsidRPr="00EA471D">
        <w:t xml:space="preserve"> </w:t>
      </w:r>
    </w:p>
    <w:p w:rsidR="00B62E5B" w:rsidRPr="00080016" w:rsidP="00B62E5B">
      <w:pPr>
        <w:pStyle w:val="StandardCont2"/>
      </w:pPr>
      <w:r w:rsidRPr="00EA471D">
        <w:t xml:space="preserve">The Company shall, within one hundred eighty (180) days following the </w:t>
      </w:r>
      <w:bookmarkStart w:id="427" w:name="_9kMHG5YVt3BC6EKQEx50wv"/>
      <w:bookmarkStart w:id="428" w:name="_9kMHG5YVt3CD6ELREx50wv"/>
      <w:r w:rsidRPr="00EA471D">
        <w:t>Closing</w:t>
      </w:r>
      <w:bookmarkEnd w:id="427"/>
      <w:bookmarkEnd w:id="428"/>
      <w:r w:rsidRPr="00EA471D">
        <w:t xml:space="preserve"> [(as defined in the Purchase Agreement)], use commercially reasonable efforts to (a) identify and restrict access (including through physical and/or technical controls) to the Company’s confidential business information and trade secrets and any information about identified or identifiable natural </w:t>
      </w:r>
      <w:bookmarkStart w:id="429" w:name="_9kMON5YVt46679FeKt862"/>
      <w:bookmarkStart w:id="430" w:name="_9kMON5YVt4667AEcKt862"/>
      <w:r w:rsidRPr="00EA471D">
        <w:t>persons</w:t>
      </w:r>
      <w:bookmarkEnd w:id="429"/>
      <w:bookmarkEnd w:id="430"/>
      <w:r w:rsidRPr="00EA471D">
        <w:t xml:space="preserve"> maintained by or on behalf of the Company (collectively, </w:t>
      </w:r>
      <w:r w:rsidRPr="00EA471D" w:rsidR="00EA471D">
        <w:rPr>
          <w:snapToGrid w:val="0"/>
        </w:rPr>
        <w:t>"</w:t>
      </w:r>
      <w:r w:rsidRPr="00EA471D">
        <w:rPr>
          <w:b/>
        </w:rPr>
        <w:t>Protected Data</w:t>
      </w:r>
      <w:r w:rsidRPr="00EA471D" w:rsidR="00EA471D">
        <w:rPr>
          <w:snapToGrid w:val="0"/>
        </w:rPr>
        <w:t>"</w:t>
      </w:r>
      <w:r w:rsidRPr="00EA471D">
        <w:t>) to those individuals who have a need to access it and (b) implement reasonable physical, technical and administrative safeguards[(</w:t>
      </w:r>
      <w:r w:rsidRPr="00EA471D" w:rsidR="00EA471D">
        <w:rPr>
          <w:snapToGrid w:val="0"/>
        </w:rPr>
        <w:t>"</w:t>
      </w:r>
      <w:r w:rsidRPr="00EA471D">
        <w:rPr>
          <w:b/>
        </w:rPr>
        <w:t>Cybersecurity Solutions</w:t>
      </w:r>
      <w:r w:rsidRPr="00EA471D" w:rsidR="00EA471D">
        <w:rPr>
          <w:snapToGrid w:val="0"/>
        </w:rPr>
        <w:t>"</w:t>
      </w:r>
      <w:r w:rsidRPr="00EA471D">
        <w:t>)] designed to protect the confidentiality, integrity and availability of its technology and systems (including servers, laptops, desktops, cloud, containers, virtual environments and data centers) and all Protected Data. [The Company shall use commercially reasonable efforts to ensure that the Cybersecurity Solutions (x) are up-to-date and include industry-standard protections (</w:t>
      </w:r>
      <w:r w:rsidRPr="00EA471D">
        <w:rPr>
          <w:i/>
        </w:rPr>
        <w:t>e.g.</w:t>
      </w:r>
      <w:r w:rsidRPr="00EA471D">
        <w:t>, antivirus, endpoint detection and response and threat hunting), (y) to the extent determined necessary by the Company or the Board of Directors, are backed by a breach prevention warranty from the vendor certifying the effectiveness of such solutions, and (z) require the vendors to notify the Company of any security incidents posing a risk to the Company’s information (regardless of whether information was actually compromised).]</w:t>
      </w:r>
      <w:bookmarkStart w:id="431" w:name="_Ref42252652"/>
      <w:r>
        <w:rPr>
          <w:vertAlign w:val="superscript"/>
        </w:rPr>
        <w:footnoteReference w:id="65"/>
      </w:r>
      <w:bookmarkEnd w:id="431"/>
      <w:r w:rsidRPr="00EA471D">
        <w:t xml:space="preserve"> The Company shall evaluate on a periodic basis at least annually whether such safeguards should be updated to maintain a level of security appropriate to the risk posed to Company systems and Protected Data. The Company shall educate its employees about the proper use and storage of Protected Data, including periodic training as determined reasonably necessary by the Company or the Board of </w:t>
      </w:r>
      <w:r w:rsidRPr="00080016">
        <w:t>Directors.</w:t>
      </w:r>
      <w:bookmarkEnd w:id="426"/>
    </w:p>
    <w:p w:rsidR="00B62E5B" w:rsidRPr="00080016" w:rsidP="00B62E5B">
      <w:pPr>
        <w:pStyle w:val="StandardL2"/>
      </w:pPr>
      <w:bookmarkStart w:id="432" w:name="_Toc56499802"/>
      <w:r w:rsidRPr="00080016">
        <w:t>[Real Property Holding Corporation.</w:t>
      </w:r>
      <w:bookmarkEnd w:id="432"/>
      <w:r w:rsidRPr="00080016">
        <w:t xml:space="preserve"> </w:t>
      </w:r>
    </w:p>
    <w:p w:rsidR="00B62E5B" w:rsidRPr="00B62E5B" w:rsidP="00B62E5B">
      <w:pPr>
        <w:pStyle w:val="StandardCont2"/>
      </w:pPr>
      <w:r w:rsidRPr="00080016">
        <w:t>Promptly following (and in any event within ten (10) days after receipt of) written request by an Investor, the Company shall provide such Investor with a written statement informing such Investor whether such Investor’s interest in the Company constitutes a United States real property interest. The Company’s determination shall comply with the requirements of Treasury Regulation Section 1.897-2(h)(1) or any successor regulation, and the Company shall provide timely notice to the Internal Revenue Service, in accordance with and to the extent required by Treasury Regulation Section 1.897-2(h)(2) or any successor regulation, that such statement has been made. The Company’s obligation to furnish such written statement shall continue notwithstanding the fact that a class of the Company’</w:t>
      </w:r>
      <w:r w:rsidRPr="00080016" w:rsidR="00080016">
        <w:t>s shares</w:t>
      </w:r>
      <w:r w:rsidRPr="00080016">
        <w:t xml:space="preserve"> may be regularly traded on an established securities market or the fact that there is no [</w:t>
      </w:r>
      <w:bookmarkStart w:id="433" w:name="_9kMH4L6ZWu5997BGgOuznyV"/>
      <w:bookmarkStart w:id="434" w:name="_9kMH4L6ZWu5997CLkOuznyV"/>
      <w:r w:rsidRPr="00080016" w:rsidR="00E03641">
        <w:t>Class</w:t>
      </w:r>
      <w:r w:rsidRPr="00080016">
        <w:t xml:space="preserve"> A</w:t>
      </w:r>
      <w:bookmarkEnd w:id="433"/>
      <w:bookmarkEnd w:id="434"/>
      <w:r w:rsidRPr="00080016">
        <w:t>] Preferred S</w:t>
      </w:r>
      <w:r w:rsidRPr="00080016" w:rsidR="00E03641">
        <w:t>hares</w:t>
      </w:r>
      <w:r w:rsidRPr="00080016">
        <w:t xml:space="preserve"> then outstanding.]</w:t>
      </w:r>
      <w:r>
        <w:rPr>
          <w:vertAlign w:val="superscript"/>
        </w:rPr>
        <w:footnoteReference w:id="66"/>
      </w:r>
    </w:p>
    <w:p w:rsidR="00B62E5B" w:rsidP="009B551D">
      <w:pPr>
        <w:pStyle w:val="StandardCont2"/>
      </w:pPr>
    </w:p>
    <w:p w:rsidR="00037C7E">
      <w:pPr>
        <w:pStyle w:val="StandardL2"/>
      </w:pPr>
      <w:bookmarkStart w:id="435" w:name="_Ref448380657"/>
      <w:bookmarkStart w:id="436" w:name="_Toc56499803"/>
      <w:r>
        <w:t>Termination of Covenants</w:t>
      </w:r>
      <w:r>
        <w:rPr>
          <w:snapToGrid w:val="0"/>
        </w:rPr>
        <w:t>.</w:t>
      </w:r>
      <w:bookmarkEnd w:id="435"/>
      <w:bookmarkEnd w:id="436"/>
    </w:p>
    <w:p w:rsidR="00037C7E">
      <w:pPr>
        <w:pStyle w:val="StandardCont2"/>
      </w:pPr>
      <w:r>
        <w:rPr>
          <w:snapToGrid w:val="0"/>
        </w:rPr>
        <w:t xml:space="preserve">The covenants set forth in this </w:t>
      </w:r>
      <w:r w:rsidRPr="00F251F0">
        <w:rPr>
          <w:snapToGrid w:val="0"/>
          <w:u w:val="single"/>
        </w:rPr>
        <w:t xml:space="preserve">Section </w:t>
      </w:r>
      <w:bookmarkStart w:id="437" w:name="DocXTextRef295"/>
      <w:r w:rsidRPr="00F251F0">
        <w:rPr>
          <w:snapToGrid w:val="0"/>
          <w:u w:val="single"/>
        </w:rPr>
        <w:fldChar w:fldCharType="begin"/>
      </w:r>
      <w:r w:rsidRPr="00F251F0">
        <w:rPr>
          <w:snapToGrid w:val="0"/>
          <w:u w:val="single"/>
        </w:rPr>
        <w:instrText xml:space="preserve"> REF _Ref448380636 \w \h </w:instrText>
      </w:r>
      <w:r w:rsidR="00F251F0">
        <w:rPr>
          <w:snapToGrid w:val="0"/>
          <w:u w:val="single"/>
        </w:rPr>
        <w:instrText xml:space="preserve"> \* MERGEFORMAT </w:instrText>
      </w:r>
      <w:r w:rsidRPr="00F251F0">
        <w:rPr>
          <w:snapToGrid w:val="0"/>
          <w:u w:val="single"/>
        </w:rPr>
        <w:fldChar w:fldCharType="separate"/>
      </w:r>
      <w:r w:rsidR="00BC1FC7">
        <w:rPr>
          <w:snapToGrid w:val="0"/>
          <w:u w:val="single"/>
        </w:rPr>
        <w:t>5</w:t>
      </w:r>
      <w:r w:rsidRPr="00F251F0">
        <w:rPr>
          <w:snapToGrid w:val="0"/>
          <w:u w:val="single"/>
        </w:rPr>
        <w:fldChar w:fldCharType="end"/>
      </w:r>
      <w:bookmarkEnd w:id="437"/>
      <w:r>
        <w:rPr>
          <w:snapToGrid w:val="0"/>
        </w:rPr>
        <w:t xml:space="preserve">, except for </w:t>
      </w:r>
      <w:r w:rsidR="005A7D45">
        <w:rPr>
          <w:snapToGrid w:val="0"/>
          <w:u w:val="single"/>
        </w:rPr>
        <w:t>S</w:t>
      </w:r>
      <w:r w:rsidRPr="00F251F0">
        <w:rPr>
          <w:snapToGrid w:val="0"/>
          <w:u w:val="single"/>
        </w:rPr>
        <w:t>ection</w:t>
      </w:r>
      <w:bookmarkStart w:id="438" w:name="DocXTextRef296"/>
      <w:r w:rsidRPr="00F251F0">
        <w:rPr>
          <w:snapToGrid w:val="0"/>
          <w:u w:val="single"/>
        </w:rPr>
        <w:t>[s]</w:t>
      </w:r>
      <w:bookmarkEnd w:id="438"/>
      <w:r w:rsidRPr="00F251F0">
        <w:rPr>
          <w:snapToGrid w:val="0"/>
          <w:u w:val="single"/>
        </w:rPr>
        <w:t xml:space="preserve"> </w:t>
      </w:r>
      <w:r w:rsidRPr="00F251F0">
        <w:rPr>
          <w:bCs/>
          <w:snapToGrid w:val="0"/>
          <w:u w:val="single"/>
        </w:rPr>
        <w:fldChar w:fldCharType="begin"/>
      </w:r>
      <w:r w:rsidRPr="00F251F0">
        <w:rPr>
          <w:bCs/>
          <w:snapToGrid w:val="0"/>
          <w:u w:val="single"/>
        </w:rPr>
        <w:instrText xml:space="preserve">  REF _Ref448380653 \w \h \* MERGEFORMAT </w:instrText>
      </w:r>
      <w:r w:rsidRPr="00F251F0">
        <w:rPr>
          <w:bCs/>
          <w:snapToGrid w:val="0"/>
          <w:u w:val="single"/>
        </w:rPr>
        <w:fldChar w:fldCharType="separate"/>
      </w:r>
      <w:r w:rsidRPr="00BC1FC7" w:rsidR="00BC1FC7">
        <w:rPr>
          <w:bCs/>
          <w:snapToGrid w:val="0"/>
          <w:color w:val="000000"/>
          <w:u w:val="single"/>
        </w:rPr>
        <w:t>5.7</w:t>
      </w:r>
      <w:r w:rsidRPr="00F251F0">
        <w:rPr>
          <w:bCs/>
          <w:snapToGrid w:val="0"/>
          <w:u w:val="single"/>
        </w:rPr>
        <w:fldChar w:fldCharType="end"/>
      </w:r>
      <w:r w:rsidR="00891728">
        <w:rPr>
          <w:bCs/>
          <w:snapToGrid w:val="0"/>
        </w:rPr>
        <w:t xml:space="preserve">, </w:t>
      </w:r>
      <w:r w:rsidRPr="00F251F0" w:rsidR="00891728">
        <w:rPr>
          <w:bCs/>
          <w:snapToGrid w:val="0"/>
          <w:u w:val="single"/>
        </w:rPr>
        <w:fldChar w:fldCharType="begin"/>
      </w:r>
      <w:r w:rsidRPr="00F251F0" w:rsidR="00891728">
        <w:rPr>
          <w:bCs/>
          <w:snapToGrid w:val="0"/>
          <w:u w:val="single"/>
        </w:rPr>
        <w:instrText xml:space="preserve"> REF _Ref448380654 \r \h </w:instrText>
      </w:r>
      <w:r w:rsidR="00F251F0">
        <w:rPr>
          <w:bCs/>
          <w:snapToGrid w:val="0"/>
          <w:u w:val="single"/>
        </w:rPr>
        <w:instrText xml:space="preserve"> \* MERGEFORMAT </w:instrText>
      </w:r>
      <w:r w:rsidRPr="00F251F0" w:rsidR="00891728">
        <w:rPr>
          <w:bCs/>
          <w:snapToGrid w:val="0"/>
          <w:u w:val="single"/>
        </w:rPr>
        <w:fldChar w:fldCharType="separate"/>
      </w:r>
      <w:r w:rsidR="00BC1FC7">
        <w:rPr>
          <w:bCs/>
          <w:snapToGrid w:val="0"/>
          <w:u w:val="single"/>
        </w:rPr>
        <w:t>5.8</w:t>
      </w:r>
      <w:r w:rsidRPr="00F251F0" w:rsidR="00891728">
        <w:rPr>
          <w:bCs/>
          <w:snapToGrid w:val="0"/>
          <w:u w:val="single"/>
        </w:rPr>
        <w:fldChar w:fldCharType="end"/>
      </w:r>
      <w:r>
        <w:rPr>
          <w:bCs/>
          <w:snapToGrid w:val="0"/>
        </w:rPr>
        <w:t xml:space="preserve"> [and </w:t>
      </w:r>
      <w:r w:rsidRPr="00F251F0" w:rsidR="00891728">
        <w:rPr>
          <w:bCs/>
          <w:snapToGrid w:val="0"/>
          <w:u w:val="single"/>
        </w:rPr>
        <w:fldChar w:fldCharType="begin"/>
      </w:r>
      <w:r w:rsidRPr="00F251F0" w:rsidR="00891728">
        <w:rPr>
          <w:bCs/>
          <w:snapToGrid w:val="0"/>
          <w:u w:val="single"/>
        </w:rPr>
        <w:instrText xml:space="preserve"> REF _Ref448380655 \r \h </w:instrText>
      </w:r>
      <w:r w:rsidR="00F251F0">
        <w:rPr>
          <w:bCs/>
          <w:snapToGrid w:val="0"/>
          <w:u w:val="single"/>
        </w:rPr>
        <w:instrText xml:space="preserve"> \* MERGEFORMAT </w:instrText>
      </w:r>
      <w:r w:rsidRPr="00F251F0" w:rsidR="00891728">
        <w:rPr>
          <w:bCs/>
          <w:snapToGrid w:val="0"/>
          <w:u w:val="single"/>
        </w:rPr>
        <w:fldChar w:fldCharType="separate"/>
      </w:r>
      <w:r w:rsidR="00BC1FC7">
        <w:rPr>
          <w:bCs/>
          <w:snapToGrid w:val="0"/>
          <w:u w:val="single"/>
        </w:rPr>
        <w:t>5.9</w:t>
      </w:r>
      <w:r w:rsidRPr="00F251F0" w:rsidR="00891728">
        <w:rPr>
          <w:bCs/>
          <w:snapToGrid w:val="0"/>
          <w:u w:val="single"/>
        </w:rPr>
        <w:fldChar w:fldCharType="end"/>
      </w:r>
      <w:r>
        <w:rPr>
          <w:bCs/>
          <w:snapToGrid w:val="0"/>
        </w:rPr>
        <w:t xml:space="preserve">], </w:t>
      </w:r>
      <w:r>
        <w:rPr>
          <w:snapToGrid w:val="0"/>
        </w:rPr>
        <w:t>shall terminate and be of no further force or effect [(i)] immediately bef</w:t>
      </w:r>
      <w:r w:rsidR="005A7D45">
        <w:rPr>
          <w:snapToGrid w:val="0"/>
        </w:rPr>
        <w:t>ore the consummation of the IPO</w:t>
      </w:r>
      <w:r>
        <w:rPr>
          <w:snapToGrid w:val="0"/>
        </w:rPr>
        <w:t>[</w:t>
      </w:r>
      <w:r w:rsidR="005A7D45">
        <w:rPr>
          <w:snapToGrid w:val="0"/>
        </w:rPr>
        <w:t xml:space="preserve">, or </w:t>
      </w:r>
      <w:r>
        <w:rPr>
          <w:snapToGrid w:val="0"/>
        </w:rPr>
        <w:t>(ii) upon a Deemed Liquidation Event</w:t>
      </w:r>
      <w:r w:rsidR="005A7D45">
        <w:rPr>
          <w:snapToGrid w:val="0"/>
        </w:rPr>
        <w:t>[</w:t>
      </w:r>
      <w:r>
        <w:rPr>
          <w:snapToGrid w:val="0"/>
        </w:rPr>
        <w:t>, as such term is defined in the Company's Articles</w:t>
      </w:r>
      <w:r w:rsidR="005A7D45">
        <w:rPr>
          <w:snapToGrid w:val="0"/>
        </w:rPr>
        <w:t>]</w:t>
      </w:r>
      <w:r>
        <w:rPr>
          <w:snapToGrid w:val="0"/>
        </w:rPr>
        <w:t>, whichever event occurs first].</w:t>
      </w:r>
      <w:bookmarkStart w:id="439" w:name="_Ref448380730"/>
      <w:r>
        <w:rPr>
          <w:rStyle w:val="FootnoteReference"/>
          <w:snapToGrid w:val="0"/>
        </w:rPr>
        <w:footnoteReference w:id="67"/>
      </w:r>
      <w:bookmarkEnd w:id="439"/>
    </w:p>
    <w:p w:rsidR="00037C7E" w:rsidP="00E052B8">
      <w:pPr>
        <w:pStyle w:val="StandardL1"/>
        <w:keepNext/>
      </w:pPr>
      <w:bookmarkStart w:id="440" w:name="_Ref448380658"/>
      <w:bookmarkStart w:id="441" w:name="_Toc56499804"/>
      <w:r>
        <w:t>Miscellaneous</w:t>
      </w:r>
      <w:r>
        <w:rPr>
          <w:snapToGrid w:val="0"/>
        </w:rPr>
        <w:t>.</w:t>
      </w:r>
      <w:bookmarkEnd w:id="440"/>
      <w:bookmarkEnd w:id="441"/>
    </w:p>
    <w:p w:rsidR="00037C7E">
      <w:pPr>
        <w:pStyle w:val="StandardL2"/>
      </w:pPr>
      <w:bookmarkStart w:id="442" w:name="_Ref448380659"/>
      <w:bookmarkStart w:id="443" w:name="_Toc56499805"/>
      <w:r>
        <w:t>Successors and Assigns</w:t>
      </w:r>
      <w:r>
        <w:rPr>
          <w:snapToGrid w:val="0"/>
        </w:rPr>
        <w:t>.</w:t>
      </w:r>
      <w:bookmarkEnd w:id="442"/>
      <w:bookmarkEnd w:id="443"/>
    </w:p>
    <w:p w:rsidR="00037C7E">
      <w:pPr>
        <w:pStyle w:val="StandardCont2"/>
      </w:pPr>
      <w:r>
        <w:rPr>
          <w:snapToGrid w:val="0"/>
        </w:rPr>
        <w:t>The rights under this Agreement may be</w:t>
      </w:r>
      <w:r>
        <w:rPr>
          <w:b/>
          <w:snapToGrid w:val="0"/>
        </w:rPr>
        <w:t xml:space="preserve"> </w:t>
      </w:r>
      <w:r>
        <w:rPr>
          <w:snapToGrid w:val="0"/>
        </w:rPr>
        <w:t xml:space="preserve">assigned (but only with all related obligations) by a Holder to a transferee of Registrable Securities that </w:t>
      </w:r>
      <w:bookmarkStart w:id="444" w:name="DocXTextRef304"/>
      <w:r>
        <w:rPr>
          <w:snapToGrid w:val="0"/>
        </w:rPr>
        <w:t>(i)</w:t>
      </w:r>
      <w:bookmarkEnd w:id="444"/>
      <w:r>
        <w:rPr>
          <w:snapToGrid w:val="0"/>
        </w:rPr>
        <w:t xml:space="preserve"> is an Affiliate of a Holder; </w:t>
      </w:r>
      <w:bookmarkStart w:id="445" w:name="DocXTextRef305"/>
      <w:r>
        <w:rPr>
          <w:snapToGrid w:val="0"/>
        </w:rPr>
        <w:t>(ii)</w:t>
      </w:r>
      <w:bookmarkEnd w:id="445"/>
      <w:r>
        <w:rPr>
          <w:snapToGrid w:val="0"/>
        </w:rPr>
        <w:t xml:space="preserve"> is a Holder's Immediate Family Member or trust for the benefit of an individual Holder or one </w:t>
      </w:r>
      <w:r w:rsidR="008F5E71">
        <w:rPr>
          <w:snapToGrid w:val="0"/>
        </w:rPr>
        <w:t xml:space="preserve">(1) </w:t>
      </w:r>
      <w:r>
        <w:rPr>
          <w:snapToGrid w:val="0"/>
        </w:rPr>
        <w:t xml:space="preserve">or more of such Holder's Immediate Family Members; or </w:t>
      </w:r>
      <w:bookmarkStart w:id="446" w:name="DocXTextRef306"/>
      <w:r>
        <w:rPr>
          <w:snapToGrid w:val="0"/>
        </w:rPr>
        <w:t>(iii)</w:t>
      </w:r>
      <w:bookmarkEnd w:id="446"/>
      <w:r>
        <w:rPr>
          <w:snapToGrid w:val="0"/>
        </w:rPr>
        <w:t xml:space="preserve"> after such transfer, </w:t>
      </w:r>
      <w:r w:rsidR="008F5E71">
        <w:rPr>
          <w:snapToGrid w:val="0"/>
        </w:rPr>
        <w:t>[</w:t>
      </w:r>
      <w:r>
        <w:rPr>
          <w:snapToGrid w:val="0"/>
        </w:rPr>
        <w:t>holds at least [_____] Registrable Securities (subject to appropriate adjustment for stock splits, stock dividends, combinations, and other recapitalizations)</w:t>
      </w:r>
      <w:r w:rsidR="008F5E71">
        <w:rPr>
          <w:snapToGrid w:val="0"/>
        </w:rPr>
        <w:t>] [together with its Affiliates, would be a Major Investor]</w:t>
      </w:r>
      <w:r>
        <w:rPr>
          <w:snapToGrid w:val="0"/>
        </w:rPr>
        <w:t xml:space="preserve">; provided, however, that </w:t>
      </w:r>
      <w:bookmarkStart w:id="447" w:name="DocXTextRef307"/>
      <w:r>
        <w:rPr>
          <w:snapToGrid w:val="0"/>
        </w:rPr>
        <w:t>(x)</w:t>
      </w:r>
      <w:bookmarkEnd w:id="447"/>
      <w:r>
        <w:rPr>
          <w:snapToGrid w:val="0"/>
        </w:rPr>
        <w:t xml:space="preserve"> the Company is, within a reasonable time after such transfer, furnished with written notice of the name and address of such transferee and the Registrable Securities with respect to which such rights are being transferred; and </w:t>
      </w:r>
      <w:bookmarkStart w:id="448" w:name="DocXTextRef308"/>
      <w:r>
        <w:rPr>
          <w:snapToGrid w:val="0"/>
        </w:rPr>
        <w:t>(y)</w:t>
      </w:r>
      <w:bookmarkEnd w:id="448"/>
      <w:r>
        <w:rPr>
          <w:snapToGrid w:val="0"/>
        </w:rPr>
        <w:t xml:space="preserve"> such transferee agrees in a written instrument delivered to the Company to be bound by and subject to the terms and conditions of this Agreement, including the provisions of </w:t>
      </w:r>
      <w:r w:rsidR="008F5E71">
        <w:rPr>
          <w:snapToGrid w:val="0"/>
          <w:u w:val="single"/>
        </w:rPr>
        <w:t>S</w:t>
      </w:r>
      <w:r>
        <w:rPr>
          <w:snapToGrid w:val="0"/>
          <w:u w:val="single"/>
        </w:rPr>
        <w:t xml:space="preserve">ection </w:t>
      </w:r>
      <w:r>
        <w:rPr>
          <w:snapToGrid w:val="0"/>
          <w:u w:val="single"/>
        </w:rPr>
        <w:fldChar w:fldCharType="begin"/>
      </w:r>
      <w:r>
        <w:rPr>
          <w:snapToGrid w:val="0"/>
          <w:u w:val="single"/>
        </w:rPr>
        <w:instrText xml:space="preserve">  REF _Ref448380587 \w \h \* MERGEFORMAT </w:instrText>
      </w:r>
      <w:r>
        <w:rPr>
          <w:snapToGrid w:val="0"/>
          <w:u w:val="single"/>
        </w:rPr>
        <w:fldChar w:fldCharType="separate"/>
      </w:r>
      <w:r w:rsidRPr="00BC1FC7" w:rsidR="00BC1FC7">
        <w:rPr>
          <w:snapToGrid w:val="0"/>
          <w:color w:val="000000"/>
          <w:u w:val="single"/>
        </w:rPr>
        <w:t>2.11</w:t>
      </w:r>
      <w:r>
        <w:rPr>
          <w:snapToGrid w:val="0"/>
          <w:u w:val="single"/>
        </w:rPr>
        <w:fldChar w:fldCharType="end"/>
      </w:r>
      <w:r>
        <w:rPr>
          <w:snapToGrid w:val="0"/>
        </w:rPr>
        <w:t xml:space="preserve">. For the purposes of determining the number of Registrable Securities held by a transferee, the holdings of a transferee </w:t>
      </w:r>
      <w:bookmarkStart w:id="449" w:name="DocXTextRef309"/>
      <w:r>
        <w:rPr>
          <w:snapToGrid w:val="0"/>
        </w:rPr>
        <w:t>(1)</w:t>
      </w:r>
      <w:bookmarkEnd w:id="449"/>
      <w:r>
        <w:rPr>
          <w:snapToGrid w:val="0"/>
        </w:rPr>
        <w:t xml:space="preserve"> that is an Affiliate or shareholder of a Holder; </w:t>
      </w:r>
      <w:bookmarkStart w:id="450" w:name="DocXTextRef310"/>
      <w:r>
        <w:rPr>
          <w:snapToGrid w:val="0"/>
        </w:rPr>
        <w:t>(2)</w:t>
      </w:r>
      <w:bookmarkEnd w:id="450"/>
      <w:r>
        <w:rPr>
          <w:snapToGrid w:val="0"/>
        </w:rPr>
        <w:t xml:space="preserve"> who is a Holder's Immediate Family Member; or </w:t>
      </w:r>
      <w:bookmarkStart w:id="451" w:name="DocXTextRef311"/>
      <w:r>
        <w:rPr>
          <w:snapToGrid w:val="0"/>
        </w:rPr>
        <w:t>(3)</w:t>
      </w:r>
      <w:bookmarkEnd w:id="451"/>
      <w:r>
        <w:rPr>
          <w:snapToGrid w:val="0"/>
        </w:rPr>
        <w:t xml:space="preserve"> that is a trust for the benefit of an individual Holder or such Holder's Immediate Family Member shall be aggregated together and with those of the transferring Holder; provided further that all transferees who would not qualify individually for assignment of rights shall</w:t>
      </w:r>
      <w:r w:rsidR="007D205C">
        <w:rPr>
          <w:snapToGrid w:val="0"/>
        </w:rPr>
        <w:t>, as a condition to the applicable transfer,</w:t>
      </w:r>
      <w:r>
        <w:rPr>
          <w:snapToGrid w:val="0"/>
        </w:rPr>
        <w:t xml:space="preserve"> have a single person appointed to act for them under a power of attorney for the purpose of exercising any rights, receiving notices, or taking any action under this Agreement. The terms and conditions of this Agreement inure to the benefit of and are binding upon the respective successors and permitted assignees of the parties. Nothing in this Agreement, express or implied, is intended to confer upon any party other than the parties hereto or their respective successors and permitted assignees any rights, remedies, obligations or liabilities under or by reason of this Agreement, except as expressly provided herein.</w:t>
      </w:r>
    </w:p>
    <w:p w:rsidR="00037C7E">
      <w:pPr>
        <w:pStyle w:val="StandardL2"/>
      </w:pPr>
      <w:bookmarkStart w:id="452" w:name="_Ref448380660"/>
      <w:bookmarkStart w:id="453" w:name="_Toc56499806"/>
      <w:r>
        <w:t>Governing Law</w:t>
      </w:r>
      <w:r>
        <w:rPr>
          <w:snapToGrid w:val="0"/>
        </w:rPr>
        <w:t>.</w:t>
      </w:r>
      <w:bookmarkEnd w:id="452"/>
      <w:bookmarkEnd w:id="453"/>
    </w:p>
    <w:p w:rsidR="00037C7E">
      <w:pPr>
        <w:pStyle w:val="StandardCont2"/>
      </w:pPr>
      <w:r w:rsidRPr="00163F80">
        <w:rPr>
          <w:snapToGrid w:val="0"/>
        </w:rPr>
        <w:t>This Agreement shall be governed by the laws of the Province of [insert] without regard to conflict of law principles that would result in the application of any law other</w:t>
      </w:r>
      <w:r w:rsidR="00165B44">
        <w:rPr>
          <w:snapToGrid w:val="0"/>
        </w:rPr>
        <w:t xml:space="preserve"> than</w:t>
      </w:r>
      <w:r w:rsidRPr="00163F80">
        <w:rPr>
          <w:snapToGrid w:val="0"/>
        </w:rPr>
        <w:t xml:space="preserve"> the laws of the Province of [insert] and the laws of Canada applicable in such province.</w:t>
      </w:r>
    </w:p>
    <w:p w:rsidR="00037C7E">
      <w:pPr>
        <w:pStyle w:val="StandardL2"/>
      </w:pPr>
      <w:bookmarkStart w:id="454" w:name="_Ref448380661"/>
      <w:bookmarkStart w:id="455" w:name="_Toc56499807"/>
      <w:r>
        <w:t>Counterparts</w:t>
      </w:r>
      <w:r>
        <w:rPr>
          <w:snapToGrid w:val="0"/>
        </w:rPr>
        <w:t>.</w:t>
      </w:r>
      <w:bookmarkEnd w:id="454"/>
      <w:bookmarkEnd w:id="455"/>
    </w:p>
    <w:p w:rsidR="00037C7E">
      <w:pPr>
        <w:pStyle w:val="StandardCont2"/>
      </w:pPr>
      <w:r>
        <w:rPr>
          <w:snapToGrid w:val="0"/>
        </w:rPr>
        <w:t xml:space="preserve">This Agreement may be executed in two </w:t>
      </w:r>
      <w:bookmarkStart w:id="456" w:name="DocXTextRef312"/>
      <w:r>
        <w:rPr>
          <w:snapToGrid w:val="0"/>
        </w:rPr>
        <w:t>(2)</w:t>
      </w:r>
      <w:bookmarkEnd w:id="456"/>
      <w:r>
        <w:rPr>
          <w:snapToGrid w:val="0"/>
        </w:rPr>
        <w:t xml:space="preserve"> or more counterparts, each of which shall be deemed an original, but all of which together shall constitute one and the same instrument. </w:t>
      </w:r>
      <w:r>
        <w:rPr>
          <w:snapToGrid w:val="0"/>
          <w:szCs w:val="16"/>
        </w:rPr>
        <w:t xml:space="preserve">Counterparts may be delivered via electronic mail (including pdf or any electronic signature, </w:t>
      </w:r>
      <w:r w:rsidRPr="008F5E71">
        <w:rPr>
          <w:i/>
          <w:snapToGrid w:val="0"/>
          <w:szCs w:val="16"/>
        </w:rPr>
        <w:t>e.g.</w:t>
      </w:r>
      <w:r>
        <w:rPr>
          <w:snapToGrid w:val="0"/>
          <w:szCs w:val="16"/>
        </w:rPr>
        <w:t xml:space="preserve">, </w:t>
      </w:r>
      <w:r w:rsidRPr="008F5E71">
        <w:rPr>
          <w:snapToGrid w:val="0"/>
          <w:szCs w:val="16"/>
        </w:rPr>
        <w:t>www.docusign.com</w:t>
      </w:r>
      <w:r>
        <w:rPr>
          <w:snapToGrid w:val="0"/>
          <w:szCs w:val="16"/>
        </w:rPr>
        <w:t>) or other transmission method and any counterpart so delivered shall be deemed to have been duly and validly delivered and be valid and effective for all purposes.</w:t>
      </w:r>
    </w:p>
    <w:p w:rsidR="00037C7E">
      <w:pPr>
        <w:pStyle w:val="StandardL2"/>
      </w:pPr>
      <w:bookmarkStart w:id="457" w:name="_Ref448380662"/>
      <w:bookmarkStart w:id="458" w:name="_Toc56499808"/>
      <w:r>
        <w:t>Titles and Subtitles</w:t>
      </w:r>
      <w:r>
        <w:rPr>
          <w:snapToGrid w:val="0"/>
        </w:rPr>
        <w:t>.</w:t>
      </w:r>
      <w:bookmarkEnd w:id="457"/>
      <w:bookmarkEnd w:id="458"/>
    </w:p>
    <w:p w:rsidR="00037C7E">
      <w:pPr>
        <w:pStyle w:val="StandardCont2"/>
      </w:pPr>
      <w:r>
        <w:rPr>
          <w:snapToGrid w:val="0"/>
        </w:rPr>
        <w:t>The titles and subtitles used in this Agreement are for convenience only and are not to be considered in construing or interpreting this Agreement.</w:t>
      </w:r>
    </w:p>
    <w:p w:rsidR="00037C7E" w:rsidP="001F725A">
      <w:pPr>
        <w:pStyle w:val="StandardL2"/>
      </w:pPr>
      <w:bookmarkStart w:id="459" w:name="_Ref448380663"/>
      <w:bookmarkStart w:id="460" w:name="_Toc56499809"/>
      <w:r>
        <w:t>Notices</w:t>
      </w:r>
      <w:r>
        <w:rPr>
          <w:snapToGrid w:val="0"/>
        </w:rPr>
        <w:t>.</w:t>
      </w:r>
      <w:bookmarkEnd w:id="459"/>
      <w:bookmarkEnd w:id="460"/>
    </w:p>
    <w:p w:rsidR="001F725A" w:rsidP="003C71BA">
      <w:pPr>
        <w:pStyle w:val="StandardL3"/>
        <w:rPr>
          <w:snapToGrid w:val="0"/>
        </w:rPr>
      </w:pPr>
      <w:r>
        <w:rPr>
          <w:snapToGrid w:val="0"/>
        </w:rPr>
        <w:t xml:space="preserve">All notices and other communications given or made pursuant to this Agreement shall be in writing and shall be deemed effectively given upon the earlier of actual receipt or </w:t>
      </w:r>
      <w:bookmarkStart w:id="461" w:name="DocXTextRef314"/>
      <w:r>
        <w:rPr>
          <w:snapToGrid w:val="0"/>
        </w:rPr>
        <w:t>(i)</w:t>
      </w:r>
      <w:bookmarkEnd w:id="461"/>
      <w:r>
        <w:rPr>
          <w:snapToGrid w:val="0"/>
        </w:rPr>
        <w:t xml:space="preserve"> personal delivery to the party to be notified; </w:t>
      </w:r>
      <w:bookmarkStart w:id="462" w:name="DocXTextRef315"/>
      <w:r>
        <w:rPr>
          <w:snapToGrid w:val="0"/>
        </w:rPr>
        <w:t>(ii)</w:t>
      </w:r>
      <w:bookmarkEnd w:id="462"/>
      <w:r>
        <w:rPr>
          <w:snapToGrid w:val="0"/>
        </w:rPr>
        <w:t xml:space="preserve"> when sent, if sent by electronic mail during the recipient's normal business hours, and if not sent during normal business hours, then on the recipient's next business day; </w:t>
      </w:r>
      <w:bookmarkStart w:id="463" w:name="DocXTextRef316"/>
      <w:r>
        <w:rPr>
          <w:snapToGrid w:val="0"/>
        </w:rPr>
        <w:t>(iii)</w:t>
      </w:r>
      <w:bookmarkEnd w:id="463"/>
      <w:r>
        <w:rPr>
          <w:snapToGrid w:val="0"/>
        </w:rPr>
        <w:t xml:space="preserve"> five (5) days after having been sent by registered or certified mail, return receipt requested, postage prepaid; or </w:t>
      </w:r>
      <w:bookmarkStart w:id="464" w:name="DocXTextRef317"/>
      <w:r>
        <w:rPr>
          <w:snapToGrid w:val="0"/>
        </w:rPr>
        <w:t>(iv)</w:t>
      </w:r>
      <w:bookmarkEnd w:id="464"/>
      <w:r>
        <w:rPr>
          <w:snapToGrid w:val="0"/>
        </w:rPr>
        <w:t xml:space="preserve"> one (1) </w:t>
      </w:r>
      <w:r>
        <w:rPr>
          <w:snapToGrid w:val="0"/>
          <w:szCs w:val="16"/>
        </w:rPr>
        <w:t xml:space="preserve">business </w:t>
      </w:r>
      <w:r>
        <w:rPr>
          <w:snapToGrid w:val="0"/>
        </w:rPr>
        <w:t>day after</w:t>
      </w:r>
      <w:r>
        <w:rPr>
          <w:snapToGrid w:val="0"/>
          <w:szCs w:val="16"/>
        </w:rPr>
        <w:t xml:space="preserve"> the business day of</w:t>
      </w:r>
      <w:r>
        <w:rPr>
          <w:snapToGrid w:val="0"/>
        </w:rPr>
        <w:t xml:space="preserve"> deposit with a nationally recognized overnight courier, freight prepaid, specifying next-day delivery, with written verification of receipt. All communications shall be sent to the respective parties at their addresses as set forth on </w:t>
      </w:r>
      <w:r>
        <w:rPr>
          <w:snapToGrid w:val="0"/>
        </w:rPr>
        <w:fldChar w:fldCharType="begin"/>
      </w:r>
      <w:r>
        <w:rPr>
          <w:snapToGrid w:val="0"/>
        </w:rPr>
        <w:instrText xml:space="preserve">  REF _Ref448380672 \w \h \* MERGEFORMAT </w:instrText>
      </w:r>
      <w:r>
        <w:rPr>
          <w:snapToGrid w:val="0"/>
        </w:rPr>
        <w:fldChar w:fldCharType="separate"/>
      </w:r>
      <w:r w:rsidRPr="00BC1FC7" w:rsidR="00BC1FC7">
        <w:rPr>
          <w:snapToGrid w:val="0"/>
          <w:color w:val="000000"/>
        </w:rPr>
        <w:t>Schedule A</w:t>
      </w:r>
      <w:r>
        <w:rPr>
          <w:snapToGrid w:val="0"/>
        </w:rPr>
        <w:fldChar w:fldCharType="end"/>
      </w:r>
      <w:r>
        <w:rPr>
          <w:snapToGrid w:val="0"/>
        </w:rPr>
        <w:t xml:space="preserve"> [or </w:t>
      </w:r>
      <w:r>
        <w:rPr>
          <w:snapToGrid w:val="0"/>
        </w:rPr>
        <w:fldChar w:fldCharType="begin"/>
      </w:r>
      <w:r>
        <w:rPr>
          <w:snapToGrid w:val="0"/>
        </w:rPr>
        <w:instrText xml:space="preserve">  REF _Ref448380673 \w \h \* MERGEFORMAT </w:instrText>
      </w:r>
      <w:r>
        <w:rPr>
          <w:snapToGrid w:val="0"/>
        </w:rPr>
        <w:fldChar w:fldCharType="separate"/>
      </w:r>
      <w:r w:rsidRPr="00BC1FC7" w:rsidR="00BC1FC7">
        <w:rPr>
          <w:snapToGrid w:val="0"/>
          <w:color w:val="000000"/>
        </w:rPr>
        <w:t>Schedule B</w:t>
      </w:r>
      <w:r>
        <w:rPr>
          <w:snapToGrid w:val="0"/>
        </w:rPr>
        <w:fldChar w:fldCharType="end"/>
      </w:r>
      <w:r>
        <w:rPr>
          <w:snapToGrid w:val="0"/>
        </w:rPr>
        <w:t xml:space="preserve"> (as applicable)] hereto, or </w:t>
      </w:r>
      <w:r w:rsidR="008F5E71">
        <w:rPr>
          <w:snapToGrid w:val="0"/>
        </w:rPr>
        <w:t xml:space="preserve">(as to the Company) </w:t>
      </w:r>
      <w:r>
        <w:rPr>
          <w:snapToGrid w:val="0"/>
        </w:rPr>
        <w:t xml:space="preserve">to </w:t>
      </w:r>
      <w:r>
        <w:rPr>
          <w:snapToGrid w:val="0"/>
          <w:szCs w:val="16"/>
        </w:rPr>
        <w:t>the principal office of the Company and to the attention of the Chief Executive Officer, or</w:t>
      </w:r>
      <w:r w:rsidR="008F5E71">
        <w:rPr>
          <w:snapToGrid w:val="0"/>
          <w:szCs w:val="16"/>
        </w:rPr>
        <w:t xml:space="preserve"> in any case</w:t>
      </w:r>
      <w:r>
        <w:rPr>
          <w:snapToGrid w:val="0"/>
          <w:szCs w:val="16"/>
        </w:rPr>
        <w:t xml:space="preserve"> to </w:t>
      </w:r>
      <w:r>
        <w:rPr>
          <w:snapToGrid w:val="0"/>
        </w:rPr>
        <w:t>such email address</w:t>
      </w:r>
      <w:r w:rsidR="00D26289">
        <w:rPr>
          <w:snapToGrid w:val="0"/>
        </w:rPr>
        <w:t xml:space="preserve"> </w:t>
      </w:r>
      <w:r>
        <w:rPr>
          <w:snapToGrid w:val="0"/>
        </w:rPr>
        <w:t xml:space="preserve">or address as subsequently modified by written notice given in accordance with this </w:t>
      </w:r>
      <w:r w:rsidR="00D26289">
        <w:rPr>
          <w:snapToGrid w:val="0"/>
          <w:u w:val="single"/>
        </w:rPr>
        <w:t>S</w:t>
      </w:r>
      <w:r w:rsidRPr="00F251F0">
        <w:rPr>
          <w:snapToGrid w:val="0"/>
          <w:u w:val="single"/>
        </w:rPr>
        <w:t xml:space="preserve">ection </w:t>
      </w:r>
      <w:r w:rsidRPr="00F251F0">
        <w:rPr>
          <w:snapToGrid w:val="0"/>
          <w:u w:val="single"/>
        </w:rPr>
        <w:fldChar w:fldCharType="begin"/>
      </w:r>
      <w:r w:rsidRPr="00F251F0">
        <w:rPr>
          <w:snapToGrid w:val="0"/>
          <w:u w:val="single"/>
        </w:rPr>
        <w:instrText xml:space="preserve">  REF _Ref448380663 \w \h \* MERGEFORMAT </w:instrText>
      </w:r>
      <w:r w:rsidRPr="00F251F0">
        <w:rPr>
          <w:snapToGrid w:val="0"/>
          <w:u w:val="single"/>
        </w:rPr>
        <w:fldChar w:fldCharType="separate"/>
      </w:r>
      <w:r w:rsidRPr="00BC1FC7" w:rsidR="00BC1FC7">
        <w:rPr>
          <w:snapToGrid w:val="0"/>
          <w:color w:val="000000"/>
          <w:u w:val="single"/>
        </w:rPr>
        <w:t>6.5</w:t>
      </w:r>
      <w:r w:rsidRPr="00F251F0">
        <w:rPr>
          <w:snapToGrid w:val="0"/>
          <w:u w:val="single"/>
        </w:rPr>
        <w:fldChar w:fldCharType="end"/>
      </w:r>
      <w:r>
        <w:rPr>
          <w:snapToGrid w:val="0"/>
        </w:rPr>
        <w:t>. If notice is given to the Company, a copy</w:t>
      </w:r>
      <w:r w:rsidR="00D26289">
        <w:rPr>
          <w:snapToGrid w:val="0"/>
        </w:rPr>
        <w:t xml:space="preserve"> (which copy shall not constitute notice)</w:t>
      </w:r>
      <w:r>
        <w:rPr>
          <w:snapToGrid w:val="0"/>
        </w:rPr>
        <w:t xml:space="preserve"> shall also be sent to </w:t>
      </w:r>
      <w:r w:rsidRPr="003C71BA" w:rsidR="003C71BA">
        <w:rPr>
          <w:snapToGrid w:val="0"/>
        </w:rPr>
        <w:t>[</w:t>
      </w:r>
      <w:r w:rsidRPr="003C71BA" w:rsidR="003C71BA">
        <w:rPr>
          <w:i/>
          <w:snapToGrid w:val="0"/>
        </w:rPr>
        <w:t xml:space="preserve">Company </w:t>
      </w:r>
      <w:r w:rsidR="00165B44">
        <w:rPr>
          <w:i/>
          <w:snapToGrid w:val="0"/>
        </w:rPr>
        <w:t xml:space="preserve"> Counsel Name and Address</w:t>
      </w:r>
      <w:r w:rsidRPr="003C71BA" w:rsidR="003C71BA">
        <w:rPr>
          <w:snapToGrid w:val="0"/>
        </w:rPr>
        <w:t>]</w:t>
      </w:r>
      <w:r w:rsidR="00D26289">
        <w:rPr>
          <w:snapToGrid w:val="0"/>
        </w:rPr>
        <w:t>[</w:t>
      </w:r>
      <w:r w:rsidRPr="003C71BA" w:rsidR="003C71BA">
        <w:rPr>
          <w:snapToGrid w:val="0"/>
        </w:rPr>
        <w:t xml:space="preserve">; and if notice is given to the </w:t>
      </w:r>
      <w:r w:rsidR="00D26289">
        <w:rPr>
          <w:snapToGrid w:val="0"/>
        </w:rPr>
        <w:t>Investors</w:t>
      </w:r>
      <w:r w:rsidRPr="003C71BA" w:rsidR="003C71BA">
        <w:rPr>
          <w:snapToGrid w:val="0"/>
        </w:rPr>
        <w:t xml:space="preserve">, a copy </w:t>
      </w:r>
      <w:r w:rsidR="00D26289">
        <w:rPr>
          <w:snapToGrid w:val="0"/>
        </w:rPr>
        <w:t xml:space="preserve">(which copy shall not constitute notice) </w:t>
      </w:r>
      <w:r w:rsidRPr="003C71BA" w:rsidR="003C71BA">
        <w:rPr>
          <w:snapToGrid w:val="0"/>
        </w:rPr>
        <w:t>shall also be given to [</w:t>
      </w:r>
      <w:r w:rsidRPr="003C71BA" w:rsidR="003C71BA">
        <w:rPr>
          <w:i/>
          <w:snapToGrid w:val="0"/>
        </w:rPr>
        <w:t>Investor Counsel Name</w:t>
      </w:r>
      <w:r w:rsidR="00165B44">
        <w:rPr>
          <w:i/>
          <w:snapToGrid w:val="0"/>
        </w:rPr>
        <w:t xml:space="preserve"> and</w:t>
      </w:r>
      <w:r w:rsidRPr="003C71BA" w:rsidR="003C71BA">
        <w:rPr>
          <w:i/>
          <w:snapToGrid w:val="0"/>
        </w:rPr>
        <w:t xml:space="preserve"> Address</w:t>
      </w:r>
      <w:r w:rsidRPr="003C71BA" w:rsidR="003C71BA">
        <w:rPr>
          <w:snapToGrid w:val="0"/>
        </w:rPr>
        <w:t>]</w:t>
      </w:r>
      <w:r w:rsidR="00D26289">
        <w:rPr>
          <w:snapToGrid w:val="0"/>
        </w:rPr>
        <w:t>]</w:t>
      </w:r>
      <w:r>
        <w:rPr>
          <w:rStyle w:val="FootnoteReference"/>
          <w:snapToGrid w:val="0"/>
        </w:rPr>
        <w:footnoteReference w:id="68"/>
      </w:r>
      <w:r w:rsidRPr="003C71BA" w:rsidR="003C71BA">
        <w:rPr>
          <w:snapToGrid w:val="0"/>
        </w:rPr>
        <w:t>.</w:t>
      </w:r>
    </w:p>
    <w:p w:rsidR="001F725A" w:rsidRPr="00E2583A" w:rsidP="003C71BA">
      <w:pPr>
        <w:pStyle w:val="StandardL3"/>
        <w:rPr>
          <w:snapToGrid w:val="0"/>
        </w:rPr>
      </w:pPr>
      <w:r w:rsidRPr="00E2583A">
        <w:rPr>
          <w:snapToGrid w:val="0"/>
          <w:u w:val="single"/>
        </w:rPr>
        <w:t>Consent to Electronic Notice</w:t>
      </w:r>
      <w:r w:rsidRPr="00E2583A">
        <w:rPr>
          <w:snapToGrid w:val="0"/>
        </w:rPr>
        <w:t xml:space="preserve">. Each Investor </w:t>
      </w:r>
      <w:r w:rsidR="00D26289">
        <w:rPr>
          <w:snapToGrid w:val="0"/>
        </w:rPr>
        <w:t>[</w:t>
      </w:r>
      <w:r w:rsidRPr="00E2583A">
        <w:rPr>
          <w:snapToGrid w:val="0"/>
        </w:rPr>
        <w:t>and Key Holder</w:t>
      </w:r>
      <w:r w:rsidR="00D26289">
        <w:rPr>
          <w:snapToGrid w:val="0"/>
        </w:rPr>
        <w:t>]</w:t>
      </w:r>
      <w:r w:rsidRPr="00E2583A">
        <w:rPr>
          <w:snapToGrid w:val="0"/>
        </w:rPr>
        <w:t xml:space="preserve"> consents to the delivery of any notice hereunder by electronic transmission at the electronic mail address set forth below such Investor’s </w:t>
      </w:r>
      <w:r w:rsidR="00D26289">
        <w:rPr>
          <w:snapToGrid w:val="0"/>
        </w:rPr>
        <w:t>[</w:t>
      </w:r>
      <w:r w:rsidRPr="00E2583A">
        <w:rPr>
          <w:snapToGrid w:val="0"/>
        </w:rPr>
        <w:t>or Key Holder’s</w:t>
      </w:r>
      <w:r w:rsidR="00D26289">
        <w:rPr>
          <w:snapToGrid w:val="0"/>
        </w:rPr>
        <w:t>]</w:t>
      </w:r>
      <w:r w:rsidRPr="00E2583A">
        <w:rPr>
          <w:snapToGrid w:val="0"/>
        </w:rPr>
        <w:t xml:space="preserve"> name on the Schedules hereto, as updated from time to time by notice to the Company, or a</w:t>
      </w:r>
      <w:r w:rsidR="00D26289">
        <w:rPr>
          <w:snapToGrid w:val="0"/>
        </w:rPr>
        <w:t xml:space="preserve">s on the books of the Company. </w:t>
      </w:r>
      <w:r w:rsidRPr="00E2583A">
        <w:rPr>
          <w:snapToGrid w:val="0"/>
        </w:rPr>
        <w:t>To the extent that any notice given by means of electronic transmission is returned or undeliverable for any reason, the foregoing consent shall be deemed to have been revoked until a new or corrected electronic mail address has bee</w:t>
      </w:r>
      <w:r w:rsidR="00D26289">
        <w:rPr>
          <w:snapToGrid w:val="0"/>
        </w:rPr>
        <w:t>n provided, and such attempted electronic n</w:t>
      </w:r>
      <w:r w:rsidRPr="00E2583A">
        <w:rPr>
          <w:snapToGrid w:val="0"/>
        </w:rPr>
        <w:t xml:space="preserve">otice shall be ineffective and deemed to not have been given. Each Investor </w:t>
      </w:r>
      <w:r w:rsidR="00D26289">
        <w:rPr>
          <w:snapToGrid w:val="0"/>
        </w:rPr>
        <w:t>[</w:t>
      </w:r>
      <w:r w:rsidRPr="00E2583A">
        <w:rPr>
          <w:snapToGrid w:val="0"/>
        </w:rPr>
        <w:t>and Key Holder</w:t>
      </w:r>
      <w:r w:rsidR="00D26289">
        <w:rPr>
          <w:snapToGrid w:val="0"/>
        </w:rPr>
        <w:t>]</w:t>
      </w:r>
      <w:r w:rsidRPr="00E2583A">
        <w:rPr>
          <w:snapToGrid w:val="0"/>
        </w:rPr>
        <w:t xml:space="preserve"> agrees to promptly notify the Company of any change in </w:t>
      </w:r>
      <w:r w:rsidR="007F5C42">
        <w:rPr>
          <w:snapToGrid w:val="0"/>
        </w:rPr>
        <w:t>such shareholder’s</w:t>
      </w:r>
      <w:r w:rsidRPr="00E2583A">
        <w:rPr>
          <w:snapToGrid w:val="0"/>
        </w:rPr>
        <w:t xml:space="preserve"> electronic mail address, and that failure to do so shall not affect the foregoing.</w:t>
      </w:r>
    </w:p>
    <w:p w:rsidR="00037C7E" w:rsidP="001C48D8">
      <w:pPr>
        <w:pStyle w:val="StandardL2"/>
      </w:pPr>
      <w:bookmarkStart w:id="465" w:name="_Ref448380664"/>
      <w:bookmarkStart w:id="466" w:name="_Toc56499810"/>
      <w:r>
        <w:t>Amendments and Waivers</w:t>
      </w:r>
      <w:r>
        <w:rPr>
          <w:snapToGrid w:val="0"/>
        </w:rPr>
        <w:t>.</w:t>
      </w:r>
      <w:bookmarkStart w:id="467" w:name="_Ref448380731"/>
      <w:r>
        <w:rPr>
          <w:rStyle w:val="FootnoteReference"/>
          <w:snapToGrid w:val="0"/>
          <w:u w:val="none"/>
        </w:rPr>
        <w:footnoteReference w:id="69"/>
      </w:r>
      <w:bookmarkEnd w:id="465"/>
      <w:bookmarkEnd w:id="466"/>
      <w:bookmarkEnd w:id="467"/>
    </w:p>
    <w:p w:rsidR="00037C7E" w:rsidP="00414A88">
      <w:pPr>
        <w:pStyle w:val="StandardCont2"/>
      </w:pPr>
      <w:r>
        <w:rPr>
          <w:snapToGrid w:val="0"/>
        </w:rPr>
        <w:t>Any term of this Agreement may be amended</w:t>
      </w:r>
      <w:r w:rsidR="00D82735">
        <w:rPr>
          <w:snapToGrid w:val="0"/>
        </w:rPr>
        <w:t>,</w:t>
      </w:r>
      <w:r>
        <w:rPr>
          <w:snapToGrid w:val="0"/>
        </w:rPr>
        <w:t xml:space="preserve"> </w:t>
      </w:r>
      <w:r w:rsidR="001C48D8">
        <w:rPr>
          <w:snapToGrid w:val="0"/>
        </w:rPr>
        <w:t xml:space="preserve">modified or terminated </w:t>
      </w:r>
      <w:r>
        <w:rPr>
          <w:snapToGrid w:val="0"/>
        </w:rPr>
        <w:t>and the observance of any term of this Agreement may be waived (either generally or in a particular instance, and either retroactively or prospectively) only with the written consent of the Company and the holders of [a</w:t>
      </w:r>
      <w:r w:rsidR="001C48D8">
        <w:rPr>
          <w:snapToGrid w:val="0"/>
        </w:rPr>
        <w:t>t least a</w:t>
      </w:r>
      <w:r>
        <w:rPr>
          <w:snapToGrid w:val="0"/>
        </w:rPr>
        <w:t xml:space="preserve"> majority] of the Registrable Securities then outstanding; </w:t>
      </w:r>
      <w:r>
        <w:rPr>
          <w:snapToGrid w:val="0"/>
          <w:u w:val="single"/>
        </w:rPr>
        <w:t>provided</w:t>
      </w:r>
      <w:r>
        <w:rPr>
          <w:snapToGrid w:val="0"/>
        </w:rPr>
        <w:t xml:space="preserve"> that the Company may in its sole discretion waive compliance with </w:t>
      </w:r>
      <w:r w:rsidR="00D26289">
        <w:rPr>
          <w:snapToGrid w:val="0"/>
          <w:u w:val="single"/>
        </w:rPr>
        <w:t>S</w:t>
      </w:r>
      <w:r>
        <w:rPr>
          <w:snapToGrid w:val="0"/>
          <w:u w:val="single"/>
        </w:rPr>
        <w:t xml:space="preserve">ection </w:t>
      </w:r>
      <w:r>
        <w:rPr>
          <w:snapToGrid w:val="0"/>
          <w:szCs w:val="16"/>
          <w:u w:val="single"/>
        </w:rPr>
        <w:fldChar w:fldCharType="begin"/>
      </w:r>
      <w:r>
        <w:rPr>
          <w:snapToGrid w:val="0"/>
          <w:szCs w:val="16"/>
          <w:u w:val="single"/>
        </w:rPr>
        <w:instrText xml:space="preserve">  REF _Ref448380591 \w \h \* MERGEFORMAT </w:instrText>
      </w:r>
      <w:r>
        <w:rPr>
          <w:snapToGrid w:val="0"/>
          <w:szCs w:val="16"/>
          <w:u w:val="single"/>
        </w:rPr>
        <w:fldChar w:fldCharType="separate"/>
      </w:r>
      <w:r w:rsidRPr="00BC1FC7" w:rsidR="00BC1FC7">
        <w:rPr>
          <w:snapToGrid w:val="0"/>
          <w:color w:val="000000"/>
          <w:szCs w:val="16"/>
          <w:u w:val="single"/>
        </w:rPr>
        <w:t>2.12(c)</w:t>
      </w:r>
      <w:r>
        <w:rPr>
          <w:snapToGrid w:val="0"/>
          <w:szCs w:val="16"/>
          <w:u w:val="single"/>
        </w:rPr>
        <w:fldChar w:fldCharType="end"/>
      </w:r>
      <w:r>
        <w:rPr>
          <w:snapToGrid w:val="0"/>
        </w:rPr>
        <w:t xml:space="preserve"> (and the Company's failure to object promptly in writing </w:t>
      </w:r>
      <w:r>
        <w:rPr>
          <w:snapToGrid w:val="0"/>
          <w:szCs w:val="16"/>
        </w:rPr>
        <w:t>after notification of</w:t>
      </w:r>
      <w:r>
        <w:rPr>
          <w:snapToGrid w:val="0"/>
        </w:rPr>
        <w:t xml:space="preserve"> a proposed assignment allegedly in violation of </w:t>
      </w:r>
      <w:r w:rsidR="00D26289">
        <w:rPr>
          <w:snapToGrid w:val="0"/>
          <w:u w:val="single"/>
        </w:rPr>
        <w:t>S</w:t>
      </w:r>
      <w:r>
        <w:rPr>
          <w:snapToGrid w:val="0"/>
          <w:u w:val="single"/>
        </w:rPr>
        <w:t xml:space="preserve">ection </w:t>
      </w:r>
      <w:r>
        <w:rPr>
          <w:snapToGrid w:val="0"/>
          <w:szCs w:val="16"/>
          <w:u w:val="single"/>
        </w:rPr>
        <w:fldChar w:fldCharType="begin"/>
      </w:r>
      <w:r>
        <w:rPr>
          <w:snapToGrid w:val="0"/>
          <w:szCs w:val="16"/>
          <w:u w:val="single"/>
        </w:rPr>
        <w:instrText xml:space="preserve">  REF _Ref448380591 \w \h \* MERGEFORMAT </w:instrText>
      </w:r>
      <w:r>
        <w:rPr>
          <w:snapToGrid w:val="0"/>
          <w:szCs w:val="16"/>
          <w:u w:val="single"/>
        </w:rPr>
        <w:fldChar w:fldCharType="separate"/>
      </w:r>
      <w:r w:rsidRPr="00BC1FC7" w:rsidR="00BC1FC7">
        <w:rPr>
          <w:snapToGrid w:val="0"/>
          <w:color w:val="000000"/>
          <w:szCs w:val="16"/>
          <w:u w:val="single"/>
        </w:rPr>
        <w:t>2.12(c)</w:t>
      </w:r>
      <w:r>
        <w:rPr>
          <w:snapToGrid w:val="0"/>
          <w:szCs w:val="16"/>
          <w:u w:val="single"/>
        </w:rPr>
        <w:fldChar w:fldCharType="end"/>
      </w:r>
      <w:r>
        <w:rPr>
          <w:snapToGrid w:val="0"/>
        </w:rPr>
        <w:t xml:space="preserve"> shall be deemed to be a waiver)</w:t>
      </w:r>
      <w:r>
        <w:rPr>
          <w:snapToGrid w:val="0"/>
          <w:szCs w:val="16"/>
        </w:rPr>
        <w:t xml:space="preserve">; and </w:t>
      </w:r>
      <w:r>
        <w:rPr>
          <w:snapToGrid w:val="0"/>
          <w:szCs w:val="16"/>
          <w:u w:val="single"/>
        </w:rPr>
        <w:t>provided</w:t>
      </w:r>
      <w:r>
        <w:rPr>
          <w:snapToGrid w:val="0"/>
          <w:szCs w:val="16"/>
        </w:rPr>
        <w:t xml:space="preserve"> </w:t>
      </w:r>
      <w:r>
        <w:rPr>
          <w:snapToGrid w:val="0"/>
          <w:szCs w:val="16"/>
          <w:u w:val="single"/>
        </w:rPr>
        <w:t>further</w:t>
      </w:r>
      <w:r>
        <w:rPr>
          <w:snapToGrid w:val="0"/>
          <w:szCs w:val="16"/>
        </w:rPr>
        <w:t xml:space="preserve"> that any provision hereof may be waived by any waiving party on such party's own behalf, without the consent of any other party</w:t>
      </w:r>
      <w:r>
        <w:rPr>
          <w:snapToGrid w:val="0"/>
        </w:rPr>
        <w:t xml:space="preserve">. Notwithstanding the foregoing, </w:t>
      </w:r>
      <w:r w:rsidR="001C48D8">
        <w:rPr>
          <w:snapToGrid w:val="0"/>
        </w:rPr>
        <w:t xml:space="preserve">(a) </w:t>
      </w:r>
      <w:r>
        <w:rPr>
          <w:snapToGrid w:val="0"/>
        </w:rPr>
        <w:t>this Agreement may not be amended</w:t>
      </w:r>
      <w:r w:rsidR="00752618">
        <w:rPr>
          <w:snapToGrid w:val="0"/>
        </w:rPr>
        <w:t>, modified</w:t>
      </w:r>
      <w:r>
        <w:rPr>
          <w:snapToGrid w:val="0"/>
        </w:rPr>
        <w:t xml:space="preserve"> or terminated and the observance of any term hereof may not be waived with respect to any Investor without the written consent of such Investor, unless such amendment, </w:t>
      </w:r>
      <w:r w:rsidR="001C48D8">
        <w:rPr>
          <w:snapToGrid w:val="0"/>
        </w:rPr>
        <w:t xml:space="preserve">modification, </w:t>
      </w:r>
      <w:r>
        <w:rPr>
          <w:snapToGrid w:val="0"/>
        </w:rPr>
        <w:t xml:space="preserve">termination, or waiver applies to all Investors in the same fashion (it being agreed that a waiver of the provisions of </w:t>
      </w:r>
      <w:r w:rsidRPr="00747A4D">
        <w:rPr>
          <w:snapToGrid w:val="0"/>
          <w:u w:val="single"/>
        </w:rPr>
        <w:t xml:space="preserve">Section </w:t>
      </w:r>
      <w:bookmarkStart w:id="468" w:name="DocXTextRef323"/>
      <w:r w:rsidRPr="00747A4D">
        <w:rPr>
          <w:snapToGrid w:val="0"/>
          <w:u w:val="single"/>
        </w:rPr>
        <w:t>4</w:t>
      </w:r>
      <w:bookmarkEnd w:id="468"/>
      <w:r>
        <w:rPr>
          <w:snapToGrid w:val="0"/>
        </w:rPr>
        <w:t xml:space="preserve"> with respect to a particular transaction shall be deemed to apply to all Investors in the same fashion if such waiver does so by its terms, notwithstanding the fact that certain Investors may nonetheless, by agreement with the Company, purchase securities in such transaction)</w:t>
      </w:r>
      <w:r>
        <w:rPr>
          <w:rStyle w:val="FootnoteReference"/>
          <w:snapToGrid w:val="0"/>
        </w:rPr>
        <w:footnoteReference w:id="70"/>
      </w:r>
      <w:r>
        <w:rPr>
          <w:snapToGrid w:val="0"/>
        </w:rPr>
        <w:t>.</w:t>
      </w:r>
      <w:r w:rsidR="00414A88">
        <w:rPr>
          <w:snapToGrid w:val="0"/>
        </w:rPr>
        <w:t xml:space="preserve"> </w:t>
      </w:r>
      <w:r w:rsidRPr="00414A88" w:rsidR="00414A88">
        <w:rPr>
          <w:snapToGrid w:val="0"/>
        </w:rPr>
        <w:t xml:space="preserve">and (b) </w:t>
      </w:r>
      <w:r w:rsidR="00D26289">
        <w:rPr>
          <w:snapToGrid w:val="0"/>
          <w:u w:val="single"/>
        </w:rPr>
        <w:t>S</w:t>
      </w:r>
      <w:r w:rsidRPr="00F251F0" w:rsidR="00414A88">
        <w:rPr>
          <w:snapToGrid w:val="0"/>
          <w:u w:val="single"/>
        </w:rPr>
        <w:t>ections 3.1</w:t>
      </w:r>
      <w:r w:rsidRPr="00414A88" w:rsidR="00414A88">
        <w:rPr>
          <w:snapToGrid w:val="0"/>
        </w:rPr>
        <w:t xml:space="preserve"> and </w:t>
      </w:r>
      <w:r w:rsidRPr="00F251F0" w:rsidR="00414A88">
        <w:rPr>
          <w:snapToGrid w:val="0"/>
          <w:u w:val="single"/>
        </w:rPr>
        <w:t>3.2</w:t>
      </w:r>
      <w:r w:rsidRPr="00414A88" w:rsidR="00414A88">
        <w:rPr>
          <w:snapToGrid w:val="0"/>
        </w:rPr>
        <w:t xml:space="preserve">, </w:t>
      </w:r>
      <w:r w:rsidRPr="00F251F0" w:rsidR="00414A88">
        <w:rPr>
          <w:snapToGrid w:val="0"/>
          <w:u w:val="single"/>
        </w:rPr>
        <w:t>Section 4</w:t>
      </w:r>
      <w:r w:rsidRPr="00414A88" w:rsidR="00414A88">
        <w:rPr>
          <w:snapToGrid w:val="0"/>
        </w:rPr>
        <w:t xml:space="preserve"> and any other section of this Agreement</w:t>
      </w:r>
      <w:r w:rsidR="00414A88">
        <w:rPr>
          <w:snapToGrid w:val="0"/>
        </w:rPr>
        <w:t xml:space="preserve"> </w:t>
      </w:r>
      <w:r w:rsidRPr="00414A88" w:rsidR="00414A88">
        <w:rPr>
          <w:snapToGrid w:val="0"/>
        </w:rPr>
        <w:t xml:space="preserve">applicable to the Major Investors (including this clause (b) of this </w:t>
      </w:r>
      <w:r w:rsidR="00D26289">
        <w:rPr>
          <w:snapToGrid w:val="0"/>
          <w:u w:val="single"/>
        </w:rPr>
        <w:t>S</w:t>
      </w:r>
      <w:r w:rsidRPr="00F251F0" w:rsidR="00414A88">
        <w:rPr>
          <w:snapToGrid w:val="0"/>
          <w:u w:val="single"/>
        </w:rPr>
        <w:t>ection 6.6</w:t>
      </w:r>
      <w:r w:rsidR="00D179D8">
        <w:rPr>
          <w:snapToGrid w:val="0"/>
        </w:rPr>
        <w:t>) may</w:t>
      </w:r>
      <w:r w:rsidRPr="00414A88" w:rsidR="00414A88">
        <w:rPr>
          <w:snapToGrid w:val="0"/>
        </w:rPr>
        <w:t xml:space="preserve"> be</w:t>
      </w:r>
      <w:r w:rsidR="00414A88">
        <w:rPr>
          <w:snapToGrid w:val="0"/>
        </w:rPr>
        <w:t xml:space="preserve"> </w:t>
      </w:r>
      <w:r w:rsidRPr="00414A88" w:rsidR="00414A88">
        <w:rPr>
          <w:snapToGrid w:val="0"/>
        </w:rPr>
        <w:t>amended, modifi</w:t>
      </w:r>
      <w:r w:rsidR="00D179D8">
        <w:rPr>
          <w:snapToGrid w:val="0"/>
        </w:rPr>
        <w:t>ed, terminated or waived with only</w:t>
      </w:r>
      <w:r w:rsidRPr="00414A88" w:rsidR="00414A88">
        <w:rPr>
          <w:snapToGrid w:val="0"/>
        </w:rPr>
        <w:t xml:space="preserve"> the written consent of the </w:t>
      </w:r>
      <w:r w:rsidR="00D179D8">
        <w:rPr>
          <w:snapToGrid w:val="0"/>
        </w:rPr>
        <w:t xml:space="preserve">Company and the </w:t>
      </w:r>
      <w:r w:rsidRPr="00414A88" w:rsidR="00414A88">
        <w:rPr>
          <w:snapToGrid w:val="0"/>
        </w:rPr>
        <w:t xml:space="preserve">holders of </w:t>
      </w:r>
      <w:r w:rsidR="00D179D8">
        <w:rPr>
          <w:snapToGrid w:val="0"/>
        </w:rPr>
        <w:t>[</w:t>
      </w:r>
      <w:r w:rsidRPr="00414A88" w:rsidR="00414A88">
        <w:rPr>
          <w:snapToGrid w:val="0"/>
        </w:rPr>
        <w:t>at least</w:t>
      </w:r>
      <w:r w:rsidR="00D179D8">
        <w:rPr>
          <w:snapToGrid w:val="0"/>
        </w:rPr>
        <w:t>]</w:t>
      </w:r>
      <w:r w:rsidRPr="00414A88" w:rsidR="00414A88">
        <w:rPr>
          <w:snapToGrid w:val="0"/>
        </w:rPr>
        <w:t xml:space="preserve"> </w:t>
      </w:r>
      <w:r w:rsidR="00D179D8">
        <w:rPr>
          <w:snapToGrid w:val="0"/>
        </w:rPr>
        <w:t>[</w:t>
      </w:r>
      <w:r w:rsidRPr="00414A88" w:rsidR="00414A88">
        <w:rPr>
          <w:snapToGrid w:val="0"/>
        </w:rPr>
        <w:t>a</w:t>
      </w:r>
      <w:r w:rsidR="00414A88">
        <w:rPr>
          <w:snapToGrid w:val="0"/>
        </w:rPr>
        <w:t xml:space="preserve"> </w:t>
      </w:r>
      <w:r w:rsidRPr="00414A88" w:rsidR="00414A88">
        <w:rPr>
          <w:snapToGrid w:val="0"/>
        </w:rPr>
        <w:t>majority</w:t>
      </w:r>
      <w:r w:rsidR="00D179D8">
        <w:rPr>
          <w:snapToGrid w:val="0"/>
        </w:rPr>
        <w:t>]</w:t>
      </w:r>
      <w:r w:rsidRPr="00414A88" w:rsidR="00414A88">
        <w:rPr>
          <w:snapToGrid w:val="0"/>
        </w:rPr>
        <w:t xml:space="preserve"> of the Registrable Securities then outstanding and held by the Major Investors.</w:t>
      </w:r>
      <w:r>
        <w:rPr>
          <w:snapToGrid w:val="0"/>
        </w:rPr>
        <w:t xml:space="preserve"> [Further, this Agreement may not be amended, </w:t>
      </w:r>
      <w:r w:rsidR="001C48D8">
        <w:rPr>
          <w:snapToGrid w:val="0"/>
        </w:rPr>
        <w:t xml:space="preserve">modified </w:t>
      </w:r>
      <w:r w:rsidR="00752618">
        <w:rPr>
          <w:snapToGrid w:val="0"/>
        </w:rPr>
        <w:t>or</w:t>
      </w:r>
      <w:r w:rsidR="001C48D8">
        <w:rPr>
          <w:snapToGrid w:val="0"/>
        </w:rPr>
        <w:t xml:space="preserve"> terminated </w:t>
      </w:r>
      <w:r>
        <w:rPr>
          <w:snapToGrid w:val="0"/>
        </w:rPr>
        <w:t>and no provision hereof may be waived, in each case, in any way which would adversely affect the rights of the Key Holders hereunder in a manner disproportionate to an</w:t>
      </w:r>
      <w:r w:rsidR="001C48D8">
        <w:rPr>
          <w:snapToGrid w:val="0"/>
        </w:rPr>
        <w:t xml:space="preserve">y adverse effect such amendment, modification, termination </w:t>
      </w:r>
      <w:r>
        <w:rPr>
          <w:snapToGrid w:val="0"/>
        </w:rPr>
        <w:t xml:space="preserve">or waiver would have on the rights of the Investors hereunder, without also the written consent of the holders of at least a majority of the Registrable Securities held by the Key Holders.] </w:t>
      </w:r>
      <w:r w:rsidRPr="00414A88" w:rsidR="00414A88">
        <w:rPr>
          <w:snapToGrid w:val="0"/>
        </w:rPr>
        <w:t>Notwithstanding the foregoing, Schedule A hereto may be amended by the</w:t>
      </w:r>
      <w:r w:rsidR="00414A88">
        <w:rPr>
          <w:snapToGrid w:val="0"/>
        </w:rPr>
        <w:t xml:space="preserve"> </w:t>
      </w:r>
      <w:r w:rsidRPr="00414A88" w:rsidR="00414A88">
        <w:rPr>
          <w:snapToGrid w:val="0"/>
        </w:rPr>
        <w:t>Company from time to time to add transferees of any Registrable Securities in compliance with</w:t>
      </w:r>
      <w:r w:rsidR="00414A88">
        <w:rPr>
          <w:snapToGrid w:val="0"/>
        </w:rPr>
        <w:t xml:space="preserve"> </w:t>
      </w:r>
      <w:r w:rsidRPr="00414A88" w:rsidR="00414A88">
        <w:rPr>
          <w:snapToGrid w:val="0"/>
        </w:rPr>
        <w:t>the terms of this Agreement without the consent of the other parties; and Schedule A hereto may</w:t>
      </w:r>
      <w:r w:rsidR="00414A88">
        <w:rPr>
          <w:snapToGrid w:val="0"/>
        </w:rPr>
        <w:t xml:space="preserve"> </w:t>
      </w:r>
      <w:r w:rsidRPr="00414A88" w:rsidR="00414A88">
        <w:rPr>
          <w:snapToGrid w:val="0"/>
        </w:rPr>
        <w:t>also be amended by the Company after the date of this Agreement without the consent of the</w:t>
      </w:r>
      <w:r w:rsidR="00414A88">
        <w:rPr>
          <w:snapToGrid w:val="0"/>
        </w:rPr>
        <w:t xml:space="preserve"> </w:t>
      </w:r>
      <w:r w:rsidRPr="00414A88" w:rsidR="00414A88">
        <w:rPr>
          <w:snapToGrid w:val="0"/>
        </w:rPr>
        <w:t>other parties to add information regarding any additional Investor who becomes a party to this</w:t>
      </w:r>
      <w:r w:rsidR="00414A88">
        <w:rPr>
          <w:snapToGrid w:val="0"/>
        </w:rPr>
        <w:t xml:space="preserve"> </w:t>
      </w:r>
      <w:r w:rsidRPr="00414A88" w:rsidR="00414A88">
        <w:rPr>
          <w:snapToGrid w:val="0"/>
        </w:rPr>
        <w:t xml:space="preserve">Agreement in accordance with </w:t>
      </w:r>
      <w:r w:rsidR="00D26289">
        <w:rPr>
          <w:snapToGrid w:val="0"/>
          <w:u w:val="single"/>
        </w:rPr>
        <w:t>S</w:t>
      </w:r>
      <w:r w:rsidRPr="00F251F0" w:rsidR="00414A88">
        <w:rPr>
          <w:snapToGrid w:val="0"/>
          <w:u w:val="single"/>
        </w:rPr>
        <w:t>ection 6.9</w:t>
      </w:r>
      <w:r w:rsidRPr="00414A88" w:rsidR="00414A88">
        <w:rPr>
          <w:snapToGrid w:val="0"/>
        </w:rPr>
        <w:t>.</w:t>
      </w:r>
      <w:r w:rsidR="00414A88">
        <w:rPr>
          <w:snapToGrid w:val="0"/>
        </w:rPr>
        <w:t xml:space="preserve"> </w:t>
      </w:r>
      <w:r>
        <w:rPr>
          <w:snapToGrid w:val="0"/>
        </w:rPr>
        <w:t>The Company shall give</w:t>
      </w:r>
      <w:r w:rsidR="001C48D8">
        <w:rPr>
          <w:snapToGrid w:val="0"/>
        </w:rPr>
        <w:t xml:space="preserve"> prompt notice of any amendment, modification </w:t>
      </w:r>
      <w:r>
        <w:rPr>
          <w:snapToGrid w:val="0"/>
        </w:rPr>
        <w:t xml:space="preserve">or termination hereof or waiver hereunder to any party hereto that did not consent in writing to such amendment, </w:t>
      </w:r>
      <w:r w:rsidR="001C48D8">
        <w:rPr>
          <w:snapToGrid w:val="0"/>
        </w:rPr>
        <w:t xml:space="preserve">modification, </w:t>
      </w:r>
      <w:r>
        <w:rPr>
          <w:snapToGrid w:val="0"/>
        </w:rPr>
        <w:t xml:space="preserve">termination, or waiver. Any amendment, </w:t>
      </w:r>
      <w:r w:rsidR="001C48D8">
        <w:rPr>
          <w:snapToGrid w:val="0"/>
        </w:rPr>
        <w:t xml:space="preserve">modification, </w:t>
      </w:r>
      <w:r>
        <w:rPr>
          <w:snapToGrid w:val="0"/>
        </w:rPr>
        <w:t xml:space="preserve">termination, or waiver effected in accordance with this </w:t>
      </w:r>
      <w:r w:rsidR="00D179D8">
        <w:rPr>
          <w:snapToGrid w:val="0"/>
          <w:u w:val="single"/>
        </w:rPr>
        <w:t>S</w:t>
      </w:r>
      <w:r>
        <w:rPr>
          <w:snapToGrid w:val="0"/>
          <w:u w:val="single"/>
        </w:rPr>
        <w:t xml:space="preserve">ection </w:t>
      </w:r>
      <w:r>
        <w:rPr>
          <w:snapToGrid w:val="0"/>
          <w:u w:val="single"/>
        </w:rPr>
        <w:fldChar w:fldCharType="begin"/>
      </w:r>
      <w:r>
        <w:rPr>
          <w:snapToGrid w:val="0"/>
          <w:u w:val="single"/>
        </w:rPr>
        <w:instrText xml:space="preserve">  REF _Ref448380664 \w \h \* MERGEFORMAT </w:instrText>
      </w:r>
      <w:r>
        <w:rPr>
          <w:snapToGrid w:val="0"/>
          <w:u w:val="single"/>
        </w:rPr>
        <w:fldChar w:fldCharType="separate"/>
      </w:r>
      <w:r w:rsidRPr="00BC1FC7" w:rsidR="00BC1FC7">
        <w:rPr>
          <w:snapToGrid w:val="0"/>
          <w:color w:val="000000"/>
          <w:u w:val="single"/>
        </w:rPr>
        <w:t>6.6</w:t>
      </w:r>
      <w:r>
        <w:rPr>
          <w:snapToGrid w:val="0"/>
          <w:u w:val="single"/>
        </w:rPr>
        <w:fldChar w:fldCharType="end"/>
      </w:r>
      <w:r>
        <w:rPr>
          <w:snapToGrid w:val="0"/>
        </w:rPr>
        <w:t xml:space="preserve"> shall be binding on all parties hereto, regardless of whether any such party has consented thereto. No waivers of or exceptions to any term, condition, or provision of this Agreement, in any one</w:t>
      </w:r>
      <w:r w:rsidR="00D179D8">
        <w:rPr>
          <w:snapToGrid w:val="0"/>
        </w:rPr>
        <w:t xml:space="preserve"> (1)</w:t>
      </w:r>
      <w:r>
        <w:rPr>
          <w:snapToGrid w:val="0"/>
        </w:rPr>
        <w:t xml:space="preserve"> or more instances, shall be deemed to be or construed as a further or continuing waiver of any such term, condition, or provision.</w:t>
      </w:r>
    </w:p>
    <w:p w:rsidR="00037C7E" w:rsidP="00D82735">
      <w:pPr>
        <w:pStyle w:val="StandardL2"/>
      </w:pPr>
      <w:bookmarkStart w:id="469" w:name="_Ref448380665"/>
      <w:bookmarkStart w:id="470" w:name="_Toc56499811"/>
      <w:r>
        <w:t>Severability</w:t>
      </w:r>
      <w:r>
        <w:rPr>
          <w:snapToGrid w:val="0"/>
        </w:rPr>
        <w:t>.</w:t>
      </w:r>
      <w:bookmarkEnd w:id="469"/>
      <w:bookmarkEnd w:id="470"/>
    </w:p>
    <w:p w:rsidR="00037C7E">
      <w:pPr>
        <w:pStyle w:val="StandardCont2"/>
      </w:pPr>
      <w:r>
        <w:rPr>
          <w:snapToGrid w:val="0"/>
        </w:rPr>
        <w:t xml:space="preserve">In case any one </w:t>
      </w:r>
      <w:r w:rsidR="00D179D8">
        <w:rPr>
          <w:snapToGrid w:val="0"/>
        </w:rPr>
        <w:t xml:space="preserve">(1) </w:t>
      </w:r>
      <w:r>
        <w:rPr>
          <w:snapToGrid w:val="0"/>
        </w:rPr>
        <w:t>or more of the provisions contained in this Agreement is for any reason held to be invalid, illegal or unenforceable in any respect, such invalidity, illegality, or unenforceability shall not affect any other provision of this Agreement, and such invalid, illegal, or unenforceable provision shall be reformed and construed so that it will be valid, legal, and enforceable to the maximum extent permitted by law.</w:t>
      </w:r>
    </w:p>
    <w:p w:rsidR="00037C7E">
      <w:pPr>
        <w:pStyle w:val="StandardL2"/>
      </w:pPr>
      <w:bookmarkStart w:id="471" w:name="_Ref448380666"/>
      <w:bookmarkStart w:id="472" w:name="_Toc56499812"/>
      <w:r>
        <w:t>Aggregation of Shares</w:t>
      </w:r>
      <w:r w:rsidR="00D179D8">
        <w:t>; Apportionment</w:t>
      </w:r>
      <w:r>
        <w:rPr>
          <w:snapToGrid w:val="0"/>
        </w:rPr>
        <w:t>.</w:t>
      </w:r>
      <w:bookmarkStart w:id="473" w:name="_Ref448380732"/>
      <w:r>
        <w:rPr>
          <w:rStyle w:val="FootnoteReference"/>
          <w:snapToGrid w:val="0"/>
          <w:u w:val="none"/>
        </w:rPr>
        <w:footnoteReference w:id="71"/>
      </w:r>
      <w:bookmarkEnd w:id="471"/>
      <w:bookmarkEnd w:id="472"/>
      <w:bookmarkEnd w:id="473"/>
    </w:p>
    <w:p w:rsidR="00037C7E">
      <w:pPr>
        <w:pStyle w:val="StandardCont2"/>
      </w:pPr>
      <w:r>
        <w:rPr>
          <w:snapToGrid w:val="0"/>
        </w:rPr>
        <w:t>All Registrable Securities held or acquired by Affiliates shall be aggregated together for the purpose of determining the availability of any rights under this</w:t>
      </w:r>
      <w:r w:rsidR="00D179D8">
        <w:rPr>
          <w:snapToGrid w:val="0"/>
        </w:rPr>
        <w:t xml:space="preserve"> Agreement and such Affiliated P</w:t>
      </w:r>
      <w:r>
        <w:rPr>
          <w:snapToGrid w:val="0"/>
        </w:rPr>
        <w:t>ersons may apportion such rights as among themselves in any manner they deem appropriate.</w:t>
      </w:r>
    </w:p>
    <w:p w:rsidR="00037C7E">
      <w:pPr>
        <w:pStyle w:val="StandardL2"/>
      </w:pPr>
      <w:bookmarkStart w:id="474" w:name="_Ref448380667"/>
      <w:bookmarkStart w:id="475" w:name="_Toc56499813"/>
      <w:r>
        <w:t>Additional Investors</w:t>
      </w:r>
      <w:r>
        <w:rPr>
          <w:snapToGrid w:val="0"/>
        </w:rPr>
        <w:t>.</w:t>
      </w:r>
      <w:bookmarkEnd w:id="474"/>
      <w:bookmarkEnd w:id="475"/>
    </w:p>
    <w:p w:rsidR="00037C7E">
      <w:pPr>
        <w:pStyle w:val="StandardCont2"/>
      </w:pPr>
      <w:r>
        <w:rPr>
          <w:snapToGrid w:val="0"/>
        </w:rPr>
        <w:t>Notwithstanding anything to the contrary contained herein, if the Company issues additional Class [_] Preferred Shares after the date hereof, [pursuant to the Purchase Agreement,]</w:t>
      </w:r>
      <w:r>
        <w:rPr>
          <w:rStyle w:val="FootnoteReference"/>
          <w:snapToGrid w:val="0"/>
        </w:rPr>
        <w:footnoteReference w:id="72"/>
      </w:r>
      <w:r>
        <w:rPr>
          <w:snapToGrid w:val="0"/>
        </w:rPr>
        <w:t xml:space="preserve"> any purchaser of such Class [_] Preferred Shares may become a party to this Agreement by executing and delivering an additional counterpart signature page to this Agreement, and thereafter shall be deemed an "Investor" for all purposes hereunder. No action or consent by the Investors shall be required for such joinder to this Agreement by such additional </w:t>
      </w:r>
      <w:r>
        <w:rPr>
          <w:snapToGrid w:val="0"/>
          <w:szCs w:val="16"/>
        </w:rPr>
        <w:t>Investor</w:t>
      </w:r>
      <w:r>
        <w:rPr>
          <w:snapToGrid w:val="0"/>
        </w:rPr>
        <w:t xml:space="preserve">, so long as such additional </w:t>
      </w:r>
      <w:r>
        <w:rPr>
          <w:snapToGrid w:val="0"/>
          <w:szCs w:val="16"/>
        </w:rPr>
        <w:t>Investor</w:t>
      </w:r>
      <w:r>
        <w:rPr>
          <w:snapToGrid w:val="0"/>
        </w:rPr>
        <w:t xml:space="preserve"> has agreed in writing to be bound by all of the obligations as an "Investor" hereunder.</w:t>
      </w:r>
    </w:p>
    <w:p w:rsidR="00037C7E">
      <w:pPr>
        <w:pStyle w:val="StandardL2"/>
      </w:pPr>
      <w:bookmarkStart w:id="476" w:name="_Ref448380668"/>
      <w:bookmarkStart w:id="477" w:name="_Toc56499814"/>
      <w:r>
        <w:t>Entire Agreement</w:t>
      </w:r>
      <w:r>
        <w:rPr>
          <w:snapToGrid w:val="0"/>
        </w:rPr>
        <w:t>.</w:t>
      </w:r>
      <w:bookmarkEnd w:id="476"/>
      <w:bookmarkEnd w:id="477"/>
    </w:p>
    <w:p w:rsidR="00037C7E">
      <w:pPr>
        <w:pStyle w:val="StandardCont2"/>
      </w:pPr>
      <w:r>
        <w:rPr>
          <w:snapToGrid w:val="0"/>
        </w:rPr>
        <w:t xml:space="preserve">This Agreement (including any Schedules hereto) </w:t>
      </w:r>
      <w:r w:rsidRPr="00CF55D2" w:rsidR="003D00BA">
        <w:rPr>
          <w:szCs w:val="24"/>
        </w:rPr>
        <w:t xml:space="preserve">[together with the other Transaction </w:t>
      </w:r>
      <w:r w:rsidR="003D00BA">
        <w:rPr>
          <w:szCs w:val="24"/>
        </w:rPr>
        <w:t>Agreements</w:t>
      </w:r>
      <w:r w:rsidRPr="00CF55D2" w:rsidR="003D00BA">
        <w:rPr>
          <w:szCs w:val="24"/>
        </w:rPr>
        <w:t xml:space="preserve"> (as defined in the Purchase Agreement)]</w:t>
      </w:r>
      <w:r>
        <w:rPr>
          <w:rStyle w:val="FootnoteReference"/>
          <w:rFonts w:eastAsiaTheme="majorEastAsia"/>
          <w:szCs w:val="24"/>
        </w:rPr>
        <w:footnoteReference w:id="73"/>
      </w:r>
      <w:r w:rsidRPr="00CF55D2" w:rsidR="003D00BA">
        <w:rPr>
          <w:szCs w:val="24"/>
        </w:rPr>
        <w:t>,</w:t>
      </w:r>
      <w:r w:rsidR="003D00BA">
        <w:rPr>
          <w:szCs w:val="24"/>
        </w:rPr>
        <w:t xml:space="preserve"> </w:t>
      </w:r>
      <w:r>
        <w:rPr>
          <w:snapToGrid w:val="0"/>
        </w:rPr>
        <w:t xml:space="preserve">constitutes the full and entire understanding and agreement </w:t>
      </w:r>
      <w:r>
        <w:rPr>
          <w:snapToGrid w:val="0"/>
          <w:szCs w:val="16"/>
        </w:rPr>
        <w:t>among</w:t>
      </w:r>
      <w:r>
        <w:rPr>
          <w:snapToGrid w:val="0"/>
        </w:rPr>
        <w:t xml:space="preserve"> the parties with respect to the subject matter hereof, and any other written or oral agreement relating to the subject matter hereof existing between the parties is expressly canceled. [Upon the effectiveness of this Agreement, the Prior Agreement shall be deemed amended and restated and superseded and replaced in its entirety by this Agreement, and shall be of no further force or effect.]</w:t>
      </w:r>
      <w:bookmarkStart w:id="478" w:name="_Ref448380733"/>
      <w:r>
        <w:rPr>
          <w:rStyle w:val="FootnoteReference"/>
          <w:snapToGrid w:val="0"/>
        </w:rPr>
        <w:footnoteReference w:id="74"/>
      </w:r>
      <w:bookmarkEnd w:id="478"/>
      <w:r w:rsidR="002F4BC0">
        <w:rPr>
          <w:snapToGrid w:val="0"/>
        </w:rPr>
        <w:t xml:space="preserve"> </w:t>
      </w:r>
    </w:p>
    <w:p w:rsidR="00037C7E">
      <w:pPr>
        <w:pStyle w:val="StandardL2"/>
      </w:pPr>
      <w:bookmarkStart w:id="479" w:name="_Ref448380669"/>
      <w:bookmarkStart w:id="480" w:name="_Toc56499815"/>
      <w:r>
        <w:t>Dispute Resolution</w:t>
      </w:r>
      <w:r>
        <w:rPr>
          <w:snapToGrid w:val="0"/>
          <w:szCs w:val="16"/>
        </w:rPr>
        <w:t>.</w:t>
      </w:r>
      <w:bookmarkEnd w:id="479"/>
      <w:bookmarkEnd w:id="480"/>
    </w:p>
    <w:p w:rsidR="00037C7E">
      <w:pPr>
        <w:pStyle w:val="StandardCont2"/>
      </w:pPr>
      <w:r>
        <w:rPr>
          <w:snapToGrid w:val="0"/>
        </w:rPr>
        <w:t xml:space="preserve">The parties </w:t>
      </w:r>
      <w:bookmarkStart w:id="481" w:name="DocXTextRef325"/>
      <w:r>
        <w:rPr>
          <w:snapToGrid w:val="0"/>
        </w:rPr>
        <w:t>(a)</w:t>
      </w:r>
      <w:bookmarkEnd w:id="481"/>
      <w:r>
        <w:rPr>
          <w:snapToGrid w:val="0"/>
        </w:rPr>
        <w:t xml:space="preserve"> hereby irrevocably and unconditionally submit to the jurisdiction of the courts of [</w:t>
      </w:r>
      <w:r>
        <w:rPr>
          <w:i/>
          <w:snapToGrid w:val="0"/>
        </w:rPr>
        <w:t>province/territory</w:t>
      </w:r>
      <w:r>
        <w:rPr>
          <w:snapToGrid w:val="0"/>
        </w:rPr>
        <w:t xml:space="preserve">] for the purpose of any suit, action or other proceeding arising out of or based upon this Agreement, </w:t>
      </w:r>
      <w:bookmarkStart w:id="482" w:name="DocXTextRef326"/>
      <w:r>
        <w:rPr>
          <w:snapToGrid w:val="0"/>
        </w:rPr>
        <w:t>(b)</w:t>
      </w:r>
      <w:bookmarkEnd w:id="482"/>
      <w:r>
        <w:rPr>
          <w:snapToGrid w:val="0"/>
        </w:rPr>
        <w:t xml:space="preserve"> agree not to commence any suit, action or other proceeding arising out of or based upon this Agreement except in the courts of [</w:t>
      </w:r>
      <w:r>
        <w:rPr>
          <w:i/>
          <w:snapToGrid w:val="0"/>
        </w:rPr>
        <w:t>province/territory</w:t>
      </w:r>
      <w:r>
        <w:rPr>
          <w:snapToGrid w:val="0"/>
        </w:rPr>
        <w:t xml:space="preserve">], and </w:t>
      </w:r>
      <w:bookmarkStart w:id="483" w:name="DocXTextRef327"/>
      <w:r>
        <w:rPr>
          <w:snapToGrid w:val="0"/>
        </w:rPr>
        <w:t>(c)</w:t>
      </w:r>
      <w:bookmarkEnd w:id="483"/>
      <w:r>
        <w:rPr>
          <w:snapToGrid w:val="0"/>
        </w:rPr>
        <w:t xml:space="preserve">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p>
    <w:p w:rsidR="00037C7E">
      <w:pPr>
        <w:pStyle w:val="StandardCont2"/>
      </w:pPr>
      <w:r>
        <w:rPr>
          <w:caps/>
        </w:rPr>
        <w:t>Waiver of Jury Trial</w:t>
      </w:r>
      <w:r>
        <w:t>:</w:t>
      </w:r>
      <w:r>
        <w:rPr>
          <w:b/>
        </w:rPr>
        <w:t xml:space="preserve"> </w:t>
      </w:r>
      <w:r>
        <w:t>EACH PARTY HEREBY WAIVES ITS RIGHTS TO A JURY TRIAL OF ANY CLAIM OR CAUSE OF ACTION BASED UPON OR ARISING 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OR DELICT CLAIMS (INCLUDING NEGLIGENCE), BREACH OF DUTY CLAIMS, AND ALL OTHER COMMON LAW, CIVIL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p>
    <w:p w:rsidR="00037C7E">
      <w:pPr>
        <w:pStyle w:val="StandardCont2"/>
      </w:pPr>
      <w:r>
        <w:t>[</w:t>
      </w:r>
      <w:r>
        <w:rPr>
          <w:i/>
        </w:rPr>
        <w:t>Alternative</w:t>
      </w:r>
      <w:r>
        <w:t>:</w:t>
      </w:r>
      <w:r>
        <w:rPr>
          <w:rStyle w:val="FootnoteReference"/>
        </w:rPr>
        <w:footnoteReference w:id="75"/>
      </w:r>
      <w:r>
        <w:t xml:space="preserve"> Any unresolved controversy or claim arising out of or relating to this Agreement, except as </w:t>
      </w:r>
      <w:bookmarkStart w:id="484" w:name="DocXTextRef328"/>
      <w:r>
        <w:t>(i)</w:t>
      </w:r>
      <w:bookmarkEnd w:id="484"/>
      <w:r>
        <w:t xml:space="preserve"> otherwise provided in this Agreement, or </w:t>
      </w:r>
      <w:bookmarkStart w:id="485" w:name="DocXTextRef329"/>
      <w:r>
        <w:t>(ii)</w:t>
      </w:r>
      <w:bookmarkEnd w:id="485"/>
      <w:r>
        <w:t xml:space="preserve">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thirty (30) days after names of potential arbitrators have been proposed by the </w:t>
      </w:r>
      <w:r w:rsidRPr="00247EA4" w:rsidR="00247EA4">
        <w:rPr>
          <w:b/>
        </w:rPr>
        <w:t>[</w:t>
      </w:r>
      <w:r w:rsidR="00247EA4">
        <w:rPr>
          <w:b/>
        </w:rPr>
        <w:t>American Arbitration Association/</w:t>
      </w:r>
      <w:r w:rsidRPr="00247EA4">
        <w:rPr>
          <w:b/>
        </w:rPr>
        <w:t>Canadian Arbitration Association</w:t>
      </w:r>
      <w:r w:rsidRPr="00247EA4" w:rsidR="00247EA4">
        <w:rPr>
          <w:b/>
        </w:rPr>
        <w:t>]</w:t>
      </w:r>
      <w:r>
        <w:t xml:space="preserve"> (the "</w:t>
      </w:r>
      <w:r w:rsidR="00247EA4">
        <w:rPr>
          <w:b/>
        </w:rPr>
        <w:t>[</w:t>
      </w:r>
      <w:r w:rsidR="001C48D8">
        <w:rPr>
          <w:b/>
        </w:rPr>
        <w:t>A</w:t>
      </w:r>
      <w:r>
        <w:rPr>
          <w:b/>
        </w:rPr>
        <w:t>AA</w:t>
      </w:r>
      <w:r w:rsidR="00247EA4">
        <w:rPr>
          <w:b/>
        </w:rPr>
        <w:t>]</w:t>
      </w:r>
      <w:r>
        <w:t xml:space="preserve">"), then by one arbitrator having reasonable experience in corporate finance transactions of the type provided for in this Agreement and who is chosen by the </w:t>
      </w:r>
      <w:r w:rsidR="001C48D8">
        <w:t>A</w:t>
      </w:r>
      <w:r>
        <w:t>AA. The arbitration shall take place in [</w:t>
      </w:r>
      <w:r>
        <w:rPr>
          <w:i/>
        </w:rPr>
        <w:t>location</w:t>
      </w:r>
      <w:r>
        <w:t xml:space="preserve">], in accordance with the </w:t>
      </w:r>
      <w:r w:rsidR="001C48D8">
        <w:t>A</w:t>
      </w:r>
      <w:r>
        <w:t xml:space="preserve">AA rules then in effect, and judgment upon any award rendered in such arbitration will be binding and may be entered in any court having jurisdiction thereof. There shall be limited discovery prior to the arbitration hearing as follows: </w:t>
      </w:r>
      <w:bookmarkStart w:id="486" w:name="DocXTextRef330"/>
      <w:r>
        <w:t>(a)</w:t>
      </w:r>
      <w:bookmarkEnd w:id="486"/>
      <w:r>
        <w:t xml:space="preserve"> exchange of witness lists and copies of documentary evidence and documents relating to or arising out of the issues to be arbitrated, </w:t>
      </w:r>
      <w:bookmarkStart w:id="487" w:name="DocXTextRef331"/>
      <w:r>
        <w:t>(b)</w:t>
      </w:r>
      <w:bookmarkEnd w:id="487"/>
      <w:r>
        <w:t xml:space="preserve"> depositions of all party witnesses and </w:t>
      </w:r>
      <w:bookmarkStart w:id="488" w:name="DocXTextRef332"/>
      <w:r>
        <w:t>(c)</w:t>
      </w:r>
      <w:bookmarkEnd w:id="488"/>
      <w:r>
        <w:t xml:space="preserve"> such other depositions as may be allowed by the arbitrators upon a showing of good cause. The arbitrator shall be required to provide in writing to the parties the basis for the award or order of such arbitrator, and a court reporter shall record all hearings, with such record constituting the official transcript of such proceedings.</w:t>
      </w:r>
    </w:p>
    <w:p w:rsidR="00037C7E">
      <w:pPr>
        <w:pStyle w:val="StandardCont2"/>
        <w:rPr>
          <w:color w:val="000000"/>
          <w:szCs w:val="16"/>
        </w:rPr>
      </w:pPr>
      <w:r>
        <w:t xml:space="preserve">Each party will bear its own costs in respect of any disputes arising under this Agreement. [The prevailing party shall be entitled to reasonable legal fees, costs, and necessary disbursements in addition to any other relief to which such party may be entitled.] </w:t>
      </w:r>
      <w:r w:rsidR="00AB391B">
        <w:t>[</w:t>
      </w:r>
      <w:r>
        <w:t>Each of the parties to this Agreement consents to personal jurisdiction for any equitable action sought in any court of competent jurisdiction.]</w:t>
      </w:r>
    </w:p>
    <w:p w:rsidR="00037C7E">
      <w:pPr>
        <w:pStyle w:val="StandardL2"/>
      </w:pPr>
      <w:bookmarkStart w:id="489" w:name="_Ref448380670"/>
      <w:bookmarkStart w:id="490" w:name="_Toc56499816"/>
      <w:r>
        <w:t>Delays or Omissions</w:t>
      </w:r>
      <w:r>
        <w:rPr>
          <w:snapToGrid w:val="0"/>
        </w:rPr>
        <w:t>.</w:t>
      </w:r>
      <w:bookmarkEnd w:id="489"/>
      <w:bookmarkEnd w:id="490"/>
    </w:p>
    <w:p w:rsidR="00037C7E">
      <w:pPr>
        <w:pStyle w:val="StandardCont2"/>
      </w:pPr>
      <w:r>
        <w:rPr>
          <w:snapToGrid w:val="0"/>
        </w:rPr>
        <w:t>No delay or omission to exercise any right, power, or remedy accruing to any party under this Agreement, upon any breach or default of any other party under this Agreement, shall impair any such right, power, or remedy of such nonbreaching or non</w:t>
      </w:r>
      <w:r w:rsidR="00DB04D8">
        <w:rPr>
          <w:snapToGrid w:val="0"/>
        </w:rPr>
        <w:t>-</w:t>
      </w:r>
      <w:r>
        <w:rPr>
          <w:snapToGrid w:val="0"/>
        </w:rPr>
        <w:t>defaulting party, nor shall it be construed to be a waiver of or acquiescence to any such breach or default, or to any similar breach or default thereafter occurring, nor shall any waiver of any single breach or default be deemed a waiver of any other breach or default theretofore or thereafter occurring. All remedies, whether under this Agreement or by law or otherwise afforded to any party, shall be cumulative and not alternative.</w:t>
      </w:r>
    </w:p>
    <w:p w:rsidR="00037C7E">
      <w:pPr>
        <w:pStyle w:val="StandardL2"/>
      </w:pPr>
      <w:bookmarkStart w:id="491" w:name="_Ref448380671"/>
      <w:bookmarkStart w:id="492" w:name="_Toc56499817"/>
      <w:r>
        <w:t>[Acknowledgment</w:t>
      </w:r>
      <w:r>
        <w:rPr>
          <w:snapToGrid w:val="0"/>
        </w:rPr>
        <w:t>.</w:t>
      </w:r>
      <w:bookmarkEnd w:id="491"/>
      <w:bookmarkEnd w:id="492"/>
    </w:p>
    <w:p w:rsidR="00037C7E">
      <w:pPr>
        <w:pStyle w:val="StandardCont2"/>
        <w:rPr>
          <w:snapToGrid w:val="0"/>
        </w:rPr>
      </w:pPr>
      <w:r>
        <w:rPr>
          <w:snapToGrid w:val="0"/>
        </w:rPr>
        <w:t>The Company acknowledges that the Investors are in the business of venture capital investing and therefore review the business plans and related proprietary information of many enterprises, including enterprises which may have products or services which compete directly or indirectly with those of the Company. Nothing in this Agreement shall preclude or in any way restrict the Investors from investing or participating in any particular enterprise whether or not such enterprise has products or services which compete with those of the Company.]</w:t>
      </w:r>
    </w:p>
    <w:p w:rsidR="009D1B07" w:rsidRPr="009D1B07" w:rsidP="009D1B07">
      <w:pPr>
        <w:pStyle w:val="StandardL2"/>
      </w:pPr>
      <w:bookmarkStart w:id="493" w:name="_Toc56499818"/>
      <w:r w:rsidRPr="009D1B07">
        <w:t>[Unanimous Shareholder Agreement</w:t>
      </w:r>
      <w:r>
        <w:rPr>
          <w:rStyle w:val="FootnoteReference"/>
          <w:snapToGrid w:val="0"/>
        </w:rPr>
        <w:footnoteReference w:id="76"/>
      </w:r>
      <w:bookmarkEnd w:id="493"/>
    </w:p>
    <w:p w:rsidR="009D1B07" w:rsidRPr="009D1B07" w:rsidP="009D1B07">
      <w:pPr>
        <w:pStyle w:val="StandardCont2"/>
        <w:rPr>
          <w:snapToGrid w:val="0"/>
        </w:rPr>
      </w:pPr>
      <w:r w:rsidRPr="009D1B07">
        <w:rPr>
          <w:snapToGrid w:val="0"/>
        </w:rPr>
        <w:t>This Agreement</w:t>
      </w:r>
      <w:r w:rsidR="00247EA4">
        <w:rPr>
          <w:snapToGrid w:val="0"/>
        </w:rPr>
        <w:t xml:space="preserve"> [, together with </w:t>
      </w:r>
      <w:r w:rsidR="00752618">
        <w:rPr>
          <w:snapToGrid w:val="0"/>
        </w:rPr>
        <w:t xml:space="preserve">[Amended and Restated] </w:t>
      </w:r>
      <w:r w:rsidR="00247EA4">
        <w:rPr>
          <w:snapToGrid w:val="0"/>
        </w:rPr>
        <w:t>Right of First Refusal and Co-Sale Agreement</w:t>
      </w:r>
      <w:r w:rsidR="004A137A">
        <w:rPr>
          <w:snapToGrid w:val="0"/>
        </w:rPr>
        <w:t xml:space="preserve"> and the </w:t>
      </w:r>
      <w:r w:rsidR="00752618">
        <w:rPr>
          <w:snapToGrid w:val="0"/>
        </w:rPr>
        <w:t xml:space="preserve">[Amended and Restated] </w:t>
      </w:r>
      <w:r w:rsidR="004A137A">
        <w:rPr>
          <w:snapToGrid w:val="0"/>
        </w:rPr>
        <w:t>Voting Agreement]</w:t>
      </w:r>
      <w:r w:rsidRPr="009D1B07">
        <w:rPr>
          <w:snapToGrid w:val="0"/>
        </w:rPr>
        <w:t xml:space="preserve"> </w:t>
      </w:r>
      <w:r w:rsidR="004A137A">
        <w:rPr>
          <w:snapToGrid w:val="0"/>
        </w:rPr>
        <w:t>shall be</w:t>
      </w:r>
      <w:r w:rsidRPr="009D1B07">
        <w:rPr>
          <w:snapToGrid w:val="0"/>
        </w:rPr>
        <w:t xml:space="preserve"> deemed to be a unanimous shareholder agreement within the meaning of the </w:t>
      </w:r>
      <w:r w:rsidR="00E41335">
        <w:rPr>
          <w:snapToGrid w:val="0"/>
        </w:rPr>
        <w:t>Act</w:t>
      </w:r>
      <w:r w:rsidR="007F5C42">
        <w:rPr>
          <w:snapToGrid w:val="0"/>
        </w:rPr>
        <w:t>]</w:t>
      </w:r>
      <w:r w:rsidRPr="009D1B07">
        <w:rPr>
          <w:snapToGrid w:val="0"/>
        </w:rPr>
        <w:t>.</w:t>
      </w:r>
    </w:p>
    <w:p w:rsidR="00037C7E">
      <w:pPr>
        <w:pStyle w:val="RemainderofPageText-CBI"/>
      </w:pPr>
      <w:r>
        <w:t>[</w:t>
      </w:r>
      <w:r w:rsidR="004A137A">
        <w:t>Signature Page Follows</w:t>
      </w:r>
      <w:r>
        <w:t>]</w:t>
      </w:r>
    </w:p>
    <w:p w:rsidR="00037C7E"/>
    <w:p w:rsidR="00037C7E">
      <w:pPr>
        <w:sectPr>
          <w:headerReference w:type="default" r:id="rId12"/>
          <w:footerReference w:type="default" r:id="rId13"/>
          <w:headerReference w:type="first" r:id="rId14"/>
          <w:footerReference w:type="first" r:id="rId15"/>
          <w:pgSz w:w="12240" w:h="15840" w:code="1"/>
          <w:pgMar w:top="1440" w:right="1440" w:bottom="1440" w:left="1440" w:header="720" w:footer="432" w:gutter="0"/>
          <w:pgNumType w:start="1"/>
          <w:cols w:space="720"/>
          <w:titlePg/>
          <w:docGrid w:linePitch="360"/>
        </w:sectPr>
      </w:pPr>
    </w:p>
    <w:p w:rsidR="00037C7E">
      <w:pPr>
        <w:pStyle w:val="BodyText-FLI-10"/>
      </w:pPr>
      <w:r>
        <w:t xml:space="preserve">IN WITNESS WHEREOF, the parties have executed this </w:t>
      </w:r>
      <w:r w:rsidR="001256C3">
        <w:t xml:space="preserve">[Amended and Restated] Investors’ Rights </w:t>
      </w:r>
      <w:r>
        <w:t>Agreement as of the date first written above.</w:t>
      </w:r>
    </w:p>
    <w:p w:rsidR="00037C7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0"/>
        <w:gridCol w:w="856"/>
        <w:gridCol w:w="3894"/>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00" w:type="dxa"/>
          </w:tcPr>
          <w:p w:rsidR="00037C7E">
            <w:pPr>
              <w:pStyle w:val="TblTxt-Basic"/>
            </w:pPr>
          </w:p>
        </w:tc>
        <w:tc>
          <w:tcPr>
            <w:tcW w:w="4750" w:type="dxa"/>
            <w:gridSpan w:val="2"/>
          </w:tcPr>
          <w:p w:rsidR="001256C3">
            <w:pPr>
              <w:pStyle w:val="TblTxt-Basic"/>
              <w:rPr>
                <w:szCs w:val="20"/>
              </w:rPr>
            </w:pPr>
            <w:r>
              <w:rPr>
                <w:szCs w:val="20"/>
              </w:rPr>
              <w:t>COMPANY</w:t>
            </w:r>
          </w:p>
          <w:p w:rsidR="001256C3" w:rsidRPr="001256C3">
            <w:pPr>
              <w:pStyle w:val="TblTxt-Basic"/>
              <w:rPr>
                <w:szCs w:val="20"/>
              </w:rPr>
            </w:pPr>
          </w:p>
          <w:p w:rsidR="00037C7E">
            <w:pPr>
              <w:pStyle w:val="TblTxt-Basic"/>
            </w:pPr>
            <w:r>
              <w:rPr>
                <w:i/>
                <w:szCs w:val="20"/>
              </w:rPr>
              <w:t>[Insert Company Name]</w:t>
            </w: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r>
              <w:t>By:</w:t>
            </w:r>
          </w:p>
        </w:tc>
        <w:tc>
          <w:tcPr>
            <w:tcW w:w="3894" w:type="dxa"/>
            <w:tcBorders>
              <w:bottom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Borders>
              <w:top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r>
              <w:t>Name:</w:t>
            </w:r>
          </w:p>
        </w:tc>
        <w:tc>
          <w:tcPr>
            <w:tcW w:w="3894" w:type="dxa"/>
            <w:tcBorders>
              <w:bottom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Borders>
              <w:top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r>
              <w:t>Title:</w:t>
            </w:r>
          </w:p>
        </w:tc>
        <w:tc>
          <w:tcPr>
            <w:tcW w:w="3894" w:type="dxa"/>
            <w:tcBorders>
              <w:bottom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Borders>
              <w:top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Pr>
          <w:p w:rsidR="00037C7E">
            <w:pPr>
              <w:pStyle w:val="TblTxt-Basic"/>
            </w:pPr>
          </w:p>
        </w:tc>
      </w:tr>
    </w:tbl>
    <w:p w:rsidR="00037C7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0"/>
        <w:gridCol w:w="856"/>
        <w:gridCol w:w="3894"/>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00" w:type="dxa"/>
          </w:tcPr>
          <w:p w:rsidR="00037C7E">
            <w:pPr>
              <w:pStyle w:val="TblTxt-Basic"/>
            </w:pPr>
          </w:p>
        </w:tc>
        <w:tc>
          <w:tcPr>
            <w:tcW w:w="4750" w:type="dxa"/>
            <w:gridSpan w:val="2"/>
          </w:tcPr>
          <w:p w:rsidR="00037C7E">
            <w:pPr>
              <w:pStyle w:val="TblTxt-Basic"/>
              <w:rPr>
                <w:iCs/>
              </w:rPr>
            </w:pPr>
            <w:r>
              <w:rPr>
                <w:iCs/>
                <w:szCs w:val="20"/>
              </w:rPr>
              <w:t>[</w:t>
            </w:r>
            <w:r w:rsidR="0041095D">
              <w:rPr>
                <w:iCs/>
                <w:szCs w:val="20"/>
              </w:rPr>
              <w:t>KEY HOLDERS</w:t>
            </w: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r>
              <w:t>By:</w:t>
            </w:r>
          </w:p>
        </w:tc>
        <w:tc>
          <w:tcPr>
            <w:tcW w:w="3894" w:type="dxa"/>
            <w:tcBorders>
              <w:bottom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Borders>
              <w:top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r>
              <w:t>Name:</w:t>
            </w:r>
          </w:p>
        </w:tc>
        <w:tc>
          <w:tcPr>
            <w:tcW w:w="3894" w:type="dxa"/>
            <w:tcBorders>
              <w:bottom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Borders>
              <w:top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r>
              <w:t>Title:</w:t>
            </w:r>
          </w:p>
        </w:tc>
        <w:tc>
          <w:tcPr>
            <w:tcW w:w="3894" w:type="dxa"/>
            <w:tcBorders>
              <w:bottom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Borders>
              <w:top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r>
              <w:t>]</w:t>
            </w:r>
          </w:p>
        </w:tc>
        <w:tc>
          <w:tcPr>
            <w:tcW w:w="3894" w:type="dxa"/>
          </w:tcPr>
          <w:p w:rsidR="00037C7E">
            <w:pPr>
              <w:pStyle w:val="TblTxt-Basic"/>
            </w:pPr>
          </w:p>
        </w:tc>
      </w:tr>
    </w:tbl>
    <w:p w:rsidR="00037C7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0"/>
        <w:gridCol w:w="856"/>
        <w:gridCol w:w="3894"/>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00" w:type="dxa"/>
          </w:tcPr>
          <w:p w:rsidR="00037C7E">
            <w:pPr>
              <w:pStyle w:val="TblTxt-Basic"/>
            </w:pPr>
          </w:p>
        </w:tc>
        <w:tc>
          <w:tcPr>
            <w:tcW w:w="4750" w:type="dxa"/>
            <w:gridSpan w:val="2"/>
          </w:tcPr>
          <w:p w:rsidR="00037C7E">
            <w:pPr>
              <w:pStyle w:val="TblTxt-Basic"/>
              <w:rPr>
                <w:iCs/>
              </w:rPr>
            </w:pPr>
            <w:r>
              <w:rPr>
                <w:iCs/>
                <w:szCs w:val="20"/>
              </w:rPr>
              <w:t>INVESTORS</w:t>
            </w:r>
            <w:r>
              <w:rPr>
                <w:rStyle w:val="FootnoteReference"/>
              </w:rPr>
              <w:footnoteReference w:id="77"/>
            </w: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r>
              <w:t>By:</w:t>
            </w:r>
          </w:p>
        </w:tc>
        <w:tc>
          <w:tcPr>
            <w:tcW w:w="3894" w:type="dxa"/>
            <w:tcBorders>
              <w:bottom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Borders>
              <w:top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r>
              <w:t>Name:</w:t>
            </w:r>
          </w:p>
        </w:tc>
        <w:tc>
          <w:tcPr>
            <w:tcW w:w="3894" w:type="dxa"/>
            <w:tcBorders>
              <w:bottom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Borders>
              <w:top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r>
              <w:t>Title:</w:t>
            </w:r>
          </w:p>
        </w:tc>
        <w:tc>
          <w:tcPr>
            <w:tcW w:w="3894" w:type="dxa"/>
            <w:tcBorders>
              <w:bottom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Borders>
              <w:top w:val="single" w:sz="4" w:space="0" w:color="auto"/>
            </w:tcBorders>
          </w:tcPr>
          <w:p w:rsidR="00037C7E">
            <w:pPr>
              <w:pStyle w:val="TblTxt-Basic"/>
            </w:pPr>
          </w:p>
        </w:tc>
      </w:tr>
      <w:tr>
        <w:tblPrEx>
          <w:tblW w:w="0" w:type="auto"/>
          <w:tblLook w:val="04A0"/>
        </w:tblPrEx>
        <w:tc>
          <w:tcPr>
            <w:tcW w:w="4600" w:type="dxa"/>
          </w:tcPr>
          <w:p w:rsidR="00037C7E">
            <w:pPr>
              <w:pStyle w:val="TblTxt-Basic"/>
            </w:pPr>
          </w:p>
        </w:tc>
        <w:tc>
          <w:tcPr>
            <w:tcW w:w="856" w:type="dxa"/>
          </w:tcPr>
          <w:p w:rsidR="00037C7E">
            <w:pPr>
              <w:pStyle w:val="TblTxt-Basic"/>
            </w:pPr>
          </w:p>
        </w:tc>
        <w:tc>
          <w:tcPr>
            <w:tcW w:w="3894" w:type="dxa"/>
          </w:tcPr>
          <w:p w:rsidR="00037C7E">
            <w:pPr>
              <w:pStyle w:val="TblTxt-Basic"/>
            </w:pPr>
          </w:p>
        </w:tc>
      </w:tr>
    </w:tbl>
    <w:p w:rsidR="00037C7E"/>
    <w:p w:rsidR="00037C7E">
      <w:pPr>
        <w:sectPr>
          <w:headerReference w:type="first" r:id="rId16"/>
          <w:footerReference w:type="first" r:id="rId17"/>
          <w:pgSz w:w="12240" w:h="15840" w:code="1"/>
          <w:pgMar w:top="1440" w:right="1440" w:bottom="1440" w:left="1440" w:header="720" w:footer="432" w:gutter="0"/>
          <w:pgNumType w:start="1"/>
          <w:cols w:space="720"/>
          <w:titlePg/>
          <w:docGrid w:linePitch="360"/>
        </w:sectPr>
      </w:pPr>
    </w:p>
    <w:p w:rsidR="00037C7E">
      <w:pPr>
        <w:pStyle w:val="ScheduleL1"/>
      </w:pPr>
      <w:r>
        <w:br/>
      </w:r>
      <w:r>
        <w:br/>
      </w:r>
      <w:bookmarkStart w:id="494" w:name="_Ref448380672"/>
      <w:bookmarkStart w:id="495" w:name="_Toc56499819"/>
      <w:r>
        <w:t>Investors</w:t>
      </w:r>
      <w:bookmarkEnd w:id="494"/>
      <w:bookmarkEnd w:id="495"/>
    </w:p>
    <w:tbl>
      <w:tblPr>
        <w:tblW w:w="5000" w:type="pct"/>
        <w:tblLook w:val="0000"/>
      </w:tblPr>
      <w:tblGrid>
        <w:gridCol w:w="9360"/>
      </w:tblGrid>
      <w:tr w:rsidTr="00F06AE2">
        <w:tblPrEx>
          <w:tblW w:w="5000" w:type="pct"/>
          <w:tblLook w:val="0000"/>
        </w:tblPrEx>
        <w:tc>
          <w:tcPr>
            <w:tcW w:w="5000" w:type="pct"/>
          </w:tcPr>
          <w:p w:rsidR="00273322" w:rsidRPr="00D569F3" w:rsidP="00F06AE2">
            <w:pPr>
              <w:rPr>
                <w:b/>
                <w:u w:val="single"/>
              </w:rPr>
            </w:pPr>
            <w:r w:rsidRPr="00D569F3">
              <w:rPr>
                <w:b/>
                <w:u w:val="single"/>
              </w:rPr>
              <w:t>Name and Address</w:t>
            </w:r>
          </w:p>
        </w:tc>
      </w:tr>
      <w:tr w:rsidTr="00F06AE2">
        <w:tblPrEx>
          <w:tblW w:w="5000" w:type="pct"/>
          <w:tblLook w:val="0000"/>
        </w:tblPrEx>
        <w:tc>
          <w:tcPr>
            <w:tcW w:w="5000" w:type="pct"/>
          </w:tcPr>
          <w:p w:rsidR="00273322" w:rsidRPr="00D569F3" w:rsidP="00F06AE2"/>
        </w:tc>
      </w:tr>
      <w:tr w:rsidTr="00F06AE2">
        <w:tblPrEx>
          <w:tblW w:w="5000" w:type="pct"/>
          <w:tblLook w:val="0000"/>
        </w:tblPrEx>
        <w:trPr>
          <w:trHeight w:val="1413"/>
        </w:trPr>
        <w:tc>
          <w:tcPr>
            <w:tcW w:w="5000" w:type="pct"/>
          </w:tcPr>
          <w:p w:rsidR="00273322" w:rsidRPr="00B9388A" w:rsidP="00F06AE2">
            <w:r w:rsidRPr="00B9388A">
              <w:t>Investor Name</w:t>
            </w:r>
          </w:p>
          <w:p w:rsidR="00273322" w:rsidRPr="00B9388A" w:rsidP="00F06AE2">
            <w:r w:rsidRPr="00B9388A">
              <w:t>Address</w:t>
            </w:r>
          </w:p>
          <w:p w:rsidR="00273322" w:rsidRPr="00B9388A" w:rsidP="00F06AE2">
            <w:r w:rsidRPr="00B9388A">
              <w:t>Phone Number</w:t>
            </w:r>
          </w:p>
          <w:p w:rsidR="00273322" w:rsidRPr="00B9388A" w:rsidP="00F06AE2">
            <w:r w:rsidRPr="00B9388A">
              <w:t>Email</w:t>
            </w:r>
          </w:p>
          <w:p w:rsidR="00273322" w:rsidRPr="00B9388A" w:rsidP="00F06AE2">
            <w:r w:rsidRPr="00B9388A">
              <w:t>[Counsel cc, if any]]</w:t>
            </w:r>
          </w:p>
          <w:p w:rsidR="00273322" w:rsidRPr="00D569F3" w:rsidP="00F06AE2"/>
        </w:tc>
      </w:tr>
      <w:tr w:rsidTr="00F06AE2">
        <w:tblPrEx>
          <w:tblW w:w="5000" w:type="pct"/>
          <w:tblLook w:val="0000"/>
        </w:tblPrEx>
        <w:trPr>
          <w:trHeight w:val="1413"/>
        </w:trPr>
        <w:tc>
          <w:tcPr>
            <w:tcW w:w="5000" w:type="pct"/>
          </w:tcPr>
          <w:p w:rsidR="00273322" w:rsidRPr="00B9388A" w:rsidP="00F06AE2">
            <w:r w:rsidRPr="00B9388A">
              <w:t>Investor Name</w:t>
            </w:r>
          </w:p>
          <w:p w:rsidR="00273322" w:rsidRPr="00B9388A" w:rsidP="00F06AE2">
            <w:r w:rsidRPr="00B9388A">
              <w:t>Address</w:t>
            </w:r>
          </w:p>
          <w:p w:rsidR="00273322" w:rsidRPr="00B9388A" w:rsidP="00F06AE2">
            <w:r w:rsidRPr="00B9388A">
              <w:t>Phone Number</w:t>
            </w:r>
          </w:p>
          <w:p w:rsidR="00273322" w:rsidRPr="00B9388A" w:rsidP="00F06AE2">
            <w:r w:rsidRPr="00B9388A">
              <w:t>Email</w:t>
            </w:r>
          </w:p>
          <w:p w:rsidR="00273322" w:rsidRPr="00B9388A" w:rsidP="00F06AE2">
            <w:r w:rsidRPr="00B9388A">
              <w:t>[Counsel cc, if any]]</w:t>
            </w:r>
          </w:p>
          <w:p w:rsidR="00273322" w:rsidRPr="00B9388A" w:rsidP="00F06AE2"/>
        </w:tc>
      </w:tr>
      <w:tr w:rsidTr="00F06AE2">
        <w:tblPrEx>
          <w:tblW w:w="5000" w:type="pct"/>
          <w:tblLook w:val="0000"/>
        </w:tblPrEx>
        <w:trPr>
          <w:trHeight w:val="1413"/>
        </w:trPr>
        <w:tc>
          <w:tcPr>
            <w:tcW w:w="5000" w:type="pct"/>
          </w:tcPr>
          <w:p w:rsidR="00273322" w:rsidRPr="00B9388A" w:rsidP="00F06AE2">
            <w:r w:rsidRPr="00B9388A">
              <w:t>Investor Name</w:t>
            </w:r>
          </w:p>
          <w:p w:rsidR="00273322" w:rsidRPr="00B9388A" w:rsidP="00F06AE2">
            <w:r w:rsidRPr="00B9388A">
              <w:t>Address</w:t>
            </w:r>
          </w:p>
          <w:p w:rsidR="00273322" w:rsidRPr="00B9388A" w:rsidP="00F06AE2">
            <w:r w:rsidRPr="00B9388A">
              <w:t>Phone Number</w:t>
            </w:r>
          </w:p>
          <w:p w:rsidR="00273322" w:rsidRPr="00B9388A" w:rsidP="00F06AE2">
            <w:r w:rsidRPr="00B9388A">
              <w:t>Email</w:t>
            </w:r>
          </w:p>
          <w:p w:rsidR="00273322" w:rsidRPr="00B9388A" w:rsidP="00F06AE2">
            <w:r w:rsidRPr="00B9388A">
              <w:t>[Counsel cc, if any]]</w:t>
            </w:r>
          </w:p>
          <w:p w:rsidR="00273322" w:rsidRPr="00B9388A" w:rsidP="00F06AE2"/>
        </w:tc>
      </w:tr>
    </w:tbl>
    <w:p w:rsidR="00037C7E"/>
    <w:p w:rsidR="00037C7E">
      <w:pPr>
        <w:sectPr>
          <w:headerReference w:type="first" r:id="rId18"/>
          <w:footerReference w:type="first" r:id="rId19"/>
          <w:pgSz w:w="12240" w:h="15840" w:code="1"/>
          <w:pgMar w:top="1440" w:right="1440" w:bottom="1440" w:left="1440" w:header="720" w:footer="432" w:gutter="0"/>
          <w:pgNumType w:start="1"/>
          <w:cols w:space="720"/>
          <w:titlePg/>
          <w:docGrid w:linePitch="360"/>
        </w:sectPr>
      </w:pPr>
    </w:p>
    <w:p w:rsidR="00037C7E">
      <w:pPr>
        <w:pStyle w:val="ScheduleL1"/>
        <w:rPr>
          <w:color w:val="000000"/>
        </w:rPr>
      </w:pPr>
      <w:r>
        <w:br/>
      </w:r>
      <w:r>
        <w:br/>
      </w:r>
      <w:bookmarkStart w:id="496" w:name="_Ref448380673"/>
      <w:bookmarkStart w:id="497" w:name="_Toc56499820"/>
      <w:r>
        <w:t>Key Holders]</w:t>
      </w:r>
      <w:bookmarkEnd w:id="496"/>
      <w:bookmarkEnd w:id="497"/>
    </w:p>
    <w:tbl>
      <w:tblPr>
        <w:tblW w:w="5000" w:type="pct"/>
        <w:tblLook w:val="0000"/>
      </w:tblPr>
      <w:tblGrid>
        <w:gridCol w:w="9360"/>
      </w:tblGrid>
      <w:tr w:rsidTr="00F06AE2">
        <w:tblPrEx>
          <w:tblW w:w="5000" w:type="pct"/>
          <w:tblLook w:val="0000"/>
        </w:tblPrEx>
        <w:tc>
          <w:tcPr>
            <w:tcW w:w="5000" w:type="pct"/>
          </w:tcPr>
          <w:p w:rsidR="00273322" w:rsidRPr="0043440B" w:rsidP="00F06AE2">
            <w:pPr>
              <w:widowControl w:val="0"/>
              <w:shd w:val="clear" w:color="auto" w:fill="FFFFFF"/>
              <w:autoSpaceDE w:val="0"/>
              <w:autoSpaceDN w:val="0"/>
              <w:rPr>
                <w:b/>
                <w:u w:val="single"/>
              </w:rPr>
            </w:pPr>
            <w:r w:rsidRPr="0043440B">
              <w:rPr>
                <w:b/>
                <w:u w:val="single"/>
              </w:rPr>
              <w:t>Name and Address</w:t>
            </w:r>
          </w:p>
        </w:tc>
      </w:tr>
      <w:tr w:rsidTr="00F06AE2">
        <w:tblPrEx>
          <w:tblW w:w="5000" w:type="pct"/>
          <w:tblLook w:val="0000"/>
        </w:tblPrEx>
        <w:tc>
          <w:tcPr>
            <w:tcW w:w="5000" w:type="pct"/>
          </w:tcPr>
          <w:p w:rsidR="00273322" w:rsidRPr="0043440B" w:rsidP="00F06AE2">
            <w:pPr>
              <w:widowControl w:val="0"/>
              <w:shd w:val="clear" w:color="auto" w:fill="FFFFFF"/>
              <w:autoSpaceDE w:val="0"/>
              <w:autoSpaceDN w:val="0"/>
            </w:pPr>
          </w:p>
        </w:tc>
      </w:tr>
      <w:tr w:rsidTr="00F06AE2">
        <w:tblPrEx>
          <w:tblW w:w="5000" w:type="pct"/>
          <w:tblLook w:val="0000"/>
        </w:tblPrEx>
        <w:trPr>
          <w:trHeight w:val="414"/>
        </w:trPr>
        <w:tc>
          <w:tcPr>
            <w:tcW w:w="5000" w:type="pct"/>
          </w:tcPr>
          <w:p w:rsidR="00273322" w:rsidRPr="0043440B" w:rsidP="00F06AE2">
            <w:pPr>
              <w:widowControl w:val="0"/>
              <w:shd w:val="clear" w:color="auto" w:fill="FFFFFF"/>
              <w:tabs>
                <w:tab w:val="left" w:pos="6570"/>
              </w:tabs>
              <w:autoSpaceDE w:val="0"/>
              <w:autoSpaceDN w:val="0"/>
            </w:pPr>
            <w:r w:rsidRPr="0043440B">
              <w:t>[Key Holder Name</w:t>
            </w:r>
          </w:p>
          <w:p w:rsidR="00273322" w:rsidRPr="0043440B" w:rsidP="00F06AE2">
            <w:pPr>
              <w:widowControl w:val="0"/>
              <w:shd w:val="clear" w:color="auto" w:fill="FFFFFF"/>
              <w:tabs>
                <w:tab w:val="left" w:pos="6570"/>
              </w:tabs>
              <w:autoSpaceDE w:val="0"/>
              <w:autoSpaceDN w:val="0"/>
            </w:pPr>
            <w:r w:rsidRPr="0043440B">
              <w:t>Address</w:t>
            </w:r>
          </w:p>
          <w:p w:rsidR="00273322" w:rsidRPr="0043440B" w:rsidP="00F06AE2">
            <w:pPr>
              <w:widowControl w:val="0"/>
              <w:shd w:val="clear" w:color="auto" w:fill="FFFFFF"/>
              <w:autoSpaceDE w:val="0"/>
              <w:autoSpaceDN w:val="0"/>
            </w:pPr>
            <w:r w:rsidRPr="0043440B">
              <w:t>Phone Number</w:t>
            </w:r>
          </w:p>
          <w:p w:rsidR="00273322" w:rsidRPr="0043440B" w:rsidP="00F06AE2">
            <w:pPr>
              <w:widowControl w:val="0"/>
              <w:shd w:val="clear" w:color="auto" w:fill="FFFFFF"/>
              <w:autoSpaceDE w:val="0"/>
              <w:autoSpaceDN w:val="0"/>
            </w:pPr>
            <w:r w:rsidRPr="0043440B">
              <w:t>Email]</w:t>
            </w:r>
          </w:p>
          <w:p w:rsidR="00273322" w:rsidRPr="0043440B" w:rsidP="00F06AE2">
            <w:pPr>
              <w:widowControl w:val="0"/>
              <w:shd w:val="clear" w:color="auto" w:fill="FFFFFF"/>
              <w:autoSpaceDE w:val="0"/>
              <w:autoSpaceDN w:val="0"/>
            </w:pPr>
          </w:p>
        </w:tc>
      </w:tr>
      <w:tr w:rsidTr="00F06AE2">
        <w:tblPrEx>
          <w:tblW w:w="5000" w:type="pct"/>
          <w:tblLook w:val="0000"/>
        </w:tblPrEx>
        <w:trPr>
          <w:trHeight w:val="414"/>
        </w:trPr>
        <w:tc>
          <w:tcPr>
            <w:tcW w:w="5000" w:type="pct"/>
          </w:tcPr>
          <w:p w:rsidR="00273322" w:rsidRPr="0043440B" w:rsidP="00F06AE2">
            <w:pPr>
              <w:widowControl w:val="0"/>
              <w:shd w:val="clear" w:color="auto" w:fill="FFFFFF"/>
              <w:tabs>
                <w:tab w:val="left" w:pos="6570"/>
              </w:tabs>
              <w:autoSpaceDE w:val="0"/>
              <w:autoSpaceDN w:val="0"/>
            </w:pPr>
            <w:r w:rsidRPr="0043440B">
              <w:t>[Key Holder Name</w:t>
            </w:r>
          </w:p>
          <w:p w:rsidR="00273322" w:rsidRPr="0043440B" w:rsidP="00F06AE2">
            <w:pPr>
              <w:widowControl w:val="0"/>
              <w:shd w:val="clear" w:color="auto" w:fill="FFFFFF"/>
              <w:tabs>
                <w:tab w:val="left" w:pos="6570"/>
              </w:tabs>
              <w:autoSpaceDE w:val="0"/>
              <w:autoSpaceDN w:val="0"/>
            </w:pPr>
            <w:r w:rsidRPr="0043440B">
              <w:t>Address</w:t>
            </w:r>
          </w:p>
          <w:p w:rsidR="00273322" w:rsidRPr="0043440B" w:rsidP="00F06AE2">
            <w:pPr>
              <w:widowControl w:val="0"/>
              <w:shd w:val="clear" w:color="auto" w:fill="FFFFFF"/>
              <w:autoSpaceDE w:val="0"/>
              <w:autoSpaceDN w:val="0"/>
            </w:pPr>
            <w:r w:rsidRPr="0043440B">
              <w:t>Phone Number</w:t>
            </w:r>
          </w:p>
          <w:p w:rsidR="00273322" w:rsidRPr="0043440B" w:rsidP="00F06AE2">
            <w:pPr>
              <w:widowControl w:val="0"/>
              <w:shd w:val="clear" w:color="auto" w:fill="FFFFFF"/>
              <w:autoSpaceDE w:val="0"/>
              <w:autoSpaceDN w:val="0"/>
            </w:pPr>
            <w:r w:rsidRPr="0043440B">
              <w:t>Email]</w:t>
            </w:r>
          </w:p>
          <w:p w:rsidR="00273322" w:rsidRPr="0043440B" w:rsidP="00F06AE2">
            <w:pPr>
              <w:widowControl w:val="0"/>
              <w:shd w:val="clear" w:color="auto" w:fill="FFFFFF"/>
              <w:tabs>
                <w:tab w:val="left" w:pos="6570"/>
              </w:tabs>
              <w:autoSpaceDE w:val="0"/>
              <w:autoSpaceDN w:val="0"/>
            </w:pPr>
          </w:p>
        </w:tc>
      </w:tr>
      <w:tr w:rsidTr="00F06AE2">
        <w:tblPrEx>
          <w:tblW w:w="5000" w:type="pct"/>
          <w:tblLook w:val="0000"/>
        </w:tblPrEx>
        <w:trPr>
          <w:trHeight w:val="414"/>
        </w:trPr>
        <w:tc>
          <w:tcPr>
            <w:tcW w:w="5000" w:type="pct"/>
          </w:tcPr>
          <w:p w:rsidR="00273322" w:rsidRPr="0043440B" w:rsidP="00F06AE2">
            <w:pPr>
              <w:widowControl w:val="0"/>
              <w:shd w:val="clear" w:color="auto" w:fill="FFFFFF"/>
              <w:tabs>
                <w:tab w:val="left" w:pos="6570"/>
              </w:tabs>
              <w:autoSpaceDE w:val="0"/>
              <w:autoSpaceDN w:val="0"/>
            </w:pPr>
            <w:r w:rsidRPr="0043440B">
              <w:t>[Key Holder Name</w:t>
            </w:r>
          </w:p>
          <w:p w:rsidR="00273322" w:rsidRPr="0043440B" w:rsidP="00F06AE2">
            <w:pPr>
              <w:widowControl w:val="0"/>
              <w:shd w:val="clear" w:color="auto" w:fill="FFFFFF"/>
              <w:tabs>
                <w:tab w:val="left" w:pos="6570"/>
              </w:tabs>
              <w:autoSpaceDE w:val="0"/>
              <w:autoSpaceDN w:val="0"/>
            </w:pPr>
            <w:r w:rsidRPr="0043440B">
              <w:t>Address</w:t>
            </w:r>
          </w:p>
          <w:p w:rsidR="00273322" w:rsidRPr="0043440B" w:rsidP="00F06AE2">
            <w:pPr>
              <w:widowControl w:val="0"/>
              <w:shd w:val="clear" w:color="auto" w:fill="FFFFFF"/>
              <w:autoSpaceDE w:val="0"/>
              <w:autoSpaceDN w:val="0"/>
            </w:pPr>
            <w:r w:rsidRPr="0043440B">
              <w:t>Phone Number</w:t>
            </w:r>
          </w:p>
          <w:p w:rsidR="00273322" w:rsidRPr="0043440B" w:rsidP="00F06AE2">
            <w:pPr>
              <w:widowControl w:val="0"/>
              <w:shd w:val="clear" w:color="auto" w:fill="FFFFFF"/>
              <w:autoSpaceDE w:val="0"/>
              <w:autoSpaceDN w:val="0"/>
            </w:pPr>
            <w:r w:rsidRPr="0043440B">
              <w:t>Email]</w:t>
            </w:r>
          </w:p>
          <w:p w:rsidR="00273322" w:rsidRPr="0043440B" w:rsidP="00F06AE2">
            <w:pPr>
              <w:widowControl w:val="0"/>
              <w:shd w:val="clear" w:color="auto" w:fill="FFFFFF"/>
              <w:tabs>
                <w:tab w:val="left" w:pos="6570"/>
              </w:tabs>
              <w:autoSpaceDE w:val="0"/>
              <w:autoSpaceDN w:val="0"/>
            </w:pPr>
          </w:p>
        </w:tc>
      </w:tr>
    </w:tbl>
    <w:p w:rsidR="00273322"/>
    <w:p w:rsidR="00273322" w:rsidRPr="00273322" w:rsidP="00273322"/>
    <w:p w:rsidR="00273322" w:rsidRPr="00273322" w:rsidP="00273322"/>
    <w:p w:rsidR="00273322" w:rsidRPr="00273322" w:rsidP="00273322"/>
    <w:p w:rsidR="00273322" w:rsidRPr="00273322" w:rsidP="00273322"/>
    <w:p w:rsidR="00273322" w:rsidRPr="00273322" w:rsidP="00273322"/>
    <w:p w:rsidR="00273322" w:rsidRPr="00273322" w:rsidP="00273322"/>
    <w:p w:rsidR="00273322" w:rsidRPr="00273322" w:rsidP="00273322"/>
    <w:p w:rsidR="00273322" w:rsidRPr="00273322" w:rsidP="00273322"/>
    <w:p w:rsidR="00273322" w:rsidRPr="00273322" w:rsidP="00273322"/>
    <w:p w:rsidR="00273322" w:rsidRPr="00273322" w:rsidP="00273322"/>
    <w:p w:rsidR="00273322" w:rsidRPr="00273322" w:rsidP="00273322"/>
    <w:p w:rsidR="00273322" w:rsidP="00273322"/>
    <w:p w:rsidR="00037C7E" w:rsidP="00273322">
      <w:pPr>
        <w:tabs>
          <w:tab w:val="left" w:pos="3492"/>
        </w:tabs>
      </w:pPr>
      <w:r>
        <w:tab/>
      </w:r>
    </w:p>
    <w:sectPr>
      <w:headerReference w:type="first" r:id="rId20"/>
      <w:footerReference w:type="first" r:id="rId21"/>
      <w:pgSz w:w="12240" w:h="15840" w:code="1"/>
      <w:pgMar w:top="1440" w:right="1440" w:bottom="1440" w:left="1440" w:header="720" w:footer="432"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B33" w:rsidRPr="00CF5938" w:rsidP="00CF5938">
    <w:pPr>
      <w:pStyle w:val="Footer"/>
    </w:pPr>
    <w:r>
      <w:rPr>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ge">
                <wp:align>bottom</wp:align>
              </wp:positionV>
              <wp:extent cx="2560320" cy="640080"/>
              <wp:effectExtent l="0" t="0" r="11430" b="762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0" cy="6400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F5938" w:rsidP="00CF5938">
                          <w:pPr>
                            <w:pStyle w:val="MacPacTrailer"/>
                            <w:spacing w:line="20" w:lineRule="exact"/>
                          </w:pPr>
                        </w:p>
                        <w:p w:rsidR="00CF5938">
                          <w:pPr>
                            <w:pStyle w:val="MacPacTrailer"/>
                          </w:pPr>
                          <w:r>
                            <w:t>WSLEGAL\058404\00011\12879166v6</w:t>
                          </w:r>
                        </w:p>
                        <w:p w:rsidR="00CF5938" w:rsidP="00CF5938">
                          <w:pPr>
                            <w:pStyle w:val="MacPacTrailer"/>
                            <w:spacing w:line="20" w:lineRule="exact"/>
                          </w:pPr>
                        </w:p>
                        <w:p w:rsidR="00CF5938" w:rsidP="00CF5938">
                          <w:pPr>
                            <w:pStyle w:val="MacPacTrailer"/>
                            <w:spacing w:line="20" w:lineRule="exac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F5938" w:rsidP="00CF5938">
                    <w:pPr>
                      <w:pStyle w:val="MacPacTrailer"/>
                      <w:spacing w:line="20" w:lineRule="exact"/>
                    </w:pPr>
                  </w:p>
                  <w:p w:rsidR="00CF5938">
                    <w:pPr>
                      <w:pStyle w:val="MacPacTrailer"/>
                    </w:pPr>
                    <w:r>
                      <w:t>WSLEGAL\058404\00011\12879166v6</w:t>
                    </w:r>
                  </w:p>
                  <w:p w:rsidR="00CF5938" w:rsidP="00CF5938">
                    <w:pPr>
                      <w:pStyle w:val="MacPacTrailer"/>
                      <w:spacing w:line="20" w:lineRule="exact"/>
                    </w:pPr>
                  </w:p>
                  <w:p w:rsidR="00CF5938" w:rsidP="00CF5938">
                    <w:pPr>
                      <w:pStyle w:val="MacPacTrailer"/>
                      <w:spacing w:line="20" w:lineRule="exact"/>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938">
    <w:pPr>
      <w:pStyle w:val="Footer"/>
      <w:ind w:left="-144"/>
    </w:pPr>
    <w:r>
      <w:tab/>
    </w:r>
    <w:r>
      <w:tab/>
      <w:t>Canadian Version</w:t>
    </w:r>
    <w:r>
      <w:br/>
    </w:r>
    <w:r>
      <w:tab/>
    </w:r>
    <w:r>
      <w:tab/>
      <w:t xml:space="preserve">Last Update: </w:t>
    </w:r>
    <w:r w:rsidR="00C364FE">
      <w:t>Novem</w:t>
    </w:r>
    <w:r>
      <w:t>ber 2020</w:t>
    </w:r>
  </w:p>
  <w:p w:rsidR="00CF5938">
    <w:pPr>
      <w:pStyle w:val="Footer"/>
      <w:ind w:left="-144"/>
    </w:pPr>
    <w:r>
      <w:rPr>
        <w:noProof/>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ge">
                <wp:align>bottom</wp:align>
              </wp:positionV>
              <wp:extent cx="2560320" cy="640080"/>
              <wp:effectExtent l="0" t="0" r="11430" b="762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0" cy="6400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F5938" w:rsidP="00CF5938">
                          <w:pPr>
                            <w:pStyle w:val="MacPacTrailer"/>
                            <w:spacing w:line="20" w:lineRule="exact"/>
                          </w:pPr>
                        </w:p>
                        <w:p w:rsidR="00CF5938">
                          <w:pPr>
                            <w:pStyle w:val="MacPacTrailer"/>
                          </w:pPr>
                          <w:r>
                            <w:t>WSLEGAL\058404\00011\12879166v6</w:t>
                          </w:r>
                        </w:p>
                        <w:p w:rsidR="00CF5938" w:rsidP="00CF5938">
                          <w:pPr>
                            <w:pStyle w:val="MacPacTrailer"/>
                            <w:spacing w:line="20" w:lineRule="exact"/>
                          </w:pPr>
                        </w:p>
                        <w:p w:rsidR="00CF5938" w:rsidP="00CF5938">
                          <w:pPr>
                            <w:pStyle w:val="MacPacTrailer"/>
                            <w:spacing w:line="20" w:lineRule="exac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CF5938" w:rsidP="00CF5938">
                    <w:pPr>
                      <w:pStyle w:val="MacPacTrailer"/>
                      <w:spacing w:line="20" w:lineRule="exact"/>
                    </w:pPr>
                  </w:p>
                  <w:p w:rsidR="00CF5938">
                    <w:pPr>
                      <w:pStyle w:val="MacPacTrailer"/>
                    </w:pPr>
                    <w:r>
                      <w:t>WSLEGAL\058404\00011\12879166v6</w:t>
                    </w:r>
                  </w:p>
                  <w:p w:rsidR="00CF5938" w:rsidP="00CF5938">
                    <w:pPr>
                      <w:pStyle w:val="MacPacTrailer"/>
                      <w:spacing w:line="20" w:lineRule="exact"/>
                    </w:pPr>
                  </w:p>
                  <w:p w:rsidR="00CF5938" w:rsidP="00CF5938">
                    <w:pPr>
                      <w:pStyle w:val="MacPacTrailer"/>
                      <w:spacing w:line="20" w:lineRule="exact"/>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938" w:rsidP="002F51A5">
    <w:pPr>
      <w:pStyle w:val="Footer"/>
    </w:pPr>
    <w:r>
      <w:rPr>
        <w:noProof/>
      </w:rPr>
      <w:pict>
        <v:shapetype id="_x0000_t202" coordsize="21600,21600" o:spt="202" path="m,l,21600r21600,l21600,xe">
          <v:stroke joinstyle="miter"/>
          <v:path gradientshapeok="t" o:connecttype="rect"/>
        </v:shapetype>
        <v:shape id="zzmpTrailer_1078_29" o:spid="_x0000_s2051"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CF5938" w:rsidP="002F51A5">
                <w:pPr>
                  <w:pStyle w:val="MacPacTrailer"/>
                  <w:spacing w:line="20" w:lineRule="exact"/>
                </w:pPr>
              </w:p>
              <w:p w:rsidR="00CF5938" w:rsidP="002F51A5">
                <w:pPr>
                  <w:pStyle w:val="MacPacTrailer"/>
                </w:pPr>
                <w:r>
                  <w:t>WSLEGAL\058404\00011\12879166v6</w:t>
                </w:r>
              </w:p>
              <w:p w:rsidR="00CF5938" w:rsidP="002F51A5">
                <w:pPr>
                  <w:pStyle w:val="MacPacTrailer"/>
                  <w:spacing w:line="20" w:lineRule="exact"/>
                </w:pPr>
              </w:p>
              <w:p w:rsidR="00CF5938" w:rsidP="002F51A5">
                <w:pPr>
                  <w:pStyle w:val="MacPacTrailer"/>
                  <w:spacing w:line="20" w:lineRule="exact"/>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938" w:rsidP="00B02F67">
    <w:pPr>
      <w:pStyle w:val="Footer"/>
      <w:ind w:left="-144"/>
    </w:pPr>
    <w:r>
      <w:rPr>
        <w:noProof/>
      </w:rPr>
      <w:pict>
        <v:shapetype id="_x0000_t202" coordsize="21600,21600" o:spt="202" path="m,l,21600r21600,l21600,xe">
          <v:stroke joinstyle="miter"/>
          <v:path gradientshapeok="t" o:connecttype="rect"/>
        </v:shapetype>
        <v:shape id="zzmpTrailer_1078_2B" o:spid="_x0000_s2052"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CF5938" w:rsidP="00B02F67">
                <w:pPr>
                  <w:pStyle w:val="MacPacTrailer"/>
                  <w:spacing w:line="20" w:lineRule="exact"/>
                </w:pPr>
              </w:p>
              <w:p w:rsidR="00CF5938" w:rsidP="00B02F67">
                <w:pPr>
                  <w:pStyle w:val="MacPacTrailer"/>
                </w:pPr>
                <w:r>
                  <w:t>WSLEGAL\058404\00011\12879166v6</w:t>
                </w:r>
              </w:p>
              <w:p w:rsidR="00CF5938" w:rsidP="00B02F67">
                <w:pPr>
                  <w:pStyle w:val="MacPacTrailer"/>
                  <w:spacing w:line="20" w:lineRule="exact"/>
                </w:pPr>
              </w:p>
              <w:p w:rsidR="00CF5938" w:rsidP="00B02F67">
                <w:pPr>
                  <w:pStyle w:val="MacPacTrailer"/>
                  <w:spacing w:line="20" w:lineRule="exact"/>
                </w:pP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938" w:rsidP="002F51A5">
    <w:pPr>
      <w:pStyle w:val="Footer"/>
    </w:pPr>
    <w:r>
      <w:rPr>
        <w:noProof/>
      </w:rPr>
      <w:pict>
        <v:shapetype id="_x0000_t202" coordsize="21600,21600" o:spt="202" path="m,l,21600r21600,l21600,xe">
          <v:stroke joinstyle="miter"/>
          <v:path gradientshapeok="t" o:connecttype="rect"/>
        </v:shapetype>
        <v:shape id="zzmpTrailer_1078_39" o:spid="_x0000_s2053"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CF5938" w:rsidP="002F51A5">
                <w:pPr>
                  <w:pStyle w:val="MacPacTrailer"/>
                  <w:spacing w:line="20" w:lineRule="exact"/>
                </w:pPr>
              </w:p>
              <w:p w:rsidR="00CF5938" w:rsidP="002F51A5">
                <w:pPr>
                  <w:pStyle w:val="MacPacTrailer"/>
                </w:pPr>
                <w:r>
                  <w:t>WSLEGAL\058404\00011\12879166v6</w:t>
                </w:r>
              </w:p>
              <w:p w:rsidR="00CF5938" w:rsidP="002F51A5">
                <w:pPr>
                  <w:pStyle w:val="MacPacTrailer"/>
                  <w:spacing w:line="20" w:lineRule="exact"/>
                </w:pPr>
              </w:p>
              <w:p w:rsidR="00CF5938" w:rsidP="002F51A5">
                <w:pPr>
                  <w:pStyle w:val="MacPacTrailer"/>
                  <w:spacing w:line="20" w:lineRule="exact"/>
                </w:pP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938" w:rsidP="00B02F67">
    <w:pPr>
      <w:pStyle w:val="Footer"/>
      <w:ind w:left="-144"/>
    </w:pPr>
    <w:r>
      <w:rPr>
        <w:noProof/>
      </w:rPr>
      <w:pict>
        <v:shapetype id="_x0000_t202" coordsize="21600,21600" o:spt="202" path="m,l,21600r21600,l21600,xe">
          <v:stroke joinstyle="miter"/>
          <v:path gradientshapeok="t" o:connecttype="rect"/>
        </v:shapetype>
        <v:shape id="zzmpTrailer_1078_3B" o:spid="_x0000_s2054"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CF5938" w:rsidP="00B02F67">
                <w:pPr>
                  <w:pStyle w:val="MacPacTrailer"/>
                  <w:spacing w:line="20" w:lineRule="exact"/>
                </w:pPr>
              </w:p>
              <w:p w:rsidR="00CF5938" w:rsidP="00B02F67">
                <w:pPr>
                  <w:pStyle w:val="MacPacTrailer"/>
                </w:pPr>
                <w:r>
                  <w:t>WSLEGAL\058404\00011\12879166v6</w:t>
                </w:r>
              </w:p>
              <w:p w:rsidR="00CF5938" w:rsidP="00B02F67">
                <w:pPr>
                  <w:pStyle w:val="MacPacTrailer"/>
                  <w:spacing w:line="20" w:lineRule="exact"/>
                </w:pPr>
              </w:p>
              <w:p w:rsidR="00CF5938" w:rsidP="00B02F67">
                <w:pPr>
                  <w:pStyle w:val="MacPacTrailer"/>
                  <w:spacing w:line="20" w:lineRule="exact"/>
                </w:pP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FC7" w:rsidRPr="004A137A" w:rsidP="004A137A">
    <w:pPr>
      <w:pStyle w:val="Footer"/>
      <w:ind w:left="-144"/>
      <w:jc w:val="center"/>
      <w:rPr>
        <w:i/>
      </w:rPr>
    </w:pPr>
    <w:r>
      <w:rPr>
        <w:i/>
      </w:rPr>
      <w:t>[Signature Page to [Amended and Restated] Investors' Rights Agreement]</w:t>
    </w:r>
  </w:p>
  <w:p w:rsidR="00BC1FC7" w:rsidP="00D15EAC">
    <w:pPr>
      <w:pStyle w:val="Footer"/>
      <w:ind w:left="-144"/>
    </w:pPr>
  </w:p>
  <w:p w:rsidR="00CF5938" w:rsidP="00B02F67">
    <w:pPr>
      <w:pStyle w:val="Footer"/>
      <w:ind w:left="-144"/>
    </w:pPr>
    <w:r>
      <w:rPr>
        <w:noProof/>
      </w:rPr>
      <w:pict>
        <v:shapetype id="_x0000_t202" coordsize="21600,21600" o:spt="202" path="m,l,21600r21600,l21600,xe">
          <v:stroke joinstyle="miter"/>
          <v:path gradientshapeok="t" o:connecttype="rect"/>
        </v:shapetype>
        <v:shape id="zzmpTrailer_1078_4B" o:spid="_x0000_s2055"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0048" filled="f" stroked="f">
          <v:textbox inset="0,0,0,0">
            <w:txbxContent>
              <w:p w:rsidR="00CF5938" w:rsidP="00B02F67">
                <w:pPr>
                  <w:pStyle w:val="MacPacTrailer"/>
                  <w:spacing w:line="20" w:lineRule="exact"/>
                </w:pPr>
              </w:p>
              <w:p w:rsidR="00CF5938" w:rsidP="00B02F67">
                <w:pPr>
                  <w:pStyle w:val="MacPacTrailer"/>
                </w:pPr>
                <w:r>
                  <w:t>WSLEGAL\058404\00011\12879166v6</w:t>
                </w:r>
              </w:p>
              <w:p w:rsidR="00CF5938" w:rsidP="00B02F67">
                <w:pPr>
                  <w:pStyle w:val="MacPacTrailer"/>
                  <w:spacing w:line="20" w:lineRule="exact"/>
                </w:pPr>
              </w:p>
              <w:p w:rsidR="00CF5938" w:rsidP="00B02F67">
                <w:pPr>
                  <w:pStyle w:val="MacPacTrailer"/>
                  <w:spacing w:line="20" w:lineRule="exact"/>
                </w:pP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938" w:rsidP="00B02F67">
    <w:pPr>
      <w:pStyle w:val="Footer"/>
      <w:ind w:left="-144"/>
    </w:pPr>
    <w:r>
      <w:rPr>
        <w:noProof/>
      </w:rPr>
      <w:pict>
        <v:shapetype id="_x0000_t202" coordsize="21600,21600" o:spt="202" path="m,l,21600r21600,l21600,xe">
          <v:stroke joinstyle="miter"/>
          <v:path gradientshapeok="t" o:connecttype="rect"/>
        </v:shapetype>
        <v:shape id="zzmpTrailer_1078_5B" o:spid="_x0000_s2056"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CF5938" w:rsidP="00B02F67">
                <w:pPr>
                  <w:pStyle w:val="MacPacTrailer"/>
                  <w:spacing w:line="20" w:lineRule="exact"/>
                </w:pPr>
              </w:p>
              <w:p w:rsidR="00CF5938" w:rsidP="00B02F67">
                <w:pPr>
                  <w:pStyle w:val="MacPacTrailer"/>
                </w:pPr>
                <w:r>
                  <w:t>WSLEGAL\058404\00011\12879166v6</w:t>
                </w:r>
              </w:p>
              <w:p w:rsidR="00CF5938" w:rsidP="00B02F67">
                <w:pPr>
                  <w:pStyle w:val="MacPacTrailer"/>
                  <w:spacing w:line="20" w:lineRule="exact"/>
                </w:pPr>
              </w:p>
              <w:p w:rsidR="00CF5938" w:rsidP="00B02F67">
                <w:pPr>
                  <w:pStyle w:val="MacPacTrailer"/>
                  <w:spacing w:line="20" w:lineRule="exact"/>
                </w:pP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938" w:rsidP="00B02F67">
    <w:pPr>
      <w:pStyle w:val="Footer"/>
      <w:ind w:left="-144"/>
    </w:pPr>
    <w:r>
      <w:rPr>
        <w:noProof/>
      </w:rPr>
      <w:pict>
        <v:shapetype id="_x0000_t202" coordsize="21600,21600" o:spt="202" path="m,l,21600r21600,l21600,xe">
          <v:stroke joinstyle="miter"/>
          <v:path gradientshapeok="t" o:connecttype="rect"/>
        </v:shapetype>
        <v:shape id="zzmpTrailer_1078_6B" o:spid="_x0000_s2057"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48000" filled="f" stroked="f">
          <v:textbox inset="0,0,0,0">
            <w:txbxContent>
              <w:p w:rsidR="00CF5938" w:rsidP="00B02F67">
                <w:pPr>
                  <w:pStyle w:val="MacPacTrailer"/>
                  <w:spacing w:line="20" w:lineRule="exact"/>
                </w:pPr>
              </w:p>
              <w:p w:rsidR="00CF5938" w:rsidP="00B02F67">
                <w:pPr>
                  <w:pStyle w:val="MacPacTrailer"/>
                </w:pPr>
                <w:r>
                  <w:t>WSLEGAL\058404\00011\12879166v6</w:t>
                </w:r>
              </w:p>
              <w:p w:rsidR="00CF5938" w:rsidP="00B02F67">
                <w:pPr>
                  <w:pStyle w:val="MacPacTrailer"/>
                  <w:spacing w:line="20" w:lineRule="exact"/>
                </w:pPr>
              </w:p>
              <w:p w:rsidR="00CF5938" w:rsidP="00B02F67">
                <w:pPr>
                  <w:pStyle w:val="MacPacTrailer"/>
                  <w:spacing w:line="20" w:lineRule="exact"/>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861F1">
      <w:r>
        <w:separator/>
      </w:r>
    </w:p>
  </w:footnote>
  <w:footnote w:type="continuationSeparator" w:id="1">
    <w:p w:rsidR="00C861F1">
      <w:r>
        <w:continuationSeparator/>
      </w:r>
    </w:p>
  </w:footnote>
  <w:footnote w:id="2">
    <w:p w:rsidR="00BC1FC7">
      <w:pPr>
        <w:pStyle w:val="FootnoteText"/>
      </w:pPr>
      <w:r>
        <w:rPr>
          <w:rStyle w:val="FootnoteReference"/>
        </w:rPr>
        <w:footnoteRef/>
      </w:r>
      <w:r>
        <w:t xml:space="preserve"> This first set of Recitals is appropriate when you are drafting legal documents in connection with the Company's sale of its first class of preferred shares (Class A). Consider adding references to Key Holders in the Recitals, as appropriate.</w:t>
      </w:r>
    </w:p>
  </w:footnote>
  <w:footnote w:id="3">
    <w:p w:rsidR="00BC1FC7">
      <w:pPr>
        <w:pStyle w:val="FootnoteText"/>
      </w:pPr>
      <w:r>
        <w:rPr>
          <w:rStyle w:val="FootnoteReference"/>
        </w:rPr>
        <w:footnoteRef/>
      </w:r>
      <w:r>
        <w:t xml:space="preserve"> This second set of Recitals assumes that a preexisting Investors' Rights Agreement is being superseded and replaced with a new version. It contemplates two different classes of preferred shares (Class A and B). Appropriate modifications to this form will be required based on the actual class of preferred shares outstanding and the respective rights of such class. This Agreement contemplates the amendment and restatement of the Prior Agreement so that the parties to the existing agreement become parties to this Agreement regardless of whether they execute this Agreement; alternatively, the existing agreement could be terminated and all existing investors would be required to execute this Agreement. See also Section </w:t>
      </w:r>
      <w:r>
        <w:fldChar w:fldCharType="begin"/>
      </w:r>
      <w:r>
        <w:instrText xml:space="preserve">  REF _Ref448380668 \w \h \* MERGEFORMAT </w:instrText>
      </w:r>
      <w:r>
        <w:fldChar w:fldCharType="separate"/>
      </w:r>
      <w:r w:rsidRPr="00BC1FC7">
        <w:rPr>
          <w:color w:val="000000"/>
        </w:rPr>
        <w:t>6.10</w:t>
      </w:r>
      <w:r>
        <w:fldChar w:fldCharType="end"/>
      </w:r>
      <w:r>
        <w:t>. Consider adding references to Key Holders in the Recitals, as appropriate.</w:t>
      </w:r>
    </w:p>
  </w:footnote>
  <w:footnote w:id="4">
    <w:p w:rsidR="00BC1FC7" w:rsidRPr="00D37CF1">
      <w:pPr>
        <w:pStyle w:val="FootnoteText"/>
        <w:rPr>
          <w:lang w:val="en-CA"/>
        </w:rPr>
      </w:pPr>
      <w:r>
        <w:rPr>
          <w:rStyle w:val="FootnoteReference"/>
        </w:rPr>
        <w:footnoteRef/>
      </w:r>
      <w:r>
        <w:t xml:space="preserve"> </w:t>
      </w:r>
      <w:r>
        <w:rPr>
          <w:lang w:val="en-CA"/>
        </w:rPr>
        <w:t xml:space="preserve">In this draft, this definition is used only as a </w:t>
      </w:r>
      <w:r w:rsidRPr="00EB41A0">
        <w:rPr>
          <w:lang w:val="en-CA"/>
        </w:rPr>
        <w:t xml:space="preserve">limitation on the allocation of rights to future share issuances and not for transfer restrictions and information rights. </w:t>
      </w:r>
      <w:r w:rsidR="00EB41A0">
        <w:rPr>
          <w:lang w:val="en-CA"/>
        </w:rPr>
        <w:t xml:space="preserve">See also footnote </w:t>
      </w:r>
      <w:r w:rsidR="00EB41A0">
        <w:rPr>
          <w:lang w:val="en-CA"/>
        </w:rPr>
        <w:fldChar w:fldCharType="begin"/>
      </w:r>
      <w:r w:rsidR="00EB41A0">
        <w:rPr>
          <w:lang w:val="en-CA"/>
        </w:rPr>
        <w:instrText xml:space="preserve"> NOTEREF _Ref448380708 \h </w:instrText>
      </w:r>
      <w:r w:rsidR="00EB41A0">
        <w:rPr>
          <w:lang w:val="en-CA"/>
        </w:rPr>
        <w:fldChar w:fldCharType="separate"/>
      </w:r>
      <w:r w:rsidR="00EB41A0">
        <w:rPr>
          <w:lang w:val="en-CA"/>
        </w:rPr>
        <w:t>39</w:t>
      </w:r>
      <w:r w:rsidR="00EB41A0">
        <w:rPr>
          <w:lang w:val="en-CA"/>
        </w:rPr>
        <w:fldChar w:fldCharType="end"/>
      </w:r>
      <w:r w:rsidRPr="00EB41A0">
        <w:rPr>
          <w:lang w:val="en-CA"/>
        </w:rPr>
        <w:t>.</w:t>
      </w:r>
    </w:p>
  </w:footnote>
  <w:footnote w:id="5">
    <w:p w:rsidR="00BC1FC7" w:rsidRPr="001813AA">
      <w:pPr>
        <w:pStyle w:val="FootnoteText"/>
        <w:rPr>
          <w:lang w:val="en-CA"/>
        </w:rPr>
      </w:pPr>
      <w:r>
        <w:rPr>
          <w:rStyle w:val="FootnoteReference"/>
        </w:rPr>
        <w:footnoteRef/>
      </w:r>
      <w:r>
        <w:t xml:space="preserve"> </w:t>
      </w:r>
      <w:r>
        <w:rPr>
          <w:lang w:val="en-CA"/>
        </w:rPr>
        <w:t>Note that this would not include the creation of a public trading market for the Company’s shares by direct listing.</w:t>
      </w:r>
    </w:p>
  </w:footnote>
  <w:footnote w:id="6">
    <w:p w:rsidR="00BC1FC7">
      <w:pPr>
        <w:pStyle w:val="FootnoteText"/>
      </w:pPr>
      <w:r>
        <w:rPr>
          <w:rStyle w:val="FootnoteReference"/>
        </w:rPr>
        <w:footnoteRef/>
      </w:r>
      <w:r>
        <w:t xml:space="preserve"> </w:t>
      </w:r>
      <w:r>
        <w:rPr>
          <w:szCs w:val="16"/>
        </w:rPr>
        <w:t xml:space="preserve">In a Class A round at a high-tech start-up, it is likely that the only key employees in addition to management, if any, are those who are responsible for developing the Company's key intellectual property assets. It may be simpler for these early-stage companies to list the Key Employees by name. In later rounds, it may be appropriate to include others, </w:t>
      </w:r>
      <w:r>
        <w:rPr>
          <w:i/>
          <w:szCs w:val="16"/>
        </w:rPr>
        <w:t>e.g.</w:t>
      </w:r>
      <w:r>
        <w:rPr>
          <w:szCs w:val="16"/>
        </w:rPr>
        <w:t>, important salespeople or consultants and define Key Employees by function (</w:t>
      </w:r>
      <w:r>
        <w:rPr>
          <w:i/>
          <w:szCs w:val="16"/>
        </w:rPr>
        <w:t>e.g.</w:t>
      </w:r>
      <w:r>
        <w:rPr>
          <w:szCs w:val="16"/>
        </w:rPr>
        <w:t>, division director).</w:t>
      </w:r>
    </w:p>
  </w:footnote>
  <w:footnote w:id="7">
    <w:p w:rsidR="00C364FE" w:rsidRPr="00896C8A" w:rsidP="00C364FE">
      <w:pPr>
        <w:pStyle w:val="FootnoteText"/>
        <w:rPr>
          <w:lang w:val="en-CA"/>
        </w:rPr>
      </w:pPr>
      <w:r>
        <w:rPr>
          <w:rStyle w:val="FootnoteReference"/>
        </w:rPr>
        <w:footnoteRef/>
      </w:r>
      <w:r>
        <w:t xml:space="preserve"> </w:t>
      </w:r>
      <w:r>
        <w:rPr>
          <w:lang w:val="en-CA"/>
        </w:rPr>
        <w:t>If the holders of Class A Preferred Shares are not given the right to elect directors in the Articles, refer instead to the Investor designees in the Voting Agreement.</w:t>
      </w:r>
    </w:p>
  </w:footnote>
  <w:footnote w:id="8">
    <w:p w:rsidR="00BC1FC7">
      <w:pPr>
        <w:pStyle w:val="FootnoteText"/>
      </w:pPr>
      <w:r>
        <w:rPr>
          <w:rStyle w:val="FootnoteReference"/>
        </w:rPr>
        <w:footnoteRef/>
      </w:r>
      <w:r>
        <w:t xml:space="preserve"> </w:t>
      </w:r>
      <w:r>
        <w:rPr>
          <w:szCs w:val="16"/>
        </w:rPr>
        <w:t>Note that this definition is unnecessary unless there are multiple series and/or classe</w:t>
      </w:r>
      <w:r w:rsidR="00507C0B">
        <w:rPr>
          <w:szCs w:val="16"/>
        </w:rPr>
        <w:t>s of preferred shares</w:t>
      </w:r>
      <w:r>
        <w:rPr>
          <w:szCs w:val="16"/>
        </w:rPr>
        <w:t>.</w:t>
      </w:r>
    </w:p>
  </w:footnote>
  <w:footnote w:id="9">
    <w:p w:rsidR="00BC1FC7">
      <w:pPr>
        <w:pStyle w:val="FootnoteText"/>
      </w:pPr>
      <w:r>
        <w:rPr>
          <w:rStyle w:val="FootnoteReference"/>
        </w:rPr>
        <w:footnoteRef/>
      </w:r>
      <w:r>
        <w:t xml:space="preserve"> </w:t>
      </w:r>
      <w:r>
        <w:rPr>
          <w:szCs w:val="16"/>
        </w:rPr>
        <w:t xml:space="preserve">If the Company's Articles contains a "pay-to-play" provision, consider whether shares issued upon a "Special Mandatory Conversion" pursuant thereto should lose their status as Registrable Securities. See Section </w:t>
      </w:r>
      <w:bookmarkStart w:id="55" w:name="DocXTextRef32"/>
      <w:r>
        <w:rPr>
          <w:szCs w:val="16"/>
        </w:rPr>
        <w:t>5A</w:t>
      </w:r>
      <w:bookmarkEnd w:id="55"/>
      <w:r>
        <w:rPr>
          <w:szCs w:val="16"/>
        </w:rPr>
        <w:t xml:space="preserve"> of </w:t>
      </w:r>
      <w:bookmarkStart w:id="56" w:name="DocXTextRef33"/>
      <w:r>
        <w:rPr>
          <w:szCs w:val="16"/>
        </w:rPr>
        <w:t>Part C</w:t>
      </w:r>
      <w:bookmarkEnd w:id="56"/>
      <w:r>
        <w:rPr>
          <w:szCs w:val="16"/>
        </w:rPr>
        <w:t xml:space="preserve"> of Article Fourth of the Model Articles of Amendment.</w:t>
      </w:r>
    </w:p>
  </w:footnote>
  <w:footnote w:id="10">
    <w:p w:rsidR="00BC1FC7">
      <w:pPr>
        <w:pStyle w:val="FootnoteText"/>
      </w:pPr>
      <w:r>
        <w:rPr>
          <w:rStyle w:val="FootnoteReference"/>
        </w:rPr>
        <w:footnoteRef/>
      </w:r>
      <w:r>
        <w:t xml:space="preserve"> </w:t>
      </w:r>
      <w:r>
        <w:rPr>
          <w:szCs w:val="16"/>
        </w:rPr>
        <w:t>Typically, Key Holders of common shares are not granted registration rights. In certain instances it may be appropriate to grant Key Holders (</w:t>
      </w:r>
      <w:r>
        <w:rPr>
          <w:i/>
          <w:szCs w:val="16"/>
        </w:rPr>
        <w:t>e.g.</w:t>
      </w:r>
      <w:r>
        <w:rPr>
          <w:szCs w:val="16"/>
        </w:rPr>
        <w:t>, founders, significant early-round angel investors) piggyback and/or S-3/F-3 registration rights, although often they will be subordinate to investors on underwriter cutbacks. If such rights are granted, provision must be made throughout this form to include such rights and provide for appropriate cutbacks and limitations and protection in the event of amendments and waivers.</w:t>
      </w:r>
    </w:p>
  </w:footnote>
  <w:footnote w:id="11">
    <w:p w:rsidR="00BC1FC7">
      <w:pPr>
        <w:pStyle w:val="FootnoteText"/>
      </w:pPr>
      <w:r>
        <w:rPr>
          <w:rStyle w:val="FootnoteReference"/>
        </w:rPr>
        <w:footnoteRef/>
      </w:r>
      <w:r>
        <w:t xml:space="preserve"> </w:t>
      </w:r>
      <w:r>
        <w:rPr>
          <w:szCs w:val="16"/>
        </w:rPr>
        <w:t>Registrable Securities are defined in terms of common shares because preferred shares of venture-capital-backed companies are usually not sold or marketed at an IPO. The language "issued or issuable" should be present so that the definition works regardless of whether or not the preferred shares have yet been converted. Note that the effect of the transferability section is such that certain sizeable transfers of shares pursuant to available exemptions under the Securities Act or Canadian Securities Laws will not remove the registration rights associated with those shares.</w:t>
      </w:r>
    </w:p>
  </w:footnote>
  <w:footnote w:id="12">
    <w:p w:rsidR="00BC1FC7">
      <w:pPr>
        <w:pStyle w:val="FootnoteText"/>
      </w:pPr>
      <w:r>
        <w:rPr>
          <w:rStyle w:val="FootnoteReference"/>
        </w:rPr>
        <w:footnoteRef/>
      </w:r>
      <w:r>
        <w:t xml:space="preserve"> </w:t>
      </w:r>
      <w:r>
        <w:rPr>
          <w:szCs w:val="16"/>
        </w:rPr>
        <w:t>Registration rights are a U.S. concept that enables a trade of securities to be registered under a registration statements to permit shares to be publicly tradeable. That concept is similar to the Canadian concept of qualifying a distribution of securities under a prospectus. These rights are much less important in Canada because once a company is public in Canada, shareholders are generally free to sell their shares publicly without any filing requirements. The principal exception is for control block holders, who may wish to sell their shares by way of a prospectus.  In those circumstances, the shareholder will want the registration rights. Shareholders may also wish to piggy back on the Company's offerings. In Canadian venture deals that do not include a U.S. investor, registration rights are generally not included. In some cases, the investment documents simply include a provision that states that the company may not grant registration rights to subsequent investors unless substantially the same rights are granted to existing investors.</w:t>
      </w:r>
    </w:p>
  </w:footnote>
  <w:footnote w:id="13">
    <w:p w:rsidR="00BC1FC7" w:rsidRPr="007B78DE">
      <w:pPr>
        <w:pStyle w:val="FootnoteText"/>
        <w:rPr>
          <w:lang w:val="en-CA"/>
        </w:rPr>
      </w:pPr>
      <w:r>
        <w:rPr>
          <w:rStyle w:val="FootnoteReference"/>
        </w:rPr>
        <w:footnoteRef/>
      </w:r>
      <w:r>
        <w:t xml:space="preserve"> </w:t>
      </w:r>
      <w:r>
        <w:rPr>
          <w:lang w:val="en-CA"/>
        </w:rPr>
        <w:t>As investors’ counsel, to prevent inadvertent perpetual roll-forward, consider inserting a date certain that reflects the agreed upon time frame.</w:t>
      </w:r>
    </w:p>
  </w:footnote>
  <w:footnote w:id="14">
    <w:p w:rsidR="00BC1FC7">
      <w:pPr>
        <w:pStyle w:val="FootnoteText"/>
      </w:pPr>
      <w:r>
        <w:rPr>
          <w:rStyle w:val="FootnoteReference"/>
        </w:rPr>
        <w:footnoteRef/>
      </w:r>
      <w:r>
        <w:t xml:space="preserve"> </w:t>
      </w:r>
      <w:r>
        <w:rPr>
          <w:szCs w:val="16"/>
        </w:rPr>
        <w:t>The starting time period for initiating registration rights usually has these two components. The first time period is designed to allow the investors to force the Company to go public if it has not already done so (three (3) to five (5) years is common for this), although practically speaking this rarely, if ever, happens. The second time period is set around the expiration of any underwriter lock-ups after an IPO, which usually expire one hundred eighty (180) days after the IPO. See Section 2.11.</w:t>
      </w:r>
    </w:p>
  </w:footnote>
  <w:footnote w:id="15">
    <w:p w:rsidR="00BC1FC7">
      <w:pPr>
        <w:pStyle w:val="FootnoteText"/>
      </w:pPr>
      <w:r>
        <w:rPr>
          <w:rStyle w:val="FootnoteReference"/>
        </w:rPr>
        <w:footnoteRef/>
      </w:r>
      <w:r>
        <w:t xml:space="preserve"> </w:t>
      </w:r>
      <w:r>
        <w:rPr>
          <w:szCs w:val="16"/>
        </w:rPr>
        <w:t>As with all percentage vote thresholds, consideration will need to be given to whether any single investor can either control or block the vote. When dealing with multiple classes of preferred shares, it is important to understand the composition of the shareholder base to ensure that each class is getting the rights it bargained for. The Company will want this percentage to be high enough so that a significant portion of the investor base is behind the demand to cause the Company to effect a registered offering, particularly an IPO. Companies typically will resist allowing a single minority investor to cause a registration. Experienced investors will want to ensure that less experienced investors do not have the right to cause a demand registration. In some cases, holders of different classes of preferred shares may request the right for that class to initiate a certain number of demand registrations. Companies typically will resist this due to the cost and diversion of management resources when multiple constituencies have this right.</w:t>
      </w:r>
    </w:p>
  </w:footnote>
  <w:footnote w:id="16">
    <w:p w:rsidR="00BC1FC7">
      <w:pPr>
        <w:pStyle w:val="FootnoteText"/>
      </w:pPr>
      <w:r>
        <w:rPr>
          <w:rStyle w:val="FootnoteReference"/>
        </w:rPr>
        <w:footnoteRef/>
      </w:r>
      <w:r>
        <w:t xml:space="preserve"> </w:t>
      </w:r>
      <w:r>
        <w:rPr>
          <w:szCs w:val="16"/>
        </w:rPr>
        <w:t>Most Canadian tech companies go public in Canada.  However, there are three options: (a) Canada only, (b) U.S. only, or (c) both Canada and the U.S.  If the Company has gone public in one, then the deemed registration must be made for that jurisdiction.  The Agreement should be modified to reflect that eventuality if it is possible in the circumstances.  See Section 2.16.</w:t>
      </w:r>
    </w:p>
  </w:footnote>
  <w:footnote w:id="17">
    <w:p w:rsidR="00BC1FC7">
      <w:pPr>
        <w:pStyle w:val="FootnoteText"/>
      </w:pPr>
      <w:r>
        <w:rPr>
          <w:rStyle w:val="FootnoteReference"/>
        </w:rPr>
        <w:footnoteRef/>
      </w:r>
      <w:r>
        <w:t xml:space="preserve"> </w:t>
      </w:r>
      <w:r>
        <w:rPr>
          <w:szCs w:val="16"/>
        </w:rPr>
        <w:t>A trigger threshold may be negotiated and can range from twenty percent (20%) to one hundred percent (100%) of total Registrable Securities for demand registrations. However, some companies do not impose a threshold, relying instead on the minimum offering size.</w:t>
      </w:r>
    </w:p>
  </w:footnote>
  <w:footnote w:id="18">
    <w:p w:rsidR="00BC1FC7" w:rsidRPr="006A7272">
      <w:pPr>
        <w:pStyle w:val="FootnoteText"/>
        <w:rPr>
          <w:lang w:val="en-CA"/>
        </w:rPr>
      </w:pPr>
      <w:r>
        <w:rPr>
          <w:rStyle w:val="FootnoteReference"/>
        </w:rPr>
        <w:footnoteRef/>
      </w:r>
      <w:r>
        <w:t xml:space="preserve"> </w:t>
      </w:r>
      <w:r w:rsidRPr="00432DB3">
        <w:t>As S-3 rights are not a large imposition, and the $ threshold exists, consider no % floor</w:t>
      </w:r>
      <w:r>
        <w:t>.</w:t>
      </w:r>
    </w:p>
  </w:footnote>
  <w:footnote w:id="19">
    <w:p w:rsidR="00BC1FC7">
      <w:pPr>
        <w:pStyle w:val="FootnoteText"/>
      </w:pPr>
      <w:r>
        <w:rPr>
          <w:rStyle w:val="FootnoteReference"/>
        </w:rPr>
        <w:footnoteRef/>
      </w:r>
      <w:r>
        <w:t xml:space="preserve"> </w:t>
      </w:r>
      <w:r>
        <w:rPr>
          <w:szCs w:val="16"/>
        </w:rPr>
        <w:t>This section is designed to give the Company a "blackout" period pursuant to which it can suspend registrations due to the timing of certain other corporate events that could affect its stock. A broader, more pro-Company alternative to listing specific, limited situations in which the Company can suspend registration is to provide more generally: "it would be materially detrimental to the Company and its shareholders for such registration statement to be filed and it is therefore necessary to defer the filing of such registration statement."</w:t>
      </w:r>
    </w:p>
  </w:footnote>
  <w:footnote w:id="20">
    <w:p w:rsidR="00BC1FC7">
      <w:pPr>
        <w:pStyle w:val="FootnoteText"/>
      </w:pPr>
      <w:r>
        <w:rPr>
          <w:rStyle w:val="FootnoteReference"/>
        </w:rPr>
        <w:footnoteRef/>
      </w:r>
      <w:r>
        <w:t xml:space="preserve"> </w:t>
      </w:r>
      <w:r>
        <w:rPr>
          <w:szCs w:val="16"/>
        </w:rPr>
        <w:t>It is common to limit use of the blackout provisions to one time in any twelve (12) month period. Some companies seek blackouts twice in twelve (12) months or one time for every registration, but investors generally view this as too restrictive on investors (especially when combined with the delay period for Company registrations and the lock-up period). A common formulation is to permit one blackout of up to one hundred twenty (120) days in any twelve (12) month period. However, it provides greater flexibility to the Company and may also be better for the investors to provide instead for two sixty (60) day periods in any twelve (12) month period, which the Company can combine if necessary to achieve a total blackout of one hundred twenty (120) days.</w:t>
      </w:r>
    </w:p>
  </w:footnote>
  <w:footnote w:id="21">
    <w:p w:rsidR="00BC1FC7">
      <w:pPr>
        <w:pStyle w:val="FootnoteText"/>
      </w:pPr>
      <w:r>
        <w:rPr>
          <w:rStyle w:val="FootnoteReference"/>
        </w:rPr>
        <w:footnoteRef/>
      </w:r>
      <w:r>
        <w:t xml:space="preserve"> Note that the alternative carve-out provision from the limitation on the Company's right to register securities for its own account during a blackout period does not include a carve-out for a registration relating to a SEC Rule </w:t>
      </w:r>
      <w:bookmarkStart w:id="107" w:name="DocXTextRef58"/>
      <w:r>
        <w:t>145</w:t>
      </w:r>
      <w:bookmarkEnd w:id="107"/>
      <w:r>
        <w:t xml:space="preserve"> </w:t>
      </w:r>
      <w:r>
        <w:rPr>
          <w:szCs w:val="16"/>
        </w:rPr>
        <w:t>transaction</w:t>
      </w:r>
      <w:r>
        <w:t xml:space="preserve">. From the investors' perspective, although it may be acceptable for the Company to delay a resale registration in the circumstances set forth in this provision, those circumstances should not entitle the Company to file, </w:t>
      </w:r>
      <w:r>
        <w:rPr>
          <w:i/>
        </w:rPr>
        <w:t>e.g.</w:t>
      </w:r>
      <w:r>
        <w:t xml:space="preserve">, a Form S-4 for a Rule </w:t>
      </w:r>
      <w:bookmarkStart w:id="108" w:name="DocXTextRef59"/>
      <w:r>
        <w:t>145</w:t>
      </w:r>
      <w:bookmarkEnd w:id="108"/>
      <w:r>
        <w:t xml:space="preserve"> transaction, in priority to a registration requested by the Holders of Registrable Securities. However, from the Company's perspective, the inability to file the Form S-4 could be a hindrance to an acquisition.</w:t>
      </w:r>
    </w:p>
  </w:footnote>
  <w:footnote w:id="22">
    <w:p w:rsidR="00BC1FC7">
      <w:pPr>
        <w:pStyle w:val="FootnoteText"/>
      </w:pPr>
      <w:r>
        <w:rPr>
          <w:rStyle w:val="FootnoteReference"/>
        </w:rPr>
        <w:footnoteRef/>
      </w:r>
      <w:r>
        <w:t xml:space="preserve"> </w:t>
      </w:r>
      <w:r>
        <w:rPr>
          <w:szCs w:val="16"/>
        </w:rPr>
        <w:t>This language is commonly referred to as the "underwriter cutback" section. In some offerings, an underwriter may determine it can successfully market only a certain number of securities and must therefore reduce the size of the overall registration. When this happens, the holders of Registrable Securities are generally entitled to include their shares before anybody else (consider whether later classes may want priority over earlier classes). If there is not enough room for these holders, the cutback should be pro rata based on shares held and not "shares requested to be included" (which only creates a race to request and an incentive to request all amounts held every time). Also, if Key Holders have been given registration rights, consider priority of cutback for such Key Holders.</w:t>
      </w:r>
    </w:p>
  </w:footnote>
  <w:footnote w:id="23">
    <w:p w:rsidR="00BC1FC7">
      <w:pPr>
        <w:pStyle w:val="FootnoteText"/>
      </w:pPr>
      <w:r>
        <w:rPr>
          <w:rStyle w:val="FootnoteReference"/>
        </w:rPr>
        <w:footnoteRef/>
      </w:r>
      <w:r>
        <w:t xml:space="preserve"> </w:t>
      </w:r>
      <w:r>
        <w:rPr>
          <w:szCs w:val="16"/>
        </w:rPr>
        <w:t>This section simply lists the undertakings of the Company in the event of a registration. As a practical matter, this language will be superseded by any underwriting agreement as part of an underwritten offering.</w:t>
      </w:r>
    </w:p>
  </w:footnote>
  <w:footnote w:id="24">
    <w:p w:rsidR="00BC1FC7">
      <w:pPr>
        <w:pStyle w:val="FootnoteText"/>
      </w:pPr>
      <w:r>
        <w:rPr>
          <w:rStyle w:val="FootnoteReference"/>
        </w:rPr>
        <w:footnoteRef/>
      </w:r>
      <w:r>
        <w:t xml:space="preserve"> </w:t>
      </w:r>
      <w:r>
        <w:rPr>
          <w:szCs w:val="16"/>
        </w:rPr>
        <w:t>Much ink has been spilled addressing the distinctions, or lack thereof, among the "best efforts," "commercially reasonable efforts," "reasonable efforts," and similar performance standards. This Agreement uses "commercially reasonable efforts" as the default performance standard.</w:t>
      </w:r>
    </w:p>
  </w:footnote>
  <w:footnote w:id="25">
    <w:p w:rsidR="00BC1FC7">
      <w:pPr>
        <w:pStyle w:val="FootnoteText"/>
      </w:pPr>
      <w:r>
        <w:rPr>
          <w:rStyle w:val="FootnoteReference"/>
        </w:rPr>
        <w:footnoteRef/>
      </w:r>
      <w:r>
        <w:t xml:space="preserve"> </w:t>
      </w:r>
      <w:r>
        <w:rPr>
          <w:szCs w:val="16"/>
        </w:rPr>
        <w:t>This is generally viewed as a burdensome requirement for a Company, so it is often carved out of required registrations.</w:t>
      </w:r>
    </w:p>
  </w:footnote>
  <w:footnote w:id="26">
    <w:p w:rsidR="00BC1FC7">
      <w:pPr>
        <w:pStyle w:val="FootnoteText"/>
      </w:pPr>
      <w:r>
        <w:rPr>
          <w:rStyle w:val="FootnoteReference"/>
        </w:rPr>
        <w:footnoteRef/>
      </w:r>
      <w:r>
        <w:t xml:space="preserve"> </w:t>
      </w:r>
      <w:r>
        <w:rPr>
          <w:szCs w:val="16"/>
        </w:rPr>
        <w:t>This inspection right is necessary to enable the selling Holders and underwriters to undertake their due diligence investigation in connection with the distribution. In facilitating the due diligence investigations, the Company must be sensitive to its obligations under Regulation FD under the Securities Act and similar rules under Canadian Securities Laws.</w:t>
      </w:r>
    </w:p>
  </w:footnote>
  <w:footnote w:id="27">
    <w:p w:rsidR="00BC1FC7">
      <w:pPr>
        <w:pStyle w:val="FootnoteText"/>
      </w:pPr>
      <w:r>
        <w:rPr>
          <w:rStyle w:val="FootnoteReference"/>
        </w:rPr>
        <w:footnoteRef/>
      </w:r>
      <w:r>
        <w:t xml:space="preserve"> </w:t>
      </w:r>
      <w:r>
        <w:rPr>
          <w:szCs w:val="16"/>
        </w:rPr>
        <w:t>Note that as a practical matter underwriting agreements also provide for indemnification obligations, and therefore it is important to review the indemnification provisions carefully in connection with underwritten public offerings.</w:t>
      </w:r>
    </w:p>
  </w:footnote>
  <w:footnote w:id="28">
    <w:p w:rsidR="00BC1FC7">
      <w:pPr>
        <w:pStyle w:val="FootnoteText"/>
      </w:pPr>
      <w:r>
        <w:rPr>
          <w:rStyle w:val="FootnoteReference"/>
        </w:rPr>
        <w:footnoteRef/>
      </w:r>
      <w:r>
        <w:t xml:space="preserve"> </w:t>
      </w:r>
      <w:r>
        <w:rPr>
          <w:szCs w:val="16"/>
        </w:rPr>
        <w:t>The value and necessity of obligations to provide copies of SEC filed documents is questionable given the availability of all such documents on EDGAR.</w:t>
      </w:r>
    </w:p>
  </w:footnote>
  <w:footnote w:id="29">
    <w:p w:rsidR="00BC1FC7">
      <w:pPr>
        <w:pStyle w:val="FootnoteText"/>
      </w:pPr>
      <w:r>
        <w:rPr>
          <w:rStyle w:val="FootnoteReference"/>
        </w:rPr>
        <w:footnoteRef/>
      </w:r>
      <w:r>
        <w:t xml:space="preserve"> </w:t>
      </w:r>
      <w:r>
        <w:rPr>
          <w:szCs w:val="16"/>
        </w:rPr>
        <w:t>Attention should be given to ensure that this provision does not provide any particular investor with a blocking right on future securities issuances beyond what is included in the Articles.</w:t>
      </w:r>
    </w:p>
  </w:footnote>
  <w:footnote w:id="30">
    <w:p w:rsidR="00BC1FC7">
      <w:pPr>
        <w:pStyle w:val="FootnoteText"/>
      </w:pPr>
      <w:r>
        <w:rPr>
          <w:rStyle w:val="FootnoteReference"/>
        </w:rPr>
        <w:footnoteRef/>
      </w:r>
      <w:r>
        <w:t xml:space="preserve"> </w:t>
      </w:r>
      <w:r>
        <w:rPr>
          <w:szCs w:val="16"/>
        </w:rPr>
        <w:t xml:space="preserve">This section sets forth the period during which the investors and other holders will be prohibited from selling their securities following the IPO and potentially other registrations. A lock-up agreement will typically be required by the underwriter and is usually set at one hundred eighty (180) days for an IPO. </w:t>
      </w:r>
      <w:r w:rsidRPr="00432DB3">
        <w:t>However, Investors and the Company may want to consider staged releases from the lock-up (</w:t>
      </w:r>
      <w:r w:rsidRPr="0043440B">
        <w:rPr>
          <w:i/>
        </w:rPr>
        <w:t>e.g.</w:t>
      </w:r>
      <w:r w:rsidRPr="00432DB3">
        <w:t xml:space="preserve">, tied to stock to stock price performance), in order to mitigate the impact of a </w:t>
      </w:r>
      <w:r>
        <w:t>one hundred eighty (</w:t>
      </w:r>
      <w:r w:rsidRPr="00432DB3">
        <w:t>180</w:t>
      </w:r>
      <w:r>
        <w:t>)</w:t>
      </w:r>
      <w:r w:rsidRPr="00432DB3">
        <w:t xml:space="preserve">-day cliff. </w:t>
      </w:r>
      <w:r>
        <w:rPr>
          <w:szCs w:val="16"/>
        </w:rPr>
        <w:t xml:space="preserve">Because the principal investors in the Company will almost certainly be required to provide a lock-up agreement, the greatest value of the lock-up provision may be to ensure a similar lock-up of shares held by the smaller holders of Company stock. </w:t>
      </w:r>
      <w:r w:rsidRPr="00432DB3">
        <w:t xml:space="preserve">Note, however, that if some investors are released from the lock-up and sell under Rule 144, it can protect the </w:t>
      </w:r>
      <w:r>
        <w:t>C</w:t>
      </w:r>
      <w:r w:rsidRPr="00432DB3">
        <w:t>ompany and directors from potential Section 11 liability. See </w:t>
      </w:r>
      <w:r w:rsidRPr="00D823B1">
        <w:rPr>
          <w:i/>
          <w:iCs/>
        </w:rPr>
        <w:t>Krim v. pcOrder.com, Inc.</w:t>
      </w:r>
      <w:r w:rsidRPr="00432DB3">
        <w:t xml:space="preserve"> </w:t>
      </w:r>
      <w:r w:rsidRPr="00CD1838">
        <w:rPr>
          <w:i/>
          <w:iCs/>
        </w:rPr>
        <w:t>402 F.3d 489 (5th Cir. 2015)</w:t>
      </w:r>
      <w:r w:rsidRPr="00432DB3">
        <w:t> (holding that investors lack standing to bring a Section 11 claim where they cannot show with</w:t>
      </w:r>
      <w:r>
        <w:t xml:space="preserve"> one hundred percent</w:t>
      </w:r>
      <w:r w:rsidRPr="00432DB3">
        <w:t xml:space="preserve"> </w:t>
      </w:r>
      <w:r>
        <w:t>(</w:t>
      </w:r>
      <w:r w:rsidRPr="00432DB3">
        <w:t>100%</w:t>
      </w:r>
      <w:r>
        <w:t>)</w:t>
      </w:r>
      <w:r w:rsidRPr="00432DB3">
        <w:t xml:space="preserve"> certainty that the shares they acquired in the open market were in fact registered in the allegedly false or misleading registration statement).</w:t>
      </w:r>
    </w:p>
  </w:footnote>
  <w:footnote w:id="31">
    <w:p w:rsidR="00BC1FC7" w:rsidRPr="00CB6909">
      <w:pPr>
        <w:pStyle w:val="FootnoteText"/>
        <w:rPr>
          <w:lang w:val="en-CA"/>
        </w:rPr>
      </w:pPr>
      <w:r>
        <w:rPr>
          <w:rStyle w:val="FootnoteReference"/>
        </w:rPr>
        <w:footnoteRef/>
      </w:r>
      <w:r>
        <w:t xml:space="preserve"> </w:t>
      </w:r>
      <w:r>
        <w:rPr>
          <w:szCs w:val="16"/>
        </w:rPr>
        <w:t>The bracketed language provides for additional lock-ups for registrations other than the IPO. Some investors may have issues with being locked-up for any registration other than the IPO, but others may prefer to have this provision in order to help ensure the success of any subsequent offering. A compromise position might be to say that with respect to any offering other than the IPO the Holders would be subject to a lock-up if requested by the managing underwriter and approved by Holders of [X]% of the Registrable Securities.</w:t>
      </w:r>
    </w:p>
  </w:footnote>
  <w:footnote w:id="32">
    <w:p w:rsidR="00BC1FC7">
      <w:pPr>
        <w:pStyle w:val="FootnoteText"/>
      </w:pPr>
      <w:r>
        <w:rPr>
          <w:rStyle w:val="FootnoteReference"/>
        </w:rPr>
        <w:footnoteRef/>
      </w:r>
      <w:r>
        <w:t xml:space="preserve"> </w:t>
      </w:r>
      <w:r w:rsidRPr="00432DB3">
        <w:t xml:space="preserve">Investors will want to exempt any common </w:t>
      </w:r>
      <w:r>
        <w:t xml:space="preserve">shares </w:t>
      </w:r>
      <w:r w:rsidRPr="00432DB3">
        <w:t>acquired in the IPO or in the public market after the IPO from the lock-up provisions, so that they are not disadvantaged relative to other public market purchasers</w:t>
      </w:r>
    </w:p>
  </w:footnote>
  <w:footnote w:id="33">
    <w:p w:rsidR="00BC1FC7">
      <w:pPr>
        <w:pStyle w:val="FootnoteText"/>
      </w:pPr>
      <w:r>
        <w:rPr>
          <w:rStyle w:val="FootnoteReference"/>
        </w:rPr>
        <w:footnoteRef/>
      </w:r>
      <w:r>
        <w:t xml:space="preserve"> </w:t>
      </w:r>
      <w:r>
        <w:rPr>
          <w:szCs w:val="16"/>
        </w:rPr>
        <w:t xml:space="preserve">An alternative, commonly used provision makes this a requirement rather than a reasonable efforts standard. A potential problem with such formulation is that if not all larger shareholders are parties to this agreement or otherwise subject to the same restrictions then the failure to obtain a lock-up from even a single one of those shareholders would invalidate the entire provision. Consider also including a covenant requiring all future shareholders to sign a similar market stand-off provision. Compare </w:t>
      </w:r>
      <w:r w:rsidRPr="00880A95">
        <w:rPr>
          <w:szCs w:val="16"/>
          <w:u w:val="single"/>
        </w:rPr>
        <w:t xml:space="preserve">Section </w:t>
      </w:r>
      <w:r w:rsidRPr="00880A95">
        <w:rPr>
          <w:szCs w:val="16"/>
          <w:u w:val="single"/>
        </w:rPr>
        <w:fldChar w:fldCharType="begin"/>
      </w:r>
      <w:r w:rsidRPr="00880A95">
        <w:rPr>
          <w:szCs w:val="16"/>
          <w:u w:val="single"/>
        </w:rPr>
        <w:instrText xml:space="preserve">  REF _Ref448380639 \w \h \* MERGEFORMAT </w:instrText>
      </w:r>
      <w:r w:rsidRPr="00880A95">
        <w:rPr>
          <w:szCs w:val="16"/>
          <w:u w:val="single"/>
        </w:rPr>
        <w:fldChar w:fldCharType="separate"/>
      </w:r>
      <w:r w:rsidRPr="00BC1FC7">
        <w:rPr>
          <w:color w:val="000000"/>
          <w:szCs w:val="16"/>
          <w:u w:val="single"/>
        </w:rPr>
        <w:t>5.3</w:t>
      </w:r>
      <w:r w:rsidRPr="00880A95">
        <w:rPr>
          <w:szCs w:val="16"/>
          <w:u w:val="single"/>
        </w:rPr>
        <w:fldChar w:fldCharType="end"/>
      </w:r>
      <w:r>
        <w:rPr>
          <w:szCs w:val="16"/>
        </w:rPr>
        <w:t>, which applies only to employees.</w:t>
      </w:r>
    </w:p>
  </w:footnote>
  <w:footnote w:id="34">
    <w:p w:rsidR="00BC1FC7" w:rsidP="00506197">
      <w:pPr>
        <w:pStyle w:val="FootnoteText"/>
      </w:pPr>
      <w:r>
        <w:rPr>
          <w:rStyle w:val="FootnoteReference"/>
        </w:rPr>
        <w:footnoteRef/>
      </w:r>
      <w:r>
        <w:t xml:space="preserve"> Sometimes </w:t>
      </w:r>
      <w:r>
        <w:rPr>
          <w:i/>
        </w:rPr>
        <w:t>de minimis</w:t>
      </w:r>
      <w:r>
        <w:t xml:space="preserve"> thresholds are negotiated so that smaller employee shareholders in need of liquidity can be released without destroying all of the lock-ups and the offering. Note, however, that based on recent experience with dealing with IPO underwriters, who are objecting to small holders not being subject to lock-ups, some funds are requiring that all shareholders be subject to lock-ups. Lawyers should be aware that even if this last bracketed sentence is included in this Agreement</w:t>
      </w:r>
      <w:r w:rsidR="00C364FE">
        <w:t>,</w:t>
      </w:r>
      <w:r>
        <w:t xml:space="preserve"> some underwriters will object to including similar language regarding discretionary waivers in the lock-up agreements they require in connection with an IPO. Investors having the benefit of the bracketed sentence can be reluctant to agree to a lock-up agreement less favorable, creating an issue that needs to be resolved to successfully complete the IPO.</w:t>
      </w:r>
    </w:p>
  </w:footnote>
  <w:footnote w:id="35">
    <w:p w:rsidR="00BC1FC7">
      <w:pPr>
        <w:pStyle w:val="FootnoteText"/>
      </w:pPr>
      <w:r>
        <w:rPr>
          <w:rStyle w:val="FootnoteReference"/>
        </w:rPr>
        <w:footnoteRef/>
      </w:r>
      <w:r>
        <w:t xml:space="preserve"> </w:t>
      </w:r>
      <w:r>
        <w:rPr>
          <w:szCs w:val="16"/>
        </w:rPr>
        <w:t xml:space="preserve">This Agreement does not prohibit the transfer of Registrable Securities to anyone, including competitors. Canadian companies typically provide for a "right of first refusal" in respect of transfers in favor of the Company, other investors, or Key Holders.  In the event of a proposed sale or transfer, special rules sometimes limit transfers to competitors. See also Sections </w:t>
      </w:r>
      <w:r>
        <w:rPr>
          <w:szCs w:val="16"/>
        </w:rPr>
        <w:fldChar w:fldCharType="begin"/>
      </w:r>
      <w:r>
        <w:rPr>
          <w:szCs w:val="16"/>
        </w:rPr>
        <w:instrText xml:space="preserve">  REF _Ref448380614 \w \h \* MERGEFORMAT </w:instrText>
      </w:r>
      <w:r>
        <w:rPr>
          <w:szCs w:val="16"/>
        </w:rPr>
        <w:fldChar w:fldCharType="separate"/>
      </w:r>
      <w:r w:rsidRPr="00BC1FC7">
        <w:rPr>
          <w:color w:val="000000"/>
          <w:szCs w:val="16"/>
        </w:rPr>
        <w:t>3.1</w:t>
      </w:r>
      <w:r>
        <w:rPr>
          <w:szCs w:val="16"/>
        </w:rPr>
        <w:fldChar w:fldCharType="end"/>
      </w:r>
      <w:r>
        <w:rPr>
          <w:szCs w:val="16"/>
        </w:rPr>
        <w:t xml:space="preserve">, </w:t>
      </w:r>
      <w:r>
        <w:rPr>
          <w:szCs w:val="16"/>
        </w:rPr>
        <w:fldChar w:fldCharType="begin"/>
      </w:r>
      <w:r>
        <w:rPr>
          <w:szCs w:val="16"/>
        </w:rPr>
        <w:instrText xml:space="preserve">  REF _Ref448380622 \w \h \* MERGEFORMAT </w:instrText>
      </w:r>
      <w:r>
        <w:rPr>
          <w:szCs w:val="16"/>
        </w:rPr>
        <w:fldChar w:fldCharType="separate"/>
      </w:r>
      <w:r w:rsidRPr="00BC1FC7">
        <w:rPr>
          <w:color w:val="000000"/>
          <w:szCs w:val="16"/>
        </w:rPr>
        <w:t>3.2</w:t>
      </w:r>
      <w:r>
        <w:rPr>
          <w:szCs w:val="16"/>
        </w:rPr>
        <w:fldChar w:fldCharType="end"/>
      </w:r>
      <w:r>
        <w:rPr>
          <w:szCs w:val="16"/>
        </w:rPr>
        <w:t xml:space="preserve"> and </w:t>
      </w:r>
      <w:r>
        <w:rPr>
          <w:szCs w:val="16"/>
        </w:rPr>
        <w:fldChar w:fldCharType="begin"/>
      </w:r>
      <w:r>
        <w:rPr>
          <w:szCs w:val="16"/>
        </w:rPr>
        <w:instrText xml:space="preserve">  REF _Ref448380623 \w \h \* MERGEFORMAT </w:instrText>
      </w:r>
      <w:r>
        <w:rPr>
          <w:szCs w:val="16"/>
        </w:rPr>
        <w:fldChar w:fldCharType="separate"/>
      </w:r>
      <w:r w:rsidRPr="00BC1FC7">
        <w:rPr>
          <w:color w:val="000000"/>
          <w:szCs w:val="16"/>
        </w:rPr>
        <w:t>3.3</w:t>
      </w:r>
      <w:r>
        <w:rPr>
          <w:szCs w:val="16"/>
        </w:rPr>
        <w:fldChar w:fldCharType="end"/>
      </w:r>
      <w:r>
        <w:rPr>
          <w:szCs w:val="16"/>
        </w:rPr>
        <w:t xml:space="preserve">. Note also that the Articles of Canadian companies </w:t>
      </w:r>
      <w:r w:rsidR="007D192F">
        <w:rPr>
          <w:szCs w:val="16"/>
        </w:rPr>
        <w:t xml:space="preserve">often </w:t>
      </w:r>
      <w:r>
        <w:rPr>
          <w:szCs w:val="16"/>
        </w:rPr>
        <w:t>contain restrictions on transfer</w:t>
      </w:r>
      <w:r w:rsidR="007D192F">
        <w:rPr>
          <w:szCs w:val="16"/>
        </w:rPr>
        <w:t>s to which all shareholders are subject (e.g. requiring director or shareholder approval of transfers)</w:t>
      </w:r>
      <w:r>
        <w:rPr>
          <w:szCs w:val="16"/>
        </w:rPr>
        <w:t>.</w:t>
      </w:r>
    </w:p>
  </w:footnote>
  <w:footnote w:id="36">
    <w:p w:rsidR="00BC1FC7">
      <w:pPr>
        <w:pStyle w:val="FootnoteText"/>
      </w:pPr>
      <w:r>
        <w:rPr>
          <w:rStyle w:val="FootnoteReference"/>
        </w:rPr>
        <w:footnoteRef/>
      </w:r>
      <w:r>
        <w:t xml:space="preserve"> </w:t>
      </w:r>
      <w:r>
        <w:rPr>
          <w:szCs w:val="16"/>
        </w:rPr>
        <w:t>The distribution date is the date the security was first issued.  See N</w:t>
      </w:r>
      <w:bookmarkStart w:id="226" w:name="DocXTextRef165"/>
      <w:r>
        <w:rPr>
          <w:szCs w:val="16"/>
        </w:rPr>
        <w:t>1</w:t>
      </w:r>
      <w:bookmarkEnd w:id="226"/>
      <w:r>
        <w:rPr>
          <w:szCs w:val="16"/>
        </w:rPr>
        <w:t xml:space="preserve"> 45-106.</w:t>
      </w:r>
    </w:p>
  </w:footnote>
  <w:footnote w:id="37">
    <w:p w:rsidR="00BC1FC7" w:rsidRPr="00EB41A0">
      <w:pPr>
        <w:pStyle w:val="FootnoteText"/>
        <w:rPr>
          <w:lang w:val="en-CA"/>
        </w:rPr>
      </w:pPr>
      <w:r>
        <w:rPr>
          <w:rStyle w:val="FootnoteReference"/>
        </w:rPr>
        <w:footnoteRef/>
      </w:r>
      <w:r>
        <w:t xml:space="preserve"> </w:t>
      </w:r>
      <w:r>
        <w:rPr>
          <w:lang w:val="en-CA"/>
        </w:rPr>
        <w:t>This language is intended to preserve registration rights for larger holders who may be subject to lock ups and other constraints on transferability including volume limitat</w:t>
      </w:r>
      <w:r w:rsidR="00EB41A0">
        <w:rPr>
          <w:lang w:val="en-CA"/>
        </w:rPr>
        <w:t>ions and/or spikes. S</w:t>
      </w:r>
      <w:r w:rsidRPr="00EB41A0" w:rsidR="00EB41A0">
        <w:rPr>
          <w:lang w:val="en-CA"/>
        </w:rPr>
        <w:t>ee</w:t>
      </w:r>
      <w:r w:rsidR="00EB41A0">
        <w:rPr>
          <w:lang w:val="en-CA"/>
        </w:rPr>
        <w:t xml:space="preserve"> also</w:t>
      </w:r>
      <w:r w:rsidRPr="00EB41A0" w:rsidR="00EB41A0">
        <w:rPr>
          <w:lang w:val="en-CA"/>
        </w:rPr>
        <w:t xml:space="preserve"> footnote </w:t>
      </w:r>
      <w:r w:rsidRPr="00EB41A0" w:rsidR="00EB41A0">
        <w:rPr>
          <w:lang w:val="en-CA"/>
        </w:rPr>
        <w:fldChar w:fldCharType="begin"/>
      </w:r>
      <w:r w:rsidRPr="00EB41A0" w:rsidR="00EB41A0">
        <w:rPr>
          <w:lang w:val="en-CA"/>
        </w:rPr>
        <w:instrText xml:space="preserve"> NOTEREF _Ref448380706 \h </w:instrText>
      </w:r>
      <w:r w:rsidR="00EB41A0">
        <w:rPr>
          <w:lang w:val="en-CA"/>
        </w:rPr>
        <w:instrText xml:space="preserve"> \* MERGEFORMAT </w:instrText>
      </w:r>
      <w:r w:rsidRPr="00EB41A0" w:rsidR="00EB41A0">
        <w:rPr>
          <w:lang w:val="en-CA"/>
        </w:rPr>
        <w:fldChar w:fldCharType="separate"/>
      </w:r>
      <w:r w:rsidRPr="00EB41A0" w:rsidR="00EB41A0">
        <w:rPr>
          <w:lang w:val="en-CA"/>
        </w:rPr>
        <w:t>37</w:t>
      </w:r>
      <w:r w:rsidRPr="00EB41A0" w:rsidR="00EB41A0">
        <w:rPr>
          <w:lang w:val="en-CA"/>
        </w:rPr>
        <w:fldChar w:fldCharType="end"/>
      </w:r>
      <w:r w:rsidRPr="00EB41A0">
        <w:rPr>
          <w:lang w:val="en-CA"/>
        </w:rPr>
        <w:t>.</w:t>
      </w:r>
    </w:p>
  </w:footnote>
  <w:footnote w:id="38">
    <w:p w:rsidR="00BC1FC7">
      <w:pPr>
        <w:pStyle w:val="FootnoteText"/>
      </w:pPr>
      <w:r w:rsidRPr="00EB41A0">
        <w:rPr>
          <w:rStyle w:val="FootnoteReference"/>
        </w:rPr>
        <w:footnoteRef/>
      </w:r>
      <w:r w:rsidRPr="00EB41A0">
        <w:t xml:space="preserve"> </w:t>
      </w:r>
      <w:r w:rsidRPr="00EB41A0">
        <w:rPr>
          <w:szCs w:val="16"/>
        </w:rPr>
        <w:t>Investors should be aware of definitions providing that shares cease to be registrable when they "may" be sold to the public under US securities laws without limitation as to amount (most often couched</w:t>
      </w:r>
      <w:r>
        <w:rPr>
          <w:szCs w:val="16"/>
        </w:rPr>
        <w:t xml:space="preserve"> in the Rule </w:t>
      </w:r>
      <w:bookmarkStart w:id="246" w:name="DocXTextRef182"/>
      <w:r>
        <w:rPr>
          <w:szCs w:val="16"/>
        </w:rPr>
        <w:t>144</w:t>
      </w:r>
      <w:bookmarkEnd w:id="246"/>
      <w:r>
        <w:rPr>
          <w:szCs w:val="16"/>
        </w:rPr>
        <w:t xml:space="preserve"> context) and under Canadian securities laws without being considered a distribution under NI 45-102. This variation may not be acceptable to investors, for several reasons. First, investors specifically negotiate for registration rights so that they are afforded the opportunity for a marketed and orderly exit from their investment, and the exemptions afforded by Rule </w:t>
      </w:r>
      <w:bookmarkStart w:id="247" w:name="DocXTextRef183"/>
      <w:r>
        <w:rPr>
          <w:szCs w:val="16"/>
        </w:rPr>
        <w:t>144</w:t>
      </w:r>
      <w:bookmarkEnd w:id="247"/>
      <w:r>
        <w:rPr>
          <w:szCs w:val="16"/>
        </w:rPr>
        <w:t xml:space="preserve">, Regulation S or NI 45-102 should not change this. Second, this provision could result in differing treatment of investors in that certain investors may be affiliates of the Company (due to, for example, Board representation or percentage stock ownership) for whom Rule 144 may not be available for sale of all shares without volume limitations, resulting in no loss of registration rights, while other investors who are not affiliates of the Company and for whom Rule </w:t>
      </w:r>
      <w:bookmarkStart w:id="248" w:name="DocXTextRef184"/>
      <w:r>
        <w:rPr>
          <w:szCs w:val="16"/>
        </w:rPr>
        <w:t>144</w:t>
      </w:r>
      <w:bookmarkEnd w:id="248"/>
      <w:r>
        <w:rPr>
          <w:szCs w:val="16"/>
        </w:rPr>
        <w:t xml:space="preserve"> would become available for sale of all shares without volume limitations would lose registration rights. Finally, depending on factors such as holding periods, lock-up periods, and market volumes, investors may lose their registration rights without any real opportunity to exercise them if the rights expire when shares become salable on an unlimited basis under Rule </w:t>
      </w:r>
      <w:bookmarkStart w:id="249" w:name="DocXTextRef185"/>
      <w:r>
        <w:rPr>
          <w:szCs w:val="16"/>
        </w:rPr>
        <w:t>144</w:t>
      </w:r>
      <w:bookmarkEnd w:id="249"/>
      <w:r>
        <w:rPr>
          <w:szCs w:val="16"/>
        </w:rPr>
        <w:t xml:space="preserve">. This final point is particularly true with the reduction of the holding period under Rule </w:t>
      </w:r>
      <w:bookmarkStart w:id="250" w:name="DocXTextRef186"/>
      <w:r>
        <w:rPr>
          <w:szCs w:val="16"/>
        </w:rPr>
        <w:t>144</w:t>
      </w:r>
      <w:bookmarkEnd w:id="250"/>
      <w:r>
        <w:rPr>
          <w:szCs w:val="16"/>
        </w:rPr>
        <w:t xml:space="preserve"> for unlimited resales of securities (other than for affiliates) to one year. Sometimes investors agree to minimum ownership thresholds such that holders of securities available for sale under Rule </w:t>
      </w:r>
      <w:bookmarkStart w:id="251" w:name="DocXTextRef187"/>
      <w:r>
        <w:rPr>
          <w:szCs w:val="16"/>
        </w:rPr>
        <w:t>144</w:t>
      </w:r>
      <w:bookmarkEnd w:id="251"/>
      <w:r>
        <w:rPr>
          <w:szCs w:val="16"/>
        </w:rPr>
        <w:t xml:space="preserve"> who hold less than a specified percentage (usually 1-5%) of the Company lose registration rights. The idea behind this is that these smaller holders really should be using Rule </w:t>
      </w:r>
      <w:bookmarkStart w:id="252" w:name="DocXTextRef188"/>
      <w:r>
        <w:rPr>
          <w:szCs w:val="16"/>
        </w:rPr>
        <w:t>144</w:t>
      </w:r>
      <w:bookmarkEnd w:id="252"/>
      <w:r>
        <w:rPr>
          <w:szCs w:val="16"/>
        </w:rPr>
        <w:t xml:space="preserve"> as an exit strategy. If investors can get comfortable with the percentage threshold (which may be difficult since they will have to estimate some amount of dilution for additional financings and a possible IPO), this can be beneficial to the investors as well since it will reduce the number of shareholders selling under the registration statement. In addition, some investors have expressed concern with termination of their registration rights even when all of their shares could be sold under Rule </w:t>
      </w:r>
      <w:bookmarkStart w:id="253" w:name="DocXTextRef189"/>
      <w:r>
        <w:rPr>
          <w:szCs w:val="16"/>
        </w:rPr>
        <w:t>144</w:t>
      </w:r>
      <w:bookmarkEnd w:id="253"/>
      <w:r>
        <w:rPr>
          <w:szCs w:val="16"/>
        </w:rPr>
        <w:t xml:space="preserve"> since there may still be practical issues with such sales in large volumes (</w:t>
      </w:r>
      <w:r>
        <w:rPr>
          <w:i/>
          <w:szCs w:val="16"/>
        </w:rPr>
        <w:t>e.g.</w:t>
      </w:r>
      <w:r>
        <w:rPr>
          <w:szCs w:val="16"/>
        </w:rPr>
        <w:t xml:space="preserve">, someone holding 5-9%) even though they are legally permissible and some investors feel it may also be in the Company's interest to </w:t>
      </w:r>
      <w:r w:rsidRPr="00EB41A0">
        <w:rPr>
          <w:szCs w:val="16"/>
        </w:rPr>
        <w:t xml:space="preserve">have them sell as part of an offering rather than dump the shares on the market. Investors also worry about such a termination provision if they remain subject to continuing lock-ups for registrations other than the IPO (see </w:t>
      </w:r>
      <w:bookmarkStart w:id="254" w:name="DocXTextRef190"/>
      <w:r w:rsidRPr="00EB41A0" w:rsidR="00EB41A0">
        <w:rPr>
          <w:szCs w:val="16"/>
        </w:rPr>
        <w:t>footnote</w:t>
      </w:r>
      <w:bookmarkEnd w:id="254"/>
      <w:r w:rsidRPr="00EB41A0" w:rsidR="00EB41A0">
        <w:rPr>
          <w:szCs w:val="16"/>
        </w:rPr>
        <w:t xml:space="preserve"> </w:t>
      </w:r>
      <w:r w:rsidRPr="00EB41A0" w:rsidR="00EB41A0">
        <w:rPr>
          <w:szCs w:val="16"/>
        </w:rPr>
        <w:fldChar w:fldCharType="begin"/>
      </w:r>
      <w:r w:rsidRPr="00EB41A0" w:rsidR="00EB41A0">
        <w:rPr>
          <w:szCs w:val="16"/>
        </w:rPr>
        <w:instrText xml:space="preserve"> NOTEREF _Ref55162647 \h </w:instrText>
      </w:r>
      <w:r w:rsidR="00EB41A0">
        <w:rPr>
          <w:szCs w:val="16"/>
        </w:rPr>
        <w:instrText xml:space="preserve"> \* MERGEFORMAT </w:instrText>
      </w:r>
      <w:r w:rsidRPr="00EB41A0" w:rsidR="00EB41A0">
        <w:rPr>
          <w:szCs w:val="16"/>
        </w:rPr>
        <w:fldChar w:fldCharType="separate"/>
      </w:r>
      <w:r w:rsidRPr="00EB41A0" w:rsidR="00EB41A0">
        <w:rPr>
          <w:szCs w:val="16"/>
        </w:rPr>
        <w:t>30</w:t>
      </w:r>
      <w:r w:rsidRPr="00EB41A0" w:rsidR="00EB41A0">
        <w:rPr>
          <w:szCs w:val="16"/>
        </w:rPr>
        <w:fldChar w:fldCharType="end"/>
      </w:r>
      <w:r w:rsidRPr="00EB41A0">
        <w:rPr>
          <w:szCs w:val="16"/>
        </w:rPr>
        <w:t>) as</w:t>
      </w:r>
      <w:r>
        <w:rPr>
          <w:szCs w:val="16"/>
        </w:rPr>
        <w:t xml:space="preserve"> that can impact their ability to sell outside of the registration.</w:t>
      </w:r>
    </w:p>
  </w:footnote>
  <w:footnote w:id="39">
    <w:p w:rsidR="00BC1FC7">
      <w:pPr>
        <w:pStyle w:val="FootnoteText"/>
      </w:pPr>
      <w:r>
        <w:rPr>
          <w:rStyle w:val="FootnoteReference"/>
        </w:rPr>
        <w:footnoteRef/>
      </w:r>
      <w:r>
        <w:t xml:space="preserve"> </w:t>
      </w:r>
      <w:r>
        <w:rPr>
          <w:szCs w:val="16"/>
        </w:rPr>
        <w:t>The share-ownership minimum for receiving financial information is negotiable, but is often set at the holdings of the smallest venture capital investor. It should be set high enough to avoid burdensome disclosure requirements on the Company, but low enough to provide investors with information if they really need it.</w:t>
      </w:r>
    </w:p>
  </w:footnote>
  <w:footnote w:id="40">
    <w:p w:rsidR="00BC1FC7">
      <w:pPr>
        <w:pStyle w:val="FootnoteText"/>
      </w:pPr>
      <w:r>
        <w:rPr>
          <w:rStyle w:val="FootnoteReference"/>
        </w:rPr>
        <w:footnoteRef/>
      </w:r>
      <w:r>
        <w:t xml:space="preserve"> </w:t>
      </w:r>
      <w:r>
        <w:rPr>
          <w:szCs w:val="16"/>
        </w:rPr>
        <w:t>This provision grants the Board the discretion to define "competitor" rather than using the defined term Competitor, but there are alternative ways that are more investor-friendly. For example, "competitors" could be defined as a select group of companies on a schedule.</w:t>
      </w:r>
    </w:p>
  </w:footnote>
  <w:footnote w:id="41">
    <w:p w:rsidR="00BC1FC7">
      <w:pPr>
        <w:pStyle w:val="FootnoteText"/>
      </w:pPr>
      <w:r>
        <w:rPr>
          <w:rStyle w:val="FootnoteReference"/>
        </w:rPr>
        <w:footnoteRef/>
      </w:r>
      <w:r>
        <w:t xml:space="preserve"> </w:t>
      </w:r>
      <w:r>
        <w:rPr>
          <w:szCs w:val="16"/>
        </w:rPr>
        <w:t>Consider the Company's stage of development, costs, and timing associated with audited financial statements as well as the use of nationally vs. regionally recognized accountants. Further, as a practical matter, "nationally recognized" accounting firms may not readily accept engagements by early stage companies.</w:t>
      </w:r>
    </w:p>
  </w:footnote>
  <w:footnote w:id="42">
    <w:p w:rsidR="00BC1FC7">
      <w:pPr>
        <w:pStyle w:val="FootnoteText"/>
      </w:pPr>
      <w:r>
        <w:rPr>
          <w:rStyle w:val="FootnoteReference"/>
        </w:rPr>
        <w:footnoteRef/>
      </w:r>
      <w:r>
        <w:t xml:space="preserve"> </w:t>
      </w:r>
      <w:r>
        <w:rPr>
          <w:szCs w:val="16"/>
        </w:rPr>
        <w:t>Some investors request that the Company provide information relating to material litigation, regulatory matters, material defaults under credit facilities, and other material events and occurrences. Note, however, that if the investing entity is entitled to a Board seat, there is little need (at least for that particular investor) to impose these additional reporting obligations on the Company.</w:t>
      </w:r>
    </w:p>
  </w:footnote>
  <w:footnote w:id="43">
    <w:p w:rsidR="00BC1FC7">
      <w:pPr>
        <w:pStyle w:val="FootnoteText"/>
      </w:pPr>
      <w:r>
        <w:rPr>
          <w:rStyle w:val="FootnoteReference"/>
        </w:rPr>
        <w:footnoteRef/>
      </w:r>
      <w:r>
        <w:t xml:space="preserve"> </w:t>
      </w:r>
      <w:r w:rsidRPr="00432DB3">
        <w:t>If the party with an observer is a strategic (vs. traditional venture) investor, consider other appropriate limitations, such as for competition or other conflicts of interest</w:t>
      </w:r>
      <w:r>
        <w:rPr>
          <w:szCs w:val="16"/>
        </w:rPr>
        <w:t>.</w:t>
      </w:r>
    </w:p>
  </w:footnote>
  <w:footnote w:id="44">
    <w:p w:rsidR="00BC1FC7">
      <w:pPr>
        <w:pStyle w:val="FootnoteText"/>
      </w:pPr>
      <w:r>
        <w:rPr>
          <w:rStyle w:val="FootnoteReference"/>
        </w:rPr>
        <w:footnoteRef/>
      </w:r>
      <w:r>
        <w:t xml:space="preserve"> </w:t>
      </w:r>
      <w:r>
        <w:rPr>
          <w:szCs w:val="16"/>
        </w:rPr>
        <w:t>Because the Company will be a reporting company under the Exchange Act following any registered public offering, the Company will be required to limit information provided to Investors to the information filed with the SEC under the Exchange Act.</w:t>
      </w:r>
    </w:p>
  </w:footnote>
  <w:footnote w:id="45">
    <w:p w:rsidR="00BC1FC7">
      <w:pPr>
        <w:pStyle w:val="FootnoteText"/>
      </w:pPr>
      <w:r>
        <w:rPr>
          <w:rStyle w:val="FootnoteReference"/>
        </w:rPr>
        <w:footnoteRef/>
      </w:r>
      <w:r>
        <w:t xml:space="preserve"> </w:t>
      </w:r>
      <w:r>
        <w:rPr>
          <w:szCs w:val="16"/>
        </w:rPr>
        <w:t>Consider including language to prohibit disclosure of confidential information to any competitor.  In Canada, it is common for the Board of Directors to control to whom information can be provided and what information can be disclosed to prospective purchasers.</w:t>
      </w:r>
    </w:p>
  </w:footnote>
  <w:footnote w:id="46">
    <w:p w:rsidR="00BC1FC7">
      <w:pPr>
        <w:pStyle w:val="FootnoteText"/>
      </w:pPr>
      <w:r>
        <w:rPr>
          <w:rStyle w:val="FootnoteReference"/>
        </w:rPr>
        <w:footnoteRef/>
      </w:r>
      <w:r>
        <w:t xml:space="preserve"> </w:t>
      </w:r>
      <w:r>
        <w:rPr>
          <w:szCs w:val="16"/>
        </w:rPr>
        <w:t>The bracketed language is a (pro-investor) provision intended to give Investors the ability to provide such information to prospective limited partners, members and other investors which may be important to an Investor, though note that companies may be uncomfortable extending the group which has access to their confidential information this far and may prefer to deal with this issue on a case by case basis.</w:t>
      </w:r>
    </w:p>
  </w:footnote>
  <w:footnote w:id="47">
    <w:p w:rsidR="00BC1FC7" w:rsidRPr="00432DB3" w:rsidP="00900B19">
      <w:pPr>
        <w:pStyle w:val="FootnoteText"/>
      </w:pPr>
      <w:r w:rsidRPr="00432DB3">
        <w:rPr>
          <w:rStyle w:val="FootnoteReference"/>
        </w:rPr>
        <w:footnoteRef/>
      </w:r>
      <w:r w:rsidRPr="00432DB3">
        <w:t xml:space="preserve"> </w:t>
      </w:r>
      <w:r w:rsidRPr="00432DB3">
        <w:tab/>
        <w:t>The Company and the investors may desire to have the Company</w:t>
      </w:r>
      <w:r>
        <w:t>’</w:t>
      </w:r>
      <w:r w:rsidRPr="00432DB3">
        <w:t>s s</w:t>
      </w:r>
      <w:r>
        <w:t>hare</w:t>
      </w:r>
      <w:r w:rsidRPr="00432DB3">
        <w:t>holders waive statutory rights to information about the Company. If including this provision, consider whether waiver</w:t>
      </w:r>
      <w:r>
        <w:t>s should be obtained from shareh</w:t>
      </w:r>
      <w:r w:rsidRPr="00432DB3">
        <w:t>olders who are not party to this agreement. Such a waiver should be included in a contract between the Company and the applicable s</w:t>
      </w:r>
      <w:r>
        <w:t>hare</w:t>
      </w:r>
      <w:r w:rsidRPr="00432DB3">
        <w:t>holders, and will not be effective when included in the Company</w:t>
      </w:r>
      <w:r>
        <w:t>’</w:t>
      </w:r>
      <w:r w:rsidRPr="00432DB3">
        <w:t xml:space="preserve">s </w:t>
      </w:r>
      <w:r>
        <w:t>articles or by-laws</w:t>
      </w:r>
      <w:r w:rsidRPr="00432DB3">
        <w:t>.</w:t>
      </w:r>
    </w:p>
  </w:footnote>
  <w:footnote w:id="48">
    <w:p w:rsidR="00BC1FC7">
      <w:pPr>
        <w:pStyle w:val="FootnoteText"/>
      </w:pPr>
      <w:r>
        <w:rPr>
          <w:rStyle w:val="FootnoteReference"/>
        </w:rPr>
        <w:footnoteRef/>
      </w:r>
      <w:r>
        <w:t xml:space="preserve"> </w:t>
      </w:r>
      <w:r>
        <w:rPr>
          <w:szCs w:val="16"/>
        </w:rPr>
        <w:t>Here this "pre-emptive" right is provided to only a few select investors ("</w:t>
      </w:r>
      <w:r>
        <w:rPr>
          <w:b/>
          <w:szCs w:val="16"/>
        </w:rPr>
        <w:t>Major Investors</w:t>
      </w:r>
      <w:r>
        <w:rPr>
          <w:szCs w:val="16"/>
        </w:rPr>
        <w:t>"), to avoid unduly complicating subsequent financing rounds.</w:t>
      </w:r>
    </w:p>
  </w:footnote>
  <w:footnote w:id="49">
    <w:p w:rsidR="00BC1FC7">
      <w:pPr>
        <w:pStyle w:val="FootnoteText"/>
      </w:pPr>
      <w:r>
        <w:rPr>
          <w:rStyle w:val="FootnoteReference"/>
        </w:rPr>
        <w:footnoteRef/>
      </w:r>
      <w:r>
        <w:t xml:space="preserve"> </w:t>
      </w:r>
      <w:r>
        <w:rPr>
          <w:szCs w:val="16"/>
        </w:rPr>
        <w:t>The Board may elect to reserve only a portion of the round for existing investors, with the balance to be offered exclusively to new investors. If so, then the phrase "set aside by the Board of Directors for purchase by existing investors" or similar language should be inserted immediately before the footnote reference above. (See similar language in definition of "Offered Securities" in pay-to-play section ("</w:t>
      </w:r>
      <w:r>
        <w:rPr>
          <w:b/>
          <w:szCs w:val="16"/>
        </w:rPr>
        <w:t>Special Mandatory Conversion</w:t>
      </w:r>
      <w:r>
        <w:rPr>
          <w:szCs w:val="16"/>
        </w:rPr>
        <w:t xml:space="preserve">") of Model Articles of Amendment.) Some investors might view a provision authorizing the Board to allocate only a portion of the New Securities for purchase under Section </w:t>
      </w:r>
      <w:bookmarkStart w:id="348" w:name="DocXTextRef250"/>
      <w:r>
        <w:rPr>
          <w:szCs w:val="16"/>
        </w:rPr>
        <w:t>4</w:t>
      </w:r>
      <w:bookmarkEnd w:id="348"/>
      <w:r>
        <w:rPr>
          <w:szCs w:val="16"/>
        </w:rPr>
        <w:t xml:space="preserve"> as eviscerating the investors' right of first offer unless a minimum portion of the new offering must be set aside. Consequently, existing shareholders will usually be entitled to subscribe for all New Securities but will waive their rights in order to facilitate investment by new investors.</w:t>
      </w:r>
    </w:p>
  </w:footnote>
  <w:footnote w:id="50">
    <w:p w:rsidR="00BC1FC7">
      <w:pPr>
        <w:pStyle w:val="FootnoteText"/>
      </w:pPr>
      <w:r>
        <w:rPr>
          <w:rStyle w:val="FootnoteReference"/>
        </w:rPr>
        <w:footnoteRef/>
      </w:r>
      <w:r>
        <w:t xml:space="preserve"> </w:t>
      </w:r>
      <w:r>
        <w:rPr>
          <w:szCs w:val="16"/>
        </w:rPr>
        <w:t>The definition of this pro rata participation concept can be subject to negotiation. The numerator is generally based on common stock ownership or entitlement and should only include amounts held by the investor, including any common stock that the investor may have purchased as common stock (for example, in a secondary transaction). The denominator is usually the fully diluted common stock of the Company before the issuance but can sometimes be cut back to exclude certain options or warrants, thereby increasing the number of shares available for purchase by holders of the purchase right, or can be limited (as in the alternative bracketed language) to securities held by the group with the purchase right (here, Major Investors), thereby making the purchase right a preemptive right in favor of such group.</w:t>
      </w:r>
    </w:p>
  </w:footnote>
  <w:footnote w:id="51">
    <w:p w:rsidR="00BC1FC7">
      <w:pPr>
        <w:pStyle w:val="FootnoteText"/>
      </w:pPr>
      <w:r>
        <w:rPr>
          <w:rStyle w:val="FootnoteReference"/>
        </w:rPr>
        <w:footnoteRef/>
      </w:r>
      <w:r>
        <w:t xml:space="preserve"> </w:t>
      </w:r>
      <w:r>
        <w:rPr>
          <w:szCs w:val="16"/>
        </w:rPr>
        <w:t>This is commonly referred to as a "gobble-up," "over allotment," or "oversubscription" provision and allows investors to purchase shares not purchased by other investors entitled to purchase rights. This is usually easy to negotiate, but some companies may resist allowing investors to exceed their current percentage ownership in the Company (which could limit shares available to potential new investors).</w:t>
      </w:r>
    </w:p>
  </w:footnote>
  <w:footnote w:id="52">
    <w:p w:rsidR="00BC1FC7">
      <w:pPr>
        <w:pStyle w:val="FootnoteText"/>
      </w:pPr>
      <w:r>
        <w:rPr>
          <w:rStyle w:val="FootnoteReference"/>
        </w:rPr>
        <w:footnoteRef/>
      </w:r>
      <w:r>
        <w:t xml:space="preserve"> </w:t>
      </w:r>
      <w:r>
        <w:rPr>
          <w:szCs w:val="16"/>
        </w:rPr>
        <w:t>These provisions should generally be consistent with the carve-outs to antidilution protection contained in the Articles. However, additional exclusions may be negotiated, and more Company flexibility may be afforded here than in the similar antidilution carve-outs in the Articles, since preemptive rights are usually considered a less important investor right than a conversion price adjustment.</w:t>
      </w:r>
    </w:p>
  </w:footnote>
  <w:footnote w:id="53">
    <w:p w:rsidR="00BC1FC7">
      <w:pPr>
        <w:pStyle w:val="FootnoteText"/>
      </w:pPr>
      <w:r>
        <w:rPr>
          <w:rStyle w:val="FootnoteReference"/>
        </w:rPr>
        <w:footnoteRef/>
      </w:r>
      <w:r>
        <w:t xml:space="preserve"> </w:t>
      </w:r>
      <w:r>
        <w:rPr>
          <w:szCs w:val="16"/>
        </w:rPr>
        <w:t xml:space="preserve">If this provision is included in the Agreement, careful </w:t>
      </w:r>
      <w:r w:rsidRPr="00EB41A0">
        <w:rPr>
          <w:szCs w:val="16"/>
        </w:rPr>
        <w:t xml:space="preserve">attention should be paid to the denominator used in the calculation of the pro rata participation right. Note that this language will not work if Section </w:t>
      </w:r>
      <w:r w:rsidRPr="00EB41A0">
        <w:rPr>
          <w:szCs w:val="16"/>
        </w:rPr>
        <w:fldChar w:fldCharType="begin"/>
      </w:r>
      <w:r w:rsidRPr="00EB41A0">
        <w:rPr>
          <w:szCs w:val="16"/>
        </w:rPr>
        <w:instrText xml:space="preserve">  REF _Ref448380627 \w \h \* MERGEFORMAT </w:instrText>
      </w:r>
      <w:r w:rsidRPr="00EB41A0">
        <w:rPr>
          <w:szCs w:val="16"/>
        </w:rPr>
        <w:fldChar w:fldCharType="separate"/>
      </w:r>
      <w:r w:rsidRPr="00EB41A0">
        <w:rPr>
          <w:color w:val="000000"/>
          <w:szCs w:val="16"/>
        </w:rPr>
        <w:t>4.1</w:t>
      </w:r>
      <w:r w:rsidRPr="00EB41A0">
        <w:rPr>
          <w:szCs w:val="16"/>
        </w:rPr>
        <w:fldChar w:fldCharType="end"/>
      </w:r>
      <w:r w:rsidRPr="00EB41A0">
        <w:rPr>
          <w:szCs w:val="16"/>
        </w:rPr>
        <w:t xml:space="preserve"> has been set up to give the investors a preemptive right. See footnotes </w:t>
      </w:r>
      <w:r w:rsidRPr="00EB41A0" w:rsidR="00EB41A0">
        <w:rPr>
          <w:szCs w:val="16"/>
        </w:rPr>
        <w:fldChar w:fldCharType="begin"/>
      </w:r>
      <w:r w:rsidRPr="00EB41A0" w:rsidR="00EB41A0">
        <w:rPr>
          <w:szCs w:val="16"/>
        </w:rPr>
        <w:instrText xml:space="preserve"> NOTEREF _Ref448380716 \h </w:instrText>
      </w:r>
      <w:r w:rsidR="00EB41A0">
        <w:rPr>
          <w:szCs w:val="16"/>
        </w:rPr>
        <w:instrText xml:space="preserve"> \* MERGEFORMAT </w:instrText>
      </w:r>
      <w:r w:rsidRPr="00EB41A0" w:rsidR="00EB41A0">
        <w:rPr>
          <w:szCs w:val="16"/>
        </w:rPr>
        <w:fldChar w:fldCharType="separate"/>
      </w:r>
      <w:r w:rsidRPr="00EB41A0" w:rsidR="00EB41A0">
        <w:rPr>
          <w:szCs w:val="16"/>
        </w:rPr>
        <w:t>48</w:t>
      </w:r>
      <w:r w:rsidRPr="00EB41A0" w:rsidR="00EB41A0">
        <w:rPr>
          <w:szCs w:val="16"/>
        </w:rPr>
        <w:fldChar w:fldCharType="end"/>
      </w:r>
      <w:r w:rsidRPr="00EB41A0" w:rsidR="00EB41A0">
        <w:rPr>
          <w:szCs w:val="16"/>
        </w:rPr>
        <w:t xml:space="preserve"> and </w:t>
      </w:r>
      <w:r w:rsidRPr="00EB41A0" w:rsidR="00EB41A0">
        <w:rPr>
          <w:szCs w:val="16"/>
        </w:rPr>
        <w:fldChar w:fldCharType="begin"/>
      </w:r>
      <w:r w:rsidRPr="00EB41A0" w:rsidR="00EB41A0">
        <w:rPr>
          <w:szCs w:val="16"/>
        </w:rPr>
        <w:instrText xml:space="preserve"> NOTEREF _Ref448380717 \h </w:instrText>
      </w:r>
      <w:r w:rsidRPr="00EB41A0" w:rsidR="00EB41A0">
        <w:rPr>
          <w:szCs w:val="16"/>
        </w:rPr>
        <w:fldChar w:fldCharType="separate"/>
      </w:r>
      <w:r w:rsidRPr="00EB41A0" w:rsidR="00EB41A0">
        <w:rPr>
          <w:szCs w:val="16"/>
        </w:rPr>
        <w:t>49</w:t>
      </w:r>
      <w:r w:rsidRPr="00EB41A0" w:rsidR="00EB41A0">
        <w:rPr>
          <w:szCs w:val="16"/>
        </w:rPr>
        <w:fldChar w:fldCharType="end"/>
      </w:r>
      <w:r w:rsidRPr="00EB41A0">
        <w:rPr>
          <w:szCs w:val="16"/>
        </w:rPr>
        <w:t>.</w:t>
      </w:r>
    </w:p>
  </w:footnote>
  <w:footnote w:id="54">
    <w:p w:rsidR="00BC1FC7" w:rsidP="00D7366A">
      <w:pPr>
        <w:pStyle w:val="FootnoteText"/>
      </w:pPr>
      <w:r>
        <w:rPr>
          <w:rStyle w:val="FootnoteReference"/>
        </w:rPr>
        <w:footnoteRef/>
      </w:r>
      <w:r>
        <w:t xml:space="preserve"> </w:t>
      </w:r>
      <w:r w:rsidRPr="00D17131">
        <w:t xml:space="preserve">When the </w:t>
      </w:r>
      <w:r w:rsidR="00C364FE">
        <w:t xml:space="preserve">venture </w:t>
      </w:r>
      <w:r w:rsidRPr="00D17131">
        <w:t xml:space="preserve">fund is also an indemnified party under the indemnification agreement, it may be appropriate for the D&amp;O policy to include an endorsement extending coverage </w:t>
      </w:r>
      <w:r>
        <w:t xml:space="preserve">to </w:t>
      </w:r>
      <w:r w:rsidRPr="00D17131">
        <w:t xml:space="preserve">the </w:t>
      </w:r>
      <w:r w:rsidR="00C364FE">
        <w:t xml:space="preserve">venture </w:t>
      </w:r>
      <w:r w:rsidRPr="00D17131">
        <w:t>fund.</w:t>
      </w:r>
    </w:p>
  </w:footnote>
  <w:footnote w:id="55">
    <w:p w:rsidR="00BC1FC7">
      <w:pPr>
        <w:pStyle w:val="FootnoteText"/>
      </w:pPr>
      <w:r>
        <w:rPr>
          <w:rStyle w:val="FootnoteReference"/>
        </w:rPr>
        <w:footnoteRef/>
      </w:r>
      <w:r>
        <w:t xml:space="preserve"> </w:t>
      </w:r>
      <w:r w:rsidRPr="00432DB3">
        <w:t xml:space="preserve">Key person insurance does not necessarily make sense for every company. A benefit of key person insurance is that, if done correctly, the proceeds payable are not taxable income to the Company. Such notice and consent is typically required in order to obtain the favorable tax treatment. Discuss with the </w:t>
      </w:r>
      <w:r>
        <w:t>C</w:t>
      </w:r>
      <w:r w:rsidRPr="00432DB3">
        <w:t>ompany</w:t>
      </w:r>
      <w:r>
        <w:t>’</w:t>
      </w:r>
      <w:r w:rsidRPr="00432DB3">
        <w:t>s insurance broker</w:t>
      </w:r>
      <w:r>
        <w:rPr>
          <w:szCs w:val="16"/>
        </w:rPr>
        <w:t>.</w:t>
      </w:r>
    </w:p>
  </w:footnote>
  <w:footnote w:id="56">
    <w:p w:rsidR="00BC1FC7">
      <w:pPr>
        <w:pStyle w:val="FootnoteText"/>
      </w:pPr>
      <w:r>
        <w:rPr>
          <w:rStyle w:val="FootnoteReference"/>
        </w:rPr>
        <w:footnoteRef/>
      </w:r>
      <w:r>
        <w:t xml:space="preserve"> </w:t>
      </w:r>
      <w:r w:rsidRPr="00432DB3">
        <w:t xml:space="preserve">You must look to the law of the </w:t>
      </w:r>
      <w:r>
        <w:t>jurisdiction</w:t>
      </w:r>
      <w:r w:rsidRPr="00432DB3">
        <w:t xml:space="preserve"> where the employee is based in order to determine what is permissible with respect to non-compete provisions. Such provisions </w:t>
      </w:r>
      <w:r>
        <w:rPr>
          <w:szCs w:val="16"/>
        </w:rPr>
        <w:t>(other than in connection with the sale of a business) are prohibited in California and may not be enforceable in other jurisdictions. In addition, some investors do not require such agreements on principled grounds or for fear that employees will request additional consideration in exchange for signing a non-compete/non-solicit (and indeed the agreement may be invalid absent such additional consideration). Others take the view that it should be up to the Board on a case-by-case basis to determine whether any particular key employee is required to sign such an agreement. Non-competes in the United States typically have a one</w:t>
      </w:r>
      <w:r w:rsidR="002512A5">
        <w:rPr>
          <w:szCs w:val="16"/>
        </w:rPr>
        <w:t xml:space="preserve"> (1) </w:t>
      </w:r>
      <w:r>
        <w:rPr>
          <w:szCs w:val="16"/>
        </w:rPr>
        <w:t>year duration, although state law may permit up to two</w:t>
      </w:r>
      <w:r w:rsidR="002512A5">
        <w:rPr>
          <w:szCs w:val="16"/>
        </w:rPr>
        <w:t xml:space="preserve"> (2)</w:t>
      </w:r>
      <w:r>
        <w:rPr>
          <w:szCs w:val="16"/>
        </w:rPr>
        <w:t xml:space="preserve"> years. In Canada, non-competes (other than in connection with the sale of a business) typically have up to a one (1) year duration for members of senior management, with shorter durations for lower level employees.</w:t>
      </w:r>
    </w:p>
  </w:footnote>
  <w:footnote w:id="57">
    <w:p w:rsidR="00BC1FC7">
      <w:pPr>
        <w:pStyle w:val="FootnoteText"/>
      </w:pPr>
      <w:r>
        <w:rPr>
          <w:rStyle w:val="FootnoteReference"/>
        </w:rPr>
        <w:footnoteRef/>
      </w:r>
      <w:r>
        <w:t xml:space="preserve"> </w:t>
      </w:r>
      <w:r w:rsidRPr="00432DB3">
        <w:t xml:space="preserve">Consultants rarely have a standard </w:t>
      </w:r>
      <w:r>
        <w:t>four (</w:t>
      </w:r>
      <w:r w:rsidRPr="00432DB3">
        <w:t>4</w:t>
      </w:r>
      <w:r>
        <w:t>)</w:t>
      </w:r>
      <w:r w:rsidRPr="00432DB3">
        <w:t xml:space="preserve"> year schedule with a cliff, and awards grants to existing employees often do not have a vesting cliff. If it is important to the investors to set forth a standard </w:t>
      </w:r>
      <w:r>
        <w:t>“</w:t>
      </w:r>
      <w:r w:rsidRPr="00432DB3">
        <w:t>consultant</w:t>
      </w:r>
      <w:r>
        <w:t>”</w:t>
      </w:r>
      <w:r w:rsidRPr="00432DB3">
        <w:t xml:space="preserve"> and </w:t>
      </w:r>
      <w:r>
        <w:t>“</w:t>
      </w:r>
      <w:r w:rsidRPr="00432DB3">
        <w:t>existing employee</w:t>
      </w:r>
      <w:r>
        <w:t>”</w:t>
      </w:r>
      <w:r w:rsidRPr="00432DB3">
        <w:t xml:space="preserve"> vesting schedules, work with the Company to determine what is appropriate and revise the section appropriately to separately reflect the same</w:t>
      </w:r>
      <w:r>
        <w:t>.</w:t>
      </w:r>
    </w:p>
  </w:footnote>
  <w:footnote w:id="58">
    <w:p w:rsidR="00BC1FC7" w:rsidRPr="00432DB3" w:rsidP="00F315A0">
      <w:pPr>
        <w:pStyle w:val="FootnoteText"/>
      </w:pPr>
      <w:r w:rsidRPr="00432DB3">
        <w:rPr>
          <w:rStyle w:val="FootnoteReference"/>
        </w:rPr>
        <w:footnoteRef/>
      </w:r>
      <w:r w:rsidRPr="00432DB3">
        <w:t xml:space="preserve"> </w:t>
      </w:r>
      <w:r w:rsidRPr="00432DB3">
        <w:tab/>
        <w:t xml:space="preserve">Lawyers may want to consider prohibiting </w:t>
      </w:r>
      <w:r>
        <w:t>subsequent</w:t>
      </w:r>
      <w:r w:rsidRPr="00432DB3">
        <w:t xml:space="preserve"> issuance</w:t>
      </w:r>
      <w:r>
        <w:t>s</w:t>
      </w:r>
      <w:r w:rsidRPr="00432DB3">
        <w:t xml:space="preserve"> of restricted stock or grant of stock options containing any provisions for acceleration upon any event or circumstances (beyond those already provided in any previously-approved equity or option plan) without the approval of the Board of Directors</w:t>
      </w:r>
      <w:r w:rsidRPr="00264819">
        <w:t>[, including the Requisite Preferred Director Vote].</w:t>
      </w:r>
    </w:p>
  </w:footnote>
  <w:footnote w:id="59">
    <w:p w:rsidR="00BC1FC7">
      <w:pPr>
        <w:pStyle w:val="FootnoteText"/>
      </w:pPr>
      <w:r>
        <w:rPr>
          <w:rStyle w:val="FootnoteReference"/>
        </w:rPr>
        <w:footnoteRef/>
      </w:r>
      <w:r>
        <w:t xml:space="preserve"> </w:t>
      </w:r>
      <w:r>
        <w:rPr>
          <w:szCs w:val="16"/>
        </w:rPr>
        <w:t xml:space="preserve">There is a divergence of interest between the Company and the investors with respect to whether specified corporate acts should be subject to approval by the investors' designee to the Board. Other formulations could be: requiring the vote of a supermajority of the Board, or a majority of the non-management directors. </w:t>
      </w:r>
      <w:r w:rsidRPr="00432DB3">
        <w:t xml:space="preserve">There may be other deal-specific </w:t>
      </w:r>
      <w:r w:rsidRPr="007E431F">
        <w:t>provisions</w:t>
      </w:r>
      <w:r w:rsidRPr="00432DB3">
        <w:t xml:space="preserve"> to include in this list; by contrast, there may be provisions listed here that are not appropriate for a given transaction. These provisions should also be harmonized with the special investor approval rights (so-called </w:t>
      </w:r>
      <w:r>
        <w:t>“</w:t>
      </w:r>
      <w:r w:rsidRPr="00432DB3">
        <w:t>protective provisions</w:t>
      </w:r>
      <w:r>
        <w:t>”</w:t>
      </w:r>
      <w:r w:rsidRPr="00432DB3">
        <w:t xml:space="preserve">) in the </w:t>
      </w:r>
      <w:r>
        <w:t>Articles</w:t>
      </w:r>
      <w:r w:rsidRPr="00432DB3">
        <w:t>, to avoid overl</w:t>
      </w:r>
      <w:r>
        <w:t>ap. In determining whether share</w:t>
      </w:r>
      <w:r w:rsidRPr="00432DB3">
        <w:t xml:space="preserve">holder approval (the </w:t>
      </w:r>
      <w:r>
        <w:t>protective provisions in the Articles</w:t>
      </w:r>
      <w:r w:rsidRPr="00432DB3">
        <w:t>) or director approval is appropriate for a given matter, consider (1) that the directors, unlike investors, have fiduciary duties; (2) that, as a practical matter, Board approva</w:t>
      </w:r>
      <w:r>
        <w:t>l is easier to obtain than share</w:t>
      </w:r>
      <w:r w:rsidRPr="00432DB3">
        <w:t>holder approval; and (3) the proportion of preferred shares held by funds whose partners sit on the Board.</w:t>
      </w:r>
    </w:p>
  </w:footnote>
  <w:footnote w:id="60">
    <w:p w:rsidR="00BC1FC7" w:rsidRPr="00432DB3" w:rsidP="00C9438A">
      <w:pPr>
        <w:pStyle w:val="FootnoteText"/>
      </w:pPr>
      <w:r w:rsidRPr="00432DB3">
        <w:rPr>
          <w:rStyle w:val="FootnoteReference"/>
        </w:rPr>
        <w:footnoteRef/>
      </w:r>
      <w:r w:rsidRPr="00432DB3">
        <w:t xml:space="preserve"> Appropriate for later stage companies and/or larger boards.</w:t>
      </w:r>
    </w:p>
  </w:footnote>
  <w:footnote w:id="61">
    <w:p w:rsidR="00BC1FC7">
      <w:pPr>
        <w:pStyle w:val="FootnoteText"/>
      </w:pPr>
      <w:r>
        <w:rPr>
          <w:rStyle w:val="FootnoteReference"/>
        </w:rPr>
        <w:footnoteRef/>
      </w:r>
      <w:r>
        <w:t xml:space="preserve"> </w:t>
      </w:r>
      <w:r>
        <w:rPr>
          <w:szCs w:val="16"/>
        </w:rPr>
        <w:t>Investors at times find that their interests are not perfectly aligned with those of management when it comes to the sale of a Company and/or that the matters of concern to them (</w:t>
      </w:r>
      <w:r>
        <w:rPr>
          <w:i/>
          <w:szCs w:val="16"/>
        </w:rPr>
        <w:t>e.g.</w:t>
      </w:r>
      <w:r>
        <w:rPr>
          <w:szCs w:val="16"/>
        </w:rPr>
        <w:t>, escrow provisions) are not necessarily important to management; providing for separate investor counsel ensures that someone is looking out for their interests at a crucial time.</w:t>
      </w:r>
    </w:p>
  </w:footnote>
  <w:footnote w:id="62">
    <w:p w:rsidR="00BC1FC7">
      <w:pPr>
        <w:pStyle w:val="FootnoteText"/>
      </w:pPr>
      <w:r>
        <w:rPr>
          <w:rStyle w:val="FootnoteReference"/>
        </w:rPr>
        <w:footnoteRef/>
      </w:r>
      <w:r>
        <w:t xml:space="preserve"> </w:t>
      </w:r>
      <w:r>
        <w:rPr>
          <w:szCs w:val="16"/>
        </w:rPr>
        <w:t xml:space="preserve">This provision, added in the wake of the Delaware Chancery Court's decision in </w:t>
      </w:r>
      <w:r>
        <w:rPr>
          <w:i/>
          <w:szCs w:val="16"/>
        </w:rPr>
        <w:t>Levy, et al. v. HLI Operating Company, Inc., et al., 2007 WL 1452934 (Del.Ch.)</w:t>
      </w:r>
      <w:r>
        <w:rPr>
          <w:szCs w:val="16"/>
        </w:rPr>
        <w:t>, is designed to reinforce the priority of the Company's indemnification of an investor director and to ensure that the investing entity itself is in direct contractual privity with the Company with respect to such priority (in contrast to an indemnification agreement between the Company and the individual director themselves).</w:t>
      </w:r>
    </w:p>
  </w:footnote>
  <w:footnote w:id="63">
    <w:p w:rsidR="00BC1FC7">
      <w:pPr>
        <w:pStyle w:val="FootnoteText"/>
      </w:pPr>
      <w:r>
        <w:rPr>
          <w:rStyle w:val="FootnoteReference"/>
        </w:rPr>
        <w:footnoteRef/>
      </w:r>
      <w:r>
        <w:t xml:space="preserve"> </w:t>
      </w:r>
      <w:r w:rsidRPr="00432DB3">
        <w:t>Or broaden to all investors if investor set are all professional investors</w:t>
      </w:r>
      <w:r>
        <w:t>.</w:t>
      </w:r>
    </w:p>
  </w:footnote>
  <w:footnote w:id="64">
    <w:p w:rsidR="00BC1FC7" w:rsidRPr="00CD2F72" w:rsidP="00B62E5B">
      <w:pPr>
        <w:pStyle w:val="FootnoteText"/>
      </w:pPr>
      <w:r w:rsidRPr="00432DB3">
        <w:rPr>
          <w:rStyle w:val="FootnoteReference"/>
        </w:rPr>
        <w:footnoteRef/>
      </w:r>
      <w:r w:rsidRPr="00432DB3">
        <w:tab/>
      </w:r>
      <w:r w:rsidRPr="00CD2F72">
        <w:t>Because CFPO compliance can be costly and time-consuming, consideration should be given to when and how it may be best implemented at an early-stage company. If including this provision in an early-stage deal, consider making specific practical recommendations to the Company regarding measures that the Company should take to establish and maintain CFPO compliance.</w:t>
      </w:r>
    </w:p>
  </w:footnote>
  <w:footnote w:id="65">
    <w:p w:rsidR="00BC1FC7" w:rsidRPr="00432DB3" w:rsidP="00B62E5B">
      <w:pPr>
        <w:pStyle w:val="FootnoteText"/>
      </w:pPr>
      <w:r w:rsidRPr="00CD2F72">
        <w:rPr>
          <w:rStyle w:val="FootnoteReference"/>
        </w:rPr>
        <w:footnoteRef/>
      </w:r>
      <w:r w:rsidRPr="00CD2F72">
        <w:tab/>
        <w:t>T</w:t>
      </w:r>
      <w:r w:rsidRPr="00CD2F72">
        <w:rPr>
          <w:noProof/>
        </w:rPr>
        <w:t>hese requirements would be difficult if not impossible for many early stage companies to meet, especially within the one hundred eighty (180) day</w:t>
      </w:r>
      <w:r w:rsidRPr="00432DB3">
        <w:rPr>
          <w:noProof/>
        </w:rPr>
        <w:t xml:space="preserve"> timeframe. </w:t>
      </w:r>
      <w:r w:rsidRPr="00EA471D">
        <w:rPr>
          <w:noProof/>
        </w:rPr>
        <w:t>"</w:t>
      </w:r>
      <w:r w:rsidRPr="00432DB3">
        <w:rPr>
          <w:noProof/>
        </w:rPr>
        <w:t>Industry standard</w:t>
      </w:r>
      <w:r w:rsidRPr="00EA471D">
        <w:rPr>
          <w:noProof/>
        </w:rPr>
        <w:t>"</w:t>
      </w:r>
      <w:r w:rsidRPr="00432DB3">
        <w:rPr>
          <w:noProof/>
        </w:rPr>
        <w:t xml:space="preserve"> is a high bar that can be costly to clear and that many mature companies do not clear. Almost no relevant vendors will in practice offer a </w:t>
      </w:r>
      <w:r w:rsidRPr="00EA471D">
        <w:rPr>
          <w:noProof/>
        </w:rPr>
        <w:t>"</w:t>
      </w:r>
      <w:r w:rsidRPr="00432DB3">
        <w:rPr>
          <w:noProof/>
        </w:rPr>
        <w:t>breach prevention warranty</w:t>
      </w:r>
      <w:r w:rsidRPr="00EA471D">
        <w:rPr>
          <w:noProof/>
        </w:rPr>
        <w:t>"</w:t>
      </w:r>
      <w:r w:rsidRPr="00432DB3">
        <w:rPr>
          <w:noProof/>
        </w:rPr>
        <w:t xml:space="preserve"> and most companies will not have leverage to dicate breach notice obligations to their vendors (</w:t>
      </w:r>
      <w:r w:rsidRPr="0043440B">
        <w:rPr>
          <w:i/>
          <w:noProof/>
        </w:rPr>
        <w:t>e.g.</w:t>
      </w:r>
      <w:r w:rsidRPr="00432DB3">
        <w:rPr>
          <w:noProof/>
        </w:rPr>
        <w:t>, Amazon, Google, Microsoft). Moreover, to the extent some of this would be reasonable to expect a company to do, it should be covered by the broad obligations created in the preceding sentence, which applies to both data handled by the Company as well as data handled on its behalf by vendors. Accordingly, only include if there are specific needs and concerns that cannot otherwise be addressed</w:t>
      </w:r>
    </w:p>
  </w:footnote>
  <w:footnote w:id="66">
    <w:p w:rsidR="00BC1FC7" w:rsidRPr="00B539B5" w:rsidP="00B62E5B">
      <w:pPr>
        <w:pStyle w:val="FootnoteText"/>
      </w:pPr>
      <w:r w:rsidRPr="00432DB3">
        <w:rPr>
          <w:rStyle w:val="FootnoteReference"/>
        </w:rPr>
        <w:footnoteRef/>
      </w:r>
      <w:r>
        <w:t xml:space="preserve"> </w:t>
      </w:r>
      <w:r>
        <w:tab/>
        <w:t>Due to recent changes in U.S.</w:t>
      </w:r>
      <w:r w:rsidRPr="00432DB3">
        <w:t xml:space="preserve"> tax law, venture capital funds will need to report to a transferring limited partner the extent to which a sale of the venture capital fund</w:t>
      </w:r>
      <w:r>
        <w:t>’</w:t>
      </w:r>
      <w:r w:rsidRPr="00432DB3">
        <w:t xml:space="preserve">s assets would generate U.S. tax obligations (and in some cases the venture capital fund will incur a withholding tax liability with respect thereto). In order to comply with these obligations, the venture capital </w:t>
      </w:r>
      <w:r w:rsidRPr="00B539B5">
        <w:t>fund will need to determine whether its interest in each portfolio company constitutes a United States real property interest.</w:t>
      </w:r>
    </w:p>
  </w:footnote>
  <w:footnote w:id="67">
    <w:p w:rsidR="00BC1FC7">
      <w:pPr>
        <w:pStyle w:val="FootnoteText"/>
      </w:pPr>
      <w:r w:rsidRPr="00B539B5">
        <w:rPr>
          <w:rStyle w:val="FootnoteReference"/>
        </w:rPr>
        <w:footnoteRef/>
      </w:r>
      <w:r w:rsidRPr="00B539B5">
        <w:t xml:space="preserve"> </w:t>
      </w:r>
      <w:r w:rsidRPr="00B539B5">
        <w:rPr>
          <w:szCs w:val="16"/>
        </w:rPr>
        <w:t xml:space="preserve">Compare to Sections </w:t>
      </w:r>
      <w:r w:rsidRPr="00B539B5">
        <w:rPr>
          <w:szCs w:val="16"/>
        </w:rPr>
        <w:fldChar w:fldCharType="begin"/>
      </w:r>
      <w:r w:rsidRPr="00B539B5">
        <w:rPr>
          <w:szCs w:val="16"/>
        </w:rPr>
        <w:instrText xml:space="preserve">  REF _Ref448380624 \w \h \* MERGEFORMAT </w:instrText>
      </w:r>
      <w:r w:rsidRPr="00B539B5">
        <w:rPr>
          <w:szCs w:val="16"/>
        </w:rPr>
        <w:fldChar w:fldCharType="separate"/>
      </w:r>
      <w:r w:rsidRPr="00B539B5">
        <w:rPr>
          <w:color w:val="000000"/>
          <w:szCs w:val="16"/>
        </w:rPr>
        <w:t>3.4</w:t>
      </w:r>
      <w:r w:rsidRPr="00B539B5">
        <w:rPr>
          <w:szCs w:val="16"/>
        </w:rPr>
        <w:fldChar w:fldCharType="end"/>
      </w:r>
      <w:r w:rsidRPr="00B539B5">
        <w:rPr>
          <w:szCs w:val="16"/>
        </w:rPr>
        <w:t xml:space="preserve"> and </w:t>
      </w:r>
      <w:r w:rsidRPr="00B539B5">
        <w:rPr>
          <w:szCs w:val="16"/>
        </w:rPr>
        <w:fldChar w:fldCharType="begin"/>
      </w:r>
      <w:r w:rsidRPr="00B539B5">
        <w:rPr>
          <w:szCs w:val="16"/>
        </w:rPr>
        <w:instrText xml:space="preserve">  REF _Ref448380635 \w \h \* MERGEFORMAT </w:instrText>
      </w:r>
      <w:r w:rsidRPr="00B539B5">
        <w:rPr>
          <w:szCs w:val="16"/>
        </w:rPr>
        <w:fldChar w:fldCharType="separate"/>
      </w:r>
      <w:r w:rsidRPr="00B539B5">
        <w:rPr>
          <w:color w:val="000000"/>
          <w:szCs w:val="16"/>
        </w:rPr>
        <w:t>4.2</w:t>
      </w:r>
      <w:r w:rsidRPr="00B539B5">
        <w:rPr>
          <w:szCs w:val="16"/>
        </w:rPr>
        <w:fldChar w:fldCharType="end"/>
      </w:r>
      <w:r w:rsidRPr="00B539B5">
        <w:rPr>
          <w:szCs w:val="16"/>
        </w:rPr>
        <w:t>.</w:t>
      </w:r>
    </w:p>
  </w:footnote>
  <w:footnote w:id="68">
    <w:p w:rsidR="00BC1FC7">
      <w:pPr>
        <w:pStyle w:val="FootnoteText"/>
      </w:pPr>
      <w:r>
        <w:rPr>
          <w:rStyle w:val="FootnoteReference"/>
        </w:rPr>
        <w:footnoteRef/>
      </w:r>
      <w:r>
        <w:t xml:space="preserve"> </w:t>
      </w:r>
      <w:r w:rsidRPr="00432DB3">
        <w:t>Consider moving the counsel cc address to the schedules for investors, since often more than one</w:t>
      </w:r>
      <w:r>
        <w:t>.</w:t>
      </w:r>
    </w:p>
  </w:footnote>
  <w:footnote w:id="69">
    <w:p w:rsidR="00BC1FC7">
      <w:pPr>
        <w:pStyle w:val="FootnoteText"/>
      </w:pPr>
      <w:r>
        <w:rPr>
          <w:rStyle w:val="FootnoteReference"/>
        </w:rPr>
        <w:footnoteRef/>
      </w:r>
      <w:r>
        <w:t xml:space="preserve"> </w:t>
      </w:r>
      <w:r>
        <w:rPr>
          <w:szCs w:val="16"/>
        </w:rPr>
        <w:t>The composition of the shareholder base should be reviewed carefully when setting amendment and waiver thresholds. In general, rights as to each investor group should be separately waivable by that group.</w:t>
      </w:r>
    </w:p>
  </w:footnote>
  <w:footnote w:id="70">
    <w:p w:rsidR="00BC1FC7">
      <w:pPr>
        <w:pStyle w:val="FootnoteText"/>
      </w:pPr>
      <w:r>
        <w:rPr>
          <w:rStyle w:val="FootnoteReference"/>
        </w:rPr>
        <w:footnoteRef/>
      </w:r>
      <w:r>
        <w:t xml:space="preserve"> </w:t>
      </w:r>
      <w:r w:rsidRPr="00432DB3">
        <w:t>Note that this parenthetical allows all investors with pro rata rights to vote for a waiver of pro rata rights, including investors who participate in a financing for which such rights are waived. This allows flexibility in structuring future investment rounds, but could result in some investors losing pro rata rights in a round where other investors are participating</w:t>
      </w:r>
      <w:r>
        <w:t>.</w:t>
      </w:r>
    </w:p>
  </w:footnote>
  <w:footnote w:id="71">
    <w:p w:rsidR="00BC1FC7">
      <w:pPr>
        <w:pStyle w:val="FootnoteText"/>
      </w:pPr>
      <w:r>
        <w:rPr>
          <w:rStyle w:val="FootnoteReference"/>
        </w:rPr>
        <w:footnoteRef/>
      </w:r>
      <w:r>
        <w:t xml:space="preserve"> </w:t>
      </w:r>
      <w:r>
        <w:rPr>
          <w:szCs w:val="16"/>
        </w:rPr>
        <w:t xml:space="preserve">See also Section </w:t>
      </w:r>
      <w:r>
        <w:rPr>
          <w:szCs w:val="16"/>
        </w:rPr>
        <w:fldChar w:fldCharType="begin"/>
      </w:r>
      <w:r>
        <w:rPr>
          <w:szCs w:val="16"/>
        </w:rPr>
        <w:instrText xml:space="preserve">  REF _Ref448380659 \w \h \* MERGEFORMAT </w:instrText>
      </w:r>
      <w:r>
        <w:rPr>
          <w:szCs w:val="16"/>
        </w:rPr>
        <w:fldChar w:fldCharType="separate"/>
      </w:r>
      <w:r w:rsidRPr="00BC1FC7">
        <w:rPr>
          <w:color w:val="000000"/>
          <w:szCs w:val="16"/>
        </w:rPr>
        <w:t>6.1</w:t>
      </w:r>
      <w:r>
        <w:rPr>
          <w:szCs w:val="16"/>
        </w:rPr>
        <w:fldChar w:fldCharType="end"/>
      </w:r>
      <w:r>
        <w:rPr>
          <w:szCs w:val="16"/>
        </w:rPr>
        <w:t xml:space="preserve"> for special aggregation rule applicable to transferees of Registrable Securities.</w:t>
      </w:r>
    </w:p>
  </w:footnote>
  <w:footnote w:id="72">
    <w:p w:rsidR="00BC1FC7">
      <w:pPr>
        <w:pStyle w:val="FootnoteText"/>
      </w:pPr>
      <w:r>
        <w:rPr>
          <w:rStyle w:val="FootnoteReference"/>
        </w:rPr>
        <w:footnoteRef/>
      </w:r>
      <w:r>
        <w:t xml:space="preserve"> </w:t>
      </w:r>
      <w:r w:rsidRPr="00432DB3">
        <w:t>Without this limitation, the other limitations on subsequent registration rights are effectively moot; confirm and conform appropriately</w:t>
      </w:r>
      <w:r>
        <w:t>.</w:t>
      </w:r>
    </w:p>
  </w:footnote>
  <w:footnote w:id="73">
    <w:p w:rsidR="00BC1FC7" w:rsidRPr="00432DB3" w:rsidP="003D00BA">
      <w:pPr>
        <w:pStyle w:val="FootnoteText"/>
      </w:pPr>
      <w:r w:rsidRPr="00432DB3">
        <w:rPr>
          <w:rStyle w:val="FootnoteReference"/>
        </w:rPr>
        <w:footnoteRef/>
      </w:r>
      <w:r>
        <w:t xml:space="preserve"> </w:t>
      </w:r>
      <w:r w:rsidRPr="00432DB3">
        <w:t>It may be appropriate to include if there are side letters or other agreements that cover similar aspects.</w:t>
      </w:r>
    </w:p>
  </w:footnote>
  <w:footnote w:id="74">
    <w:p w:rsidR="00BC1FC7">
      <w:pPr>
        <w:pStyle w:val="FootnoteText"/>
      </w:pPr>
      <w:r>
        <w:rPr>
          <w:rStyle w:val="FootnoteReference"/>
        </w:rPr>
        <w:footnoteRef/>
      </w:r>
      <w:r>
        <w:t xml:space="preserve"> </w:t>
      </w:r>
      <w:r>
        <w:rPr>
          <w:szCs w:val="16"/>
        </w:rPr>
        <w:t>Alternatively, if the Prior Agreement is terminated rather than amended and restated, "the Prior Agreement shall terminate and be of no further force or effect and shall be superseded and replaced in its entirety by this Agreement."</w:t>
      </w:r>
    </w:p>
  </w:footnote>
  <w:footnote w:id="75">
    <w:p w:rsidR="00BC1FC7" w:rsidP="00BA460F">
      <w:pPr>
        <w:pStyle w:val="FootnoteText"/>
      </w:pPr>
      <w:r>
        <w:rPr>
          <w:rStyle w:val="FootnoteReference"/>
        </w:rPr>
        <w:footnoteRef/>
      </w:r>
      <w:r>
        <w:t xml:space="preserve"> </w:t>
      </w:r>
      <w:r>
        <w:tab/>
        <w:t>Some lawyers prefer to include a binding arbitration provision as the sole means of dispute resolution on the theory that arbitration is confidential and may be less expensive and more efficient. Some investors, however, dislike arbitration because the result cannot be appealed, and the arbitrator(s) is not bound to follow case law and precedent.</w:t>
      </w:r>
    </w:p>
  </w:footnote>
  <w:footnote w:id="76">
    <w:p w:rsidR="00BC1FC7" w:rsidP="00247EA4">
      <w:pPr>
        <w:pStyle w:val="FootnoteText"/>
      </w:pPr>
      <w:r>
        <w:rPr>
          <w:rStyle w:val="FootnoteReference"/>
        </w:rPr>
        <w:footnoteRef/>
      </w:r>
      <w:r>
        <w:t xml:space="preserve"> </w:t>
      </w:r>
      <w:r w:rsidRPr="009D1B07">
        <w:t>This provision should, of course, only be included if this Agreement is intended to be a unanimous shareholder agreement.</w:t>
      </w:r>
      <w:r>
        <w:t xml:space="preserve">  If the other agreements are to be included, they will need to be properly described or defined.</w:t>
      </w:r>
    </w:p>
  </w:footnote>
  <w:footnote w:id="77">
    <w:p w:rsidR="00BC1FC7" w:rsidRPr="00432DB3" w:rsidP="00273322">
      <w:pPr>
        <w:pStyle w:val="FootnoteText"/>
      </w:pPr>
      <w:r w:rsidRPr="00432DB3">
        <w:rPr>
          <w:rStyle w:val="FootnoteReference"/>
        </w:rPr>
        <w:footnoteRef/>
      </w:r>
      <w:r w:rsidRPr="00432DB3">
        <w:tab/>
        <w:t>Insert customized signature blocks.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26753751"/>
      <w:docPartObj>
        <w:docPartGallery w:val="Page Numbers (Top of Page)"/>
        <w:docPartUnique/>
      </w:docPartObj>
    </w:sdtPr>
    <w:sdtEndPr>
      <w:rPr>
        <w:noProof/>
      </w:rPr>
    </w:sdtEndPr>
    <w:sdtContent>
      <w:p w:rsidR="00BC1FC7">
        <w:pPr>
          <w:pStyle w:val="Header"/>
          <w:jc w:val="center"/>
        </w:pPr>
        <w:r>
          <w:fldChar w:fldCharType="begin"/>
        </w:r>
        <w:r>
          <w:instrText xml:space="preserve"> PAGE   \* MERGEFORMAT </w:instrText>
        </w:r>
        <w:r>
          <w:fldChar w:fldCharType="separate"/>
        </w:r>
        <w:r w:rsidR="009C0A37">
          <w:rPr>
            <w:noProof/>
          </w:rPr>
          <w:t>44</w:t>
        </w:r>
        <w:r>
          <w:rPr>
            <w:noProof/>
          </w:rPr>
          <w:fldChar w:fldCharType="end"/>
        </w:r>
      </w:p>
    </w:sdtContent>
  </w:sdt>
  <w:p w:rsidR="00BC1F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F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F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F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
    <w:nsid w:val="3B741513"/>
    <w:multiLevelType w:val="multilevel"/>
    <w:tmpl w:val="3ABCAC00"/>
    <w:name w:val="zzmpSchedule||Schedule|3|1|1|5|10|41||1|12|32||1|12|32||1|12|32||1|12|32||1|12|32||1|12|32||1|12|32||1|12|32||"/>
    <w:lvl w:ilvl="0">
      <w:start w:val="1"/>
      <w:numFmt w:val="upperLetter"/>
      <w:pStyle w:val="ScheduleL1"/>
      <w:suff w:val="nothing"/>
      <w:lvlText w:val="Schedule %1"/>
      <w:lvlJc w:val="left"/>
      <w:pPr>
        <w:tabs>
          <w:tab w:val="num" w:pos="720"/>
        </w:tabs>
        <w:ind w:left="0" w:firstLine="0"/>
      </w:pPr>
      <w:rPr>
        <w:b/>
        <w:i w:val="0"/>
        <w:caps/>
        <w:smallCaps w:val="0"/>
        <w:color w:val="auto"/>
        <w:u w:val="none"/>
      </w:rPr>
    </w:lvl>
    <w:lvl w:ilvl="1">
      <w:start w:val="1"/>
      <w:numFmt w:val="decimal"/>
      <w:pStyle w:val="ScheduleL2"/>
      <w:lvlText w:val="%2."/>
      <w:lvlJc w:val="left"/>
      <w:pPr>
        <w:tabs>
          <w:tab w:val="num" w:pos="720"/>
        </w:tabs>
        <w:ind w:left="720" w:hanging="720"/>
      </w:pPr>
      <w:rPr>
        <w:b w:val="0"/>
        <w:i w:val="0"/>
        <w:caps w:val="0"/>
        <w:color w:val="auto"/>
        <w:u w:val="none"/>
      </w:rPr>
    </w:lvl>
    <w:lvl w:ilvl="2">
      <w:start w:val="1"/>
      <w:numFmt w:val="lowerLetter"/>
      <w:pStyle w:val="ScheduleL3"/>
      <w:lvlText w:val="%3)"/>
      <w:lvlJc w:val="left"/>
      <w:pPr>
        <w:tabs>
          <w:tab w:val="num" w:pos="1440"/>
        </w:tabs>
        <w:ind w:left="1440" w:hanging="720"/>
      </w:pPr>
      <w:rPr>
        <w:b w:val="0"/>
        <w:i w:val="0"/>
        <w:caps w:val="0"/>
        <w:color w:val="auto"/>
        <w:u w:val="none"/>
      </w:rPr>
    </w:lvl>
    <w:lvl w:ilvl="3">
      <w:start w:val="1"/>
      <w:numFmt w:val="upperLetter"/>
      <w:pStyle w:val="ScheduleL4"/>
      <w:lvlText w:val="(%4)"/>
      <w:lvlJc w:val="left"/>
      <w:pPr>
        <w:tabs>
          <w:tab w:val="num" w:pos="2880"/>
        </w:tabs>
        <w:ind w:left="2880" w:hanging="720"/>
      </w:pPr>
      <w:rPr>
        <w:b w:val="0"/>
        <w:i w:val="0"/>
        <w:caps w:val="0"/>
        <w:color w:val="auto"/>
        <w:u w:val="none"/>
      </w:rPr>
    </w:lvl>
    <w:lvl w:ilvl="4">
      <w:start w:val="1"/>
      <w:numFmt w:val="decimal"/>
      <w:pStyle w:val="ScheduleL5"/>
      <w:lvlText w:val="(%5)"/>
      <w:lvlJc w:val="left"/>
      <w:pPr>
        <w:tabs>
          <w:tab w:val="num" w:pos="3600"/>
        </w:tabs>
        <w:ind w:left="3600" w:hanging="720"/>
      </w:pPr>
      <w:rPr>
        <w:b w:val="0"/>
        <w:i w:val="0"/>
        <w:caps w:val="0"/>
        <w:color w:val="auto"/>
        <w:u w:val="none"/>
      </w:rPr>
    </w:lvl>
    <w:lvl w:ilvl="5">
      <w:start w:val="1"/>
      <w:numFmt w:val="lowerLetter"/>
      <w:pStyle w:val="ScheduleL6"/>
      <w:lvlText w:val="%6)"/>
      <w:lvlJc w:val="left"/>
      <w:pPr>
        <w:tabs>
          <w:tab w:val="num" w:pos="4320"/>
        </w:tabs>
        <w:ind w:left="4320" w:hanging="720"/>
      </w:pPr>
      <w:rPr>
        <w:b w:val="0"/>
        <w:i w:val="0"/>
        <w:caps w:val="0"/>
        <w:color w:val="auto"/>
        <w:u w:val="none"/>
      </w:rPr>
    </w:lvl>
    <w:lvl w:ilvl="6">
      <w:start w:val="1"/>
      <w:numFmt w:val="lowerRoman"/>
      <w:pStyle w:val="ScheduleL7"/>
      <w:lvlText w:val="%7)"/>
      <w:lvlJc w:val="left"/>
      <w:pPr>
        <w:tabs>
          <w:tab w:val="num" w:pos="5040"/>
        </w:tabs>
        <w:ind w:left="5040" w:hanging="720"/>
      </w:pPr>
      <w:rPr>
        <w:b w:val="0"/>
        <w:i w:val="0"/>
        <w:caps w:val="0"/>
        <w:color w:val="auto"/>
        <w:u w:val="none"/>
      </w:rPr>
    </w:lvl>
    <w:lvl w:ilvl="7">
      <w:start w:val="1"/>
      <w:numFmt w:val="upperLetter"/>
      <w:pStyle w:val="ScheduleL8"/>
      <w:lvlText w:val="%8)"/>
      <w:lvlJc w:val="left"/>
      <w:pPr>
        <w:tabs>
          <w:tab w:val="num" w:pos="5760"/>
        </w:tabs>
        <w:ind w:left="5760" w:hanging="720"/>
      </w:pPr>
      <w:rPr>
        <w:b w:val="0"/>
        <w:i w:val="0"/>
        <w:caps w:val="0"/>
        <w:color w:val="auto"/>
        <w:u w:val="none"/>
      </w:rPr>
    </w:lvl>
    <w:lvl w:ilvl="8">
      <w:start w:val="1"/>
      <w:numFmt w:val="decimal"/>
      <w:pStyle w:val="ScheduleL9"/>
      <w:lvlText w:val="%9)"/>
      <w:lvlJc w:val="left"/>
      <w:pPr>
        <w:tabs>
          <w:tab w:val="num" w:pos="6480"/>
        </w:tabs>
        <w:ind w:left="6480" w:hanging="720"/>
      </w:pPr>
      <w:rPr>
        <w:b w:val="0"/>
        <w:i w:val="0"/>
        <w:caps w:val="0"/>
        <w:color w:val="auto"/>
        <w:u w:val="none"/>
      </w:rPr>
    </w:lvl>
  </w:abstractNum>
  <w:abstractNum w:abstractNumId="2">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7D73AD9"/>
    <w:multiLevelType w:val="multilevel"/>
    <w:tmpl w:val="E7F2F16A"/>
    <w:name w:val="zzmpStandard||Standard|2|1|1|1|4|36||1|4|36||1|4|32||1|12|32||1|12|32||1|12|32||1|12|32||1|12|32||1|12|32||"/>
    <w:lvl w:ilvl="0">
      <w:start w:val="1"/>
      <w:numFmt w:val="decimal"/>
      <w:pStyle w:val="StandardL1"/>
      <w:lvlText w:val="%1."/>
      <w:lvlJc w:val="left"/>
      <w:pPr>
        <w:tabs>
          <w:tab w:val="num" w:pos="720"/>
        </w:tabs>
        <w:ind w:left="720" w:hanging="720"/>
      </w:pPr>
      <w:rPr>
        <w:b w:val="0"/>
        <w:i w:val="0"/>
        <w:caps w:val="0"/>
        <w:strike w:val="0"/>
        <w:dstrike w:val="0"/>
        <w:outline w:val="0"/>
        <w:shadow w:val="0"/>
        <w:emboss w:val="0"/>
        <w:imprint w:val="0"/>
        <w:vanish w:val="0"/>
        <w:color w:val="auto"/>
        <w:u w:val="none"/>
        <w:effect w:val="none"/>
        <w:vertAlign w:val="baseline"/>
      </w:rPr>
    </w:lvl>
    <w:lvl w:ilvl="1">
      <w:start w:val="1"/>
      <w:numFmt w:val="decimal"/>
      <w:pStyle w:val="StandardL2"/>
      <w:lvlText w:val="%1.%2"/>
      <w:lvlJc w:val="left"/>
      <w:pPr>
        <w:tabs>
          <w:tab w:val="num" w:pos="1440"/>
        </w:tabs>
        <w:ind w:left="1440" w:hanging="720"/>
      </w:pPr>
      <w:rPr>
        <w:b w:val="0"/>
        <w:i w:val="0"/>
        <w:caps w:val="0"/>
        <w:strike w:val="0"/>
        <w:dstrike w:val="0"/>
        <w:outline w:val="0"/>
        <w:shadow w:val="0"/>
        <w:emboss w:val="0"/>
        <w:imprint w:val="0"/>
        <w:vanish w:val="0"/>
        <w:color w:val="auto"/>
        <w:u w:val="none"/>
        <w:effect w:val="none"/>
        <w:vertAlign w:val="baseline"/>
      </w:rPr>
    </w:lvl>
    <w:lvl w:ilvl="2">
      <w:start w:val="1"/>
      <w:numFmt w:val="lowerLetter"/>
      <w:pStyle w:val="StandardL3"/>
      <w:lvlText w:val="(%3)"/>
      <w:lvlJc w:val="left"/>
      <w:pPr>
        <w:tabs>
          <w:tab w:val="num" w:pos="1440"/>
        </w:tabs>
        <w:ind w:left="0" w:firstLine="720"/>
      </w:pPr>
      <w:rPr>
        <w:b w:val="0"/>
        <w:i w:val="0"/>
        <w:caps w:val="0"/>
        <w:strike w:val="0"/>
        <w:dstrike w:val="0"/>
        <w:outline w:val="0"/>
        <w:shadow w:val="0"/>
        <w:emboss w:val="0"/>
        <w:imprint w:val="0"/>
        <w:vanish w:val="0"/>
        <w:color w:val="auto"/>
        <w:u w:val="none"/>
        <w:effect w:val="none"/>
        <w:vertAlign w:val="baseline"/>
      </w:rPr>
    </w:lvl>
    <w:lvl w:ilvl="3">
      <w:start w:val="1"/>
      <w:numFmt w:val="lowerRoman"/>
      <w:pStyle w:val="StandardL4"/>
      <w:lvlText w:val="(%4)"/>
      <w:lvlJc w:val="left"/>
      <w:pPr>
        <w:tabs>
          <w:tab w:val="num" w:pos="2160"/>
        </w:tabs>
        <w:ind w:left="2160" w:hanging="720"/>
      </w:pPr>
      <w:rPr>
        <w:b w:val="0"/>
        <w:i w:val="0"/>
        <w:caps w:val="0"/>
        <w:strike w:val="0"/>
        <w:dstrike w:val="0"/>
        <w:outline w:val="0"/>
        <w:shadow w:val="0"/>
        <w:emboss w:val="0"/>
        <w:imprint w:val="0"/>
        <w:vanish w:val="0"/>
        <w:color w:val="auto"/>
        <w:u w:val="none"/>
        <w:effect w:val="none"/>
        <w:vertAlign w:val="baseline"/>
      </w:rPr>
    </w:lvl>
    <w:lvl w:ilvl="4">
      <w:start w:val="1"/>
      <w:numFmt w:val="upperLetter"/>
      <w:pStyle w:val="StandardL5"/>
      <w:lvlText w:val="%5."/>
      <w:lvlJc w:val="left"/>
      <w:pPr>
        <w:tabs>
          <w:tab w:val="num" w:pos="2880"/>
        </w:tabs>
        <w:ind w:left="2880" w:hanging="720"/>
      </w:pPr>
      <w:rPr>
        <w:b w:val="0"/>
        <w:i w:val="0"/>
        <w:caps w:val="0"/>
        <w:strike w:val="0"/>
        <w:dstrike w:val="0"/>
        <w:outline w:val="0"/>
        <w:shadow w:val="0"/>
        <w:emboss w:val="0"/>
        <w:imprint w:val="0"/>
        <w:vanish w:val="0"/>
        <w:color w:val="auto"/>
        <w:u w:val="none"/>
        <w:effect w:val="none"/>
        <w:vertAlign w:val="baseline"/>
      </w:rPr>
    </w:lvl>
    <w:lvl w:ilvl="5">
      <w:start w:val="1"/>
      <w:numFmt w:val="lowerLetter"/>
      <w:pStyle w:val="StandardL6"/>
      <w:lvlText w:val="%6)"/>
      <w:lvlJc w:val="left"/>
      <w:pPr>
        <w:tabs>
          <w:tab w:val="num" w:pos="4320"/>
        </w:tabs>
        <w:ind w:left="4320" w:hanging="720"/>
      </w:pPr>
      <w:rPr>
        <w:b w:val="0"/>
        <w:i w:val="0"/>
        <w:caps w:val="0"/>
        <w:strike w:val="0"/>
        <w:dstrike w:val="0"/>
        <w:outline w:val="0"/>
        <w:shadow w:val="0"/>
        <w:emboss w:val="0"/>
        <w:imprint w:val="0"/>
        <w:vanish w:val="0"/>
        <w:color w:val="auto"/>
        <w:u w:val="none"/>
        <w:effect w:val="none"/>
        <w:vertAlign w:val="baseline"/>
      </w:rPr>
    </w:lvl>
    <w:lvl w:ilvl="6">
      <w:start w:val="1"/>
      <w:numFmt w:val="lowerRoman"/>
      <w:pStyle w:val="StandardL7"/>
      <w:lvlText w:val="%7)"/>
      <w:lvlJc w:val="left"/>
      <w:pPr>
        <w:tabs>
          <w:tab w:val="num" w:pos="5040"/>
        </w:tabs>
        <w:ind w:left="5040" w:hanging="720"/>
      </w:pPr>
      <w:rPr>
        <w:b w:val="0"/>
        <w:i w:val="0"/>
        <w:caps w:val="0"/>
        <w:strike w:val="0"/>
        <w:dstrike w:val="0"/>
        <w:outline w:val="0"/>
        <w:shadow w:val="0"/>
        <w:emboss w:val="0"/>
        <w:imprint w:val="0"/>
        <w:vanish w:val="0"/>
        <w:color w:val="auto"/>
        <w:u w:val="none"/>
        <w:effect w:val="none"/>
        <w:vertAlign w:val="baseline"/>
      </w:rPr>
    </w:lvl>
    <w:lvl w:ilvl="7">
      <w:start w:val="1"/>
      <w:numFmt w:val="upperLetter"/>
      <w:pStyle w:val="StandardL8"/>
      <w:lvlText w:val="%8)"/>
      <w:lvlJc w:val="left"/>
      <w:pPr>
        <w:tabs>
          <w:tab w:val="num" w:pos="5760"/>
        </w:tabs>
        <w:ind w:left="5760" w:hanging="720"/>
      </w:pPr>
      <w:rPr>
        <w:b w:val="0"/>
        <w:i w:val="0"/>
        <w:caps w:val="0"/>
        <w:strike w:val="0"/>
        <w:dstrike w:val="0"/>
        <w:outline w:val="0"/>
        <w:shadow w:val="0"/>
        <w:emboss w:val="0"/>
        <w:imprint w:val="0"/>
        <w:vanish w:val="0"/>
        <w:color w:val="auto"/>
        <w:u w:val="none"/>
        <w:effect w:val="none"/>
        <w:vertAlign w:val="baseline"/>
      </w:rPr>
    </w:lvl>
    <w:lvl w:ilvl="8">
      <w:start w:val="1"/>
      <w:numFmt w:val="decimal"/>
      <w:pStyle w:val="StandardL9"/>
      <w:lvlText w:val="%9)"/>
      <w:lvlJc w:val="left"/>
      <w:pPr>
        <w:tabs>
          <w:tab w:val="num" w:pos="6480"/>
        </w:tabs>
        <w:ind w:left="6480" w:hanging="720"/>
      </w:pPr>
      <w:rPr>
        <w:b w:val="0"/>
        <w:i w:val="0"/>
        <w:caps w:val="0"/>
        <w:strike w:val="0"/>
        <w:dstrike w:val="0"/>
        <w:outline w:val="0"/>
        <w:shadow w:val="0"/>
        <w:emboss w:val="0"/>
        <w:imprint w:val="0"/>
        <w:vanish w:val="0"/>
        <w:color w:val="auto"/>
        <w:u w:val="none"/>
        <w:effect w:val="none"/>
        <w:vertAlign w:val="baseline"/>
      </w:rPr>
    </w:lvl>
  </w:abstractNum>
  <w:abstractNum w:abstractNumId="4">
    <w:nsid w:val="5F8F3F86"/>
    <w:multiLevelType w:val="multilevel"/>
    <w:tmpl w:val="CBCA8C00"/>
    <w:name w:val="zzmpExhibit||Exhibit|3|1|1|5|10|41||1|12|32||1|12|32||1|12|32||1|12|32||1|12|32||1|12|32||1|12|32||1|12|32||"/>
    <w:lvl w:ilvl="0">
      <w:start w:val="1"/>
      <w:numFmt w:val="upperLetter"/>
      <w:pStyle w:val="ExhibitL1"/>
      <w:suff w:val="nothing"/>
      <w:lvlText w:val="Exhibit %1"/>
      <w:lvlJc w:val="left"/>
      <w:pPr>
        <w:tabs>
          <w:tab w:val="num" w:pos="720"/>
        </w:tabs>
        <w:ind w:left="0" w:firstLine="0"/>
      </w:pPr>
      <w:rPr>
        <w:b/>
        <w:i w:val="0"/>
        <w:caps/>
        <w:smallCaps w:val="0"/>
        <w:color w:val="auto"/>
        <w:u w:val="none"/>
      </w:rPr>
    </w:lvl>
    <w:lvl w:ilvl="1">
      <w:start w:val="1"/>
      <w:numFmt w:val="decimal"/>
      <w:pStyle w:val="ExhibitL2"/>
      <w:lvlText w:val="%2."/>
      <w:lvlJc w:val="left"/>
      <w:pPr>
        <w:tabs>
          <w:tab w:val="num" w:pos="720"/>
        </w:tabs>
        <w:ind w:left="720" w:hanging="720"/>
      </w:pPr>
      <w:rPr>
        <w:b w:val="0"/>
        <w:i w:val="0"/>
        <w:caps w:val="0"/>
        <w:color w:val="auto"/>
        <w:u w:val="none"/>
      </w:rPr>
    </w:lvl>
    <w:lvl w:ilvl="2">
      <w:start w:val="1"/>
      <w:numFmt w:val="lowerLetter"/>
      <w:pStyle w:val="ExhibitL3"/>
      <w:lvlText w:val="%3)"/>
      <w:lvlJc w:val="left"/>
      <w:pPr>
        <w:tabs>
          <w:tab w:val="num" w:pos="1440"/>
        </w:tabs>
        <w:ind w:left="1440" w:hanging="720"/>
      </w:pPr>
      <w:rPr>
        <w:b w:val="0"/>
        <w:i w:val="0"/>
        <w:caps w:val="0"/>
        <w:color w:val="auto"/>
        <w:u w:val="none"/>
      </w:rPr>
    </w:lvl>
    <w:lvl w:ilvl="3">
      <w:start w:val="1"/>
      <w:numFmt w:val="upperLetter"/>
      <w:pStyle w:val="ExhibitL4"/>
      <w:lvlText w:val="(%4)"/>
      <w:lvlJc w:val="left"/>
      <w:pPr>
        <w:tabs>
          <w:tab w:val="num" w:pos="2880"/>
        </w:tabs>
        <w:ind w:left="2880" w:hanging="720"/>
      </w:pPr>
      <w:rPr>
        <w:b w:val="0"/>
        <w:i w:val="0"/>
        <w:caps w:val="0"/>
        <w:color w:val="auto"/>
        <w:u w:val="none"/>
      </w:rPr>
    </w:lvl>
    <w:lvl w:ilvl="4">
      <w:start w:val="1"/>
      <w:numFmt w:val="decimal"/>
      <w:pStyle w:val="ExhibitL5"/>
      <w:lvlText w:val="(%5)"/>
      <w:lvlJc w:val="left"/>
      <w:pPr>
        <w:tabs>
          <w:tab w:val="num" w:pos="3600"/>
        </w:tabs>
        <w:ind w:left="3600" w:hanging="720"/>
      </w:pPr>
      <w:rPr>
        <w:b w:val="0"/>
        <w:i w:val="0"/>
        <w:caps w:val="0"/>
        <w:color w:val="auto"/>
        <w:u w:val="none"/>
      </w:rPr>
    </w:lvl>
    <w:lvl w:ilvl="5">
      <w:start w:val="1"/>
      <w:numFmt w:val="lowerLetter"/>
      <w:pStyle w:val="ExhibitL6"/>
      <w:lvlText w:val="%6)"/>
      <w:lvlJc w:val="left"/>
      <w:pPr>
        <w:tabs>
          <w:tab w:val="num" w:pos="4320"/>
        </w:tabs>
        <w:ind w:left="4320" w:hanging="720"/>
      </w:pPr>
      <w:rPr>
        <w:b w:val="0"/>
        <w:i w:val="0"/>
        <w:caps w:val="0"/>
        <w:color w:val="auto"/>
        <w:u w:val="none"/>
      </w:rPr>
    </w:lvl>
    <w:lvl w:ilvl="6">
      <w:start w:val="1"/>
      <w:numFmt w:val="lowerRoman"/>
      <w:pStyle w:val="ExhibitL7"/>
      <w:lvlText w:val="%7)"/>
      <w:lvlJc w:val="left"/>
      <w:pPr>
        <w:tabs>
          <w:tab w:val="num" w:pos="5040"/>
        </w:tabs>
        <w:ind w:left="5040" w:hanging="720"/>
      </w:pPr>
      <w:rPr>
        <w:b w:val="0"/>
        <w:i w:val="0"/>
        <w:caps w:val="0"/>
        <w:color w:val="auto"/>
        <w:u w:val="none"/>
      </w:rPr>
    </w:lvl>
    <w:lvl w:ilvl="7">
      <w:start w:val="1"/>
      <w:numFmt w:val="upperLetter"/>
      <w:pStyle w:val="ExhibitL8"/>
      <w:lvlText w:val="%8)"/>
      <w:lvlJc w:val="left"/>
      <w:pPr>
        <w:tabs>
          <w:tab w:val="num" w:pos="5760"/>
        </w:tabs>
        <w:ind w:left="5760" w:hanging="720"/>
      </w:pPr>
      <w:rPr>
        <w:b w:val="0"/>
        <w:i w:val="0"/>
        <w:caps w:val="0"/>
        <w:color w:val="auto"/>
        <w:u w:val="none"/>
      </w:rPr>
    </w:lvl>
    <w:lvl w:ilvl="8">
      <w:start w:val="1"/>
      <w:numFmt w:val="decimal"/>
      <w:pStyle w:val="ExhibitL9"/>
      <w:lvlText w:val="%9)"/>
      <w:lvlJc w:val="left"/>
      <w:pPr>
        <w:tabs>
          <w:tab w:val="num" w:pos="6480"/>
        </w:tabs>
        <w:ind w:left="6480" w:hanging="720"/>
      </w:pPr>
      <w:rPr>
        <w:b w:val="0"/>
        <w:i w:val="0"/>
        <w:caps w:val="0"/>
        <w:color w:val="auto"/>
        <w:u w:val="none"/>
      </w:rPr>
    </w:lvl>
  </w:abstractNum>
  <w:abstractNum w:abstractNumId="5">
    <w:nsid w:val="667E37DB"/>
    <w:multiLevelType w:val="multilevel"/>
    <w:tmpl w:val="9F62E50C"/>
    <w:name w:val="zzmpDefinition||Definitions|3|1|1|1|12|32||1|12|32||1|12|32||1|12|32||1|12|32||1|12|32||1|12|32||1|12|32||1|12|32||"/>
    <w:lvl w:ilvl="0">
      <w:start w:val="1"/>
      <w:numFmt w:val="decimal"/>
      <w:pStyle w:val="DefinitionL1"/>
      <w:lvlText w:val="1.%1"/>
      <w:lvlJc w:val="left"/>
      <w:pPr>
        <w:tabs>
          <w:tab w:val="num" w:pos="1440"/>
        </w:tabs>
        <w:ind w:left="720" w:firstLine="0"/>
      </w:pPr>
      <w:rPr>
        <w:b w:val="0"/>
        <w:i w:val="0"/>
        <w:caps w:val="0"/>
        <w:color w:val="auto"/>
        <w:u w:val="none"/>
      </w:rPr>
    </w:lvl>
    <w:lvl w:ilvl="1">
      <w:start w:val="1"/>
      <w:numFmt w:val="lowerLetter"/>
      <w:pStyle w:val="DefinitionL2"/>
      <w:lvlText w:val="(%2)"/>
      <w:lvlJc w:val="left"/>
      <w:pPr>
        <w:tabs>
          <w:tab w:val="num" w:pos="1440"/>
        </w:tabs>
        <w:ind w:left="1440" w:hanging="720"/>
      </w:pPr>
      <w:rPr>
        <w:b w:val="0"/>
        <w:i w:val="0"/>
        <w:caps w:val="0"/>
        <w:color w:val="auto"/>
        <w:u w:val="none"/>
      </w:rPr>
    </w:lvl>
    <w:lvl w:ilvl="2">
      <w:start w:val="1"/>
      <w:numFmt w:val="lowerRoman"/>
      <w:pStyle w:val="DefinitionL3"/>
      <w:lvlText w:val="(%3)"/>
      <w:lvlJc w:val="left"/>
      <w:pPr>
        <w:tabs>
          <w:tab w:val="num" w:pos="2160"/>
        </w:tabs>
        <w:ind w:left="2160" w:hanging="720"/>
      </w:pPr>
      <w:rPr>
        <w:b w:val="0"/>
        <w:i w:val="0"/>
        <w:caps w:val="0"/>
        <w:color w:val="auto"/>
        <w:u w:val="none"/>
      </w:rPr>
    </w:lvl>
    <w:lvl w:ilvl="3">
      <w:start w:val="1"/>
      <w:numFmt w:val="upperLetter"/>
      <w:pStyle w:val="DefinitionL4"/>
      <w:lvlText w:val="(%4)"/>
      <w:lvlJc w:val="left"/>
      <w:pPr>
        <w:tabs>
          <w:tab w:val="num" w:pos="2880"/>
        </w:tabs>
        <w:ind w:left="2880" w:hanging="720"/>
      </w:pPr>
      <w:rPr>
        <w:b w:val="0"/>
        <w:i w:val="0"/>
        <w:caps w:val="0"/>
        <w:color w:val="auto"/>
        <w:u w:val="none"/>
      </w:rPr>
    </w:lvl>
    <w:lvl w:ilvl="4">
      <w:start w:val="1"/>
      <w:numFmt w:val="decimal"/>
      <w:pStyle w:val="DefinitionL5"/>
      <w:lvlText w:val="(%5)"/>
      <w:lvlJc w:val="left"/>
      <w:pPr>
        <w:tabs>
          <w:tab w:val="num" w:pos="3600"/>
        </w:tabs>
        <w:ind w:left="3600" w:hanging="720"/>
      </w:pPr>
      <w:rPr>
        <w:b w:val="0"/>
        <w:i w:val="0"/>
        <w:caps w:val="0"/>
        <w:color w:val="auto"/>
        <w:u w:val="none"/>
      </w:rPr>
    </w:lvl>
    <w:lvl w:ilvl="5">
      <w:start w:val="1"/>
      <w:numFmt w:val="lowerLetter"/>
      <w:pStyle w:val="DefinitionL6"/>
      <w:lvlText w:val="%6)"/>
      <w:lvlJc w:val="left"/>
      <w:pPr>
        <w:tabs>
          <w:tab w:val="num" w:pos="4320"/>
        </w:tabs>
        <w:ind w:left="4320" w:hanging="720"/>
      </w:pPr>
      <w:rPr>
        <w:b w:val="0"/>
        <w:i w:val="0"/>
        <w:caps w:val="0"/>
        <w:color w:val="auto"/>
        <w:u w:val="none"/>
      </w:rPr>
    </w:lvl>
    <w:lvl w:ilvl="6">
      <w:start w:val="1"/>
      <w:numFmt w:val="lowerRoman"/>
      <w:pStyle w:val="DefinitionL7"/>
      <w:lvlText w:val="%7)"/>
      <w:lvlJc w:val="left"/>
      <w:pPr>
        <w:tabs>
          <w:tab w:val="num" w:pos="5040"/>
        </w:tabs>
        <w:ind w:left="5040" w:hanging="720"/>
      </w:pPr>
      <w:rPr>
        <w:b w:val="0"/>
        <w:i w:val="0"/>
        <w:caps w:val="0"/>
        <w:color w:val="auto"/>
        <w:u w:val="none"/>
      </w:rPr>
    </w:lvl>
    <w:lvl w:ilvl="7">
      <w:start w:val="1"/>
      <w:numFmt w:val="upperLetter"/>
      <w:pStyle w:val="DefinitionL8"/>
      <w:lvlText w:val="%8)"/>
      <w:lvlJc w:val="left"/>
      <w:pPr>
        <w:tabs>
          <w:tab w:val="num" w:pos="5760"/>
        </w:tabs>
        <w:ind w:left="5760" w:hanging="720"/>
      </w:pPr>
      <w:rPr>
        <w:b w:val="0"/>
        <w:i w:val="0"/>
        <w:caps w:val="0"/>
        <w:color w:val="auto"/>
        <w:u w:val="none"/>
      </w:rPr>
    </w:lvl>
    <w:lvl w:ilvl="8">
      <w:start w:val="1"/>
      <w:numFmt w:val="decimal"/>
      <w:pStyle w:val="DefinitionL9"/>
      <w:lvlText w:val="%9)"/>
      <w:lvlJc w:val="left"/>
      <w:pPr>
        <w:tabs>
          <w:tab w:val="num" w:pos="6480"/>
        </w:tabs>
        <w:ind w:left="6480" w:hanging="720"/>
      </w:pPr>
      <w:rPr>
        <w:b w:val="0"/>
        <w:i w:val="0"/>
        <w:caps w:val="0"/>
        <w:color w:val="auto"/>
        <w:u w:val="none"/>
      </w:rPr>
    </w:lvl>
  </w:abstractNum>
  <w:abstractNum w:abstractNumId="6">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 w:numId="8">
    <w:abstractNumId w:val="3"/>
  </w:num>
  <w:num w:numId="9">
    <w:abstractNumId w:val="3"/>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C7E"/>
    <w:rsid w:val="00007601"/>
    <w:rsid w:val="00037C7E"/>
    <w:rsid w:val="00054CF7"/>
    <w:rsid w:val="00080016"/>
    <w:rsid w:val="00091EAC"/>
    <w:rsid w:val="00091FB9"/>
    <w:rsid w:val="000A1E16"/>
    <w:rsid w:val="000F6D29"/>
    <w:rsid w:val="00107E43"/>
    <w:rsid w:val="001256C3"/>
    <w:rsid w:val="00156326"/>
    <w:rsid w:val="00163F80"/>
    <w:rsid w:val="00165B44"/>
    <w:rsid w:val="00175919"/>
    <w:rsid w:val="001813AA"/>
    <w:rsid w:val="001967C7"/>
    <w:rsid w:val="001A7FF9"/>
    <w:rsid w:val="001B71F8"/>
    <w:rsid w:val="001C48D8"/>
    <w:rsid w:val="001F3C61"/>
    <w:rsid w:val="001F725A"/>
    <w:rsid w:val="002165F5"/>
    <w:rsid w:val="002206EA"/>
    <w:rsid w:val="00230A97"/>
    <w:rsid w:val="00240723"/>
    <w:rsid w:val="00247EA4"/>
    <w:rsid w:val="002512A5"/>
    <w:rsid w:val="00260686"/>
    <w:rsid w:val="00264819"/>
    <w:rsid w:val="002679A0"/>
    <w:rsid w:val="00273322"/>
    <w:rsid w:val="00280E4E"/>
    <w:rsid w:val="00294294"/>
    <w:rsid w:val="002A0A03"/>
    <w:rsid w:val="002C530F"/>
    <w:rsid w:val="002D171F"/>
    <w:rsid w:val="002E3F4B"/>
    <w:rsid w:val="002F4BC0"/>
    <w:rsid w:val="002F51A5"/>
    <w:rsid w:val="003116F3"/>
    <w:rsid w:val="003174C2"/>
    <w:rsid w:val="00330250"/>
    <w:rsid w:val="00343E82"/>
    <w:rsid w:val="00387417"/>
    <w:rsid w:val="003C71BA"/>
    <w:rsid w:val="003D00BA"/>
    <w:rsid w:val="003F2C54"/>
    <w:rsid w:val="004048D3"/>
    <w:rsid w:val="0041095D"/>
    <w:rsid w:val="00414A88"/>
    <w:rsid w:val="00421E9D"/>
    <w:rsid w:val="00432DB3"/>
    <w:rsid w:val="0043440B"/>
    <w:rsid w:val="004402CA"/>
    <w:rsid w:val="00443BDC"/>
    <w:rsid w:val="00472F65"/>
    <w:rsid w:val="004A137A"/>
    <w:rsid w:val="00504D44"/>
    <w:rsid w:val="00506197"/>
    <w:rsid w:val="00507C0B"/>
    <w:rsid w:val="0059753E"/>
    <w:rsid w:val="005A7D45"/>
    <w:rsid w:val="005C30ED"/>
    <w:rsid w:val="005E1A53"/>
    <w:rsid w:val="005E6B78"/>
    <w:rsid w:val="005F39FD"/>
    <w:rsid w:val="0060276F"/>
    <w:rsid w:val="00634FF2"/>
    <w:rsid w:val="006370E7"/>
    <w:rsid w:val="006A7272"/>
    <w:rsid w:val="006B41A9"/>
    <w:rsid w:val="006B7956"/>
    <w:rsid w:val="00722D00"/>
    <w:rsid w:val="00730654"/>
    <w:rsid w:val="007414A8"/>
    <w:rsid w:val="00747A4D"/>
    <w:rsid w:val="00752618"/>
    <w:rsid w:val="0078233A"/>
    <w:rsid w:val="0079680D"/>
    <w:rsid w:val="007B78DE"/>
    <w:rsid w:val="007D192F"/>
    <w:rsid w:val="007D205C"/>
    <w:rsid w:val="007E431F"/>
    <w:rsid w:val="007E66DF"/>
    <w:rsid w:val="007F5C42"/>
    <w:rsid w:val="00846DC1"/>
    <w:rsid w:val="00854AAA"/>
    <w:rsid w:val="00880A95"/>
    <w:rsid w:val="00891728"/>
    <w:rsid w:val="00896C8A"/>
    <w:rsid w:val="008A3C4F"/>
    <w:rsid w:val="008A4BE7"/>
    <w:rsid w:val="008E4D4B"/>
    <w:rsid w:val="008F5E71"/>
    <w:rsid w:val="00900B19"/>
    <w:rsid w:val="00935809"/>
    <w:rsid w:val="00943197"/>
    <w:rsid w:val="009622C2"/>
    <w:rsid w:val="009959BB"/>
    <w:rsid w:val="009A4A35"/>
    <w:rsid w:val="009B551D"/>
    <w:rsid w:val="009C0A37"/>
    <w:rsid w:val="009D1B07"/>
    <w:rsid w:val="009D66BB"/>
    <w:rsid w:val="009F1BC7"/>
    <w:rsid w:val="00A2464D"/>
    <w:rsid w:val="00A36FA3"/>
    <w:rsid w:val="00A7081D"/>
    <w:rsid w:val="00A72AEB"/>
    <w:rsid w:val="00AB0566"/>
    <w:rsid w:val="00AB391B"/>
    <w:rsid w:val="00AB4798"/>
    <w:rsid w:val="00AC19EB"/>
    <w:rsid w:val="00B02F67"/>
    <w:rsid w:val="00B17FDE"/>
    <w:rsid w:val="00B23DB4"/>
    <w:rsid w:val="00B30BAF"/>
    <w:rsid w:val="00B32423"/>
    <w:rsid w:val="00B539B5"/>
    <w:rsid w:val="00B54F81"/>
    <w:rsid w:val="00B62E5B"/>
    <w:rsid w:val="00B915AD"/>
    <w:rsid w:val="00B9388A"/>
    <w:rsid w:val="00BA460F"/>
    <w:rsid w:val="00BC1FC7"/>
    <w:rsid w:val="00BD58B1"/>
    <w:rsid w:val="00BF30B5"/>
    <w:rsid w:val="00BF372A"/>
    <w:rsid w:val="00C23AFE"/>
    <w:rsid w:val="00C364FE"/>
    <w:rsid w:val="00C41A1B"/>
    <w:rsid w:val="00C61C9B"/>
    <w:rsid w:val="00C65C64"/>
    <w:rsid w:val="00C861F1"/>
    <w:rsid w:val="00C9438A"/>
    <w:rsid w:val="00CB6909"/>
    <w:rsid w:val="00CD1838"/>
    <w:rsid w:val="00CD2F72"/>
    <w:rsid w:val="00CD7BEE"/>
    <w:rsid w:val="00CF55D2"/>
    <w:rsid w:val="00CF5938"/>
    <w:rsid w:val="00D11B12"/>
    <w:rsid w:val="00D15EAC"/>
    <w:rsid w:val="00D17131"/>
    <w:rsid w:val="00D179D8"/>
    <w:rsid w:val="00D26289"/>
    <w:rsid w:val="00D37CF1"/>
    <w:rsid w:val="00D569F3"/>
    <w:rsid w:val="00D64504"/>
    <w:rsid w:val="00D67527"/>
    <w:rsid w:val="00D7366A"/>
    <w:rsid w:val="00D823B1"/>
    <w:rsid w:val="00D82735"/>
    <w:rsid w:val="00D86894"/>
    <w:rsid w:val="00DA4341"/>
    <w:rsid w:val="00DB04D8"/>
    <w:rsid w:val="00DE6B33"/>
    <w:rsid w:val="00E03641"/>
    <w:rsid w:val="00E052B8"/>
    <w:rsid w:val="00E2583A"/>
    <w:rsid w:val="00E41335"/>
    <w:rsid w:val="00EA24FA"/>
    <w:rsid w:val="00EA471D"/>
    <w:rsid w:val="00EB41A0"/>
    <w:rsid w:val="00EF47FC"/>
    <w:rsid w:val="00F06AE2"/>
    <w:rsid w:val="00F251F0"/>
    <w:rsid w:val="00F315A0"/>
    <w:rsid w:val="00F90CC2"/>
    <w:rsid w:val="00FC271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15:docId w15:val="{5C268825-CB03-4D71-9342-B8E715A6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4"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3"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spacing w:after="0"/>
      <w:jc w:val="both"/>
    </w:p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hAnsi="Times New Roman" w:eastAsiaTheme="majorEastAsia" w:cstheme="majorBidi"/>
      <w:b/>
      <w:bCs/>
      <w:caps/>
      <w:sz w:val="24"/>
      <w:szCs w:val="28"/>
    </w:rPr>
  </w:style>
  <w:style w:type="character" w:customStyle="1" w:styleId="Heading2Char">
    <w:name w:val="Heading 2 Char"/>
    <w:basedOn w:val="DefaultParagraphFont"/>
    <w:link w:val="Heading2"/>
    <w:uiPriority w:val="9"/>
    <w:semiHidden/>
    <w:rPr>
      <w:rFonts w:ascii="Times New Roman" w:hAnsi="Times New Roman" w:eastAsiaTheme="majorEastAsia" w:cstheme="majorBidi"/>
      <w:b/>
      <w:bCs/>
      <w:sz w:val="24"/>
      <w:szCs w:val="26"/>
    </w:rPr>
  </w:style>
  <w:style w:type="character" w:customStyle="1" w:styleId="Heading3Char">
    <w:name w:val="Heading 3 Char"/>
    <w:basedOn w:val="DefaultParagraphFont"/>
    <w:link w:val="Heading3"/>
    <w:uiPriority w:val="9"/>
    <w:semiHidden/>
    <w:rPr>
      <w:rFonts w:ascii="Times New Roman" w:hAnsi="Times New Roman" w:eastAsiaTheme="majorEastAsia" w:cstheme="majorBidi"/>
      <w:b/>
      <w:bCs/>
      <w:i/>
      <w:sz w:val="24"/>
    </w:rPr>
  </w:style>
  <w:style w:type="character" w:customStyle="1" w:styleId="Heading4Char">
    <w:name w:val="Heading 4 Char"/>
    <w:basedOn w:val="DefaultParagraphFont"/>
    <w:link w:val="Heading4"/>
    <w:uiPriority w:val="9"/>
    <w:semiHidden/>
    <w:rPr>
      <w:rFonts w:ascii="Times New Roman" w:hAnsi="Times New Roman" w:eastAsiaTheme="majorEastAsia" w:cstheme="majorBidi"/>
      <w:bCs/>
      <w:i/>
      <w:iCs/>
      <w:sz w:val="24"/>
    </w:rPr>
  </w:style>
  <w:style w:type="character" w:customStyle="1" w:styleId="Heading5Char">
    <w:name w:val="Heading 5 Char"/>
    <w:basedOn w:val="DefaultParagraphFont"/>
    <w:link w:val="Heading5"/>
    <w:uiPriority w:val="9"/>
    <w:semiHidden/>
    <w:rPr>
      <w:rFonts w:ascii="Times New Roman" w:hAnsi="Times New Roman" w:eastAsiaTheme="majorEastAsia" w:cstheme="majorBidi"/>
      <w:sz w:val="24"/>
      <w:u w:val="single"/>
    </w:rPr>
  </w:style>
  <w:style w:type="character" w:customStyle="1" w:styleId="Heading6Char">
    <w:name w:val="Heading 6 Char"/>
    <w:basedOn w:val="DefaultParagraphFont"/>
    <w:link w:val="Heading6"/>
    <w:uiPriority w:val="9"/>
    <w:semiHidden/>
    <w:rPr>
      <w:rFonts w:ascii="Times New Roman" w:hAnsi="Times New Roman" w:eastAsiaTheme="majorEastAsia" w:cstheme="majorBidi"/>
      <w:b/>
      <w:i/>
      <w:iCs/>
      <w:sz w:val="24"/>
    </w:rPr>
  </w:style>
  <w:style w:type="character" w:customStyle="1" w:styleId="Heading7Char">
    <w:name w:val="Heading 7 Char"/>
    <w:basedOn w:val="DefaultParagraphFont"/>
    <w:link w:val="Heading7"/>
    <w:uiPriority w:val="9"/>
    <w:semiHidden/>
    <w:rPr>
      <w:rFonts w:ascii="Times New Roman" w:hAnsi="Times New Roman" w:eastAsiaTheme="majorEastAsia" w:cstheme="majorBidi"/>
      <w:iCs/>
      <w:sz w:val="24"/>
      <w:u w:val="single"/>
    </w:rPr>
  </w:style>
  <w:style w:type="character" w:customStyle="1" w:styleId="Heading8Char">
    <w:name w:val="Heading 8 Char"/>
    <w:basedOn w:val="DefaultParagraphFont"/>
    <w:link w:val="Heading8"/>
    <w:uiPriority w:val="9"/>
    <w:semiHidden/>
    <w:rPr>
      <w:rFonts w:ascii="Times New Roman" w:hAnsi="Times New Roman" w:eastAsiaTheme="majorEastAsia" w:cstheme="majorBidi"/>
      <w:i/>
      <w:sz w:val="24"/>
      <w:szCs w:val="20"/>
    </w:rPr>
  </w:style>
  <w:style w:type="character" w:customStyle="1" w:styleId="Heading9Char">
    <w:name w:val="Heading 9 Char"/>
    <w:basedOn w:val="DefaultParagraphFont"/>
    <w:link w:val="Heading9"/>
    <w:uiPriority w:val="9"/>
    <w:semiHidden/>
    <w:rPr>
      <w:rFonts w:ascii="Times New Roman" w:hAnsi="Times New Roman" w:eastAsiaTheme="majorEastAsia" w:cstheme="majorBidi"/>
      <w:iCs/>
      <w:sz w:val="24"/>
      <w:szCs w:val="20"/>
    </w:rPr>
  </w:style>
  <w:style w:type="numbering" w:styleId="ArticleSection">
    <w:name w:val="Outline List 3"/>
    <w:basedOn w:val="NoList"/>
    <w:uiPriority w:val="99"/>
    <w:semiHidden/>
    <w:unhideWhenUsed/>
    <w:pPr>
      <w:numPr>
        <w:numId w:val="1"/>
      </w:numPr>
    </w:p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er">
    <w:name w:val="footer"/>
    <w:basedOn w:val="Normal"/>
    <w:link w:val="FooterChar"/>
    <w:uiPriority w:val="99"/>
    <w:unhideWhenUsed/>
    <w:qFormat/>
    <w:pPr>
      <w:tabs>
        <w:tab w:val="center" w:pos="4680"/>
        <w:tab w:val="right" w:pos="9360"/>
      </w:tabs>
      <w:jc w:val="left"/>
    </w:pPr>
    <w:rPr>
      <w:sz w:val="20"/>
    </w:rPr>
  </w:style>
  <w:style w:type="paragraph" w:customStyle="1" w:styleId="DeliveryPhrase">
    <w:name w:val="Delivery Phrase"/>
    <w:basedOn w:val="Normal"/>
    <w:next w:val="BodyText"/>
    <w:uiPriority w:val="3"/>
    <w:qFormat/>
    <w:pPr>
      <w:spacing w:before="240" w:after="240"/>
    </w:pPr>
    <w:rPr>
      <w:b/>
      <w:caps/>
    </w:rPr>
  </w:style>
  <w:style w:type="character" w:customStyle="1" w:styleId="FooterChar">
    <w:name w:val="Footer Char"/>
    <w:basedOn w:val="DefaultParagraphFont"/>
    <w:link w:val="Footer"/>
    <w:uiPriority w:val="99"/>
    <w:rPr>
      <w:rFonts w:ascii="Times New Roman" w:hAnsi="Times New Roman"/>
      <w:sz w:val="20"/>
    </w:rPr>
  </w:style>
  <w:style w:type="paragraph" w:styleId="FootnoteText">
    <w:name w:val="footnote text"/>
    <w:basedOn w:val="Normal"/>
    <w:link w:val="FootnoteTextChar"/>
    <w:unhideWhenUsed/>
    <w:pPr>
      <w:spacing w:after="120"/>
      <w:ind w:firstLine="360"/>
    </w:pPr>
    <w:rPr>
      <w:sz w:val="20"/>
      <w:szCs w:val="20"/>
    </w:rPr>
  </w:style>
  <w:style w:type="character" w:customStyle="1" w:styleId="FootnoteTextChar">
    <w:name w:val="Footnote Text Char"/>
    <w:basedOn w:val="DefaultParagraphFont"/>
    <w:link w:val="FootnoteText"/>
    <w:rPr>
      <w:sz w:val="20"/>
      <w:szCs w:val="20"/>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ascii="Times New Roman" w:hAnsi="Times New Roman"/>
      <w:sz w:val="24"/>
    </w:rPr>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ascii="Times New Roman" w:hAnsi="Times New Roman"/>
      <w:iCs/>
      <w:sz w:val="24"/>
    </w:r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left" w:pos="360"/>
        <w:tab w:val="right" w:leader="dot" w:pos="9288"/>
      </w:tabs>
      <w:spacing w:before="120" w:after="120"/>
      <w:ind w:left="1080" w:hanging="1080"/>
      <w:jc w:val="left"/>
    </w:pPr>
    <w:rPr>
      <w:noProof/>
    </w:rPr>
  </w:style>
  <w:style w:type="paragraph" w:styleId="TOC2">
    <w:name w:val="toc 2"/>
    <w:basedOn w:val="Normal"/>
    <w:next w:val="TOC3"/>
    <w:uiPriority w:val="39"/>
    <w:qFormat/>
    <w:pPr>
      <w:tabs>
        <w:tab w:val="left" w:pos="1080"/>
        <w:tab w:val="right" w:leader="dot" w:pos="9288"/>
      </w:tabs>
      <w:ind w:left="1080" w:right="720" w:hanging="720"/>
    </w:pPr>
    <w:rPr>
      <w:noProof/>
    </w:r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8">
    <w:name w:val="toc 8"/>
    <w:basedOn w:val="Normal"/>
    <w:next w:val="Normal"/>
    <w:uiPriority w:val="39"/>
    <w:semiHidden/>
    <w:unhideWhenUsed/>
    <w:pPr>
      <w:spacing w:after="100"/>
      <w:ind w:left="16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paragraph" w:styleId="BodyText2">
    <w:name w:val="Body Text 2"/>
    <w:basedOn w:val="Normal"/>
    <w:link w:val="BodyText2Char"/>
    <w:semiHidden/>
    <w:pPr>
      <w:spacing w:after="240" w:line="480" w:lineRule="auto"/>
    </w:pPr>
    <w:rPr>
      <w:rFonts w:eastAsia="Times New Roman" w:cs="Times New Roman"/>
    </w:rPr>
  </w:style>
  <w:style w:type="character" w:customStyle="1" w:styleId="BodyText2Char">
    <w:name w:val="Body Text 2 Char"/>
    <w:basedOn w:val="DefaultParagraphFont"/>
    <w:link w:val="BodyText2"/>
    <w:semiHidden/>
    <w:rPr>
      <w:rFonts w:ascii="Times New Roman" w:eastAsia="Times New Roman" w:hAnsi="Times New Roman" w:cs="Times New Roman"/>
      <w:sz w:val="24"/>
      <w:szCs w:val="24"/>
    </w:rPr>
  </w:style>
  <w:style w:type="paragraph" w:styleId="BodyText3">
    <w:name w:val="Body Text 3"/>
    <w:basedOn w:val="Normal"/>
    <w:link w:val="BodyText3Char"/>
    <w:semiHidden/>
    <w:pPr>
      <w:spacing w:after="240"/>
    </w:pPr>
    <w:rPr>
      <w:rFonts w:eastAsia="Times New Roman" w:cs="Times New Roman"/>
      <w:sz w:val="16"/>
      <w:szCs w:val="16"/>
    </w:rPr>
  </w:style>
  <w:style w:type="character" w:customStyle="1" w:styleId="BodyText3Char">
    <w:name w:val="Body Text 3 Char"/>
    <w:basedOn w:val="DefaultParagraphFont"/>
    <w:link w:val="BodyText3"/>
    <w:semiHidden/>
    <w:rPr>
      <w:rFonts w:ascii="Times New Roman" w:eastAsia="Times New Roman" w:hAnsi="Times New Roman" w:cs="Times New Roman"/>
      <w:sz w:val="16"/>
      <w:szCs w:val="16"/>
    </w:rPr>
  </w:style>
  <w:style w:type="paragraph" w:styleId="BodyTextIndent2">
    <w:name w:val="Body Text Indent 2"/>
    <w:basedOn w:val="Normal"/>
    <w:link w:val="BodyTextIndent2Char"/>
    <w:semiHidden/>
    <w:pPr>
      <w:spacing w:after="240" w:line="480" w:lineRule="auto"/>
      <w:ind w:left="720"/>
    </w:pPr>
    <w:rPr>
      <w:rFonts w:eastAsia="Times New Roman" w:cs="Times New Roman"/>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sz w:val="24"/>
      <w:szCs w:val="24"/>
    </w:rPr>
  </w:style>
  <w:style w:type="paragraph" w:styleId="BodyTextIndent3">
    <w:name w:val="Body Text Indent 3"/>
    <w:basedOn w:val="Normal"/>
    <w:link w:val="BodyTextIndent3Char"/>
    <w:semiHidden/>
    <w:pPr>
      <w:spacing w:after="240"/>
      <w:ind w:left="720"/>
    </w:pPr>
    <w:rPr>
      <w:rFonts w:eastAsia="Times New Roman" w:cs="Times New Roman"/>
      <w:sz w:val="16"/>
      <w:szCs w:val="16"/>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TOC9">
    <w:name w:val="toc 9"/>
    <w:basedOn w:val="Normal"/>
    <w:next w:val="Normal"/>
    <w:uiPriority w:val="39"/>
    <w:unhideWhenUsed/>
    <w:pPr>
      <w:tabs>
        <w:tab w:val="right" w:leader="dot" w:pos="9350"/>
      </w:tabs>
      <w:spacing w:before="120" w:after="120"/>
    </w:pPr>
    <w:rPr>
      <w:noProof/>
    </w:r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character" w:styleId="FootnoteReference">
    <w:name w:val="footnote reference"/>
    <w:uiPriority w:val="99"/>
    <w:rPr>
      <w:vertAlign w:val="superscript"/>
    </w:rPr>
  </w:style>
  <w:style w:type="paragraph" w:customStyle="1" w:styleId="MacPacTrailer">
    <w:name w:val="MacPac Trailer"/>
    <w:rsid w:val="00CF5938"/>
    <w:pPr>
      <w:widowControl w:val="0"/>
      <w:spacing w:after="0" w:line="200" w:lineRule="exact"/>
    </w:pPr>
    <w:rPr>
      <w:rFonts w:eastAsia="Times New Roman" w:cs="Times New Roman"/>
      <w:sz w:val="16"/>
      <w:szCs w:val="22"/>
    </w:rPr>
  </w:style>
  <w:style w:type="character" w:styleId="PlaceholderText">
    <w:name w:val="Placeholder Text"/>
    <w:basedOn w:val="DefaultParagraphFont"/>
    <w:uiPriority w:val="99"/>
    <w:semiHidden/>
    <w:rPr>
      <w:color w:val="808080"/>
    </w:rPr>
  </w:style>
  <w:style w:type="paragraph" w:customStyle="1" w:styleId="CoverPageDocumentTitle">
    <w:name w:val="Cover Page Document Title"/>
    <w:basedOn w:val="Normal"/>
    <w:uiPriority w:val="1"/>
    <w:qFormat/>
    <w:pPr>
      <w:spacing w:before="2400" w:after="2400"/>
      <w:jc w:val="center"/>
    </w:pPr>
    <w:rPr>
      <w:b/>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xt-CoverPageI">
    <w:name w:val="TblTxt - Cover Page I"/>
    <w:basedOn w:val="Normal"/>
    <w:uiPriority w:val="1"/>
    <w:qFormat/>
    <w:pPr>
      <w:spacing w:before="240" w:after="240"/>
    </w:pPr>
    <w:rPr>
      <w:i/>
    </w:rPr>
  </w:style>
  <w:style w:type="paragraph" w:customStyle="1" w:styleId="CoverPageBodyText-LargeSpaceAfter">
    <w:name w:val="Cover Page Body Text - Large Space After"/>
    <w:basedOn w:val="Normal"/>
    <w:uiPriority w:val="1"/>
    <w:qFormat/>
    <w:pPr>
      <w:spacing w:after="720"/>
    </w:pPr>
  </w:style>
  <w:style w:type="paragraph" w:customStyle="1" w:styleId="PrelimNotesTitle-CIB">
    <w:name w:val="Prelim Notes Title - CIB"/>
    <w:basedOn w:val="Normal"/>
    <w:uiPriority w:val="1"/>
    <w:qFormat/>
    <w:pPr>
      <w:spacing w:after="360"/>
      <w:jc w:val="center"/>
    </w:pPr>
    <w:rPr>
      <w:b/>
      <w:i/>
      <w:szCs w:val="16"/>
    </w:rPr>
  </w:style>
  <w:style w:type="paragraph" w:customStyle="1" w:styleId="BodyText-I">
    <w:name w:val="Body Text - I"/>
    <w:basedOn w:val="Normal"/>
    <w:uiPriority w:val="1"/>
    <w:qFormat/>
    <w:pPr>
      <w:spacing w:after="240"/>
    </w:pPr>
    <w:rPr>
      <w:i/>
      <w:szCs w:val="16"/>
    </w:rPr>
  </w:style>
  <w:style w:type="paragraph" w:customStyle="1" w:styleId="TOCTitle-CU">
    <w:name w:val="TOC Title - CU"/>
    <w:basedOn w:val="Normal"/>
    <w:uiPriority w:val="1"/>
    <w:qFormat/>
    <w:pPr>
      <w:spacing w:after="360"/>
      <w:jc w:val="center"/>
    </w:pPr>
    <w:rPr>
      <w:szCs w:val="16"/>
      <w:u w:val="single"/>
    </w:rPr>
  </w:style>
  <w:style w:type="paragraph" w:customStyle="1" w:styleId="MainDocumentTitle-CB">
    <w:name w:val="Main Document Title - CB"/>
    <w:basedOn w:val="Normal"/>
    <w:uiPriority w:val="1"/>
    <w:qFormat/>
    <w:pPr>
      <w:spacing w:after="360"/>
      <w:jc w:val="center"/>
    </w:pPr>
    <w:rPr>
      <w:b/>
      <w:szCs w:val="20"/>
    </w:rPr>
  </w:style>
  <w:style w:type="paragraph" w:customStyle="1" w:styleId="BodyText-FLI-10">
    <w:name w:val="Body Text - FLI - 1.0&quot;"/>
    <w:basedOn w:val="Normal"/>
    <w:uiPriority w:val="1"/>
    <w:qFormat/>
    <w:pPr>
      <w:spacing w:after="240"/>
      <w:ind w:firstLine="1440"/>
    </w:pPr>
  </w:style>
  <w:style w:type="paragraph" w:customStyle="1" w:styleId="MainSub-Title-CBU">
    <w:name w:val="Main Sub-Title - CBU"/>
    <w:basedOn w:val="Normal"/>
    <w:uiPriority w:val="1"/>
    <w:qFormat/>
    <w:pPr>
      <w:spacing w:after="240"/>
      <w:jc w:val="center"/>
    </w:pPr>
    <w:rPr>
      <w:b/>
      <w:u w:val="single"/>
    </w:rPr>
  </w:style>
  <w:style w:type="paragraph" w:customStyle="1" w:styleId="StandardCont1">
    <w:name w:val="Standard Cont 1"/>
    <w:basedOn w:val="Normal"/>
    <w:link w:val="StandardCont1Char"/>
    <w:pPr>
      <w:spacing w:after="240"/>
    </w:pPr>
    <w:rPr>
      <w:rFonts w:eastAsia="Times New Roman" w:cs="Times New Roman"/>
      <w:szCs w:val="20"/>
    </w:rPr>
  </w:style>
  <w:style w:type="character" w:customStyle="1" w:styleId="StandardCont1Char">
    <w:name w:val="Standard Cont 1 Char"/>
    <w:basedOn w:val="DefaultParagraphFont"/>
    <w:link w:val="StandardCont1"/>
    <w:rPr>
      <w:rFonts w:eastAsia="Times New Roman" w:cs="Times New Roman"/>
      <w:szCs w:val="20"/>
    </w:rPr>
  </w:style>
  <w:style w:type="paragraph" w:customStyle="1" w:styleId="StandardCont2">
    <w:name w:val="Standard Cont 2"/>
    <w:basedOn w:val="StandardCont1"/>
    <w:link w:val="StandardCont2Char"/>
  </w:style>
  <w:style w:type="character" w:customStyle="1" w:styleId="StandardCont2Char">
    <w:name w:val="Standard Cont 2 Char"/>
    <w:basedOn w:val="DefaultParagraphFont"/>
    <w:link w:val="StandardCont2"/>
    <w:rPr>
      <w:rFonts w:eastAsia="Times New Roman" w:cs="Times New Roman"/>
      <w:szCs w:val="20"/>
    </w:rPr>
  </w:style>
  <w:style w:type="paragraph" w:customStyle="1" w:styleId="StandardCont3">
    <w:name w:val="Standard Cont 3"/>
    <w:basedOn w:val="StandardCont2"/>
    <w:link w:val="StandardCont3Char"/>
    <w:pPr>
      <w:ind w:left="1440"/>
    </w:pPr>
  </w:style>
  <w:style w:type="character" w:customStyle="1" w:styleId="StandardCont3Char">
    <w:name w:val="Standard Cont 3 Char"/>
    <w:basedOn w:val="DefaultParagraphFont"/>
    <w:link w:val="StandardCont3"/>
    <w:rPr>
      <w:rFonts w:eastAsia="Times New Roman" w:cs="Times New Roman"/>
      <w:szCs w:val="20"/>
    </w:rPr>
  </w:style>
  <w:style w:type="paragraph" w:customStyle="1" w:styleId="StandardCont4">
    <w:name w:val="Standard Cont 4"/>
    <w:basedOn w:val="StandardCont3"/>
    <w:link w:val="StandardCont4Char"/>
    <w:pPr>
      <w:ind w:left="2880"/>
    </w:pPr>
  </w:style>
  <w:style w:type="character" w:customStyle="1" w:styleId="StandardCont4Char">
    <w:name w:val="Standard Cont 4 Char"/>
    <w:basedOn w:val="DefaultParagraphFont"/>
    <w:link w:val="StandardCont4"/>
    <w:rPr>
      <w:rFonts w:eastAsia="Times New Roman" w:cs="Times New Roman"/>
      <w:szCs w:val="20"/>
    </w:rPr>
  </w:style>
  <w:style w:type="paragraph" w:customStyle="1" w:styleId="StandardCont5">
    <w:name w:val="Standard Cont 5"/>
    <w:basedOn w:val="StandardCont4"/>
    <w:link w:val="StandardCont5Char"/>
    <w:pPr>
      <w:ind w:left="3600"/>
    </w:pPr>
  </w:style>
  <w:style w:type="character" w:customStyle="1" w:styleId="StandardCont5Char">
    <w:name w:val="Standard Cont 5 Char"/>
    <w:basedOn w:val="DefaultParagraphFont"/>
    <w:link w:val="StandardCont5"/>
    <w:rPr>
      <w:rFonts w:eastAsia="Times New Roman" w:cs="Times New Roman"/>
      <w:szCs w:val="20"/>
    </w:rPr>
  </w:style>
  <w:style w:type="paragraph" w:customStyle="1" w:styleId="StandardCont6">
    <w:name w:val="Standard Cont 6"/>
    <w:basedOn w:val="StandardCont5"/>
    <w:link w:val="StandardCont6Char"/>
    <w:pPr>
      <w:ind w:left="4320"/>
    </w:pPr>
  </w:style>
  <w:style w:type="character" w:customStyle="1" w:styleId="StandardCont6Char">
    <w:name w:val="Standard Cont 6 Char"/>
    <w:basedOn w:val="DefaultParagraphFont"/>
    <w:link w:val="StandardCont6"/>
    <w:rPr>
      <w:rFonts w:eastAsia="Times New Roman" w:cs="Times New Roman"/>
      <w:szCs w:val="20"/>
    </w:rPr>
  </w:style>
  <w:style w:type="paragraph" w:customStyle="1" w:styleId="StandardCont7">
    <w:name w:val="Standard Cont 7"/>
    <w:basedOn w:val="StandardCont6"/>
    <w:link w:val="StandardCont7Char"/>
    <w:pPr>
      <w:ind w:left="5040"/>
    </w:pPr>
  </w:style>
  <w:style w:type="character" w:customStyle="1" w:styleId="StandardCont7Char">
    <w:name w:val="Standard Cont 7 Char"/>
    <w:basedOn w:val="DefaultParagraphFont"/>
    <w:link w:val="StandardCont7"/>
    <w:rPr>
      <w:rFonts w:eastAsia="Times New Roman" w:cs="Times New Roman"/>
      <w:szCs w:val="20"/>
    </w:rPr>
  </w:style>
  <w:style w:type="paragraph" w:customStyle="1" w:styleId="StandardCont8">
    <w:name w:val="Standard Cont 8"/>
    <w:basedOn w:val="StandardCont7"/>
    <w:link w:val="StandardCont8Char"/>
    <w:pPr>
      <w:ind w:left="5760"/>
    </w:pPr>
  </w:style>
  <w:style w:type="character" w:customStyle="1" w:styleId="StandardCont8Char">
    <w:name w:val="Standard Cont 8 Char"/>
    <w:basedOn w:val="DefaultParagraphFont"/>
    <w:link w:val="StandardCont8"/>
    <w:rPr>
      <w:rFonts w:eastAsia="Times New Roman" w:cs="Times New Roman"/>
      <w:szCs w:val="20"/>
    </w:rPr>
  </w:style>
  <w:style w:type="paragraph" w:customStyle="1" w:styleId="StandardCont9">
    <w:name w:val="Standard Cont 9"/>
    <w:basedOn w:val="StandardCont8"/>
    <w:link w:val="StandardCont9Char"/>
    <w:pPr>
      <w:ind w:left="6480"/>
    </w:pPr>
  </w:style>
  <w:style w:type="character" w:customStyle="1" w:styleId="StandardCont9Char">
    <w:name w:val="Standard Cont 9 Char"/>
    <w:basedOn w:val="DefaultParagraphFont"/>
    <w:link w:val="StandardCont9"/>
    <w:rPr>
      <w:rFonts w:eastAsia="Times New Roman" w:cs="Times New Roman"/>
      <w:szCs w:val="20"/>
    </w:rPr>
  </w:style>
  <w:style w:type="paragraph" w:customStyle="1" w:styleId="StandardL1">
    <w:name w:val="Standard_L1"/>
    <w:basedOn w:val="Normal"/>
    <w:link w:val="StandardL1Char"/>
    <w:pPr>
      <w:numPr>
        <w:numId w:val="4"/>
      </w:numPr>
      <w:spacing w:after="240"/>
      <w:outlineLvl w:val="0"/>
    </w:pPr>
    <w:rPr>
      <w:rFonts w:eastAsia="Times New Roman" w:cs="Times New Roman"/>
      <w:szCs w:val="20"/>
      <w:u w:val="single"/>
    </w:rPr>
  </w:style>
  <w:style w:type="character" w:customStyle="1" w:styleId="StandardL1Char">
    <w:name w:val="Standard_L1 Char"/>
    <w:basedOn w:val="DefaultParagraphFont"/>
    <w:link w:val="StandardL1"/>
    <w:rPr>
      <w:rFonts w:eastAsia="Times New Roman" w:cs="Times New Roman"/>
      <w:szCs w:val="20"/>
      <w:u w:val="single"/>
    </w:rPr>
  </w:style>
  <w:style w:type="paragraph" w:customStyle="1" w:styleId="StandardL2">
    <w:name w:val="Standard_L2"/>
    <w:basedOn w:val="StandardL1"/>
    <w:link w:val="StandardL2Char"/>
    <w:pPr>
      <w:keepNext/>
      <w:numPr>
        <w:ilvl w:val="1"/>
      </w:numPr>
      <w:outlineLvl w:val="1"/>
    </w:pPr>
  </w:style>
  <w:style w:type="character" w:customStyle="1" w:styleId="StandardL2Char">
    <w:name w:val="Standard_L2 Char"/>
    <w:basedOn w:val="DefaultParagraphFont"/>
    <w:link w:val="StandardL2"/>
    <w:rPr>
      <w:rFonts w:eastAsia="Times New Roman" w:cs="Times New Roman"/>
      <w:szCs w:val="20"/>
      <w:u w:val="single"/>
    </w:rPr>
  </w:style>
  <w:style w:type="paragraph" w:customStyle="1" w:styleId="StandardL3">
    <w:name w:val="Standard_L3"/>
    <w:basedOn w:val="StandardL2"/>
    <w:link w:val="StandardL3Char"/>
    <w:pPr>
      <w:keepNext w:val="0"/>
      <w:numPr>
        <w:ilvl w:val="2"/>
      </w:numPr>
      <w:outlineLvl w:val="2"/>
    </w:pPr>
    <w:rPr>
      <w:u w:val="none"/>
    </w:rPr>
  </w:style>
  <w:style w:type="character" w:customStyle="1" w:styleId="StandardL3Char">
    <w:name w:val="Standard_L3 Char"/>
    <w:basedOn w:val="DefaultParagraphFont"/>
    <w:link w:val="StandardL3"/>
    <w:rPr>
      <w:rFonts w:eastAsia="Times New Roman" w:cs="Times New Roman"/>
      <w:szCs w:val="20"/>
    </w:rPr>
  </w:style>
  <w:style w:type="paragraph" w:customStyle="1" w:styleId="StandardL4">
    <w:name w:val="Standard_L4"/>
    <w:basedOn w:val="StandardL3"/>
    <w:link w:val="StandardL4Char"/>
    <w:pPr>
      <w:numPr>
        <w:ilvl w:val="3"/>
      </w:numPr>
      <w:outlineLvl w:val="3"/>
    </w:pPr>
  </w:style>
  <w:style w:type="character" w:customStyle="1" w:styleId="StandardL4Char">
    <w:name w:val="Standard_L4 Char"/>
    <w:basedOn w:val="DefaultParagraphFont"/>
    <w:link w:val="StandardL4"/>
    <w:rPr>
      <w:rFonts w:eastAsia="Times New Roman" w:cs="Times New Roman"/>
      <w:szCs w:val="20"/>
    </w:rPr>
  </w:style>
  <w:style w:type="paragraph" w:customStyle="1" w:styleId="StandardL5">
    <w:name w:val="Standard_L5"/>
    <w:basedOn w:val="StandardL4"/>
    <w:link w:val="StandardL5Char"/>
    <w:pPr>
      <w:numPr>
        <w:ilvl w:val="4"/>
      </w:numPr>
      <w:outlineLvl w:val="4"/>
    </w:pPr>
  </w:style>
  <w:style w:type="character" w:customStyle="1" w:styleId="StandardL5Char">
    <w:name w:val="Standard_L5 Char"/>
    <w:basedOn w:val="DefaultParagraphFont"/>
    <w:link w:val="StandardL5"/>
    <w:rPr>
      <w:rFonts w:eastAsia="Times New Roman" w:cs="Times New Roman"/>
      <w:szCs w:val="20"/>
    </w:rPr>
  </w:style>
  <w:style w:type="paragraph" w:customStyle="1" w:styleId="StandardL6">
    <w:name w:val="Standard_L6"/>
    <w:basedOn w:val="StandardL5"/>
    <w:link w:val="StandardL6Char"/>
    <w:pPr>
      <w:numPr>
        <w:ilvl w:val="5"/>
      </w:numPr>
      <w:outlineLvl w:val="5"/>
    </w:pPr>
  </w:style>
  <w:style w:type="character" w:customStyle="1" w:styleId="StandardL6Char">
    <w:name w:val="Standard_L6 Char"/>
    <w:basedOn w:val="DefaultParagraphFont"/>
    <w:link w:val="StandardL6"/>
    <w:rPr>
      <w:rFonts w:eastAsia="Times New Roman" w:cs="Times New Roman"/>
      <w:szCs w:val="20"/>
    </w:rPr>
  </w:style>
  <w:style w:type="paragraph" w:customStyle="1" w:styleId="StandardL7">
    <w:name w:val="Standard_L7"/>
    <w:basedOn w:val="StandardL6"/>
    <w:link w:val="StandardL7Char"/>
    <w:pPr>
      <w:numPr>
        <w:ilvl w:val="6"/>
      </w:numPr>
      <w:outlineLvl w:val="6"/>
    </w:pPr>
  </w:style>
  <w:style w:type="character" w:customStyle="1" w:styleId="StandardL7Char">
    <w:name w:val="Standard_L7 Char"/>
    <w:basedOn w:val="DefaultParagraphFont"/>
    <w:link w:val="StandardL7"/>
    <w:rPr>
      <w:rFonts w:eastAsia="Times New Roman" w:cs="Times New Roman"/>
      <w:szCs w:val="20"/>
    </w:rPr>
  </w:style>
  <w:style w:type="paragraph" w:customStyle="1" w:styleId="StandardL8">
    <w:name w:val="Standard_L8"/>
    <w:basedOn w:val="StandardL7"/>
    <w:link w:val="StandardL8Char"/>
    <w:pPr>
      <w:numPr>
        <w:ilvl w:val="7"/>
      </w:numPr>
      <w:outlineLvl w:val="7"/>
    </w:pPr>
  </w:style>
  <w:style w:type="character" w:customStyle="1" w:styleId="StandardL8Char">
    <w:name w:val="Standard_L8 Char"/>
    <w:basedOn w:val="DefaultParagraphFont"/>
    <w:link w:val="StandardL8"/>
    <w:rPr>
      <w:rFonts w:eastAsia="Times New Roman" w:cs="Times New Roman"/>
      <w:szCs w:val="20"/>
    </w:rPr>
  </w:style>
  <w:style w:type="paragraph" w:customStyle="1" w:styleId="StandardL9">
    <w:name w:val="Standard_L9"/>
    <w:basedOn w:val="StandardL8"/>
    <w:link w:val="StandardL9Char"/>
    <w:pPr>
      <w:numPr>
        <w:ilvl w:val="8"/>
      </w:numPr>
      <w:outlineLvl w:val="8"/>
    </w:pPr>
  </w:style>
  <w:style w:type="character" w:customStyle="1" w:styleId="StandardL9Char">
    <w:name w:val="Standard_L9 Char"/>
    <w:basedOn w:val="DefaultParagraphFont"/>
    <w:link w:val="StandardL9"/>
    <w:rPr>
      <w:rFonts w:eastAsia="Times New Roman" w:cs="Times New Roman"/>
      <w:szCs w:val="20"/>
    </w:rPr>
  </w:style>
  <w:style w:type="paragraph" w:customStyle="1" w:styleId="DefinitionCont1">
    <w:name w:val="Definition Cont 1"/>
    <w:basedOn w:val="Normal"/>
    <w:link w:val="DefinitionCont1Char"/>
    <w:pPr>
      <w:spacing w:after="240"/>
      <w:ind w:left="720"/>
    </w:pPr>
    <w:rPr>
      <w:rFonts w:eastAsia="Times New Roman" w:cs="Times New Roman"/>
      <w:szCs w:val="20"/>
    </w:rPr>
  </w:style>
  <w:style w:type="character" w:customStyle="1" w:styleId="DefinitionCont1Char">
    <w:name w:val="Definition Cont 1 Char"/>
    <w:basedOn w:val="DefaultParagraphFont"/>
    <w:link w:val="DefinitionCont1"/>
    <w:rPr>
      <w:rFonts w:eastAsia="Times New Roman" w:cs="Times New Roman"/>
      <w:szCs w:val="20"/>
    </w:rPr>
  </w:style>
  <w:style w:type="paragraph" w:customStyle="1" w:styleId="DefinitionCont2">
    <w:name w:val="Definition Cont 2"/>
    <w:basedOn w:val="DefinitionCont1"/>
    <w:link w:val="DefinitionCont2Char"/>
    <w:pPr>
      <w:ind w:left="1440"/>
    </w:pPr>
  </w:style>
  <w:style w:type="character" w:customStyle="1" w:styleId="DefinitionCont2Char">
    <w:name w:val="Definition Cont 2 Char"/>
    <w:basedOn w:val="DefaultParagraphFont"/>
    <w:link w:val="DefinitionCont2"/>
    <w:rPr>
      <w:rFonts w:eastAsia="Times New Roman" w:cs="Times New Roman"/>
      <w:szCs w:val="20"/>
    </w:rPr>
  </w:style>
  <w:style w:type="paragraph" w:customStyle="1" w:styleId="DefinitionCont3">
    <w:name w:val="Definition Cont 3"/>
    <w:basedOn w:val="DefinitionCont2"/>
    <w:link w:val="DefinitionCont3Char"/>
    <w:pPr>
      <w:ind w:left="2160"/>
    </w:pPr>
  </w:style>
  <w:style w:type="character" w:customStyle="1" w:styleId="DefinitionCont3Char">
    <w:name w:val="Definition Cont 3 Char"/>
    <w:basedOn w:val="DefaultParagraphFont"/>
    <w:link w:val="DefinitionCont3"/>
    <w:rPr>
      <w:rFonts w:eastAsia="Times New Roman" w:cs="Times New Roman"/>
      <w:szCs w:val="20"/>
    </w:rPr>
  </w:style>
  <w:style w:type="paragraph" w:customStyle="1" w:styleId="DefinitionCont4">
    <w:name w:val="Definition Cont 4"/>
    <w:basedOn w:val="DefinitionCont3"/>
    <w:link w:val="DefinitionCont4Char"/>
    <w:pPr>
      <w:ind w:left="2880"/>
    </w:pPr>
  </w:style>
  <w:style w:type="character" w:customStyle="1" w:styleId="DefinitionCont4Char">
    <w:name w:val="Definition Cont 4 Char"/>
    <w:basedOn w:val="DefaultParagraphFont"/>
    <w:link w:val="DefinitionCont4"/>
    <w:rPr>
      <w:rFonts w:eastAsia="Times New Roman" w:cs="Times New Roman"/>
      <w:szCs w:val="20"/>
    </w:rPr>
  </w:style>
  <w:style w:type="paragraph" w:customStyle="1" w:styleId="DefinitionCont5">
    <w:name w:val="Definition Cont 5"/>
    <w:basedOn w:val="DefinitionCont4"/>
    <w:link w:val="DefinitionCont5Char"/>
    <w:pPr>
      <w:ind w:left="3600"/>
    </w:pPr>
  </w:style>
  <w:style w:type="character" w:customStyle="1" w:styleId="DefinitionCont5Char">
    <w:name w:val="Definition Cont 5 Char"/>
    <w:basedOn w:val="DefaultParagraphFont"/>
    <w:link w:val="DefinitionCont5"/>
    <w:rPr>
      <w:rFonts w:eastAsia="Times New Roman" w:cs="Times New Roman"/>
      <w:szCs w:val="20"/>
    </w:rPr>
  </w:style>
  <w:style w:type="paragraph" w:customStyle="1" w:styleId="DefinitionCont6">
    <w:name w:val="Definition Cont 6"/>
    <w:basedOn w:val="DefinitionCont5"/>
    <w:link w:val="DefinitionCont6Char"/>
    <w:pPr>
      <w:ind w:left="4320"/>
    </w:pPr>
  </w:style>
  <w:style w:type="character" w:customStyle="1" w:styleId="DefinitionCont6Char">
    <w:name w:val="Definition Cont 6 Char"/>
    <w:basedOn w:val="DefaultParagraphFont"/>
    <w:link w:val="DefinitionCont6"/>
    <w:rPr>
      <w:rFonts w:eastAsia="Times New Roman" w:cs="Times New Roman"/>
      <w:szCs w:val="20"/>
    </w:rPr>
  </w:style>
  <w:style w:type="paragraph" w:customStyle="1" w:styleId="DefinitionCont7">
    <w:name w:val="Definition Cont 7"/>
    <w:basedOn w:val="DefinitionCont6"/>
    <w:link w:val="DefinitionCont7Char"/>
    <w:pPr>
      <w:ind w:left="5040"/>
    </w:pPr>
  </w:style>
  <w:style w:type="character" w:customStyle="1" w:styleId="DefinitionCont7Char">
    <w:name w:val="Definition Cont 7 Char"/>
    <w:basedOn w:val="DefaultParagraphFont"/>
    <w:link w:val="DefinitionCont7"/>
    <w:rPr>
      <w:rFonts w:eastAsia="Times New Roman" w:cs="Times New Roman"/>
      <w:szCs w:val="20"/>
    </w:rPr>
  </w:style>
  <w:style w:type="paragraph" w:customStyle="1" w:styleId="DefinitionCont8">
    <w:name w:val="Definition Cont 8"/>
    <w:basedOn w:val="DefinitionCont7"/>
    <w:link w:val="DefinitionCont8Char"/>
    <w:pPr>
      <w:ind w:left="5760"/>
    </w:pPr>
  </w:style>
  <w:style w:type="character" w:customStyle="1" w:styleId="DefinitionCont8Char">
    <w:name w:val="Definition Cont 8 Char"/>
    <w:basedOn w:val="DefaultParagraphFont"/>
    <w:link w:val="DefinitionCont8"/>
    <w:rPr>
      <w:rFonts w:eastAsia="Times New Roman" w:cs="Times New Roman"/>
      <w:szCs w:val="20"/>
    </w:rPr>
  </w:style>
  <w:style w:type="paragraph" w:customStyle="1" w:styleId="DefinitionCont9">
    <w:name w:val="Definition Cont 9"/>
    <w:basedOn w:val="DefinitionCont8"/>
    <w:link w:val="DefinitionCont9Char"/>
    <w:pPr>
      <w:ind w:left="6480"/>
    </w:pPr>
  </w:style>
  <w:style w:type="character" w:customStyle="1" w:styleId="DefinitionCont9Char">
    <w:name w:val="Definition Cont 9 Char"/>
    <w:basedOn w:val="DefaultParagraphFont"/>
    <w:link w:val="DefinitionCont9"/>
    <w:rPr>
      <w:rFonts w:eastAsia="Times New Roman" w:cs="Times New Roman"/>
      <w:szCs w:val="20"/>
    </w:rPr>
  </w:style>
  <w:style w:type="paragraph" w:customStyle="1" w:styleId="DefinitionL1">
    <w:name w:val="Definition_L1"/>
    <w:basedOn w:val="Normal"/>
    <w:link w:val="DefinitionL1Char"/>
    <w:pPr>
      <w:numPr>
        <w:numId w:val="5"/>
      </w:numPr>
      <w:spacing w:after="240"/>
      <w:outlineLvl w:val="0"/>
    </w:pPr>
    <w:rPr>
      <w:rFonts w:eastAsia="Times New Roman" w:cs="Times New Roman"/>
      <w:szCs w:val="20"/>
    </w:rPr>
  </w:style>
  <w:style w:type="character" w:customStyle="1" w:styleId="DefinitionL1Char">
    <w:name w:val="Definition_L1 Char"/>
    <w:basedOn w:val="DefaultParagraphFont"/>
    <w:link w:val="DefinitionL1"/>
    <w:rPr>
      <w:rFonts w:eastAsia="Times New Roman" w:cs="Times New Roman"/>
      <w:szCs w:val="20"/>
    </w:rPr>
  </w:style>
  <w:style w:type="paragraph" w:customStyle="1" w:styleId="DefinitionL2">
    <w:name w:val="Definition_L2"/>
    <w:basedOn w:val="DefinitionL1"/>
    <w:link w:val="DefinitionL2Char"/>
    <w:pPr>
      <w:numPr>
        <w:ilvl w:val="1"/>
      </w:numPr>
      <w:outlineLvl w:val="1"/>
    </w:pPr>
  </w:style>
  <w:style w:type="character" w:customStyle="1" w:styleId="DefinitionL2Char">
    <w:name w:val="Definition_L2 Char"/>
    <w:basedOn w:val="DefaultParagraphFont"/>
    <w:link w:val="DefinitionL2"/>
    <w:rPr>
      <w:rFonts w:eastAsia="Times New Roman" w:cs="Times New Roman"/>
      <w:szCs w:val="20"/>
    </w:rPr>
  </w:style>
  <w:style w:type="paragraph" w:customStyle="1" w:styleId="DefinitionL3">
    <w:name w:val="Definition_L3"/>
    <w:basedOn w:val="DefinitionL2"/>
    <w:link w:val="DefinitionL3Char"/>
    <w:pPr>
      <w:numPr>
        <w:ilvl w:val="2"/>
      </w:numPr>
      <w:outlineLvl w:val="2"/>
    </w:pPr>
  </w:style>
  <w:style w:type="character" w:customStyle="1" w:styleId="DefinitionL3Char">
    <w:name w:val="Definition_L3 Char"/>
    <w:basedOn w:val="DefaultParagraphFont"/>
    <w:link w:val="DefinitionL3"/>
    <w:rPr>
      <w:rFonts w:eastAsia="Times New Roman" w:cs="Times New Roman"/>
      <w:szCs w:val="20"/>
    </w:rPr>
  </w:style>
  <w:style w:type="paragraph" w:customStyle="1" w:styleId="DefinitionL4">
    <w:name w:val="Definition_L4"/>
    <w:basedOn w:val="DefinitionL3"/>
    <w:link w:val="DefinitionL4Char"/>
    <w:pPr>
      <w:numPr>
        <w:ilvl w:val="3"/>
      </w:numPr>
      <w:outlineLvl w:val="3"/>
    </w:pPr>
  </w:style>
  <w:style w:type="character" w:customStyle="1" w:styleId="DefinitionL4Char">
    <w:name w:val="Definition_L4 Char"/>
    <w:basedOn w:val="DefaultParagraphFont"/>
    <w:link w:val="DefinitionL4"/>
    <w:rPr>
      <w:rFonts w:eastAsia="Times New Roman" w:cs="Times New Roman"/>
      <w:szCs w:val="20"/>
    </w:rPr>
  </w:style>
  <w:style w:type="paragraph" w:customStyle="1" w:styleId="DefinitionL5">
    <w:name w:val="Definition_L5"/>
    <w:basedOn w:val="DefinitionL4"/>
    <w:link w:val="DefinitionL5Char"/>
    <w:pPr>
      <w:numPr>
        <w:ilvl w:val="4"/>
      </w:numPr>
      <w:outlineLvl w:val="4"/>
    </w:pPr>
  </w:style>
  <w:style w:type="character" w:customStyle="1" w:styleId="DefinitionL5Char">
    <w:name w:val="Definition_L5 Char"/>
    <w:basedOn w:val="DefaultParagraphFont"/>
    <w:link w:val="DefinitionL5"/>
    <w:rPr>
      <w:rFonts w:eastAsia="Times New Roman" w:cs="Times New Roman"/>
      <w:szCs w:val="20"/>
    </w:rPr>
  </w:style>
  <w:style w:type="paragraph" w:customStyle="1" w:styleId="DefinitionL6">
    <w:name w:val="Definition_L6"/>
    <w:basedOn w:val="DefinitionL5"/>
    <w:link w:val="DefinitionL6Char"/>
    <w:pPr>
      <w:numPr>
        <w:ilvl w:val="5"/>
      </w:numPr>
      <w:outlineLvl w:val="5"/>
    </w:pPr>
  </w:style>
  <w:style w:type="character" w:customStyle="1" w:styleId="DefinitionL6Char">
    <w:name w:val="Definition_L6 Char"/>
    <w:basedOn w:val="DefaultParagraphFont"/>
    <w:link w:val="DefinitionL6"/>
    <w:rPr>
      <w:rFonts w:eastAsia="Times New Roman" w:cs="Times New Roman"/>
      <w:szCs w:val="20"/>
    </w:rPr>
  </w:style>
  <w:style w:type="paragraph" w:customStyle="1" w:styleId="DefinitionL7">
    <w:name w:val="Definition_L7"/>
    <w:basedOn w:val="DefinitionL6"/>
    <w:link w:val="DefinitionL7Char"/>
    <w:pPr>
      <w:numPr>
        <w:ilvl w:val="6"/>
      </w:numPr>
      <w:outlineLvl w:val="6"/>
    </w:pPr>
  </w:style>
  <w:style w:type="character" w:customStyle="1" w:styleId="DefinitionL7Char">
    <w:name w:val="Definition_L7 Char"/>
    <w:basedOn w:val="DefaultParagraphFont"/>
    <w:link w:val="DefinitionL7"/>
    <w:rPr>
      <w:rFonts w:eastAsia="Times New Roman" w:cs="Times New Roman"/>
      <w:szCs w:val="20"/>
    </w:rPr>
  </w:style>
  <w:style w:type="paragraph" w:customStyle="1" w:styleId="DefinitionL8">
    <w:name w:val="Definition_L8"/>
    <w:basedOn w:val="DefinitionL7"/>
    <w:link w:val="DefinitionL8Char"/>
    <w:pPr>
      <w:numPr>
        <w:ilvl w:val="7"/>
      </w:numPr>
      <w:outlineLvl w:val="7"/>
    </w:pPr>
  </w:style>
  <w:style w:type="character" w:customStyle="1" w:styleId="DefinitionL8Char">
    <w:name w:val="Definition_L8 Char"/>
    <w:basedOn w:val="DefaultParagraphFont"/>
    <w:link w:val="DefinitionL8"/>
    <w:rPr>
      <w:rFonts w:eastAsia="Times New Roman" w:cs="Times New Roman"/>
      <w:szCs w:val="20"/>
    </w:rPr>
  </w:style>
  <w:style w:type="paragraph" w:customStyle="1" w:styleId="DefinitionL9">
    <w:name w:val="Definition_L9"/>
    <w:basedOn w:val="DefinitionL8"/>
    <w:link w:val="DefinitionL9Char"/>
    <w:pPr>
      <w:numPr>
        <w:ilvl w:val="8"/>
      </w:numPr>
      <w:outlineLvl w:val="8"/>
    </w:pPr>
  </w:style>
  <w:style w:type="character" w:customStyle="1" w:styleId="DefinitionL9Char">
    <w:name w:val="Definition_L9 Char"/>
    <w:basedOn w:val="DefaultParagraphFont"/>
    <w:link w:val="DefinitionL9"/>
    <w:rPr>
      <w:rFonts w:eastAsia="Times New Roman" w:cs="Times New Roman"/>
      <w:szCs w:val="20"/>
    </w:rPr>
  </w:style>
  <w:style w:type="paragraph" w:customStyle="1" w:styleId="Qutoe">
    <w:name w:val="Qutoe"/>
    <w:basedOn w:val="Normal"/>
    <w:pPr>
      <w:suppressAutoHyphens/>
      <w:ind w:left="720" w:right="720"/>
    </w:pPr>
    <w:rPr>
      <w:szCs w:val="16"/>
    </w:rPr>
  </w:style>
  <w:style w:type="paragraph" w:customStyle="1" w:styleId="RemainderofPageText-CBI">
    <w:name w:val="Remainder of Page Text - CBI"/>
    <w:basedOn w:val="Normal"/>
    <w:uiPriority w:val="1"/>
    <w:qFormat/>
    <w:pPr>
      <w:spacing w:before="360" w:after="120"/>
      <w:jc w:val="center"/>
    </w:pPr>
    <w:rPr>
      <w:b/>
      <w:i/>
    </w:rPr>
  </w:style>
  <w:style w:type="paragraph" w:customStyle="1" w:styleId="TblTxt-Basic">
    <w:name w:val="TblTxt - Basic"/>
    <w:basedOn w:val="Normal"/>
    <w:uiPriority w:val="1"/>
    <w:qFormat/>
    <w:pPr>
      <w:jc w:val="left"/>
    </w:pPr>
  </w:style>
  <w:style w:type="paragraph" w:customStyle="1" w:styleId="ScheduleCont1">
    <w:name w:val="Schedule Cont 1"/>
    <w:basedOn w:val="Normal"/>
    <w:link w:val="ScheduleCont1Char"/>
    <w:pPr>
      <w:spacing w:after="240"/>
      <w:ind w:left="720"/>
    </w:pPr>
    <w:rPr>
      <w:rFonts w:eastAsia="Times New Roman" w:cs="Times New Roman"/>
      <w:szCs w:val="20"/>
    </w:rPr>
  </w:style>
  <w:style w:type="character" w:customStyle="1" w:styleId="ScheduleCont1Char">
    <w:name w:val="Schedule Cont 1 Char"/>
    <w:basedOn w:val="DefaultParagraphFont"/>
    <w:link w:val="ScheduleCont1"/>
    <w:rPr>
      <w:rFonts w:eastAsia="Times New Roman" w:cs="Times New Roman"/>
      <w:szCs w:val="20"/>
    </w:rPr>
  </w:style>
  <w:style w:type="paragraph" w:customStyle="1" w:styleId="ScheduleCont2">
    <w:name w:val="Schedule Cont 2"/>
    <w:basedOn w:val="ScheduleCont1"/>
    <w:link w:val="ScheduleCont2Char"/>
    <w:pPr>
      <w:ind w:left="1440"/>
    </w:pPr>
  </w:style>
  <w:style w:type="character" w:customStyle="1" w:styleId="ScheduleCont2Char">
    <w:name w:val="Schedule Cont 2 Char"/>
    <w:basedOn w:val="DefaultParagraphFont"/>
    <w:link w:val="ScheduleCont2"/>
    <w:rPr>
      <w:rFonts w:eastAsia="Times New Roman" w:cs="Times New Roman"/>
      <w:szCs w:val="20"/>
    </w:rPr>
  </w:style>
  <w:style w:type="paragraph" w:customStyle="1" w:styleId="ScheduleCont3">
    <w:name w:val="Schedule Cont 3"/>
    <w:basedOn w:val="ScheduleCont2"/>
    <w:link w:val="ScheduleCont3Char"/>
    <w:pPr>
      <w:ind w:left="2160"/>
    </w:pPr>
  </w:style>
  <w:style w:type="character" w:customStyle="1" w:styleId="ScheduleCont3Char">
    <w:name w:val="Schedule Cont 3 Char"/>
    <w:basedOn w:val="DefaultParagraphFont"/>
    <w:link w:val="ScheduleCont3"/>
    <w:rPr>
      <w:rFonts w:eastAsia="Times New Roman" w:cs="Times New Roman"/>
      <w:szCs w:val="20"/>
    </w:rPr>
  </w:style>
  <w:style w:type="paragraph" w:customStyle="1" w:styleId="ScheduleCont4">
    <w:name w:val="Schedule Cont 4"/>
    <w:basedOn w:val="ScheduleCont3"/>
    <w:link w:val="ScheduleCont4Char"/>
    <w:pPr>
      <w:ind w:left="2880"/>
    </w:pPr>
  </w:style>
  <w:style w:type="character" w:customStyle="1" w:styleId="ScheduleCont4Char">
    <w:name w:val="Schedule Cont 4 Char"/>
    <w:basedOn w:val="DefaultParagraphFont"/>
    <w:link w:val="ScheduleCont4"/>
    <w:rPr>
      <w:rFonts w:eastAsia="Times New Roman" w:cs="Times New Roman"/>
      <w:szCs w:val="20"/>
    </w:rPr>
  </w:style>
  <w:style w:type="paragraph" w:customStyle="1" w:styleId="ScheduleCont5">
    <w:name w:val="Schedule Cont 5"/>
    <w:basedOn w:val="ScheduleCont4"/>
    <w:link w:val="ScheduleCont5Char"/>
    <w:pPr>
      <w:ind w:left="3600"/>
    </w:pPr>
  </w:style>
  <w:style w:type="character" w:customStyle="1" w:styleId="ScheduleCont5Char">
    <w:name w:val="Schedule Cont 5 Char"/>
    <w:basedOn w:val="DefaultParagraphFont"/>
    <w:link w:val="ScheduleCont5"/>
    <w:rPr>
      <w:rFonts w:eastAsia="Times New Roman" w:cs="Times New Roman"/>
      <w:szCs w:val="20"/>
    </w:rPr>
  </w:style>
  <w:style w:type="paragraph" w:customStyle="1" w:styleId="ScheduleCont6">
    <w:name w:val="Schedule Cont 6"/>
    <w:basedOn w:val="ScheduleCont5"/>
    <w:link w:val="ScheduleCont6Char"/>
    <w:pPr>
      <w:ind w:left="4320"/>
    </w:pPr>
  </w:style>
  <w:style w:type="character" w:customStyle="1" w:styleId="ScheduleCont6Char">
    <w:name w:val="Schedule Cont 6 Char"/>
    <w:basedOn w:val="DefaultParagraphFont"/>
    <w:link w:val="ScheduleCont6"/>
    <w:rPr>
      <w:rFonts w:eastAsia="Times New Roman" w:cs="Times New Roman"/>
      <w:szCs w:val="20"/>
    </w:rPr>
  </w:style>
  <w:style w:type="paragraph" w:customStyle="1" w:styleId="ScheduleCont7">
    <w:name w:val="Schedule Cont 7"/>
    <w:basedOn w:val="ScheduleCont6"/>
    <w:link w:val="ScheduleCont7Char"/>
    <w:pPr>
      <w:ind w:left="5040"/>
    </w:pPr>
  </w:style>
  <w:style w:type="character" w:customStyle="1" w:styleId="ScheduleCont7Char">
    <w:name w:val="Schedule Cont 7 Char"/>
    <w:basedOn w:val="DefaultParagraphFont"/>
    <w:link w:val="ScheduleCont7"/>
    <w:rPr>
      <w:rFonts w:eastAsia="Times New Roman" w:cs="Times New Roman"/>
      <w:szCs w:val="20"/>
    </w:rPr>
  </w:style>
  <w:style w:type="paragraph" w:customStyle="1" w:styleId="ScheduleCont8">
    <w:name w:val="Schedule Cont 8"/>
    <w:basedOn w:val="ScheduleCont7"/>
    <w:link w:val="ScheduleCont8Char"/>
    <w:pPr>
      <w:ind w:left="5760"/>
    </w:pPr>
  </w:style>
  <w:style w:type="character" w:customStyle="1" w:styleId="ScheduleCont8Char">
    <w:name w:val="Schedule Cont 8 Char"/>
    <w:basedOn w:val="DefaultParagraphFont"/>
    <w:link w:val="ScheduleCont8"/>
    <w:rPr>
      <w:rFonts w:eastAsia="Times New Roman" w:cs="Times New Roman"/>
      <w:szCs w:val="20"/>
    </w:rPr>
  </w:style>
  <w:style w:type="paragraph" w:customStyle="1" w:styleId="ScheduleCont9">
    <w:name w:val="Schedule Cont 9"/>
    <w:basedOn w:val="ScheduleCont8"/>
    <w:link w:val="ScheduleCont9Char"/>
    <w:pPr>
      <w:ind w:left="6480"/>
    </w:pPr>
  </w:style>
  <w:style w:type="character" w:customStyle="1" w:styleId="ScheduleCont9Char">
    <w:name w:val="Schedule Cont 9 Char"/>
    <w:basedOn w:val="DefaultParagraphFont"/>
    <w:link w:val="ScheduleCont9"/>
    <w:rPr>
      <w:rFonts w:eastAsia="Times New Roman" w:cs="Times New Roman"/>
      <w:szCs w:val="20"/>
    </w:rPr>
  </w:style>
  <w:style w:type="paragraph" w:customStyle="1" w:styleId="ScheduleL1">
    <w:name w:val="Schedule_L1"/>
    <w:basedOn w:val="Normal"/>
    <w:link w:val="ScheduleL1Char"/>
    <w:pPr>
      <w:numPr>
        <w:numId w:val="6"/>
      </w:numPr>
      <w:spacing w:after="360"/>
      <w:jc w:val="center"/>
      <w:outlineLvl w:val="0"/>
    </w:pPr>
    <w:rPr>
      <w:rFonts w:eastAsia="Times New Roman" w:cs="Times New Roman"/>
      <w:b/>
      <w:caps/>
      <w:szCs w:val="20"/>
    </w:rPr>
  </w:style>
  <w:style w:type="character" w:customStyle="1" w:styleId="ScheduleL1Char">
    <w:name w:val="Schedule_L1 Char"/>
    <w:basedOn w:val="DefaultParagraphFont"/>
    <w:link w:val="ScheduleL1"/>
    <w:rPr>
      <w:rFonts w:eastAsia="Times New Roman" w:cs="Times New Roman"/>
      <w:b/>
      <w:caps/>
      <w:szCs w:val="20"/>
    </w:rPr>
  </w:style>
  <w:style w:type="paragraph" w:customStyle="1" w:styleId="ScheduleL2">
    <w:name w:val="Schedule_L2"/>
    <w:basedOn w:val="ScheduleL1"/>
    <w:link w:val="ScheduleL2Char"/>
    <w:pPr>
      <w:numPr>
        <w:ilvl w:val="1"/>
      </w:numPr>
      <w:spacing w:after="240"/>
      <w:jc w:val="both"/>
      <w:outlineLvl w:val="1"/>
    </w:pPr>
    <w:rPr>
      <w:b w:val="0"/>
      <w:caps w:val="0"/>
    </w:rPr>
  </w:style>
  <w:style w:type="character" w:customStyle="1" w:styleId="ScheduleL2Char">
    <w:name w:val="Schedule_L2 Char"/>
    <w:basedOn w:val="DefaultParagraphFont"/>
    <w:link w:val="ScheduleL2"/>
    <w:rPr>
      <w:rFonts w:eastAsia="Times New Roman" w:cs="Times New Roman"/>
      <w:szCs w:val="20"/>
    </w:rPr>
  </w:style>
  <w:style w:type="paragraph" w:customStyle="1" w:styleId="ScheduleL3">
    <w:name w:val="Schedule_L3"/>
    <w:basedOn w:val="ScheduleL2"/>
    <w:link w:val="ScheduleL3Char"/>
    <w:pPr>
      <w:numPr>
        <w:ilvl w:val="2"/>
      </w:numPr>
      <w:outlineLvl w:val="2"/>
    </w:pPr>
  </w:style>
  <w:style w:type="character" w:customStyle="1" w:styleId="ScheduleL3Char">
    <w:name w:val="Schedule_L3 Char"/>
    <w:basedOn w:val="DefaultParagraphFont"/>
    <w:link w:val="ScheduleL3"/>
    <w:rPr>
      <w:rFonts w:eastAsia="Times New Roman" w:cs="Times New Roman"/>
      <w:szCs w:val="20"/>
    </w:rPr>
  </w:style>
  <w:style w:type="paragraph" w:customStyle="1" w:styleId="ScheduleL4">
    <w:name w:val="Schedule_L4"/>
    <w:basedOn w:val="ScheduleL3"/>
    <w:link w:val="ScheduleL4Char"/>
    <w:pPr>
      <w:numPr>
        <w:ilvl w:val="3"/>
      </w:numPr>
      <w:outlineLvl w:val="3"/>
    </w:pPr>
  </w:style>
  <w:style w:type="character" w:customStyle="1" w:styleId="ScheduleL4Char">
    <w:name w:val="Schedule_L4 Char"/>
    <w:basedOn w:val="DefaultParagraphFont"/>
    <w:link w:val="ScheduleL4"/>
    <w:rPr>
      <w:rFonts w:eastAsia="Times New Roman" w:cs="Times New Roman"/>
      <w:szCs w:val="20"/>
    </w:rPr>
  </w:style>
  <w:style w:type="paragraph" w:customStyle="1" w:styleId="ScheduleL5">
    <w:name w:val="Schedule_L5"/>
    <w:basedOn w:val="ScheduleL4"/>
    <w:link w:val="ScheduleL5Char"/>
    <w:pPr>
      <w:numPr>
        <w:ilvl w:val="4"/>
      </w:numPr>
      <w:outlineLvl w:val="4"/>
    </w:pPr>
  </w:style>
  <w:style w:type="character" w:customStyle="1" w:styleId="ScheduleL5Char">
    <w:name w:val="Schedule_L5 Char"/>
    <w:basedOn w:val="DefaultParagraphFont"/>
    <w:link w:val="ScheduleL5"/>
    <w:rPr>
      <w:rFonts w:eastAsia="Times New Roman" w:cs="Times New Roman"/>
      <w:szCs w:val="20"/>
    </w:rPr>
  </w:style>
  <w:style w:type="paragraph" w:customStyle="1" w:styleId="ScheduleL6">
    <w:name w:val="Schedule_L6"/>
    <w:basedOn w:val="ScheduleL5"/>
    <w:link w:val="ScheduleL6Char"/>
    <w:pPr>
      <w:numPr>
        <w:ilvl w:val="5"/>
      </w:numPr>
      <w:outlineLvl w:val="5"/>
    </w:pPr>
  </w:style>
  <w:style w:type="character" w:customStyle="1" w:styleId="ScheduleL6Char">
    <w:name w:val="Schedule_L6 Char"/>
    <w:basedOn w:val="DefaultParagraphFont"/>
    <w:link w:val="ScheduleL6"/>
    <w:rPr>
      <w:rFonts w:eastAsia="Times New Roman" w:cs="Times New Roman"/>
      <w:szCs w:val="20"/>
    </w:rPr>
  </w:style>
  <w:style w:type="paragraph" w:customStyle="1" w:styleId="ScheduleL7">
    <w:name w:val="Schedule_L7"/>
    <w:basedOn w:val="ScheduleL6"/>
    <w:link w:val="ScheduleL7Char"/>
    <w:pPr>
      <w:numPr>
        <w:ilvl w:val="6"/>
      </w:numPr>
      <w:outlineLvl w:val="6"/>
    </w:pPr>
  </w:style>
  <w:style w:type="character" w:customStyle="1" w:styleId="ScheduleL7Char">
    <w:name w:val="Schedule_L7 Char"/>
    <w:basedOn w:val="DefaultParagraphFont"/>
    <w:link w:val="ScheduleL7"/>
    <w:rPr>
      <w:rFonts w:eastAsia="Times New Roman" w:cs="Times New Roman"/>
      <w:szCs w:val="20"/>
    </w:rPr>
  </w:style>
  <w:style w:type="paragraph" w:customStyle="1" w:styleId="ScheduleL8">
    <w:name w:val="Schedule_L8"/>
    <w:basedOn w:val="ScheduleL7"/>
    <w:link w:val="ScheduleL8Char"/>
    <w:pPr>
      <w:numPr>
        <w:ilvl w:val="7"/>
      </w:numPr>
      <w:outlineLvl w:val="7"/>
    </w:pPr>
  </w:style>
  <w:style w:type="character" w:customStyle="1" w:styleId="ScheduleL8Char">
    <w:name w:val="Schedule_L8 Char"/>
    <w:basedOn w:val="DefaultParagraphFont"/>
    <w:link w:val="ScheduleL8"/>
    <w:rPr>
      <w:rFonts w:eastAsia="Times New Roman" w:cs="Times New Roman"/>
      <w:szCs w:val="20"/>
    </w:rPr>
  </w:style>
  <w:style w:type="paragraph" w:customStyle="1" w:styleId="ScheduleL9">
    <w:name w:val="Schedule_L9"/>
    <w:basedOn w:val="ScheduleL8"/>
    <w:link w:val="ScheduleL9Char"/>
    <w:pPr>
      <w:numPr>
        <w:ilvl w:val="8"/>
      </w:numPr>
      <w:outlineLvl w:val="8"/>
    </w:pPr>
  </w:style>
  <w:style w:type="character" w:customStyle="1" w:styleId="ScheduleL9Char">
    <w:name w:val="Schedule_L9 Char"/>
    <w:basedOn w:val="DefaultParagraphFont"/>
    <w:link w:val="ScheduleL9"/>
    <w:rPr>
      <w:rFonts w:eastAsia="Times New Roman" w:cs="Times New Roman"/>
      <w:szCs w:val="20"/>
    </w:rPr>
  </w:style>
  <w:style w:type="paragraph" w:customStyle="1" w:styleId="ExhibitCont1">
    <w:name w:val="Exhibit Cont 1"/>
    <w:basedOn w:val="Normal"/>
    <w:link w:val="ExhibitCont1Char"/>
    <w:pPr>
      <w:spacing w:after="240"/>
      <w:ind w:left="720"/>
    </w:pPr>
    <w:rPr>
      <w:rFonts w:eastAsia="Times New Roman" w:cs="Times New Roman"/>
      <w:szCs w:val="20"/>
    </w:rPr>
  </w:style>
  <w:style w:type="character" w:customStyle="1" w:styleId="ExhibitCont1Char">
    <w:name w:val="Exhibit Cont 1 Char"/>
    <w:basedOn w:val="DefaultParagraphFont"/>
    <w:link w:val="ExhibitCont1"/>
    <w:rPr>
      <w:rFonts w:eastAsia="Times New Roman" w:cs="Times New Roman"/>
      <w:szCs w:val="20"/>
    </w:rPr>
  </w:style>
  <w:style w:type="paragraph" w:customStyle="1" w:styleId="ExhibitCont2">
    <w:name w:val="Exhibit Cont 2"/>
    <w:basedOn w:val="ExhibitCont1"/>
    <w:link w:val="ExhibitCont2Char"/>
    <w:pPr>
      <w:ind w:left="1440"/>
    </w:pPr>
  </w:style>
  <w:style w:type="character" w:customStyle="1" w:styleId="ExhibitCont2Char">
    <w:name w:val="Exhibit Cont 2 Char"/>
    <w:basedOn w:val="DefaultParagraphFont"/>
    <w:link w:val="ExhibitCont2"/>
    <w:rPr>
      <w:rFonts w:eastAsia="Times New Roman" w:cs="Times New Roman"/>
      <w:szCs w:val="20"/>
    </w:rPr>
  </w:style>
  <w:style w:type="paragraph" w:customStyle="1" w:styleId="ExhibitCont3">
    <w:name w:val="Exhibit Cont 3"/>
    <w:basedOn w:val="ExhibitCont2"/>
    <w:link w:val="ExhibitCont3Char"/>
    <w:pPr>
      <w:ind w:left="2160"/>
    </w:pPr>
  </w:style>
  <w:style w:type="character" w:customStyle="1" w:styleId="ExhibitCont3Char">
    <w:name w:val="Exhibit Cont 3 Char"/>
    <w:basedOn w:val="DefaultParagraphFont"/>
    <w:link w:val="ExhibitCont3"/>
    <w:rPr>
      <w:rFonts w:eastAsia="Times New Roman" w:cs="Times New Roman"/>
      <w:szCs w:val="20"/>
    </w:rPr>
  </w:style>
  <w:style w:type="paragraph" w:customStyle="1" w:styleId="ExhibitCont4">
    <w:name w:val="Exhibit Cont 4"/>
    <w:basedOn w:val="ExhibitCont3"/>
    <w:link w:val="ExhibitCont4Char"/>
    <w:pPr>
      <w:ind w:left="2880"/>
    </w:pPr>
  </w:style>
  <w:style w:type="character" w:customStyle="1" w:styleId="ExhibitCont4Char">
    <w:name w:val="Exhibit Cont 4 Char"/>
    <w:basedOn w:val="DefaultParagraphFont"/>
    <w:link w:val="ExhibitCont4"/>
    <w:rPr>
      <w:rFonts w:eastAsia="Times New Roman" w:cs="Times New Roman"/>
      <w:szCs w:val="20"/>
    </w:rPr>
  </w:style>
  <w:style w:type="paragraph" w:customStyle="1" w:styleId="ExhibitCont5">
    <w:name w:val="Exhibit Cont 5"/>
    <w:basedOn w:val="ExhibitCont4"/>
    <w:link w:val="ExhibitCont5Char"/>
    <w:pPr>
      <w:ind w:left="3600"/>
    </w:pPr>
  </w:style>
  <w:style w:type="character" w:customStyle="1" w:styleId="ExhibitCont5Char">
    <w:name w:val="Exhibit Cont 5 Char"/>
    <w:basedOn w:val="DefaultParagraphFont"/>
    <w:link w:val="ExhibitCont5"/>
    <w:rPr>
      <w:rFonts w:eastAsia="Times New Roman" w:cs="Times New Roman"/>
      <w:szCs w:val="20"/>
    </w:rPr>
  </w:style>
  <w:style w:type="paragraph" w:customStyle="1" w:styleId="ExhibitCont6">
    <w:name w:val="Exhibit Cont 6"/>
    <w:basedOn w:val="ExhibitCont5"/>
    <w:link w:val="ExhibitCont6Char"/>
    <w:pPr>
      <w:ind w:left="4320"/>
    </w:pPr>
  </w:style>
  <w:style w:type="character" w:customStyle="1" w:styleId="ExhibitCont6Char">
    <w:name w:val="Exhibit Cont 6 Char"/>
    <w:basedOn w:val="DefaultParagraphFont"/>
    <w:link w:val="ExhibitCont6"/>
    <w:rPr>
      <w:rFonts w:eastAsia="Times New Roman" w:cs="Times New Roman"/>
      <w:szCs w:val="20"/>
    </w:rPr>
  </w:style>
  <w:style w:type="paragraph" w:customStyle="1" w:styleId="ExhibitCont7">
    <w:name w:val="Exhibit Cont 7"/>
    <w:basedOn w:val="ExhibitCont6"/>
    <w:link w:val="ExhibitCont7Char"/>
    <w:pPr>
      <w:ind w:left="5040"/>
    </w:pPr>
  </w:style>
  <w:style w:type="character" w:customStyle="1" w:styleId="ExhibitCont7Char">
    <w:name w:val="Exhibit Cont 7 Char"/>
    <w:basedOn w:val="DefaultParagraphFont"/>
    <w:link w:val="ExhibitCont7"/>
    <w:rPr>
      <w:rFonts w:eastAsia="Times New Roman" w:cs="Times New Roman"/>
      <w:szCs w:val="20"/>
    </w:rPr>
  </w:style>
  <w:style w:type="paragraph" w:customStyle="1" w:styleId="ExhibitCont8">
    <w:name w:val="Exhibit Cont 8"/>
    <w:basedOn w:val="ExhibitCont7"/>
    <w:link w:val="ExhibitCont8Char"/>
    <w:pPr>
      <w:ind w:left="5760"/>
    </w:pPr>
  </w:style>
  <w:style w:type="character" w:customStyle="1" w:styleId="ExhibitCont8Char">
    <w:name w:val="Exhibit Cont 8 Char"/>
    <w:basedOn w:val="DefaultParagraphFont"/>
    <w:link w:val="ExhibitCont8"/>
    <w:rPr>
      <w:rFonts w:eastAsia="Times New Roman" w:cs="Times New Roman"/>
      <w:szCs w:val="20"/>
    </w:rPr>
  </w:style>
  <w:style w:type="paragraph" w:customStyle="1" w:styleId="ExhibitCont9">
    <w:name w:val="Exhibit Cont 9"/>
    <w:basedOn w:val="ExhibitCont8"/>
    <w:link w:val="ExhibitCont9Char"/>
    <w:pPr>
      <w:ind w:left="6480"/>
    </w:pPr>
  </w:style>
  <w:style w:type="character" w:customStyle="1" w:styleId="ExhibitCont9Char">
    <w:name w:val="Exhibit Cont 9 Char"/>
    <w:basedOn w:val="DefaultParagraphFont"/>
    <w:link w:val="ExhibitCont9"/>
    <w:rPr>
      <w:rFonts w:eastAsia="Times New Roman" w:cs="Times New Roman"/>
      <w:szCs w:val="20"/>
    </w:rPr>
  </w:style>
  <w:style w:type="paragraph" w:customStyle="1" w:styleId="ExhibitL1">
    <w:name w:val="Exhibit_L1"/>
    <w:basedOn w:val="Normal"/>
    <w:link w:val="ExhibitL1Char"/>
    <w:pPr>
      <w:numPr>
        <w:numId w:val="7"/>
      </w:numPr>
      <w:spacing w:after="360"/>
      <w:jc w:val="center"/>
      <w:outlineLvl w:val="0"/>
    </w:pPr>
    <w:rPr>
      <w:rFonts w:eastAsia="Times New Roman" w:cs="Times New Roman"/>
      <w:b/>
      <w:caps/>
      <w:szCs w:val="20"/>
    </w:rPr>
  </w:style>
  <w:style w:type="character" w:customStyle="1" w:styleId="ExhibitL1Char">
    <w:name w:val="Exhibit_L1 Char"/>
    <w:basedOn w:val="DefaultParagraphFont"/>
    <w:link w:val="ExhibitL1"/>
    <w:rPr>
      <w:rFonts w:eastAsia="Times New Roman" w:cs="Times New Roman"/>
      <w:b/>
      <w:caps/>
      <w:szCs w:val="20"/>
    </w:rPr>
  </w:style>
  <w:style w:type="paragraph" w:customStyle="1" w:styleId="ExhibitL2">
    <w:name w:val="Exhibit_L2"/>
    <w:basedOn w:val="ExhibitL1"/>
    <w:link w:val="ExhibitL2Char"/>
    <w:pPr>
      <w:numPr>
        <w:ilvl w:val="1"/>
      </w:numPr>
      <w:spacing w:after="240"/>
      <w:jc w:val="both"/>
      <w:outlineLvl w:val="1"/>
    </w:pPr>
    <w:rPr>
      <w:b w:val="0"/>
      <w:caps w:val="0"/>
    </w:rPr>
  </w:style>
  <w:style w:type="character" w:customStyle="1" w:styleId="ExhibitL2Char">
    <w:name w:val="Exhibit_L2 Char"/>
    <w:basedOn w:val="DefaultParagraphFont"/>
    <w:link w:val="ExhibitL2"/>
    <w:rPr>
      <w:rFonts w:eastAsia="Times New Roman" w:cs="Times New Roman"/>
      <w:szCs w:val="20"/>
    </w:rPr>
  </w:style>
  <w:style w:type="paragraph" w:customStyle="1" w:styleId="ExhibitL3">
    <w:name w:val="Exhibit_L3"/>
    <w:basedOn w:val="ExhibitL2"/>
    <w:link w:val="ExhibitL3Char"/>
    <w:pPr>
      <w:numPr>
        <w:ilvl w:val="2"/>
      </w:numPr>
      <w:outlineLvl w:val="2"/>
    </w:pPr>
  </w:style>
  <w:style w:type="character" w:customStyle="1" w:styleId="ExhibitL3Char">
    <w:name w:val="Exhibit_L3 Char"/>
    <w:basedOn w:val="DefaultParagraphFont"/>
    <w:link w:val="ExhibitL3"/>
    <w:rPr>
      <w:rFonts w:eastAsia="Times New Roman" w:cs="Times New Roman"/>
      <w:szCs w:val="20"/>
    </w:rPr>
  </w:style>
  <w:style w:type="paragraph" w:customStyle="1" w:styleId="ExhibitL4">
    <w:name w:val="Exhibit_L4"/>
    <w:basedOn w:val="ExhibitL3"/>
    <w:link w:val="ExhibitL4Char"/>
    <w:pPr>
      <w:numPr>
        <w:ilvl w:val="3"/>
      </w:numPr>
      <w:outlineLvl w:val="3"/>
    </w:pPr>
  </w:style>
  <w:style w:type="character" w:customStyle="1" w:styleId="ExhibitL4Char">
    <w:name w:val="Exhibit_L4 Char"/>
    <w:basedOn w:val="DefaultParagraphFont"/>
    <w:link w:val="ExhibitL4"/>
    <w:rPr>
      <w:rFonts w:eastAsia="Times New Roman" w:cs="Times New Roman"/>
      <w:szCs w:val="20"/>
    </w:rPr>
  </w:style>
  <w:style w:type="paragraph" w:customStyle="1" w:styleId="ExhibitL5">
    <w:name w:val="Exhibit_L5"/>
    <w:basedOn w:val="ExhibitL4"/>
    <w:link w:val="ExhibitL5Char"/>
    <w:pPr>
      <w:numPr>
        <w:ilvl w:val="4"/>
      </w:numPr>
      <w:outlineLvl w:val="4"/>
    </w:pPr>
  </w:style>
  <w:style w:type="character" w:customStyle="1" w:styleId="ExhibitL5Char">
    <w:name w:val="Exhibit_L5 Char"/>
    <w:basedOn w:val="DefaultParagraphFont"/>
    <w:link w:val="ExhibitL5"/>
    <w:rPr>
      <w:rFonts w:eastAsia="Times New Roman" w:cs="Times New Roman"/>
      <w:szCs w:val="20"/>
    </w:rPr>
  </w:style>
  <w:style w:type="paragraph" w:customStyle="1" w:styleId="ExhibitL6">
    <w:name w:val="Exhibit_L6"/>
    <w:basedOn w:val="ExhibitL5"/>
    <w:link w:val="ExhibitL6Char"/>
    <w:pPr>
      <w:numPr>
        <w:ilvl w:val="5"/>
      </w:numPr>
      <w:outlineLvl w:val="5"/>
    </w:pPr>
  </w:style>
  <w:style w:type="character" w:customStyle="1" w:styleId="ExhibitL6Char">
    <w:name w:val="Exhibit_L6 Char"/>
    <w:basedOn w:val="DefaultParagraphFont"/>
    <w:link w:val="ExhibitL6"/>
    <w:rPr>
      <w:rFonts w:eastAsia="Times New Roman" w:cs="Times New Roman"/>
      <w:szCs w:val="20"/>
    </w:rPr>
  </w:style>
  <w:style w:type="paragraph" w:customStyle="1" w:styleId="ExhibitL7">
    <w:name w:val="Exhibit_L7"/>
    <w:basedOn w:val="ExhibitL6"/>
    <w:link w:val="ExhibitL7Char"/>
    <w:pPr>
      <w:numPr>
        <w:ilvl w:val="6"/>
      </w:numPr>
      <w:outlineLvl w:val="6"/>
    </w:pPr>
  </w:style>
  <w:style w:type="character" w:customStyle="1" w:styleId="ExhibitL7Char">
    <w:name w:val="Exhibit_L7 Char"/>
    <w:basedOn w:val="DefaultParagraphFont"/>
    <w:link w:val="ExhibitL7"/>
    <w:rPr>
      <w:rFonts w:eastAsia="Times New Roman" w:cs="Times New Roman"/>
      <w:szCs w:val="20"/>
    </w:rPr>
  </w:style>
  <w:style w:type="paragraph" w:customStyle="1" w:styleId="ExhibitL8">
    <w:name w:val="Exhibit_L8"/>
    <w:basedOn w:val="ExhibitL7"/>
    <w:link w:val="ExhibitL8Char"/>
    <w:pPr>
      <w:numPr>
        <w:ilvl w:val="7"/>
      </w:numPr>
      <w:outlineLvl w:val="7"/>
    </w:pPr>
  </w:style>
  <w:style w:type="character" w:customStyle="1" w:styleId="ExhibitL8Char">
    <w:name w:val="Exhibit_L8 Char"/>
    <w:basedOn w:val="DefaultParagraphFont"/>
    <w:link w:val="ExhibitL8"/>
    <w:rPr>
      <w:rFonts w:eastAsia="Times New Roman" w:cs="Times New Roman"/>
      <w:szCs w:val="20"/>
    </w:rPr>
  </w:style>
  <w:style w:type="paragraph" w:customStyle="1" w:styleId="ExhibitL9">
    <w:name w:val="Exhibit_L9"/>
    <w:basedOn w:val="ExhibitL8"/>
    <w:link w:val="ExhibitL9Char"/>
    <w:pPr>
      <w:numPr>
        <w:ilvl w:val="8"/>
      </w:numPr>
      <w:outlineLvl w:val="8"/>
    </w:pPr>
  </w:style>
  <w:style w:type="character" w:customStyle="1" w:styleId="ExhibitL9Char">
    <w:name w:val="Exhibit_L9 Char"/>
    <w:basedOn w:val="DefaultParagraphFont"/>
    <w:link w:val="ExhibitL9"/>
    <w:rPr>
      <w:rFonts w:eastAsia="Times New Roman" w:cs="Times New Roman"/>
      <w:szCs w:val="20"/>
    </w:rPr>
  </w:style>
  <w:style w:type="paragraph" w:customStyle="1" w:styleId="BodyTextBold">
    <w:name w:val="Body Text Bold"/>
    <w:basedOn w:val="Normal"/>
    <w:rsid w:val="00BD58B1"/>
    <w:pPr>
      <w:spacing w:after="240"/>
      <w:jc w:val="left"/>
    </w:pPr>
    <w:rPr>
      <w:rFonts w:ascii="Times New Roman Bold" w:hAnsi="Times New Roman 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RelyOnCSS/>
</w:webSettings>
</file>

<file path=word/_rels/customizations.xml.rels>&#65279;<?xml version="1.0" encoding="utf-8" standalone="yes"?><Relationships xmlns="http://schemas.openxmlformats.org/package/2006/relationships"><Relationship Id="rId1" Type="http://schemas.microsoft.com/office/2006/relationships/attachedToolbars" Target="attachedToolbars.bin" /></Relationship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4.xml" /><Relationship Id="rId12" Type="http://schemas.openxmlformats.org/officeDocument/2006/relationships/header" Target="header3.xml" /><Relationship Id="rId13" Type="http://schemas.openxmlformats.org/officeDocument/2006/relationships/footer" Target="footer5.xml" /><Relationship Id="rId14" Type="http://schemas.openxmlformats.org/officeDocument/2006/relationships/header" Target="header4.xml" /><Relationship Id="rId15" Type="http://schemas.openxmlformats.org/officeDocument/2006/relationships/footer" Target="footer6.xml" /><Relationship Id="rId16" Type="http://schemas.openxmlformats.org/officeDocument/2006/relationships/header" Target="header5.xml" /><Relationship Id="rId17" Type="http://schemas.openxmlformats.org/officeDocument/2006/relationships/footer" Target="footer7.xml" /><Relationship Id="rId18" Type="http://schemas.openxmlformats.org/officeDocument/2006/relationships/header" Target="header6.xml" /><Relationship Id="rId19" Type="http://schemas.openxmlformats.org/officeDocument/2006/relationships/footer" Target="footer8.xml" /><Relationship Id="rId2" Type="http://schemas.openxmlformats.org/officeDocument/2006/relationships/settings" Target="settings.xml" /><Relationship Id="rId20" Type="http://schemas.openxmlformats.org/officeDocument/2006/relationships/header" Target="header7.xml" /><Relationship Id="rId21" Type="http://schemas.openxmlformats.org/officeDocument/2006/relationships/footer" Target="footer9.xml" /><Relationship Id="rId22" Type="http://schemas.microsoft.com/office/2006/relationships/keyMapCustomizations" Target="customizations.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BEAAD-83E2-4024-ACDA-ADE92410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24996</Words>
  <Characters>134398</Characters>
  <Application>Microsoft Office Word</Application>
  <DocSecurity>0</DocSecurity>
  <Lines>964</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