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6F" w:rsidP="0019056F" w:rsidRDefault="0019056F">
      <w:pPr>
        <w:pStyle w:val="Heading1"/>
        <w:numPr>
          <w:ilvl w:val="0"/>
          <w:numId w:val="0"/>
        </w:numPr>
        <w:spacing w:before="0"/>
        <w:rPr>
          <w:rFonts w:cs="Times New Roman"/>
          <w:caps w:val="0"/>
          <w:szCs w:val="22"/>
        </w:rPr>
      </w:pPr>
      <w:bookmarkStart w:name="_Hlk33431190" w:id="0"/>
      <w:r w:rsidRPr="006400F9">
        <w:rPr>
          <w:noProof/>
          <w:lang w:val="en-US"/>
        </w:rPr>
        <w:drawing>
          <wp:inline distT="0" distB="0" distL="0" distR="0" wp14:anchorId="25E3BDEE" wp14:editId="2CFA09B6">
            <wp:extent cx="2138758" cy="1030077"/>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9269" name=""/>
                    <pic:cNvPicPr/>
                  </pic:nvPicPr>
                  <pic:blipFill>
                    <a:blip r:embed="rId10"/>
                    <a:stretch>
                      <a:fillRect/>
                    </a:stretch>
                  </pic:blipFill>
                  <pic:spPr>
                    <a:xfrm>
                      <a:off x="0" y="0"/>
                      <a:ext cx="2154193" cy="1037511"/>
                    </a:xfrm>
                    <a:prstGeom prst="rect">
                      <a:avLst/>
                    </a:prstGeom>
                  </pic:spPr>
                </pic:pic>
              </a:graphicData>
            </a:graphic>
          </wp:inline>
        </w:drawing>
      </w:r>
    </w:p>
    <w:p w:rsidR="00276C62" w:rsidP="00276C62" w:rsidRDefault="002708BD">
      <w:pPr>
        <w:pStyle w:val="Heading1"/>
        <w:numPr>
          <w:ilvl w:val="0"/>
          <w:numId w:val="0"/>
        </w:numPr>
        <w:jc w:val="center"/>
        <w:rPr>
          <w:rFonts w:cs="Times New Roman"/>
          <w:caps w:val="0"/>
          <w:szCs w:val="22"/>
        </w:rPr>
      </w:pPr>
      <w:r>
        <w:rPr>
          <w:rFonts w:cs="Times New Roman"/>
          <w:caps w:val="0"/>
          <w:szCs w:val="22"/>
        </w:rPr>
        <w:t>Limited Partnership Agreement Term Sheet</w:t>
      </w:r>
    </w:p>
    <w:p w:rsidRPr="002708BD" w:rsidR="0025707F" w:rsidP="005D6324" w:rsidRDefault="0025707F">
      <w:pPr>
        <w:pStyle w:val="BodyText"/>
        <w:rPr>
          <w:szCs w:val="22"/>
        </w:rPr>
      </w:pPr>
      <w:r w:rsidRPr="002708BD">
        <w:rPr>
          <w:szCs w:val="22"/>
        </w:rPr>
        <w:t xml:space="preserve">This CVCA document </w:t>
      </w:r>
      <w:r w:rsidR="00B55138">
        <w:rPr>
          <w:szCs w:val="22"/>
        </w:rPr>
        <w:t xml:space="preserve">(the </w:t>
      </w:r>
      <w:r w:rsidR="00EC6F22">
        <w:rPr>
          <w:szCs w:val="22"/>
        </w:rPr>
        <w:t>“</w:t>
      </w:r>
      <w:r w:rsidRPr="005A7639" w:rsidR="00B55138">
        <w:rPr>
          <w:b/>
          <w:szCs w:val="22"/>
        </w:rPr>
        <w:t>CVCA Term Sheet</w:t>
      </w:r>
      <w:r w:rsidR="00EC6F22">
        <w:rPr>
          <w:szCs w:val="22"/>
        </w:rPr>
        <w:t>”</w:t>
      </w:r>
      <w:r w:rsidR="00B55138">
        <w:rPr>
          <w:szCs w:val="22"/>
        </w:rPr>
        <w:t xml:space="preserve">) </w:t>
      </w:r>
      <w:r w:rsidRPr="002708BD">
        <w:rPr>
          <w:szCs w:val="22"/>
        </w:rPr>
        <w:t xml:space="preserve">is a modified version of the </w:t>
      </w:r>
      <w:r w:rsidRPr="002708BD" w:rsidR="00182F2D">
        <w:rPr>
          <w:szCs w:val="22"/>
        </w:rPr>
        <w:t>Institutional Limited Partners Association</w:t>
      </w:r>
      <w:r w:rsidR="00EC6F22">
        <w:rPr>
          <w:szCs w:val="22"/>
        </w:rPr>
        <w:t>’</w:t>
      </w:r>
      <w:r w:rsidR="005A7639">
        <w:rPr>
          <w:szCs w:val="22"/>
        </w:rPr>
        <w:t xml:space="preserve">s (the </w:t>
      </w:r>
      <w:r w:rsidR="00EC6F22">
        <w:rPr>
          <w:szCs w:val="22"/>
        </w:rPr>
        <w:t>“</w:t>
      </w:r>
      <w:r w:rsidRPr="00014812" w:rsidR="00182F2D">
        <w:rPr>
          <w:b/>
          <w:szCs w:val="22"/>
        </w:rPr>
        <w:t>ILPA</w:t>
      </w:r>
      <w:r w:rsidR="00EC6F22">
        <w:rPr>
          <w:szCs w:val="22"/>
        </w:rPr>
        <w:t>”</w:t>
      </w:r>
      <w:r w:rsidR="00182F2D">
        <w:rPr>
          <w:szCs w:val="22"/>
        </w:rPr>
        <w:t>)</w:t>
      </w:r>
      <w:r w:rsidRPr="002708BD" w:rsidR="00182F2D">
        <w:rPr>
          <w:szCs w:val="22"/>
        </w:rPr>
        <w:t xml:space="preserve"> </w:t>
      </w:r>
      <w:r w:rsidRPr="002708BD">
        <w:rPr>
          <w:szCs w:val="22"/>
        </w:rPr>
        <w:t xml:space="preserve">document entitled </w:t>
      </w:r>
      <w:r w:rsidR="00EC6F22">
        <w:rPr>
          <w:szCs w:val="22"/>
        </w:rPr>
        <w:t>“</w:t>
      </w:r>
      <w:r w:rsidRPr="007C3953">
        <w:rPr>
          <w:i/>
          <w:szCs w:val="22"/>
        </w:rPr>
        <w:t xml:space="preserve">The ILPA </w:t>
      </w:r>
      <w:r w:rsidRPr="007C3953" w:rsidR="0031314F">
        <w:rPr>
          <w:i/>
          <w:szCs w:val="22"/>
        </w:rPr>
        <w:t>Limited Partnership Agreement</w:t>
      </w:r>
      <w:r w:rsidRPr="007C3953">
        <w:rPr>
          <w:i/>
          <w:szCs w:val="22"/>
        </w:rPr>
        <w:t xml:space="preserve"> (Whole of Fund Version) Term Sheet Summary</w:t>
      </w:r>
      <w:r w:rsidR="00EC6F22">
        <w:rPr>
          <w:szCs w:val="22"/>
        </w:rPr>
        <w:t>”</w:t>
      </w:r>
      <w:r w:rsidRPr="002708BD">
        <w:rPr>
          <w:szCs w:val="22"/>
        </w:rPr>
        <w:t xml:space="preserve"> (v</w:t>
      </w:r>
      <w:r w:rsidRPr="002708BD">
        <w:rPr>
          <w:rFonts w:cs="Times New Roman"/>
          <w:szCs w:val="22"/>
        </w:rPr>
        <w:t>. July 2020</w:t>
      </w:r>
      <w:r w:rsidRPr="002708BD">
        <w:rPr>
          <w:szCs w:val="22"/>
        </w:rPr>
        <w:t xml:space="preserve">) </w:t>
      </w:r>
      <w:r w:rsidR="005A7639">
        <w:rPr>
          <w:szCs w:val="22"/>
        </w:rPr>
        <w:t xml:space="preserve">(the </w:t>
      </w:r>
      <w:r w:rsidR="00EC6F22">
        <w:rPr>
          <w:szCs w:val="22"/>
        </w:rPr>
        <w:t>“</w:t>
      </w:r>
      <w:r w:rsidRPr="002708BD">
        <w:rPr>
          <w:b/>
          <w:szCs w:val="22"/>
        </w:rPr>
        <w:t>ILPA</w:t>
      </w:r>
      <w:r w:rsidR="007C3953">
        <w:rPr>
          <w:b/>
          <w:szCs w:val="22"/>
        </w:rPr>
        <w:t xml:space="preserve"> Term Sheet</w:t>
      </w:r>
      <w:r w:rsidR="00EC6F22">
        <w:rPr>
          <w:szCs w:val="22"/>
        </w:rPr>
        <w:t>”</w:t>
      </w:r>
      <w:r w:rsidRPr="002708BD">
        <w:rPr>
          <w:szCs w:val="22"/>
        </w:rPr>
        <w:t xml:space="preserve">). The CVCA gratefully acknowledges the ILPA for granting permission to use the ILPA </w:t>
      </w:r>
      <w:r w:rsidR="007C3953">
        <w:rPr>
          <w:szCs w:val="22"/>
        </w:rPr>
        <w:t xml:space="preserve">Term Sheet </w:t>
      </w:r>
      <w:r w:rsidRPr="002708BD">
        <w:rPr>
          <w:szCs w:val="22"/>
        </w:rPr>
        <w:t>in Canada.</w:t>
      </w:r>
      <w:r w:rsidR="008E725C">
        <w:rPr>
          <w:szCs w:val="22"/>
        </w:rPr>
        <w:t xml:space="preserve"> </w:t>
      </w:r>
      <w:r w:rsidRPr="004601A5" w:rsidR="008E725C">
        <w:rPr>
          <w:szCs w:val="22"/>
        </w:rPr>
        <w:t xml:space="preserve">A blackline of this </w:t>
      </w:r>
      <w:r w:rsidRPr="00B55138" w:rsidR="00B55138">
        <w:rPr>
          <w:szCs w:val="22"/>
        </w:rPr>
        <w:t xml:space="preserve">CVCA Term Sheet </w:t>
      </w:r>
      <w:r w:rsidR="008E725C">
        <w:rPr>
          <w:szCs w:val="22"/>
        </w:rPr>
        <w:t>against</w:t>
      </w:r>
      <w:r w:rsidRPr="004601A5" w:rsidR="008E725C">
        <w:rPr>
          <w:szCs w:val="22"/>
        </w:rPr>
        <w:t xml:space="preserve"> the ILPA</w:t>
      </w:r>
      <w:r w:rsidR="007C3953">
        <w:rPr>
          <w:szCs w:val="22"/>
        </w:rPr>
        <w:t xml:space="preserve"> Term Sheet can</w:t>
      </w:r>
      <w:r w:rsidR="008E725C">
        <w:rPr>
          <w:szCs w:val="22"/>
        </w:rPr>
        <w:t xml:space="preserve"> be found</w:t>
      </w:r>
      <w:r w:rsidRPr="004601A5" w:rsidR="008E725C">
        <w:rPr>
          <w:szCs w:val="22"/>
        </w:rPr>
        <w:t xml:space="preserve"> on the CVCA website.</w:t>
      </w:r>
    </w:p>
    <w:p w:rsidR="00740B0B" w:rsidP="00740B0B" w:rsidRDefault="00740B0B">
      <w:pPr>
        <w:rPr>
          <w:szCs w:val="22"/>
        </w:rPr>
      </w:pPr>
      <w:r>
        <w:rPr>
          <w:szCs w:val="22"/>
        </w:rPr>
        <w:t xml:space="preserve">This </w:t>
      </w:r>
      <w:r w:rsidRPr="00B55138">
        <w:rPr>
          <w:szCs w:val="22"/>
        </w:rPr>
        <w:t>CVCA</w:t>
      </w:r>
      <w:r w:rsidRPr="00B55138" w:rsidR="00182F2D">
        <w:rPr>
          <w:szCs w:val="22"/>
        </w:rPr>
        <w:t xml:space="preserve"> Term Sheet</w:t>
      </w:r>
      <w:r>
        <w:rPr>
          <w:szCs w:val="22"/>
        </w:rPr>
        <w:t xml:space="preserve"> </w:t>
      </w:r>
      <w:r w:rsidR="007C3953">
        <w:rPr>
          <w:szCs w:val="22"/>
        </w:rPr>
        <w:t xml:space="preserve">is a brief summary of the CVCA document named </w:t>
      </w:r>
      <w:r w:rsidR="00EC6F22">
        <w:rPr>
          <w:szCs w:val="22"/>
        </w:rPr>
        <w:t>“</w:t>
      </w:r>
      <w:r w:rsidRPr="007C3953" w:rsidR="007C3953">
        <w:rPr>
          <w:rFonts w:cs="Times New Roman"/>
          <w:i/>
          <w:szCs w:val="22"/>
        </w:rPr>
        <w:t>Limited Partnership Agreement dated December 15, 2022</w:t>
      </w:r>
      <w:r w:rsidR="00EC6F22">
        <w:rPr>
          <w:rFonts w:cs="Times New Roman"/>
          <w:szCs w:val="22"/>
        </w:rPr>
        <w:t>”</w:t>
      </w:r>
      <w:r w:rsidRPr="007C3953" w:rsidR="007C3953">
        <w:rPr>
          <w:rFonts w:cs="Times New Roman"/>
          <w:szCs w:val="22"/>
        </w:rPr>
        <w:t xml:space="preserve"> (the </w:t>
      </w:r>
      <w:r w:rsidR="00EC6F22">
        <w:rPr>
          <w:rFonts w:cs="Times New Roman"/>
          <w:szCs w:val="22"/>
        </w:rPr>
        <w:t>“</w:t>
      </w:r>
      <w:r w:rsidRPr="005A7639" w:rsidR="00182F2D">
        <w:rPr>
          <w:rFonts w:cs="Times New Roman"/>
          <w:b/>
          <w:szCs w:val="22"/>
        </w:rPr>
        <w:t xml:space="preserve">CVCA </w:t>
      </w:r>
      <w:r w:rsidRPr="007C3953" w:rsidR="007C3953">
        <w:rPr>
          <w:rFonts w:cs="Times New Roman"/>
          <w:b/>
          <w:szCs w:val="22"/>
        </w:rPr>
        <w:t>LPA</w:t>
      </w:r>
      <w:r w:rsidR="00EC6F22">
        <w:rPr>
          <w:rFonts w:cs="Times New Roman"/>
          <w:szCs w:val="22"/>
        </w:rPr>
        <w:t>”</w:t>
      </w:r>
      <w:r w:rsidRPr="007C3953" w:rsidR="007C3953">
        <w:rPr>
          <w:rFonts w:cs="Times New Roman"/>
          <w:szCs w:val="22"/>
        </w:rPr>
        <w:t xml:space="preserve">) </w:t>
      </w:r>
      <w:r w:rsidR="007C3953">
        <w:rPr>
          <w:rFonts w:cs="Times New Roman"/>
          <w:szCs w:val="22"/>
        </w:rPr>
        <w:t xml:space="preserve">and </w:t>
      </w:r>
      <w:r>
        <w:rPr>
          <w:szCs w:val="22"/>
        </w:rPr>
        <w:t xml:space="preserve">includes </w:t>
      </w:r>
      <w:r w:rsidRPr="004601A5">
        <w:rPr>
          <w:szCs w:val="22"/>
        </w:rPr>
        <w:t xml:space="preserve">changes </w:t>
      </w:r>
      <w:r w:rsidR="007C3953">
        <w:rPr>
          <w:szCs w:val="22"/>
        </w:rPr>
        <w:t xml:space="preserve">to the ILPA Term Sheet </w:t>
      </w:r>
      <w:r w:rsidRPr="004601A5">
        <w:rPr>
          <w:szCs w:val="22"/>
        </w:rPr>
        <w:t xml:space="preserve">necessary to reflect the </w:t>
      </w:r>
      <w:r w:rsidR="007C3953">
        <w:rPr>
          <w:szCs w:val="22"/>
        </w:rPr>
        <w:t xml:space="preserve">terms of </w:t>
      </w:r>
      <w:r w:rsidRPr="007C3953">
        <w:rPr>
          <w:szCs w:val="22"/>
        </w:rPr>
        <w:t>applicable</w:t>
      </w:r>
      <w:r w:rsidRPr="004601A5">
        <w:rPr>
          <w:szCs w:val="22"/>
        </w:rPr>
        <w:t xml:space="preserve"> Canadian law, including Canadian tax law and Ontario/</w:t>
      </w:r>
      <w:r w:rsidRPr="002C35A6">
        <w:rPr>
          <w:szCs w:val="22"/>
        </w:rPr>
        <w:t xml:space="preserve">Québec </w:t>
      </w:r>
      <w:r w:rsidRPr="004601A5">
        <w:rPr>
          <w:szCs w:val="22"/>
        </w:rPr>
        <w:t>limi</w:t>
      </w:r>
      <w:r>
        <w:rPr>
          <w:szCs w:val="22"/>
        </w:rPr>
        <w:t xml:space="preserve">ted partnership law. </w:t>
      </w:r>
      <w:r w:rsidRPr="004601A5">
        <w:rPr>
          <w:szCs w:val="22"/>
        </w:rPr>
        <w:t xml:space="preserve">In addition, </w:t>
      </w:r>
      <w:r w:rsidR="00182F2D">
        <w:rPr>
          <w:szCs w:val="22"/>
        </w:rPr>
        <w:t xml:space="preserve">this CVCA Term Sheet </w:t>
      </w:r>
      <w:r w:rsidRPr="004601A5">
        <w:rPr>
          <w:szCs w:val="22"/>
        </w:rPr>
        <w:t xml:space="preserve">is annotated to assist </w:t>
      </w:r>
      <w:r>
        <w:rPr>
          <w:szCs w:val="22"/>
        </w:rPr>
        <w:t xml:space="preserve">readers </w:t>
      </w:r>
      <w:r w:rsidRPr="004601A5">
        <w:rPr>
          <w:szCs w:val="22"/>
        </w:rPr>
        <w:t>with certain material terms for private equity and venture capital funds</w:t>
      </w:r>
      <w:r w:rsidR="00580419">
        <w:rPr>
          <w:szCs w:val="22"/>
        </w:rPr>
        <w:t xml:space="preserve"> used in Canada</w:t>
      </w:r>
      <w:bookmarkStart w:name="_GoBack" w:id="1"/>
      <w:bookmarkEnd w:id="1"/>
      <w:r w:rsidR="007C3953">
        <w:rPr>
          <w:szCs w:val="22"/>
        </w:rPr>
        <w:t xml:space="preserve">, as they are used in the </w:t>
      </w:r>
      <w:r w:rsidR="00182F2D">
        <w:rPr>
          <w:szCs w:val="22"/>
        </w:rPr>
        <w:t xml:space="preserve">CVCA </w:t>
      </w:r>
      <w:r w:rsidR="007C3953">
        <w:rPr>
          <w:szCs w:val="22"/>
        </w:rPr>
        <w:t>LPA</w:t>
      </w:r>
      <w:r w:rsidRPr="004601A5">
        <w:rPr>
          <w:szCs w:val="22"/>
        </w:rPr>
        <w:t xml:space="preserve">. </w:t>
      </w:r>
      <w:r>
        <w:rPr>
          <w:szCs w:val="22"/>
        </w:rPr>
        <w:t xml:space="preserve">While </w:t>
      </w:r>
      <w:r w:rsidR="00FF167C">
        <w:rPr>
          <w:szCs w:val="22"/>
        </w:rPr>
        <w:t xml:space="preserve">this CVCA Term Sheet and the CVCA LPA have </w:t>
      </w:r>
      <w:r>
        <w:rPr>
          <w:szCs w:val="22"/>
        </w:rPr>
        <w:t>been modifie</w:t>
      </w:r>
      <w:r w:rsidR="00523B90">
        <w:rPr>
          <w:szCs w:val="22"/>
        </w:rPr>
        <w:t>d for use in Canada and contain</w:t>
      </w:r>
      <w:r>
        <w:rPr>
          <w:szCs w:val="22"/>
        </w:rPr>
        <w:t xml:space="preserve"> some changes and annotations to reflect Canadian practice, </w:t>
      </w:r>
      <w:r w:rsidR="00FF167C">
        <w:rPr>
          <w:szCs w:val="22"/>
        </w:rPr>
        <w:t>they are</w:t>
      </w:r>
      <w:r>
        <w:rPr>
          <w:szCs w:val="22"/>
        </w:rPr>
        <w:t xml:space="preserve"> </w:t>
      </w:r>
      <w:r w:rsidRPr="00885159">
        <w:rPr>
          <w:b/>
          <w:szCs w:val="22"/>
        </w:rPr>
        <w:t>not</w:t>
      </w:r>
      <w:r>
        <w:rPr>
          <w:szCs w:val="22"/>
        </w:rPr>
        <w:t xml:space="preserve"> CVCA </w:t>
      </w:r>
      <w:r w:rsidR="00EC6F22">
        <w:rPr>
          <w:szCs w:val="22"/>
        </w:rPr>
        <w:t>“</w:t>
      </w:r>
      <w:r>
        <w:rPr>
          <w:szCs w:val="22"/>
        </w:rPr>
        <w:t>model</w:t>
      </w:r>
      <w:r w:rsidR="00EC6F22">
        <w:rPr>
          <w:szCs w:val="22"/>
        </w:rPr>
        <w:t>”</w:t>
      </w:r>
      <w:r>
        <w:rPr>
          <w:szCs w:val="22"/>
        </w:rPr>
        <w:t xml:space="preserve"> document</w:t>
      </w:r>
      <w:r w:rsidR="00FF167C">
        <w:rPr>
          <w:szCs w:val="22"/>
        </w:rPr>
        <w:t>s</w:t>
      </w:r>
      <w:r>
        <w:rPr>
          <w:szCs w:val="22"/>
        </w:rPr>
        <w:t xml:space="preserve">. Because </w:t>
      </w:r>
      <w:r w:rsidR="00182F2D">
        <w:rPr>
          <w:szCs w:val="22"/>
        </w:rPr>
        <w:t xml:space="preserve">this CVCA Term Sheet </w:t>
      </w:r>
      <w:r>
        <w:rPr>
          <w:szCs w:val="22"/>
        </w:rPr>
        <w:t xml:space="preserve">is derived from the ILPA </w:t>
      </w:r>
      <w:r w:rsidR="007C3953">
        <w:rPr>
          <w:szCs w:val="22"/>
        </w:rPr>
        <w:t>Term Sheet</w:t>
      </w:r>
      <w:r>
        <w:rPr>
          <w:szCs w:val="22"/>
        </w:rPr>
        <w:t>, it is not a</w:t>
      </w:r>
      <w:r w:rsidR="007C3953">
        <w:rPr>
          <w:szCs w:val="22"/>
        </w:rPr>
        <w:t xml:space="preserve"> document </w:t>
      </w:r>
      <w:r>
        <w:rPr>
          <w:szCs w:val="22"/>
        </w:rPr>
        <w:t>that reflects a general partne</w:t>
      </w:r>
      <w:r w:rsidR="005A7639">
        <w:rPr>
          <w:szCs w:val="22"/>
        </w:rPr>
        <w:t>r</w:t>
      </w:r>
      <w:r w:rsidR="00EC6F22">
        <w:rPr>
          <w:szCs w:val="22"/>
        </w:rPr>
        <w:t>’</w:t>
      </w:r>
      <w:r w:rsidR="005A7639">
        <w:rPr>
          <w:szCs w:val="22"/>
        </w:rPr>
        <w:t xml:space="preserve">s perspective on each issue. </w:t>
      </w:r>
      <w:r>
        <w:rPr>
          <w:szCs w:val="22"/>
        </w:rPr>
        <w:t xml:space="preserve">As well, it does not attempt to provide all the terms or the variations of any term that could be included in a </w:t>
      </w:r>
      <w:r w:rsidR="00093B2B">
        <w:rPr>
          <w:szCs w:val="22"/>
        </w:rPr>
        <w:t xml:space="preserve">term sheet of a </w:t>
      </w:r>
      <w:r>
        <w:rPr>
          <w:szCs w:val="22"/>
        </w:rPr>
        <w:t xml:space="preserve">limited partnership agreement for a private equity or venture capital fund. </w:t>
      </w:r>
      <w:r w:rsidR="00093B2B">
        <w:rPr>
          <w:szCs w:val="22"/>
        </w:rPr>
        <w:t>L</w:t>
      </w:r>
      <w:r>
        <w:rPr>
          <w:szCs w:val="22"/>
        </w:rPr>
        <w:t xml:space="preserve">imited partnership agreements are </w:t>
      </w:r>
      <w:r w:rsidRPr="004601A5">
        <w:rPr>
          <w:szCs w:val="22"/>
        </w:rPr>
        <w:t>frequently heavily negotiated and also var</w:t>
      </w:r>
      <w:r>
        <w:rPr>
          <w:szCs w:val="22"/>
        </w:rPr>
        <w:t>y</w:t>
      </w:r>
      <w:r w:rsidRPr="004601A5">
        <w:rPr>
          <w:szCs w:val="22"/>
        </w:rPr>
        <w:t xml:space="preserve"> significantly based on the factual </w:t>
      </w:r>
      <w:r>
        <w:rPr>
          <w:szCs w:val="22"/>
        </w:rPr>
        <w:t>context</w:t>
      </w:r>
      <w:r w:rsidRPr="004601A5">
        <w:rPr>
          <w:szCs w:val="22"/>
        </w:rPr>
        <w:t xml:space="preserve"> (e.g.</w:t>
      </w:r>
      <w:r>
        <w:rPr>
          <w:szCs w:val="22"/>
        </w:rPr>
        <w:t>,</w:t>
      </w:r>
      <w:r w:rsidRPr="004601A5">
        <w:rPr>
          <w:szCs w:val="22"/>
        </w:rPr>
        <w:t xml:space="preserve"> a first</w:t>
      </w:r>
      <w:r>
        <w:rPr>
          <w:szCs w:val="22"/>
        </w:rPr>
        <w:t>-</w:t>
      </w:r>
      <w:r w:rsidRPr="004601A5">
        <w:rPr>
          <w:szCs w:val="22"/>
        </w:rPr>
        <w:t xml:space="preserve">time fund will have different terms than an established </w:t>
      </w:r>
      <w:r>
        <w:rPr>
          <w:szCs w:val="22"/>
        </w:rPr>
        <w:t>fund manager/</w:t>
      </w:r>
      <w:r w:rsidRPr="004601A5">
        <w:rPr>
          <w:szCs w:val="22"/>
        </w:rPr>
        <w:t>sponsor).</w:t>
      </w:r>
    </w:p>
    <w:p w:rsidR="00740B0B" w:rsidP="00740B0B" w:rsidRDefault="00740B0B">
      <w:pPr>
        <w:rPr>
          <w:szCs w:val="22"/>
        </w:rPr>
      </w:pPr>
      <w:r>
        <w:rPr>
          <w:szCs w:val="22"/>
        </w:rPr>
        <w:t>Th</w:t>
      </w:r>
      <w:r w:rsidR="00182F2D">
        <w:rPr>
          <w:szCs w:val="22"/>
        </w:rPr>
        <w:t>e</w:t>
      </w:r>
      <w:r>
        <w:rPr>
          <w:szCs w:val="22"/>
        </w:rPr>
        <w:t xml:space="preserve"> CVCA </w:t>
      </w:r>
      <w:r w:rsidR="00182F2D">
        <w:rPr>
          <w:szCs w:val="22"/>
        </w:rPr>
        <w:t>LPA and th</w:t>
      </w:r>
      <w:r w:rsidR="008E23EF">
        <w:rPr>
          <w:szCs w:val="22"/>
        </w:rPr>
        <w:t>is</w:t>
      </w:r>
      <w:r w:rsidR="00182F2D">
        <w:rPr>
          <w:szCs w:val="22"/>
        </w:rPr>
        <w:t xml:space="preserve"> CVCA Term Sheet</w:t>
      </w:r>
      <w:r>
        <w:rPr>
          <w:szCs w:val="22"/>
        </w:rPr>
        <w:t xml:space="preserve"> w</w:t>
      </w:r>
      <w:r w:rsidR="00182F2D">
        <w:rPr>
          <w:szCs w:val="22"/>
        </w:rPr>
        <w:t>ere</w:t>
      </w:r>
      <w:r>
        <w:rPr>
          <w:szCs w:val="22"/>
        </w:rPr>
        <w:t xml:space="preserve"> prepared </w:t>
      </w:r>
      <w:r w:rsidR="00182F2D">
        <w:rPr>
          <w:szCs w:val="22"/>
        </w:rPr>
        <w:t>with the assistance of</w:t>
      </w:r>
      <w:r>
        <w:rPr>
          <w:szCs w:val="22"/>
        </w:rPr>
        <w:t xml:space="preserve"> the following lawyers: </w:t>
      </w:r>
      <w:r w:rsidRPr="00926DA4">
        <w:rPr>
          <w:szCs w:val="22"/>
        </w:rPr>
        <w:t xml:space="preserve">Mia Bacic (as lead), Gary Solway, </w:t>
      </w:r>
      <w:r>
        <w:rPr>
          <w:szCs w:val="22"/>
        </w:rPr>
        <w:t xml:space="preserve">Elizabeth Dylke, and </w:t>
      </w:r>
      <w:r w:rsidRPr="00926DA4">
        <w:rPr>
          <w:szCs w:val="22"/>
        </w:rPr>
        <w:t xml:space="preserve">Philip Ward (tax), each </w:t>
      </w:r>
      <w:r>
        <w:rPr>
          <w:szCs w:val="22"/>
        </w:rPr>
        <w:t xml:space="preserve">of </w:t>
      </w:r>
      <w:r w:rsidRPr="00926DA4">
        <w:rPr>
          <w:szCs w:val="22"/>
        </w:rPr>
        <w:t>Bennett Jones</w:t>
      </w:r>
      <w:r>
        <w:rPr>
          <w:szCs w:val="22"/>
        </w:rPr>
        <w:t xml:space="preserve"> </w:t>
      </w:r>
      <w:r w:rsidRPr="00926DA4">
        <w:rPr>
          <w:szCs w:val="22"/>
        </w:rPr>
        <w:t>LLP; Samantha Horn</w:t>
      </w:r>
      <w:r>
        <w:rPr>
          <w:szCs w:val="22"/>
        </w:rPr>
        <w:t xml:space="preserve"> and Jonathan Wil</w:t>
      </w:r>
      <w:r w:rsidRPr="00926DA4">
        <w:rPr>
          <w:szCs w:val="22"/>
        </w:rPr>
        <w:t>son</w:t>
      </w:r>
      <w:r>
        <w:rPr>
          <w:szCs w:val="22"/>
        </w:rPr>
        <w:t xml:space="preserve"> (tax), each of Stikeman Elliott LLP; </w:t>
      </w:r>
      <w:r w:rsidRPr="00926DA4">
        <w:rPr>
          <w:szCs w:val="22"/>
        </w:rPr>
        <w:t xml:space="preserve">Pascal de Guise </w:t>
      </w:r>
      <w:r>
        <w:rPr>
          <w:szCs w:val="22"/>
        </w:rPr>
        <w:t xml:space="preserve">and </w:t>
      </w:r>
      <w:r w:rsidRPr="00926DA4">
        <w:rPr>
          <w:szCs w:val="22"/>
        </w:rPr>
        <w:t>Julia Wang (tax)</w:t>
      </w:r>
      <w:r>
        <w:rPr>
          <w:szCs w:val="22"/>
        </w:rPr>
        <w:t>, and Anthony Lanouette-Marier</w:t>
      </w:r>
      <w:r w:rsidRPr="00926DA4">
        <w:rPr>
          <w:szCs w:val="22"/>
        </w:rPr>
        <w:t xml:space="preserve">, </w:t>
      </w:r>
      <w:r>
        <w:rPr>
          <w:szCs w:val="22"/>
        </w:rPr>
        <w:t xml:space="preserve">each of </w:t>
      </w:r>
      <w:r w:rsidRPr="00926DA4">
        <w:rPr>
          <w:szCs w:val="22"/>
        </w:rPr>
        <w:t>Blake, Cassels &amp; Graydon LLP</w:t>
      </w:r>
      <w:r>
        <w:rPr>
          <w:szCs w:val="22"/>
        </w:rPr>
        <w:t xml:space="preserve">; </w:t>
      </w:r>
      <w:r w:rsidR="003D00CE">
        <w:rPr>
          <w:szCs w:val="22"/>
        </w:rPr>
        <w:t>Mathieu</w:t>
      </w:r>
      <w:r w:rsidRPr="00926DA4">
        <w:rPr>
          <w:szCs w:val="22"/>
        </w:rPr>
        <w:t xml:space="preserve"> La</w:t>
      </w:r>
      <w:r>
        <w:rPr>
          <w:szCs w:val="22"/>
        </w:rPr>
        <w:t>f</w:t>
      </w:r>
      <w:r w:rsidRPr="00926DA4">
        <w:rPr>
          <w:szCs w:val="22"/>
        </w:rPr>
        <w:t>lamme</w:t>
      </w:r>
      <w:r w:rsidR="003D00CE">
        <w:rPr>
          <w:szCs w:val="22"/>
        </w:rPr>
        <w:t xml:space="preserve"> and Isabelle Pépin-Lapointe</w:t>
      </w:r>
      <w:r w:rsidRPr="00926DA4">
        <w:rPr>
          <w:szCs w:val="22"/>
        </w:rPr>
        <w:t>,</w:t>
      </w:r>
      <w:r w:rsidR="003D00CE">
        <w:rPr>
          <w:szCs w:val="22"/>
        </w:rPr>
        <w:t xml:space="preserve"> each of</w:t>
      </w:r>
      <w:r w:rsidRPr="00926DA4">
        <w:rPr>
          <w:szCs w:val="22"/>
        </w:rPr>
        <w:t xml:space="preserve"> McCarthy</w:t>
      </w:r>
      <w:r>
        <w:rPr>
          <w:szCs w:val="22"/>
        </w:rPr>
        <w:t xml:space="preserve"> </w:t>
      </w:r>
      <w:r w:rsidRPr="00926DA4">
        <w:rPr>
          <w:szCs w:val="22"/>
        </w:rPr>
        <w:t>T</w:t>
      </w:r>
      <w:r w:rsidRPr="00C035F4">
        <w:rPr>
          <w:szCs w:val="22"/>
        </w:rPr>
        <w:t>é</w:t>
      </w:r>
      <w:r w:rsidRPr="00926DA4">
        <w:rPr>
          <w:szCs w:val="22"/>
        </w:rPr>
        <w:t xml:space="preserve">trault LLP; </w:t>
      </w:r>
      <w:r>
        <w:rPr>
          <w:szCs w:val="22"/>
        </w:rPr>
        <w:t xml:space="preserve">and </w:t>
      </w:r>
      <w:r w:rsidRPr="00926DA4">
        <w:rPr>
          <w:szCs w:val="22"/>
        </w:rPr>
        <w:t>Wendy Del Mul</w:t>
      </w:r>
      <w:r>
        <w:rPr>
          <w:szCs w:val="22"/>
        </w:rPr>
        <w:t xml:space="preserve">, </w:t>
      </w:r>
      <w:r w:rsidRPr="00926DA4">
        <w:rPr>
          <w:szCs w:val="22"/>
        </w:rPr>
        <w:t>Dentons</w:t>
      </w:r>
      <w:r>
        <w:rPr>
          <w:szCs w:val="22"/>
        </w:rPr>
        <w:t xml:space="preserve"> Canada LLP. </w:t>
      </w:r>
    </w:p>
    <w:p w:rsidRPr="00740B0B" w:rsidR="00337455" w:rsidP="00740B0B" w:rsidRDefault="00182F2D">
      <w:pPr>
        <w:rPr>
          <w:szCs w:val="22"/>
        </w:rPr>
      </w:pPr>
      <w:r>
        <w:rPr>
          <w:szCs w:val="22"/>
        </w:rPr>
        <w:t>The following representatives of the following general partners also assisted by provi</w:t>
      </w:r>
      <w:r w:rsidR="005A7639">
        <w:rPr>
          <w:szCs w:val="22"/>
        </w:rPr>
        <w:t>ding comments on the CVCA LPA:</w:t>
      </w:r>
      <w:r w:rsidR="00740B0B">
        <w:rPr>
          <w:szCs w:val="22"/>
        </w:rPr>
        <w:t xml:space="preserve"> </w:t>
      </w:r>
      <w:r w:rsidRPr="00926DA4" w:rsidR="00740B0B">
        <w:rPr>
          <w:szCs w:val="22"/>
        </w:rPr>
        <w:t>Dion Madsen, Amplitude Ventures Inc.</w:t>
      </w:r>
      <w:r w:rsidR="00740B0B">
        <w:rPr>
          <w:szCs w:val="22"/>
        </w:rPr>
        <w:t>; Robert Connoly, Westcap Mgt. Ltd.; David Unsworth, Information Venture Partners; and Lauren Robinson, Highline Beta.</w:t>
      </w:r>
    </w:p>
    <w:p w:rsidRPr="004525E3" w:rsidR="00337455" w:rsidP="00337455" w:rsidRDefault="00337455">
      <w:pPr>
        <w:pStyle w:val="Disclaimer"/>
        <w:rPr>
          <w:rFonts w:cs="Times New Roman"/>
          <w:sz w:val="22"/>
          <w:szCs w:val="22"/>
        </w:rPr>
      </w:pPr>
      <w:r w:rsidRPr="004525E3">
        <w:rPr>
          <w:rFonts w:cs="Times New Roman"/>
          <w:sz w:val="22"/>
          <w:szCs w:val="22"/>
        </w:rPr>
        <w:t xml:space="preserve">Disclaimer: This document is for informational purposes only and is not to be construed as legal advice for any particular facts or circumstances. This document is provided </w:t>
      </w:r>
      <w:r w:rsidR="00EC6F22">
        <w:rPr>
          <w:rFonts w:cs="Times New Roman"/>
          <w:sz w:val="22"/>
          <w:szCs w:val="22"/>
        </w:rPr>
        <w:t>“</w:t>
      </w:r>
      <w:r w:rsidRPr="004525E3">
        <w:rPr>
          <w:rFonts w:cs="Times New Roman"/>
          <w:sz w:val="22"/>
          <w:szCs w:val="22"/>
        </w:rPr>
        <w:t>as is</w:t>
      </w:r>
      <w:r w:rsidR="00EC6F22">
        <w:rPr>
          <w:rFonts w:cs="Times New Roman"/>
          <w:sz w:val="22"/>
          <w:szCs w:val="22"/>
        </w:rPr>
        <w:t>”</w:t>
      </w:r>
      <w:r w:rsidRPr="004525E3">
        <w:rPr>
          <w:rFonts w:cs="Times New Roman"/>
          <w:sz w:val="22"/>
          <w:szCs w:val="22"/>
        </w:rPr>
        <w:t xml:space="preserve">, without any warranty, either express or implied, and without liability. This document is intended to serve as a teaching tool only, and is not intended for use </w:t>
      </w:r>
      <w:r w:rsidR="00EC6F22">
        <w:rPr>
          <w:rFonts w:cs="Times New Roman"/>
          <w:sz w:val="22"/>
          <w:szCs w:val="22"/>
        </w:rPr>
        <w:t>“</w:t>
      </w:r>
      <w:r w:rsidRPr="004525E3">
        <w:rPr>
          <w:rFonts w:cs="Times New Roman"/>
          <w:sz w:val="22"/>
          <w:szCs w:val="22"/>
        </w:rPr>
        <w:t>as is</w:t>
      </w:r>
      <w:r w:rsidR="00EC6F22">
        <w:rPr>
          <w:rFonts w:cs="Times New Roman"/>
          <w:sz w:val="22"/>
          <w:szCs w:val="22"/>
        </w:rPr>
        <w:t>”</w:t>
      </w:r>
      <w:r w:rsidRPr="004525E3">
        <w:rPr>
          <w:rFonts w:cs="Times New Roman"/>
          <w:sz w:val="22"/>
          <w:szCs w:val="22"/>
        </w:rPr>
        <w:t>. This document must be tailored to meet specific facts and requirements. Appropriate legal advice should be obtained</w:t>
      </w:r>
      <w:r w:rsidRPr="004525E3" w:rsidR="00AA6C38">
        <w:rPr>
          <w:rFonts w:cs="Times New Roman"/>
          <w:sz w:val="22"/>
          <w:szCs w:val="22"/>
        </w:rPr>
        <w:t>.</w:t>
      </w:r>
    </w:p>
    <w:p w:rsidRPr="004525E3" w:rsidR="00337455" w:rsidP="003F6BC5" w:rsidRDefault="00337455">
      <w:pPr>
        <w:pStyle w:val="BodyText"/>
        <w:rPr>
          <w:b/>
          <w:szCs w:val="22"/>
        </w:rPr>
      </w:pPr>
    </w:p>
    <w:p w:rsidRPr="004525E3" w:rsidR="00276C62" w:rsidP="00740B0B" w:rsidRDefault="00337455">
      <w:pPr>
        <w:tabs>
          <w:tab w:val="left" w:pos="8556"/>
        </w:tabs>
        <w:rPr>
          <w:rFonts w:cs="Times New Roman"/>
          <w:szCs w:val="22"/>
        </w:rPr>
      </w:pPr>
      <w:r w:rsidRPr="004525E3">
        <w:rPr>
          <w:rFonts w:cs="Times New Roman"/>
          <w:szCs w:val="22"/>
        </w:rPr>
        <w:lastRenderedPageBreak/>
        <w:t xml:space="preserve">We welcome comments from general partners, managers and limited partners. Please send comments to Mia Bacic at </w:t>
      </w:r>
      <w:hyperlink w:history="1" r:id="rId11">
        <w:r w:rsidRPr="004525E3">
          <w:rPr>
            <w:rStyle w:val="Hyperlink"/>
            <w:rFonts w:cs="Times New Roman"/>
            <w:szCs w:val="22"/>
          </w:rPr>
          <w:t>bacicm@bennettjones.com</w:t>
        </w:r>
      </w:hyperlink>
      <w:r w:rsidRPr="004525E3">
        <w:rPr>
          <w:rFonts w:cs="Times New Roman"/>
          <w:szCs w:val="22"/>
        </w:rPr>
        <w:t>.</w:t>
      </w:r>
    </w:p>
    <w:p w:rsidRPr="004525E3" w:rsidR="00276C62" w:rsidP="00337455" w:rsidRDefault="00276C62">
      <w:pPr>
        <w:pStyle w:val="Disclaimer"/>
        <w:rPr>
          <w:rFonts w:cs="Times New Roman"/>
          <w:sz w:val="22"/>
          <w:szCs w:val="22"/>
        </w:rPr>
        <w:sectPr w:rsidRPr="004525E3" w:rsidR="00276C62">
          <w:footerReference w:type="default" r:id="rId12"/>
          <w:footerReference w:type="first" r:id="rId13"/>
          <w:pgSz w:w="12240" w:h="15840" w:code="1"/>
          <w:pgMar w:top="1440" w:right="1440" w:bottom="1440" w:left="1440" w:header="720" w:footer="432" w:gutter="0"/>
          <w:pgNumType w:start="1"/>
          <w:cols w:space="720"/>
          <w:titlePg/>
          <w:docGrid w:linePitch="360"/>
        </w:sectPr>
      </w:pPr>
    </w:p>
    <w:p w:rsidRPr="004525E3" w:rsidR="00FE2417" w:rsidP="005D6324" w:rsidRDefault="00893886">
      <w:pPr>
        <w:tabs>
          <w:tab w:val="left" w:pos="8556"/>
        </w:tabs>
        <w:jc w:val="center"/>
        <w:rPr>
          <w:rFonts w:cs="Times New Roman"/>
          <w:b/>
          <w:szCs w:val="22"/>
        </w:rPr>
      </w:pPr>
      <w:r w:rsidRPr="004525E3">
        <w:rPr>
          <w:rFonts w:cs="Times New Roman"/>
          <w:b/>
          <w:szCs w:val="22"/>
        </w:rPr>
        <w:lastRenderedPageBreak/>
        <w:t xml:space="preserve">The </w:t>
      </w:r>
      <w:r w:rsidRPr="004525E3" w:rsidR="005C1867">
        <w:rPr>
          <w:rFonts w:cs="Times New Roman"/>
          <w:b/>
          <w:szCs w:val="22"/>
        </w:rPr>
        <w:t>CVCA</w:t>
      </w:r>
      <w:r w:rsidRPr="004525E3">
        <w:rPr>
          <w:rFonts w:cs="Times New Roman"/>
          <w:b/>
          <w:szCs w:val="22"/>
        </w:rPr>
        <w:t xml:space="preserve"> </w:t>
      </w:r>
      <w:r w:rsidR="0031314F">
        <w:rPr>
          <w:rFonts w:cs="Times New Roman"/>
          <w:b/>
          <w:szCs w:val="22"/>
        </w:rPr>
        <w:t>Limited Partnership Agreement</w:t>
      </w:r>
    </w:p>
    <w:p w:rsidR="00FE2417" w:rsidP="007F2D6E" w:rsidRDefault="00893886">
      <w:pPr>
        <w:jc w:val="center"/>
        <w:rPr>
          <w:rFonts w:cs="Times New Roman"/>
          <w:b/>
          <w:szCs w:val="22"/>
        </w:rPr>
      </w:pPr>
      <w:r w:rsidRPr="004525E3">
        <w:rPr>
          <w:rFonts w:cs="Times New Roman"/>
          <w:b/>
          <w:szCs w:val="22"/>
        </w:rPr>
        <w:t>Term Sheet</w:t>
      </w:r>
      <w:r w:rsidRPr="004525E3" w:rsidR="002D3765">
        <w:rPr>
          <w:rFonts w:cs="Times New Roman"/>
          <w:b/>
          <w:szCs w:val="22"/>
        </w:rPr>
        <w:t xml:space="preserve"> Summary</w:t>
      </w:r>
    </w:p>
    <w:bookmarkEnd w:id="0"/>
    <w:p w:rsidRPr="004525E3" w:rsidR="00B96806" w:rsidP="00835444" w:rsidRDefault="00893886">
      <w:pPr>
        <w:pStyle w:val="MACbodytext"/>
        <w:rPr>
          <w:rFonts w:ascii="Times New Roman" w:hAnsi="Times New Roman" w:cs="Times New Roman"/>
          <w:i/>
          <w:sz w:val="22"/>
          <w:szCs w:val="22"/>
        </w:rPr>
      </w:pPr>
      <w:r w:rsidRPr="004525E3">
        <w:rPr>
          <w:rFonts w:ascii="Times New Roman" w:hAnsi="Times New Roman" w:cs="Times New Roman"/>
          <w:i/>
          <w:sz w:val="22"/>
          <w:szCs w:val="22"/>
        </w:rPr>
        <w:t xml:space="preserve">This term sheet is a </w:t>
      </w:r>
      <w:r w:rsidR="007C3953">
        <w:rPr>
          <w:rFonts w:ascii="Times New Roman" w:hAnsi="Times New Roman" w:cs="Times New Roman"/>
          <w:i/>
          <w:sz w:val="22"/>
          <w:szCs w:val="22"/>
        </w:rPr>
        <w:t xml:space="preserve">brief </w:t>
      </w:r>
      <w:r w:rsidRPr="004525E3">
        <w:rPr>
          <w:rFonts w:ascii="Times New Roman" w:hAnsi="Times New Roman" w:cs="Times New Roman"/>
          <w:i/>
          <w:sz w:val="22"/>
          <w:szCs w:val="22"/>
        </w:rPr>
        <w:t>summary of</w:t>
      </w:r>
      <w:r w:rsidR="007C3953">
        <w:rPr>
          <w:rFonts w:ascii="Times New Roman" w:hAnsi="Times New Roman" w:cs="Times New Roman"/>
          <w:i/>
          <w:sz w:val="22"/>
          <w:szCs w:val="22"/>
        </w:rPr>
        <w:t xml:space="preserve"> certain material </w:t>
      </w:r>
      <w:r w:rsidRPr="004525E3">
        <w:rPr>
          <w:rFonts w:ascii="Times New Roman" w:hAnsi="Times New Roman" w:cs="Times New Roman"/>
          <w:i/>
          <w:sz w:val="22"/>
          <w:szCs w:val="22"/>
        </w:rPr>
        <w:t xml:space="preserve">terms of the </w:t>
      </w:r>
      <w:r w:rsidR="005A7639">
        <w:rPr>
          <w:rFonts w:ascii="Times New Roman" w:hAnsi="Times New Roman" w:cs="Times New Roman"/>
          <w:i/>
          <w:sz w:val="22"/>
          <w:szCs w:val="22"/>
        </w:rPr>
        <w:t>CVCA LPA</w:t>
      </w:r>
      <w:r w:rsidRPr="004525E3">
        <w:rPr>
          <w:rFonts w:ascii="Times New Roman" w:hAnsi="Times New Roman" w:cs="Times New Roman"/>
          <w:i/>
          <w:sz w:val="22"/>
          <w:szCs w:val="22"/>
        </w:rPr>
        <w:t xml:space="preserve"> and should be read in conjunction with</w:t>
      </w:r>
      <w:r w:rsidRPr="004525E3" w:rsidR="00835444">
        <w:rPr>
          <w:rFonts w:ascii="Times New Roman" w:hAnsi="Times New Roman" w:cs="Times New Roman"/>
          <w:i/>
          <w:sz w:val="22"/>
          <w:szCs w:val="22"/>
        </w:rPr>
        <w:t xml:space="preserve"> </w:t>
      </w:r>
      <w:r w:rsidR="00014812">
        <w:rPr>
          <w:rFonts w:ascii="Times New Roman" w:hAnsi="Times New Roman" w:cs="Times New Roman"/>
          <w:i/>
          <w:sz w:val="22"/>
          <w:szCs w:val="22"/>
        </w:rPr>
        <w:t>the CVCA LPA</w:t>
      </w:r>
      <w:r w:rsidR="00FD1838">
        <w:rPr>
          <w:rFonts w:ascii="Times New Roman" w:hAnsi="Times New Roman" w:cs="Times New Roman"/>
          <w:i/>
          <w:sz w:val="22"/>
          <w:szCs w:val="22"/>
        </w:rPr>
        <w:t>,</w:t>
      </w:r>
      <w:r w:rsidRPr="004525E3">
        <w:rPr>
          <w:rFonts w:ascii="Times New Roman" w:hAnsi="Times New Roman" w:cs="Times New Roman"/>
          <w:i/>
          <w:sz w:val="22"/>
          <w:szCs w:val="22"/>
        </w:rPr>
        <w:t xml:space="preserve"> which shall apply unless expressly varied by this term sheet</w:t>
      </w:r>
      <w:r w:rsidRPr="004525E3" w:rsidR="00835444">
        <w:rPr>
          <w:rFonts w:ascii="Times New Roman" w:hAnsi="Times New Roman" w:cs="Times New Roman"/>
          <w:i/>
          <w:sz w:val="22"/>
          <w:szCs w:val="22"/>
        </w:rPr>
        <w:t xml:space="preserve">. </w:t>
      </w:r>
    </w:p>
    <w:p w:rsidRPr="004525E3" w:rsidR="00835444" w:rsidP="00835444" w:rsidRDefault="00893886">
      <w:pPr>
        <w:pStyle w:val="MACbodytext"/>
        <w:rPr>
          <w:rFonts w:ascii="Times New Roman" w:hAnsi="Times New Roman" w:cs="Times New Roman"/>
          <w:i/>
          <w:iCs/>
          <w:sz w:val="22"/>
          <w:szCs w:val="22"/>
        </w:rPr>
      </w:pPr>
      <w:r w:rsidRPr="004525E3">
        <w:rPr>
          <w:rFonts w:ascii="Times New Roman" w:hAnsi="Times New Roman" w:cs="Times New Roman"/>
          <w:i/>
          <w:sz w:val="22"/>
          <w:szCs w:val="22"/>
        </w:rPr>
        <w:t xml:space="preserve">This term sheet is for information purposes only, and legal </w:t>
      </w:r>
      <w:r w:rsidRPr="004525E3" w:rsidR="007F2D6E">
        <w:rPr>
          <w:rFonts w:ascii="Times New Roman" w:hAnsi="Times New Roman" w:cs="Times New Roman"/>
          <w:i/>
          <w:sz w:val="22"/>
          <w:szCs w:val="22"/>
        </w:rPr>
        <w:t xml:space="preserve">and tax </w:t>
      </w:r>
      <w:r w:rsidRPr="004525E3">
        <w:rPr>
          <w:rFonts w:ascii="Times New Roman" w:hAnsi="Times New Roman" w:cs="Times New Roman"/>
          <w:i/>
          <w:sz w:val="22"/>
          <w:szCs w:val="22"/>
        </w:rPr>
        <w:t xml:space="preserve">advice should be obtained before implementing </w:t>
      </w:r>
      <w:r w:rsidR="00014812">
        <w:rPr>
          <w:rFonts w:ascii="Times New Roman" w:hAnsi="Times New Roman" w:cs="Times New Roman"/>
          <w:i/>
          <w:sz w:val="22"/>
          <w:szCs w:val="22"/>
        </w:rPr>
        <w:t>the CVCA LPA</w:t>
      </w:r>
      <w:r w:rsidR="00182F2D">
        <w:rPr>
          <w:rFonts w:ascii="Times New Roman" w:hAnsi="Times New Roman" w:cs="Times New Roman"/>
          <w:i/>
          <w:sz w:val="22"/>
          <w:szCs w:val="22"/>
        </w:rPr>
        <w:t xml:space="preserve"> </w:t>
      </w:r>
      <w:r w:rsidRPr="004525E3">
        <w:rPr>
          <w:rFonts w:ascii="Times New Roman" w:hAnsi="Times New Roman" w:cs="Times New Roman"/>
          <w:i/>
          <w:sz w:val="22"/>
          <w:szCs w:val="22"/>
        </w:rPr>
        <w:t>or any of its terms.</w:t>
      </w:r>
      <w:r w:rsidRPr="004525E3" w:rsidR="00B96806">
        <w:rPr>
          <w:rFonts w:ascii="Times New Roman" w:hAnsi="Times New Roman" w:cs="Times New Roman"/>
          <w:i/>
          <w:sz w:val="22"/>
          <w:szCs w:val="22"/>
        </w:rPr>
        <w:t xml:space="preserve"> </w:t>
      </w:r>
      <w:r w:rsidRPr="004525E3">
        <w:rPr>
          <w:rFonts w:ascii="Times New Roman" w:hAnsi="Times New Roman" w:cs="Times New Roman"/>
          <w:i/>
          <w:iCs/>
          <w:sz w:val="22"/>
          <w:szCs w:val="22"/>
        </w:rPr>
        <w:t>The</w:t>
      </w:r>
      <w:r w:rsidRPr="004525E3" w:rsidR="00B96806">
        <w:rPr>
          <w:rFonts w:ascii="Times New Roman" w:hAnsi="Times New Roman" w:cs="Times New Roman"/>
          <w:i/>
          <w:iCs/>
          <w:sz w:val="22"/>
          <w:szCs w:val="22"/>
        </w:rPr>
        <w:t xml:space="preserve"> terms of this term sheet </w:t>
      </w:r>
      <w:r w:rsidRPr="004525E3">
        <w:rPr>
          <w:rFonts w:ascii="Times New Roman" w:hAnsi="Times New Roman" w:cs="Times New Roman"/>
          <w:i/>
          <w:iCs/>
          <w:sz w:val="22"/>
          <w:szCs w:val="22"/>
        </w:rPr>
        <w:t>are not exhaustive and are not intended to be legally binding</w:t>
      </w:r>
      <w:r w:rsidRPr="004525E3" w:rsidR="00B96806">
        <w:rPr>
          <w:rFonts w:ascii="Times New Roman" w:hAnsi="Times New Roman" w:cs="Times New Roman"/>
          <w:i/>
          <w:iCs/>
          <w:sz w:val="22"/>
          <w:szCs w:val="22"/>
        </w:rPr>
        <w:t xml:space="preserve"> and are </w:t>
      </w:r>
      <w:r w:rsidRPr="004525E3" w:rsidR="00B96806">
        <w:rPr>
          <w:rFonts w:ascii="Times New Roman" w:hAnsi="Times New Roman" w:cs="Times New Roman"/>
          <w:i/>
          <w:sz w:val="22"/>
          <w:szCs w:val="22"/>
        </w:rPr>
        <w:t>subject to the agreement and signing by all relevant parties of a detailed and legally binding limited partnership agreement</w:t>
      </w:r>
      <w:r w:rsidRPr="004525E3" w:rsidR="00B96806">
        <w:rPr>
          <w:rFonts w:ascii="Times New Roman" w:hAnsi="Times New Roman" w:cs="Times New Roman"/>
          <w:color w:val="auto"/>
          <w:sz w:val="22"/>
          <w:szCs w:val="22"/>
        </w:rPr>
        <w:t xml:space="preserve">.  </w:t>
      </w:r>
    </w:p>
    <w:p w:rsidRPr="004525E3" w:rsidR="00835444" w:rsidP="00835444" w:rsidRDefault="00893886">
      <w:pPr>
        <w:pStyle w:val="MACbodytext"/>
        <w:rPr>
          <w:rFonts w:ascii="Times New Roman" w:hAnsi="Times New Roman" w:cs="Times New Roman"/>
          <w:i/>
          <w:sz w:val="22"/>
          <w:szCs w:val="22"/>
        </w:rPr>
      </w:pPr>
      <w:r w:rsidRPr="004525E3">
        <w:rPr>
          <w:rFonts w:ascii="Times New Roman" w:hAnsi="Times New Roman" w:cs="Times New Roman"/>
          <w:i/>
          <w:sz w:val="22"/>
          <w:szCs w:val="22"/>
        </w:rPr>
        <w:t>Capitalised and undefined terms shall bear the meaning as</w:t>
      </w:r>
      <w:r w:rsidRPr="004525E3" w:rsidR="00744FCA">
        <w:rPr>
          <w:rFonts w:ascii="Times New Roman" w:hAnsi="Times New Roman" w:cs="Times New Roman"/>
          <w:i/>
          <w:sz w:val="22"/>
          <w:szCs w:val="22"/>
        </w:rPr>
        <w:t xml:space="preserve">cribed to them in </w:t>
      </w:r>
      <w:r w:rsidR="00014812">
        <w:rPr>
          <w:rFonts w:ascii="Times New Roman" w:hAnsi="Times New Roman" w:cs="Times New Roman"/>
          <w:i/>
          <w:sz w:val="22"/>
          <w:szCs w:val="22"/>
        </w:rPr>
        <w:t>the CVCA LPA</w:t>
      </w:r>
      <w:r w:rsidRPr="004525E3" w:rsidR="00744FCA">
        <w:rPr>
          <w:rFonts w:ascii="Times New Roman" w:hAnsi="Times New Roman" w:cs="Times New Roman"/>
          <w:i/>
          <w:sz w:val="22"/>
          <w:szCs w:val="22"/>
        </w:rPr>
        <w:t>.</w:t>
      </w:r>
      <w:r w:rsidRPr="004525E3" w:rsidR="00AA6C38">
        <w:rPr>
          <w:rFonts w:ascii="Times New Roman" w:hAnsi="Times New Roman" w:cs="Times New Roman"/>
          <w:i/>
          <w:sz w:val="22"/>
          <w:szCs w:val="22"/>
        </w:rPr>
        <w:t xml:space="preserve"> For the purposes of this term sheet, </w:t>
      </w:r>
      <w:r w:rsidR="00EC6F22">
        <w:rPr>
          <w:rFonts w:ascii="Times New Roman" w:hAnsi="Times New Roman" w:cs="Times New Roman"/>
          <w:i/>
          <w:sz w:val="22"/>
          <w:szCs w:val="22"/>
        </w:rPr>
        <w:t>“</w:t>
      </w:r>
      <w:r w:rsidRPr="004525E3" w:rsidR="00AA6C38">
        <w:rPr>
          <w:rFonts w:ascii="Times New Roman" w:hAnsi="Times New Roman" w:cs="Times New Roman"/>
          <w:b/>
          <w:i/>
          <w:sz w:val="22"/>
          <w:szCs w:val="22"/>
        </w:rPr>
        <w:t>Partnership Agreement</w:t>
      </w:r>
      <w:r w:rsidR="00EC6F22">
        <w:rPr>
          <w:rFonts w:ascii="Times New Roman" w:hAnsi="Times New Roman" w:cs="Times New Roman"/>
          <w:i/>
          <w:sz w:val="22"/>
          <w:szCs w:val="22"/>
        </w:rPr>
        <w:t>”</w:t>
      </w:r>
      <w:r w:rsidRPr="004525E3" w:rsidR="00AA6C38">
        <w:rPr>
          <w:rFonts w:ascii="Times New Roman" w:hAnsi="Times New Roman" w:cs="Times New Roman"/>
          <w:i/>
          <w:sz w:val="22"/>
          <w:szCs w:val="22"/>
        </w:rPr>
        <w:t xml:space="preserve"> refers to the limited partnership agreement to be entered into between the General and its Limited Partners in connection with the Fund.</w:t>
      </w:r>
    </w:p>
    <w:p w:rsidRPr="004525E3" w:rsidR="00B72090" w:rsidP="00684C5A" w:rsidRDefault="00B72090">
      <w:pPr>
        <w:pStyle w:val="MACbodytext"/>
        <w:rPr>
          <w:rFonts w:ascii="Times New Roman" w:hAnsi="Times New Roman" w:cs="Times New Roman"/>
          <w:i/>
          <w:sz w:val="22"/>
          <w:szCs w:val="22"/>
        </w:rPr>
      </w:pPr>
    </w:p>
    <w:tbl>
      <w:tblPr>
        <w:tblW w:w="9290" w:type="dxa"/>
        <w:tblCellMar>
          <w:left w:w="0" w:type="dxa"/>
          <w:right w:w="0" w:type="dxa"/>
        </w:tblCellMar>
        <w:tblLook w:val="04A0" w:firstRow="1" w:lastRow="0" w:firstColumn="1" w:lastColumn="0" w:noHBand="0" w:noVBand="1"/>
      </w:tblPr>
      <w:tblGrid>
        <w:gridCol w:w="2694"/>
        <w:gridCol w:w="6596"/>
      </w:tblGrid>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Fund</w:t>
            </w:r>
            <w:r w:rsidRPr="007C3953" w:rsidR="007C3953">
              <w:rPr>
                <w:rStyle w:val="FootnoteReference"/>
                <w:rFonts w:cs="Times New Roman"/>
                <w:b w:val="0"/>
                <w:szCs w:val="22"/>
              </w:rPr>
              <w:footnoteReference w:id="1"/>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[NAME OF FUND], a [NAME OF FUND JURISDICTION]-registered limited partnership. Parallel vehicles controlled by the General Partner may be formed to co-invest with the Fund on substantially the same terms.</w:t>
            </w:r>
            <w:r w:rsidRPr="004525E3" w:rsidR="0047141B">
              <w:rPr>
                <w:rFonts w:cs="Times New Roman"/>
                <w:szCs w:val="22"/>
              </w:rPr>
              <w:t xml:space="preserve">  </w:t>
            </w:r>
          </w:p>
          <w:p w:rsidRPr="004525E3" w:rsidR="0029166F" w:rsidRDefault="00893886">
            <w:pPr>
              <w:pStyle w:val="Definition1"/>
              <w:numPr>
                <w:ilvl w:val="0"/>
                <w:numId w:val="0"/>
              </w:numPr>
              <w:tabs>
                <w:tab w:val="left" w:pos="720"/>
              </w:tabs>
              <w:rPr>
                <w:rFonts w:cs="Times New Roman"/>
                <w:szCs w:val="22"/>
              </w:rPr>
            </w:pPr>
            <w:r w:rsidRPr="004525E3">
              <w:rPr>
                <w:rFonts w:cs="Times New Roman"/>
                <w:szCs w:val="22"/>
              </w:rPr>
              <w:t xml:space="preserve">Other investment vehicles may be also established in order to meet the specific needs of investors and/or to address specific tax, legal, regulatory or similar considerations. </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General Partner</w:t>
            </w:r>
            <w:r w:rsidRPr="007C3953" w:rsidR="007C3953">
              <w:rPr>
                <w:rStyle w:val="FootnoteReference"/>
                <w:rFonts w:cs="Times New Roman"/>
                <w:b w:val="0"/>
                <w:szCs w:val="22"/>
              </w:rPr>
              <w:footnoteReference w:id="2"/>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[NAME OF GENERAL PARTNER], a [FORM OF ENTITY], registered in [NAME OF JURISDICTION].</w:t>
            </w:r>
          </w:p>
        </w:tc>
      </w:tr>
      <w:tr w:rsidRPr="004525E3" w:rsidR="00BF3D8E" w:rsidTr="005C5777">
        <w:tc>
          <w:tcPr>
            <w:tcW w:w="2694" w:type="dxa"/>
            <w:tcMar>
              <w:top w:w="0" w:type="dxa"/>
              <w:left w:w="0" w:type="dxa"/>
              <w:bottom w:w="0" w:type="dxa"/>
              <w:right w:w="113" w:type="dxa"/>
            </w:tcMar>
          </w:tcPr>
          <w:p w:rsidRPr="004525E3" w:rsidR="00B03146" w:rsidRDefault="00893886">
            <w:pPr>
              <w:pStyle w:val="DefinitionTerm"/>
              <w:rPr>
                <w:rFonts w:cs="Times New Roman"/>
                <w:szCs w:val="22"/>
              </w:rPr>
            </w:pPr>
            <w:r w:rsidRPr="004525E3">
              <w:rPr>
                <w:rFonts w:cs="Times New Roman"/>
                <w:szCs w:val="22"/>
              </w:rPr>
              <w:t>Initial Limited Partner</w:t>
            </w:r>
            <w:r w:rsidRPr="007C3953" w:rsidR="007C3953">
              <w:rPr>
                <w:rStyle w:val="FootnoteReference"/>
                <w:rFonts w:cs="Times New Roman"/>
                <w:b w:val="0"/>
                <w:szCs w:val="22"/>
              </w:rPr>
              <w:footnoteReference w:id="3"/>
            </w:r>
          </w:p>
        </w:tc>
        <w:tc>
          <w:tcPr>
            <w:tcW w:w="6596" w:type="dxa"/>
          </w:tcPr>
          <w:p w:rsidRPr="004525E3" w:rsidR="00B03146" w:rsidP="006F2A87" w:rsidRDefault="00893886">
            <w:pPr>
              <w:pStyle w:val="Definition"/>
              <w:numPr>
                <w:ilvl w:val="0"/>
                <w:numId w:val="30"/>
              </w:numPr>
              <w:rPr>
                <w:rFonts w:cs="Times New Roman"/>
                <w:szCs w:val="22"/>
              </w:rPr>
            </w:pPr>
            <w:r w:rsidRPr="004525E3">
              <w:rPr>
                <w:rFonts w:cs="Times New Roman"/>
                <w:szCs w:val="22"/>
              </w:rPr>
              <w:t>[NAME OF INITIAL LIMITED PARTNER], a [FORM OF ENTITY], registered in [NAME OF JURISDICTION].</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Manager</w:t>
            </w:r>
            <w:r w:rsidRPr="004525E3">
              <w:rPr>
                <w:rStyle w:val="FootnoteReference"/>
                <w:rFonts w:cs="Times New Roman"/>
                <w:b w:val="0"/>
                <w:szCs w:val="22"/>
              </w:rPr>
              <w:footnoteReference w:id="4"/>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[NAME OF MANAGER], a [FORM OF ENTITY], registered in [NAME OF JURISDICTION].</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b w:val="0"/>
                <w:szCs w:val="22"/>
              </w:rPr>
            </w:pPr>
            <w:r w:rsidRPr="004525E3">
              <w:rPr>
                <w:rFonts w:cs="Times New Roman"/>
                <w:szCs w:val="22"/>
              </w:rPr>
              <w:t>Maximum Size</w:t>
            </w:r>
            <w:r w:rsidRPr="004525E3">
              <w:rPr>
                <w:rStyle w:val="FootnoteReference"/>
                <w:rFonts w:cs="Times New Roman"/>
                <w:b w:val="0"/>
                <w:szCs w:val="22"/>
              </w:rPr>
              <w:footnoteReference w:id="5"/>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The aggregate Commitments to the Fund and any parallel vehicles </w:t>
            </w:r>
            <w:r w:rsidRPr="004525E3" w:rsidR="003B1437">
              <w:rPr>
                <w:rFonts w:cs="Times New Roman"/>
                <w:szCs w:val="22"/>
              </w:rPr>
              <w:t>[</w:t>
            </w:r>
            <w:r w:rsidRPr="004525E3">
              <w:rPr>
                <w:rFonts w:cs="Times New Roman"/>
                <w:szCs w:val="22"/>
              </w:rPr>
              <w:t>shall not</w:t>
            </w:r>
            <w:r w:rsidRPr="004525E3" w:rsidR="003B1437">
              <w:rPr>
                <w:rFonts w:cs="Times New Roman"/>
                <w:szCs w:val="22"/>
              </w:rPr>
              <w:t>]</w:t>
            </w:r>
            <w:r w:rsidRPr="004525E3">
              <w:rPr>
                <w:rFonts w:cs="Times New Roman"/>
                <w:szCs w:val="22"/>
              </w:rPr>
              <w:t xml:space="preserve"> </w:t>
            </w:r>
            <w:r w:rsidRPr="004525E3" w:rsidR="0047141B">
              <w:rPr>
                <w:rFonts w:cs="Times New Roman"/>
                <w:szCs w:val="22"/>
              </w:rPr>
              <w:t xml:space="preserve">[is not expected to] </w:t>
            </w:r>
            <w:r w:rsidRPr="004525E3">
              <w:rPr>
                <w:rFonts w:cs="Times New Roman"/>
                <w:szCs w:val="22"/>
              </w:rPr>
              <w:t xml:space="preserve">exceed [CURRENCY/AMOUNT]. </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Currency</w:t>
            </w:r>
            <w:r w:rsidRPr="0002409F" w:rsidR="0002409F">
              <w:rPr>
                <w:rStyle w:val="FootnoteReference"/>
                <w:rFonts w:cs="Times New Roman"/>
                <w:b w:val="0"/>
                <w:szCs w:val="22"/>
              </w:rPr>
              <w:footnoteReference w:id="6"/>
            </w:r>
          </w:p>
        </w:tc>
        <w:tc>
          <w:tcPr>
            <w:tcW w:w="6596" w:type="dxa"/>
            <w:hideMark/>
          </w:tcPr>
          <w:p w:rsidRPr="004525E3" w:rsidR="0029166F" w:rsidP="00754AA2" w:rsidRDefault="00893886">
            <w:pPr>
              <w:pStyle w:val="Definition"/>
              <w:numPr>
                <w:ilvl w:val="0"/>
                <w:numId w:val="30"/>
              </w:numPr>
              <w:rPr>
                <w:rFonts w:cs="Times New Roman"/>
                <w:szCs w:val="22"/>
              </w:rPr>
            </w:pPr>
            <w:r w:rsidRPr="004525E3">
              <w:rPr>
                <w:rFonts w:cs="Times New Roman"/>
                <w:szCs w:val="22"/>
              </w:rPr>
              <w:t>The currency of the Fund will be [</w:t>
            </w:r>
            <w:r w:rsidR="00754AA2">
              <w:rPr>
                <w:rFonts w:cs="Times New Roman"/>
                <w:szCs w:val="22"/>
              </w:rPr>
              <w:t>Canadian dollars</w:t>
            </w:r>
            <w:r w:rsidRPr="004525E3">
              <w:rPr>
                <w:rFonts w:cs="Times New Roman"/>
                <w:szCs w:val="22"/>
              </w:rPr>
              <w:t>].</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b w:val="0"/>
                <w:szCs w:val="22"/>
              </w:rPr>
            </w:pPr>
            <w:r w:rsidRPr="004525E3">
              <w:rPr>
                <w:rFonts w:cs="Times New Roman"/>
                <w:szCs w:val="22"/>
              </w:rPr>
              <w:t>General Partner</w:t>
            </w:r>
            <w:r w:rsidR="00EC6F22">
              <w:rPr>
                <w:rFonts w:cs="Times New Roman"/>
                <w:szCs w:val="22"/>
              </w:rPr>
              <w:t>’</w:t>
            </w:r>
            <w:r w:rsidRPr="004525E3">
              <w:rPr>
                <w:rFonts w:cs="Times New Roman"/>
                <w:szCs w:val="22"/>
              </w:rPr>
              <w:t>s Commitment</w:t>
            </w:r>
            <w:r w:rsidRPr="004525E3">
              <w:rPr>
                <w:rStyle w:val="FootnoteReference"/>
                <w:rFonts w:cs="Times New Roman"/>
                <w:b w:val="0"/>
                <w:szCs w:val="22"/>
              </w:rPr>
              <w:footnoteReference w:id="7"/>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The General Partner and its Affiliates shall make and maintain an aggregate Commitment by subscribing for an Interest equal to at least [</w:t>
            </w:r>
            <w:r w:rsidR="00EC6F22">
              <w:rPr>
                <w:rFonts w:ascii="Wingdings 2" w:hAnsi="Wingdings 2" w:cs="Wingdings 2" w:eastAsiaTheme="minorEastAsia"/>
                <w:szCs w:val="22"/>
              </w:rPr>
              <w:t></w:t>
            </w:r>
            <w:r w:rsidRPr="004525E3">
              <w:rPr>
                <w:rFonts w:cs="Times New Roman"/>
                <w:szCs w:val="22"/>
              </w:rPr>
              <w:t xml:space="preserve">]% of the aggregate Commitments of the Limited Partners. </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lastRenderedPageBreak/>
              <w:t>Initial Closing Date</w:t>
            </w:r>
            <w:r w:rsidRPr="0002409F" w:rsidR="0002409F">
              <w:rPr>
                <w:rStyle w:val="FootnoteReference"/>
                <w:rFonts w:cs="Times New Roman"/>
                <w:b w:val="0"/>
                <w:szCs w:val="22"/>
              </w:rPr>
              <w:footnoteReference w:id="8"/>
            </w:r>
          </w:p>
        </w:tc>
        <w:tc>
          <w:tcPr>
            <w:tcW w:w="6596" w:type="dxa"/>
            <w:hideMark/>
          </w:tcPr>
          <w:p w:rsidRPr="004525E3" w:rsidR="0029166F" w:rsidP="0002409F" w:rsidRDefault="00893886">
            <w:pPr>
              <w:pStyle w:val="Definition"/>
              <w:numPr>
                <w:ilvl w:val="0"/>
                <w:numId w:val="30"/>
              </w:numPr>
              <w:rPr>
                <w:rFonts w:cs="Times New Roman"/>
                <w:szCs w:val="22"/>
              </w:rPr>
            </w:pPr>
            <w:r w:rsidRPr="004525E3">
              <w:rPr>
                <w:rFonts w:cs="Times New Roman"/>
                <w:szCs w:val="22"/>
              </w:rPr>
              <w:t>The initial closing will occur on the date determined by the General Partner when the aggregate Commitments equal or exceed [</w:t>
            </w:r>
            <w:r w:rsidR="0002409F">
              <w:rPr>
                <w:rFonts w:cs="Times New Roman"/>
                <w:szCs w:val="22"/>
              </w:rPr>
              <w:t>$</w:t>
            </w:r>
            <w:r w:rsidRPr="004525E3">
              <w:rPr>
                <w:rFonts w:cs="Times New Roman"/>
                <w:szCs w:val="22"/>
              </w:rPr>
              <w:t>].</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Final Closing Date</w:t>
            </w:r>
            <w:r w:rsidRPr="0002409F" w:rsidR="0002409F">
              <w:rPr>
                <w:rStyle w:val="FootnoteReference"/>
                <w:rFonts w:cs="Times New Roman"/>
                <w:b w:val="0"/>
                <w:szCs w:val="22"/>
              </w:rPr>
              <w:footnoteReference w:id="9"/>
            </w:r>
          </w:p>
        </w:tc>
        <w:tc>
          <w:tcPr>
            <w:tcW w:w="6596" w:type="dxa"/>
            <w:hideMark/>
          </w:tcPr>
          <w:p w:rsidRPr="004525E3" w:rsidR="0029166F" w:rsidP="0002409F" w:rsidRDefault="00893886">
            <w:pPr>
              <w:pStyle w:val="Definition"/>
              <w:numPr>
                <w:ilvl w:val="0"/>
                <w:numId w:val="30"/>
              </w:numPr>
              <w:rPr>
                <w:rFonts w:cs="Times New Roman"/>
                <w:szCs w:val="22"/>
              </w:rPr>
            </w:pPr>
            <w:r w:rsidRPr="004525E3">
              <w:rPr>
                <w:rFonts w:cs="Times New Roman"/>
                <w:szCs w:val="22"/>
              </w:rPr>
              <w:t xml:space="preserve">The Fund shall cease accepting Commitments on the date that is </w:t>
            </w:r>
            <w:r w:rsidRPr="004525E3" w:rsidR="00F24105">
              <w:rPr>
                <w:rFonts w:cs="Times New Roman"/>
                <w:szCs w:val="22"/>
              </w:rPr>
              <w:t>[</w:t>
            </w:r>
            <w:r w:rsidRPr="004525E3">
              <w:rPr>
                <w:rFonts w:cs="Times New Roman"/>
                <w:szCs w:val="22"/>
              </w:rPr>
              <w:t>12 months</w:t>
            </w:r>
            <w:r w:rsidRPr="004525E3" w:rsidR="00F24105">
              <w:rPr>
                <w:rFonts w:cs="Times New Roman"/>
                <w:szCs w:val="22"/>
              </w:rPr>
              <w:t>]</w:t>
            </w:r>
            <w:r w:rsidRPr="004525E3">
              <w:rPr>
                <w:rFonts w:cs="Times New Roman"/>
                <w:szCs w:val="22"/>
              </w:rPr>
              <w:t xml:space="preserve"> from the Initial Closing Date.</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Subsequent Closings</w:t>
            </w:r>
            <w:r w:rsidRPr="0002409F" w:rsidR="0002409F">
              <w:rPr>
                <w:rStyle w:val="FootnoteReference"/>
                <w:rFonts w:cs="Times New Roman"/>
                <w:b w:val="0"/>
                <w:szCs w:val="22"/>
              </w:rPr>
              <w:footnoteReference w:id="10"/>
            </w:r>
          </w:p>
        </w:tc>
        <w:tc>
          <w:tcPr>
            <w:tcW w:w="6596" w:type="dxa"/>
            <w:hideMark/>
          </w:tcPr>
          <w:p w:rsidRPr="004525E3" w:rsidR="0029166F" w:rsidP="00EC6F22" w:rsidRDefault="00893886">
            <w:pPr>
              <w:pStyle w:val="Definition"/>
              <w:numPr>
                <w:ilvl w:val="0"/>
                <w:numId w:val="30"/>
              </w:numPr>
              <w:rPr>
                <w:rFonts w:cs="Times New Roman"/>
                <w:szCs w:val="22"/>
              </w:rPr>
            </w:pPr>
            <w:r w:rsidRPr="004525E3">
              <w:rPr>
                <w:rFonts w:cs="Times New Roman"/>
                <w:szCs w:val="22"/>
              </w:rPr>
              <w:t>Additional closings may occur at the discr</w:t>
            </w:r>
            <w:r w:rsidRPr="004525E3" w:rsidR="001E4C42">
              <w:rPr>
                <w:rFonts w:cs="Times New Roman"/>
                <w:szCs w:val="22"/>
              </w:rPr>
              <w:t>etion of the General Partner. Limited Partners</w:t>
            </w:r>
            <w:r w:rsidRPr="004525E3">
              <w:rPr>
                <w:rFonts w:cs="Times New Roman"/>
                <w:szCs w:val="22"/>
              </w:rPr>
              <w:t xml:space="preserve"> admitted after the Initial Closing Date will be treated as if they had invested in the F</w:t>
            </w:r>
            <w:r w:rsidRPr="004525E3" w:rsidR="001308D0">
              <w:rPr>
                <w:rFonts w:cs="Times New Roman"/>
                <w:szCs w:val="22"/>
              </w:rPr>
              <w:t>u</w:t>
            </w:r>
            <w:r w:rsidRPr="004525E3">
              <w:rPr>
                <w:rFonts w:cs="Times New Roman"/>
                <w:szCs w:val="22"/>
              </w:rPr>
              <w:t>nd at the Initial Closing Date and will participate in all of the Fund</w:t>
            </w:r>
            <w:r w:rsidR="00EC6F22">
              <w:rPr>
                <w:rFonts w:cs="Times New Roman"/>
                <w:szCs w:val="22"/>
              </w:rPr>
              <w:t>’</w:t>
            </w:r>
            <w:r w:rsidRPr="004525E3">
              <w:rPr>
                <w:rFonts w:cs="Times New Roman"/>
                <w:szCs w:val="22"/>
              </w:rPr>
              <w:t xml:space="preserve">s investments and will pay their </w:t>
            </w:r>
            <w:r w:rsidRPr="004525E3">
              <w:rPr>
                <w:rFonts w:cs="Times New Roman"/>
                <w:i/>
                <w:szCs w:val="22"/>
              </w:rPr>
              <w:t>pro rata</w:t>
            </w:r>
            <w:r w:rsidRPr="004525E3">
              <w:rPr>
                <w:rFonts w:cs="Times New Roman"/>
                <w:szCs w:val="22"/>
              </w:rPr>
              <w:t xml:space="preserve"> share of all drawdowns made prior to their admission plus </w:t>
            </w:r>
            <w:r w:rsidRPr="004525E3" w:rsidR="0047141B">
              <w:rPr>
                <w:rFonts w:cs="Times New Roman"/>
                <w:szCs w:val="22"/>
              </w:rPr>
              <w:t xml:space="preserve">an </w:t>
            </w:r>
            <w:r w:rsidRPr="004525E3">
              <w:rPr>
                <w:rFonts w:cs="Times New Roman"/>
                <w:szCs w:val="22"/>
              </w:rPr>
              <w:t>additional payment on such amounts (other than any drawdowns attributable to the management fee) at the rate of [</w:t>
            </w:r>
            <w:r w:rsidRPr="004525E3" w:rsidR="00A63C47">
              <w:rPr>
                <w:rFonts w:cs="Times New Roman"/>
                <w:szCs w:val="22"/>
              </w:rPr>
              <w:t>8</w:t>
            </w:r>
            <w:r w:rsidRPr="004525E3">
              <w:rPr>
                <w:rFonts w:cs="Times New Roman"/>
                <w:szCs w:val="22"/>
              </w:rPr>
              <w:t xml:space="preserve">]% per </w:t>
            </w:r>
            <w:r w:rsidRPr="004525E3" w:rsidR="00A63C47">
              <w:rPr>
                <w:rFonts w:cs="Times New Roman"/>
                <w:szCs w:val="22"/>
              </w:rPr>
              <w:t xml:space="preserve">year </w:t>
            </w:r>
            <w:r w:rsidRPr="004525E3">
              <w:rPr>
                <w:rFonts w:cs="Times New Roman"/>
                <w:szCs w:val="22"/>
              </w:rPr>
              <w:t>(subject to appropriate adjustments for investments realised prior to their respective admission to the Fund)</w:t>
            </w:r>
            <w:r w:rsidRPr="004525E3" w:rsidR="00EC6F22">
              <w:rPr>
                <w:rFonts w:cs="Times New Roman"/>
                <w:szCs w:val="22"/>
              </w:rPr>
              <w:t>.</w:t>
            </w:r>
            <w:r w:rsidRPr="004525E3">
              <w:rPr>
                <w:rStyle w:val="FootnoteReference"/>
                <w:rFonts w:cs="Times New Roman"/>
                <w:szCs w:val="22"/>
              </w:rPr>
              <w:footnoteReference w:id="11"/>
            </w:r>
            <w:r w:rsidRPr="004525E3">
              <w:rPr>
                <w:rFonts w:cs="Times New Roman"/>
                <w:szCs w:val="22"/>
              </w:rPr>
              <w:t xml:space="preserve"> </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Term of the Fund</w:t>
            </w:r>
            <w:r w:rsidRPr="004525E3">
              <w:rPr>
                <w:rStyle w:val="FootnoteReference"/>
                <w:rFonts w:cs="Times New Roman"/>
                <w:b w:val="0"/>
                <w:szCs w:val="22"/>
              </w:rPr>
              <w:footnoteReference w:id="12"/>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[10] years from the Initial Closing Date, subject to </w:t>
            </w:r>
            <w:r w:rsidRPr="004525E3" w:rsidR="00484812">
              <w:rPr>
                <w:rFonts w:cs="Times New Roman"/>
                <w:szCs w:val="22"/>
              </w:rPr>
              <w:t>[</w:t>
            </w:r>
            <w:r w:rsidRPr="004525E3">
              <w:rPr>
                <w:rFonts w:cs="Times New Roman"/>
                <w:szCs w:val="22"/>
              </w:rPr>
              <w:t>two</w:t>
            </w:r>
            <w:r w:rsidRPr="004525E3" w:rsidR="00484812">
              <w:rPr>
                <w:rFonts w:cs="Times New Roman"/>
                <w:szCs w:val="22"/>
              </w:rPr>
              <w:t>] successive</w:t>
            </w:r>
            <w:r w:rsidRPr="004525E3">
              <w:rPr>
                <w:rFonts w:cs="Times New Roman"/>
                <w:szCs w:val="22"/>
              </w:rPr>
              <w:t xml:space="preserve"> one-year extensions by the General Partner and </w:t>
            </w:r>
            <w:r w:rsidRPr="004525E3" w:rsidR="00484812">
              <w:rPr>
                <w:rFonts w:cs="Times New Roman"/>
                <w:szCs w:val="22"/>
              </w:rPr>
              <w:t>[</w:t>
            </w:r>
            <w:r w:rsidRPr="004525E3">
              <w:rPr>
                <w:rFonts w:cs="Times New Roman"/>
                <w:szCs w:val="22"/>
              </w:rPr>
              <w:t xml:space="preserve">with the prior consent of the </w:t>
            </w:r>
            <w:r w:rsidRPr="004525E3" w:rsidR="002711E5">
              <w:rPr>
                <w:rFonts w:cs="Times New Roman"/>
                <w:szCs w:val="22"/>
              </w:rPr>
              <w:t xml:space="preserve">LP </w:t>
            </w:r>
            <w:r w:rsidRPr="004525E3">
              <w:rPr>
                <w:rFonts w:cs="Times New Roman"/>
                <w:szCs w:val="22"/>
              </w:rPr>
              <w:t>Advisory Committee to the first extension and with the prior consent of a Majority in Interest to the second extension</w:t>
            </w:r>
            <w:r w:rsidRPr="004525E3" w:rsidR="00484812">
              <w:rPr>
                <w:rFonts w:cs="Times New Roman"/>
                <w:szCs w:val="22"/>
              </w:rPr>
              <w:t>]</w:t>
            </w:r>
            <w:r w:rsidRPr="004525E3">
              <w:rPr>
                <w:rFonts w:cs="Times New Roman"/>
                <w:szCs w:val="22"/>
              </w:rPr>
              <w:t xml:space="preserve">. </w:t>
            </w:r>
          </w:p>
        </w:tc>
      </w:tr>
      <w:tr w:rsidRPr="004525E3" w:rsidR="00BF3D8E" w:rsidTr="005C5777">
        <w:tc>
          <w:tcPr>
            <w:tcW w:w="2694" w:type="dxa"/>
            <w:tcMar>
              <w:top w:w="0" w:type="dxa"/>
              <w:left w:w="0" w:type="dxa"/>
              <w:bottom w:w="0" w:type="dxa"/>
              <w:right w:w="113" w:type="dxa"/>
            </w:tcMar>
            <w:hideMark/>
          </w:tcPr>
          <w:p w:rsidRPr="004525E3" w:rsidR="0029166F" w:rsidP="0002409F" w:rsidRDefault="00893886">
            <w:pPr>
              <w:pStyle w:val="DefinitionTerm"/>
              <w:rPr>
                <w:rFonts w:cs="Times New Roman"/>
                <w:szCs w:val="22"/>
              </w:rPr>
            </w:pPr>
            <w:r w:rsidRPr="004525E3">
              <w:rPr>
                <w:rFonts w:cs="Times New Roman"/>
                <w:szCs w:val="22"/>
              </w:rPr>
              <w:t>Commitment Period</w:t>
            </w:r>
            <w:r w:rsidRPr="0002409F" w:rsidR="0002409F">
              <w:rPr>
                <w:rStyle w:val="FootnoteReference"/>
                <w:rFonts w:cs="Times New Roman"/>
                <w:b w:val="0"/>
                <w:szCs w:val="22"/>
              </w:rPr>
              <w:footnoteReference w:id="13"/>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The period from the Initial Closing Date to the [fifth]</w:t>
            </w:r>
            <w:r w:rsidRPr="004525E3">
              <w:rPr>
                <w:rStyle w:val="FootnoteReference"/>
                <w:rFonts w:cs="Times New Roman"/>
                <w:szCs w:val="22"/>
              </w:rPr>
              <w:footnoteReference w:id="14"/>
            </w:r>
            <w:r w:rsidRPr="004525E3" w:rsidR="004F7F18">
              <w:rPr>
                <w:rFonts w:cs="Times New Roman"/>
                <w:szCs w:val="22"/>
              </w:rPr>
              <w:t xml:space="preserve"> </w:t>
            </w:r>
            <w:r w:rsidRPr="004525E3">
              <w:rPr>
                <w:rFonts w:cs="Times New Roman"/>
                <w:szCs w:val="22"/>
              </w:rPr>
              <w:t xml:space="preserve">anniversary of the Initial Closing Date and subject to a one-year extension by the General Partner with the prior consent of the </w:t>
            </w:r>
            <w:r w:rsidRPr="004525E3" w:rsidR="002711E5">
              <w:rPr>
                <w:rFonts w:cs="Times New Roman"/>
                <w:szCs w:val="22"/>
              </w:rPr>
              <w:t xml:space="preserve">LP </w:t>
            </w:r>
            <w:r w:rsidRPr="004525E3">
              <w:rPr>
                <w:rFonts w:cs="Times New Roman"/>
                <w:szCs w:val="22"/>
              </w:rPr>
              <w:t>Advisory Committee</w:t>
            </w:r>
            <w:r w:rsidRPr="004525E3" w:rsidR="000F0B67">
              <w:rPr>
                <w:rFonts w:cs="Times New Roman"/>
                <w:szCs w:val="22"/>
              </w:rPr>
              <w:t xml:space="preserve"> or a Majority in Interest</w:t>
            </w:r>
            <w:r w:rsidRPr="004525E3">
              <w:rPr>
                <w:rFonts w:cs="Times New Roman"/>
                <w:szCs w:val="22"/>
              </w:rPr>
              <w:t xml:space="preserve">. </w:t>
            </w:r>
          </w:p>
          <w:p w:rsidRPr="004525E3" w:rsidR="0029166F" w:rsidP="0002409F" w:rsidRDefault="00893886">
            <w:pPr>
              <w:pStyle w:val="Definition1"/>
              <w:numPr>
                <w:ilvl w:val="0"/>
                <w:numId w:val="0"/>
              </w:numPr>
              <w:tabs>
                <w:tab w:val="left" w:pos="720"/>
              </w:tabs>
              <w:rPr>
                <w:rFonts w:cs="Times New Roman"/>
                <w:szCs w:val="22"/>
              </w:rPr>
            </w:pPr>
            <w:r w:rsidRPr="004525E3">
              <w:rPr>
                <w:rFonts w:cs="Times New Roman"/>
                <w:szCs w:val="22"/>
              </w:rPr>
              <w:t xml:space="preserve">The Commitment Period may be terminated earlier if </w:t>
            </w:r>
            <w:r w:rsidRPr="004525E3" w:rsidR="000F0B67">
              <w:rPr>
                <w:rFonts w:cs="Times New Roman"/>
                <w:szCs w:val="22"/>
              </w:rPr>
              <w:t>[</w:t>
            </w:r>
            <w:r w:rsidRPr="004525E3" w:rsidR="00D43BA1">
              <w:rPr>
                <w:rFonts w:cs="Times New Roman"/>
                <w:szCs w:val="22"/>
              </w:rPr>
              <w:t>80</w:t>
            </w:r>
            <w:r w:rsidRPr="004525E3" w:rsidR="000F0B67">
              <w:rPr>
                <w:rFonts w:cs="Times New Roman"/>
                <w:szCs w:val="22"/>
              </w:rPr>
              <w:t>]</w:t>
            </w:r>
            <w:r w:rsidRPr="004525E3" w:rsidR="00D43BA1">
              <w:rPr>
                <w:rFonts w:cs="Times New Roman"/>
                <w:szCs w:val="22"/>
              </w:rPr>
              <w:t xml:space="preserve">% of </w:t>
            </w:r>
            <w:r w:rsidRPr="004525E3">
              <w:rPr>
                <w:rFonts w:cs="Times New Roman"/>
                <w:szCs w:val="22"/>
              </w:rPr>
              <w:t xml:space="preserve">Commitments have been drawn down and </w:t>
            </w:r>
            <w:r w:rsidRPr="004525E3" w:rsidR="00344DC6">
              <w:rPr>
                <w:rFonts w:cs="Times New Roman"/>
                <w:szCs w:val="22"/>
              </w:rPr>
              <w:t>used</w:t>
            </w:r>
            <w:r w:rsidRPr="004525E3">
              <w:rPr>
                <w:rFonts w:cs="Times New Roman"/>
                <w:szCs w:val="22"/>
              </w:rPr>
              <w:t xml:space="preserve"> or</w:t>
            </w:r>
            <w:r w:rsidRPr="004525E3" w:rsidR="00D43BA1">
              <w:rPr>
                <w:rFonts w:cs="Times New Roman"/>
                <w:szCs w:val="22"/>
              </w:rPr>
              <w:t xml:space="preserve"> reserved to be </w:t>
            </w:r>
            <w:r w:rsidRPr="004525E3">
              <w:rPr>
                <w:rFonts w:cs="Times New Roman"/>
                <w:szCs w:val="22"/>
              </w:rPr>
              <w:t>used to create Reserves or for the follow-on investments</w:t>
            </w:r>
            <w:r w:rsidRPr="004525E3" w:rsidR="00FE5171">
              <w:rPr>
                <w:rFonts w:cs="Times New Roman"/>
                <w:szCs w:val="22"/>
              </w:rPr>
              <w:t xml:space="preserve"> or in the event of a Key Person Event (as described below)</w:t>
            </w:r>
            <w:r w:rsidRPr="004525E3">
              <w:rPr>
                <w:rFonts w:cs="Times New Roman"/>
                <w:szCs w:val="22"/>
              </w:rPr>
              <w:t>.</w:t>
            </w:r>
          </w:p>
        </w:tc>
      </w:tr>
      <w:tr w:rsidRPr="004525E3" w:rsidR="00BF3D8E" w:rsidTr="005C5777">
        <w:tc>
          <w:tcPr>
            <w:tcW w:w="2694" w:type="dxa"/>
            <w:tcMar>
              <w:top w:w="0" w:type="dxa"/>
              <w:left w:w="0" w:type="dxa"/>
              <w:bottom w:w="0" w:type="dxa"/>
              <w:right w:w="113" w:type="dxa"/>
            </w:tcMar>
          </w:tcPr>
          <w:p w:rsidRPr="004525E3" w:rsidR="00E60AE7" w:rsidRDefault="00893886">
            <w:pPr>
              <w:pStyle w:val="DefinitionTerm"/>
              <w:rPr>
                <w:rFonts w:cs="Times New Roman"/>
                <w:szCs w:val="22"/>
              </w:rPr>
            </w:pPr>
            <w:r w:rsidRPr="004525E3">
              <w:rPr>
                <w:rFonts w:cs="Times New Roman"/>
                <w:szCs w:val="22"/>
              </w:rPr>
              <w:t>Investment Objectives</w:t>
            </w:r>
            <w:r w:rsidRPr="0002409F" w:rsidR="0002409F">
              <w:rPr>
                <w:rStyle w:val="FootnoteReference"/>
                <w:rFonts w:cs="Times New Roman"/>
                <w:b w:val="0"/>
                <w:szCs w:val="22"/>
              </w:rPr>
              <w:footnoteReference w:id="15"/>
            </w:r>
          </w:p>
        </w:tc>
        <w:tc>
          <w:tcPr>
            <w:tcW w:w="6596" w:type="dxa"/>
          </w:tcPr>
          <w:p w:rsidRPr="004525E3" w:rsidR="00E60AE7" w:rsidP="0002409F" w:rsidRDefault="00893886">
            <w:pPr>
              <w:pStyle w:val="Definition"/>
              <w:numPr>
                <w:ilvl w:val="0"/>
                <w:numId w:val="30"/>
              </w:numPr>
              <w:rPr>
                <w:rFonts w:cs="Times New Roman"/>
                <w:szCs w:val="22"/>
              </w:rPr>
            </w:pPr>
            <w:r w:rsidRPr="004525E3">
              <w:rPr>
                <w:rFonts w:cs="Times New Roman"/>
                <w:szCs w:val="22"/>
              </w:rPr>
              <w:t xml:space="preserve">The </w:t>
            </w:r>
            <w:r w:rsidRPr="004525E3" w:rsidR="006348CC">
              <w:rPr>
                <w:rFonts w:cs="Times New Roman"/>
                <w:szCs w:val="22"/>
              </w:rPr>
              <w:t>objective</w:t>
            </w:r>
            <w:r w:rsidRPr="004525E3">
              <w:rPr>
                <w:rFonts w:cs="Times New Roman"/>
                <w:szCs w:val="22"/>
              </w:rPr>
              <w:t xml:space="preserve"> of the Fund </w:t>
            </w:r>
            <w:r w:rsidRPr="004525E3" w:rsidR="006348CC">
              <w:rPr>
                <w:rFonts w:cs="Times New Roman"/>
                <w:szCs w:val="22"/>
              </w:rPr>
              <w:t>is</w:t>
            </w:r>
            <w:r w:rsidRPr="004525E3">
              <w:rPr>
                <w:rFonts w:cs="Times New Roman"/>
                <w:szCs w:val="22"/>
              </w:rPr>
              <w:t xml:space="preserve"> to [carry on business with the primary objective of achieving superior returns for the Partners, principally through long-term capital appreciation, by investing in equity, equity-related and debt securities of privately-held [Canada and U.S. based </w:t>
            </w:r>
            <w:r w:rsidRPr="004525E3" w:rsidR="003B1437">
              <w:rPr>
                <w:rFonts w:cs="Times New Roman"/>
                <w:szCs w:val="22"/>
              </w:rPr>
              <w:t>[</w:t>
            </w:r>
            <w:r w:rsidRPr="004525E3" w:rsidR="00514809">
              <w:rPr>
                <w:rFonts w:cs="Times New Roman"/>
                <w:szCs w:val="22"/>
              </w:rPr>
              <w:t>industry sector</w:t>
            </w:r>
            <w:r w:rsidRPr="004525E3" w:rsidR="003B1437">
              <w:rPr>
                <w:rFonts w:cs="Times New Roman"/>
                <w:szCs w:val="22"/>
              </w:rPr>
              <w:t>]</w:t>
            </w:r>
            <w:r w:rsidRPr="004525E3">
              <w:rPr>
                <w:rFonts w:cs="Times New Roman"/>
                <w:szCs w:val="22"/>
              </w:rPr>
              <w:t>] companies].</w:t>
            </w:r>
          </w:p>
        </w:tc>
      </w:tr>
      <w:tr w:rsidRPr="004525E3" w:rsidR="00BF3D8E" w:rsidTr="005C5777">
        <w:tc>
          <w:tcPr>
            <w:tcW w:w="2694" w:type="dxa"/>
            <w:tcMar>
              <w:top w:w="0" w:type="dxa"/>
              <w:left w:w="0" w:type="dxa"/>
              <w:bottom w:w="0" w:type="dxa"/>
              <w:right w:w="113" w:type="dxa"/>
            </w:tcMar>
            <w:hideMark/>
          </w:tcPr>
          <w:p w:rsidRPr="004525E3" w:rsidR="0029166F" w:rsidP="00BD048F" w:rsidRDefault="00893886">
            <w:pPr>
              <w:pStyle w:val="DefinitionTerm"/>
              <w:rPr>
                <w:rFonts w:cs="Times New Roman"/>
                <w:szCs w:val="22"/>
              </w:rPr>
            </w:pPr>
            <w:r w:rsidRPr="004525E3">
              <w:rPr>
                <w:rFonts w:cs="Times New Roman"/>
                <w:szCs w:val="22"/>
              </w:rPr>
              <w:t>Investment Policy</w:t>
            </w:r>
            <w:r w:rsidRPr="0002409F" w:rsidR="0002409F">
              <w:rPr>
                <w:rStyle w:val="FootnoteReference"/>
                <w:rFonts w:cs="Times New Roman"/>
                <w:b w:val="0"/>
                <w:szCs w:val="22"/>
              </w:rPr>
              <w:footnoteReference w:id="16"/>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The </w:t>
            </w:r>
            <w:r w:rsidRPr="004525E3" w:rsidR="00BD048F">
              <w:rPr>
                <w:rFonts w:cs="Times New Roman"/>
                <w:szCs w:val="22"/>
              </w:rPr>
              <w:t>Fund and any parallel fund or alternative investment vehicle will observe the following guidelines: [INVESTMENT POLICY].</w:t>
            </w:r>
            <w:r w:rsidRPr="004525E3" w:rsidR="00643092">
              <w:rPr>
                <w:rFonts w:cs="Times New Roman"/>
                <w:szCs w:val="22"/>
              </w:rPr>
              <w:t xml:space="preserve"> </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lastRenderedPageBreak/>
              <w:t>Investment Restrictions</w:t>
            </w:r>
            <w:r w:rsidRPr="00A028E6" w:rsidR="00434FE8">
              <w:rPr>
                <w:rStyle w:val="FootnoteReference"/>
                <w:rFonts w:cs="Times New Roman"/>
                <w:b w:val="0"/>
                <w:szCs w:val="22"/>
              </w:rPr>
              <w:footnoteReference w:id="17"/>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The Fund shall only make investments if they are consistent with the Investment Policy. </w:t>
            </w:r>
          </w:p>
          <w:p w:rsidRPr="004525E3" w:rsidR="0029166F" w:rsidRDefault="00893886">
            <w:pPr>
              <w:pStyle w:val="Definition1"/>
              <w:numPr>
                <w:ilvl w:val="0"/>
                <w:numId w:val="0"/>
              </w:numPr>
              <w:tabs>
                <w:tab w:val="left" w:pos="720"/>
              </w:tabs>
              <w:rPr>
                <w:rFonts w:cs="Times New Roman"/>
                <w:szCs w:val="22"/>
              </w:rPr>
            </w:pPr>
            <w:r w:rsidRPr="004525E3">
              <w:rPr>
                <w:rFonts w:cs="Times New Roman"/>
                <w:szCs w:val="22"/>
              </w:rPr>
              <w:t xml:space="preserve">Without the prior written consent of the </w:t>
            </w:r>
            <w:r w:rsidRPr="004525E3" w:rsidR="002711E5">
              <w:rPr>
                <w:rFonts w:cs="Times New Roman"/>
                <w:szCs w:val="22"/>
              </w:rPr>
              <w:t xml:space="preserve">LP </w:t>
            </w:r>
            <w:r w:rsidRPr="004525E3">
              <w:rPr>
                <w:rFonts w:cs="Times New Roman"/>
                <w:szCs w:val="22"/>
              </w:rPr>
              <w:t>Advisory Com</w:t>
            </w:r>
            <w:r w:rsidRPr="004525E3" w:rsidR="00643092">
              <w:rPr>
                <w:rFonts w:cs="Times New Roman"/>
                <w:szCs w:val="22"/>
              </w:rPr>
              <w:t>mittee, the Fund will not invest</w:t>
            </w:r>
            <w:r w:rsidRPr="004525E3">
              <w:rPr>
                <w:rFonts w:cs="Times New Roman"/>
                <w:szCs w:val="22"/>
              </w:rPr>
              <w:t>:</w:t>
            </w:r>
          </w:p>
          <w:p w:rsidRPr="004525E3" w:rsidR="0029166F" w:rsidP="006F2A87" w:rsidRDefault="00893886">
            <w:pPr>
              <w:pStyle w:val="Definition1"/>
              <w:numPr>
                <w:ilvl w:val="1"/>
                <w:numId w:val="30"/>
              </w:numPr>
              <w:rPr>
                <w:rFonts w:cs="Times New Roman"/>
                <w:szCs w:val="22"/>
              </w:rPr>
            </w:pPr>
            <w:r w:rsidRPr="004525E3">
              <w:rPr>
                <w:rFonts w:cs="Times New Roman"/>
                <w:szCs w:val="22"/>
              </w:rPr>
              <w:t>[more than [</w:t>
            </w:r>
            <w:r w:rsidR="00EC6F22">
              <w:rPr>
                <w:rFonts w:ascii="Wingdings 2" w:hAnsi="Wingdings 2" w:cs="Wingdings 2" w:eastAsiaTheme="minorEastAsia"/>
                <w:szCs w:val="22"/>
              </w:rPr>
              <w:t></w:t>
            </w:r>
            <w:r w:rsidRPr="004525E3">
              <w:rPr>
                <w:rFonts w:cs="Times New Roman"/>
                <w:szCs w:val="22"/>
              </w:rPr>
              <w:t>]% [or [</w:t>
            </w:r>
            <w:r w:rsidR="00EC6F22">
              <w:rPr>
                <w:rFonts w:ascii="Wingdings 2" w:hAnsi="Wingdings 2" w:cs="Wingdings 2" w:eastAsiaTheme="minorEastAsia"/>
                <w:szCs w:val="22"/>
              </w:rPr>
              <w:t></w:t>
            </w:r>
            <w:r w:rsidRPr="004525E3">
              <w:rPr>
                <w:rFonts w:cs="Times New Roman"/>
                <w:szCs w:val="22"/>
              </w:rPr>
              <w:t>]% including the aggregate of any Capital Contributions for any Bridge Investments] of the aggregate Commitments in any single portfolio company];</w:t>
            </w:r>
          </w:p>
          <w:p w:rsidRPr="004525E3" w:rsidR="0029166F" w:rsidP="006F2A87" w:rsidRDefault="00893886">
            <w:pPr>
              <w:pStyle w:val="Definition1"/>
              <w:numPr>
                <w:ilvl w:val="1"/>
                <w:numId w:val="30"/>
              </w:numPr>
              <w:rPr>
                <w:rFonts w:cs="Times New Roman"/>
                <w:szCs w:val="22"/>
              </w:rPr>
            </w:pPr>
            <w:r w:rsidRPr="004525E3">
              <w:rPr>
                <w:rFonts w:cs="Times New Roman"/>
                <w:szCs w:val="22"/>
              </w:rPr>
              <w:t>[more than [</w:t>
            </w:r>
            <w:r w:rsidR="00EC6F22">
              <w:rPr>
                <w:rFonts w:ascii="Wingdings 2" w:hAnsi="Wingdings 2" w:cs="Wingdings 2" w:eastAsiaTheme="minorEastAsia"/>
                <w:szCs w:val="22"/>
              </w:rPr>
              <w:t></w:t>
            </w:r>
            <w:r w:rsidRPr="004525E3">
              <w:rPr>
                <w:rFonts w:cs="Times New Roman"/>
                <w:szCs w:val="22"/>
              </w:rPr>
              <w:t>]% [or [</w:t>
            </w:r>
            <w:r w:rsidR="00EC6F22">
              <w:rPr>
                <w:rFonts w:ascii="Wingdings 2" w:hAnsi="Wingdings 2" w:cs="Wingdings 2" w:eastAsiaTheme="minorEastAsia"/>
                <w:szCs w:val="22"/>
              </w:rPr>
              <w:t></w:t>
            </w:r>
            <w:r w:rsidRPr="004525E3">
              <w:rPr>
                <w:rFonts w:cs="Times New Roman"/>
                <w:szCs w:val="22"/>
              </w:rPr>
              <w:t>]% including the aggregate of any Capital Contributio</w:t>
            </w:r>
            <w:r w:rsidR="002708BD">
              <w:rPr>
                <w:rFonts w:cs="Times New Roman"/>
                <w:szCs w:val="22"/>
              </w:rPr>
              <w:t>ns for any Bridge Investments] </w:t>
            </w:r>
            <w:r w:rsidRPr="004525E3">
              <w:rPr>
                <w:rFonts w:cs="Times New Roman"/>
                <w:szCs w:val="22"/>
              </w:rPr>
              <w:t>of the aggregate Commitments in any one industry sector];</w:t>
            </w:r>
          </w:p>
          <w:p w:rsidRPr="004525E3" w:rsidR="0029166F" w:rsidP="006F2A87" w:rsidRDefault="00893886">
            <w:pPr>
              <w:pStyle w:val="Definition1"/>
              <w:numPr>
                <w:ilvl w:val="1"/>
                <w:numId w:val="30"/>
              </w:numPr>
              <w:rPr>
                <w:rFonts w:cs="Times New Roman"/>
                <w:szCs w:val="22"/>
              </w:rPr>
            </w:pPr>
            <w:r w:rsidRPr="004525E3">
              <w:rPr>
                <w:rFonts w:cs="Times New Roman"/>
                <w:szCs w:val="22"/>
              </w:rPr>
              <w:t>[more than [</w:t>
            </w:r>
            <w:r w:rsidR="00EC6F22">
              <w:rPr>
                <w:rFonts w:ascii="Wingdings 2" w:hAnsi="Wingdings 2" w:cs="Wingdings 2" w:eastAsiaTheme="minorEastAsia"/>
                <w:szCs w:val="22"/>
              </w:rPr>
              <w:t></w:t>
            </w:r>
            <w:r w:rsidRPr="004525E3">
              <w:rPr>
                <w:rFonts w:cs="Times New Roman"/>
                <w:szCs w:val="22"/>
              </w:rPr>
              <w:t>]%[or [</w:t>
            </w:r>
            <w:r w:rsidR="00EC6F22">
              <w:rPr>
                <w:rFonts w:ascii="Wingdings 2" w:hAnsi="Wingdings 2" w:cs="Wingdings 2" w:eastAsiaTheme="minorEastAsia"/>
                <w:szCs w:val="22"/>
              </w:rPr>
              <w:t></w:t>
            </w:r>
            <w:r w:rsidRPr="004525E3">
              <w:rPr>
                <w:rFonts w:cs="Times New Roman"/>
                <w:szCs w:val="22"/>
              </w:rPr>
              <w:t>]% including the aggregate of any Capital Contributions for any Bridge Investments] of the aggregate Commitments in any group of Portfolio Companies that are Affiliates];</w:t>
            </w:r>
          </w:p>
          <w:p w:rsidRPr="004525E3" w:rsidR="0029166F" w:rsidP="006F2A87" w:rsidRDefault="00893886">
            <w:pPr>
              <w:pStyle w:val="Definition1"/>
              <w:numPr>
                <w:ilvl w:val="1"/>
                <w:numId w:val="30"/>
              </w:numPr>
              <w:rPr>
                <w:rFonts w:cs="Times New Roman"/>
                <w:szCs w:val="22"/>
              </w:rPr>
            </w:pPr>
            <w:r w:rsidRPr="004525E3">
              <w:rPr>
                <w:rFonts w:cs="Times New Roman"/>
                <w:szCs w:val="22"/>
              </w:rPr>
              <w:t xml:space="preserve">[in Portfolio Companies </w:t>
            </w:r>
            <w:r w:rsidRPr="004525E3" w:rsidR="0093005F">
              <w:rPr>
                <w:rFonts w:eastAsia="TimesNewRoman,Bold" w:cs="Times New Roman"/>
                <w:bCs/>
                <w:color w:val="010101"/>
                <w:szCs w:val="22"/>
                <w:lang w:val="en-US"/>
              </w:rPr>
              <w:t xml:space="preserve">that do not have their principal place of business operations in or derive a substantial majority of their revenue from the </w:t>
            </w:r>
            <w:r w:rsidRPr="004525E3">
              <w:rPr>
                <w:rFonts w:cs="Times New Roman"/>
                <w:szCs w:val="22"/>
              </w:rPr>
              <w:t>Target Region];</w:t>
            </w:r>
          </w:p>
          <w:p w:rsidRPr="004525E3" w:rsidR="0029166F" w:rsidP="006F2A87" w:rsidRDefault="00893886">
            <w:pPr>
              <w:pStyle w:val="Definition1"/>
              <w:numPr>
                <w:ilvl w:val="1"/>
                <w:numId w:val="30"/>
              </w:numPr>
              <w:rPr>
                <w:rFonts w:cs="Times New Roman"/>
                <w:szCs w:val="22"/>
              </w:rPr>
            </w:pPr>
            <w:r w:rsidRPr="004525E3">
              <w:rPr>
                <w:rFonts w:cs="Times New Roman"/>
                <w:szCs w:val="22"/>
              </w:rPr>
              <w:t>[in a Follow-On Investment [18</w:t>
            </w:r>
            <w:r w:rsidRPr="004525E3" w:rsidR="00434FE8">
              <w:rPr>
                <w:rFonts w:cs="Times New Roman"/>
                <w:szCs w:val="22"/>
              </w:rPr>
              <w:t>]</w:t>
            </w:r>
            <w:r w:rsidRPr="004525E3">
              <w:rPr>
                <w:rFonts w:cs="Times New Roman"/>
                <w:szCs w:val="22"/>
              </w:rPr>
              <w:t xml:space="preserve"> months after the end of the Commitment Period]/[more than [</w:t>
            </w:r>
            <w:r w:rsidRPr="004525E3" w:rsidR="00E519F6">
              <w:rPr>
                <w:rFonts w:cs="Times New Roman"/>
                <w:szCs w:val="22"/>
              </w:rPr>
              <w:t>10-20</w:t>
            </w:r>
            <w:r w:rsidRPr="004525E3">
              <w:rPr>
                <w:rFonts w:cs="Times New Roman"/>
                <w:szCs w:val="22"/>
              </w:rPr>
              <w:t>]% of aggregate Commitments in Follow-On Investments after t</w:t>
            </w:r>
            <w:r w:rsidRPr="004525E3" w:rsidR="00A938FE">
              <w:rPr>
                <w:rFonts w:cs="Times New Roman"/>
                <w:szCs w:val="22"/>
              </w:rPr>
              <w:t>he end of the Commitment Period</w:t>
            </w:r>
            <w:r w:rsidRPr="004525E3">
              <w:rPr>
                <w:rFonts w:cs="Times New Roman"/>
                <w:szCs w:val="22"/>
              </w:rPr>
              <w:t>]</w:t>
            </w:r>
            <w:r w:rsidRPr="004525E3" w:rsidR="00A938FE">
              <w:rPr>
                <w:rFonts w:cs="Times New Roman"/>
                <w:szCs w:val="22"/>
              </w:rPr>
              <w:t>;</w:t>
            </w:r>
          </w:p>
          <w:p w:rsidRPr="004525E3" w:rsidR="0029166F" w:rsidP="006F2A87" w:rsidRDefault="00893886">
            <w:pPr>
              <w:pStyle w:val="Definition1"/>
              <w:numPr>
                <w:ilvl w:val="1"/>
                <w:numId w:val="30"/>
              </w:numPr>
              <w:rPr>
                <w:rFonts w:cs="Times New Roman"/>
                <w:szCs w:val="22"/>
              </w:rPr>
            </w:pPr>
            <w:r w:rsidRPr="004525E3">
              <w:rPr>
                <w:rFonts w:cs="Times New Roman"/>
                <w:szCs w:val="22"/>
              </w:rPr>
              <w:t>[in publicly listed securities (save for those in connection with the public offering of an existing Portfolio Company</w:t>
            </w:r>
            <w:r w:rsidRPr="004525E3" w:rsidR="00A938FE">
              <w:rPr>
                <w:rFonts w:cs="Times New Roman"/>
                <w:szCs w:val="22"/>
              </w:rPr>
              <w:t xml:space="preserve"> </w:t>
            </w:r>
            <w:r w:rsidRPr="004525E3" w:rsidR="00A938FE">
              <w:rPr>
                <w:rFonts w:eastAsia="TimesNewRoman,Bold" w:cs="Times New Roman"/>
                <w:bCs/>
                <w:color w:val="010101"/>
                <w:szCs w:val="22"/>
                <w:lang w:val="en-US"/>
              </w:rPr>
              <w:t xml:space="preserve">or securities acquired upon the sale or </w:t>
            </w:r>
            <w:r w:rsidRPr="004525E3" w:rsidR="00E519F6">
              <w:rPr>
                <w:rFonts w:eastAsia="TimesNewRoman,Bold" w:cs="Times New Roman"/>
                <w:bCs/>
                <w:color w:val="010101"/>
                <w:szCs w:val="22"/>
                <w:lang w:val="en-US"/>
              </w:rPr>
              <w:t>amalgamation</w:t>
            </w:r>
            <w:r w:rsidRPr="004525E3" w:rsidR="00A938FE">
              <w:rPr>
                <w:rFonts w:eastAsia="TimesNewRoman,Bold" w:cs="Times New Roman"/>
                <w:bCs/>
                <w:color w:val="010101"/>
                <w:szCs w:val="22"/>
                <w:lang w:val="en-US"/>
              </w:rPr>
              <w:t xml:space="preserve"> of an existing Portfolio Company</w:t>
            </w:r>
            <w:r w:rsidRPr="004525E3">
              <w:rPr>
                <w:rFonts w:cs="Times New Roman"/>
                <w:szCs w:val="22"/>
              </w:rPr>
              <w:t>)];</w:t>
            </w:r>
          </w:p>
          <w:p w:rsidRPr="004525E3" w:rsidR="0029166F" w:rsidP="00711CE9" w:rsidRDefault="00893886">
            <w:pPr>
              <w:pStyle w:val="Definition1"/>
              <w:numPr>
                <w:ilvl w:val="1"/>
                <w:numId w:val="30"/>
              </w:numPr>
              <w:rPr>
                <w:rFonts w:cs="Times New Roman"/>
                <w:szCs w:val="22"/>
              </w:rPr>
            </w:pPr>
            <w:r w:rsidRPr="004525E3">
              <w:rPr>
                <w:rFonts w:eastAsia="TimesNewRoman,Bold" w:cs="Times New Roman"/>
                <w:bCs/>
                <w:color w:val="010101"/>
                <w:szCs w:val="22"/>
                <w:lang w:val="en-US"/>
              </w:rPr>
              <w:t>[</w:t>
            </w:r>
            <w:r w:rsidRPr="004525E3" w:rsidR="008272F6">
              <w:rPr>
                <w:rFonts w:eastAsia="TimesNewRoman,Bold" w:cs="Times New Roman"/>
                <w:bCs/>
                <w:color w:val="010101"/>
                <w:szCs w:val="22"/>
                <w:lang w:val="en-US"/>
              </w:rPr>
              <w:t>engage in investment activities involving commodities, commodity contracts and forward currency contracts, except for hedging transactions made in accordance with the Investment Policy, if any is adopted by the General Partner or the Manager, and the Partnership Agreement</w:t>
            </w:r>
            <w:r w:rsidRPr="004525E3">
              <w:rPr>
                <w:rFonts w:cs="Times New Roman"/>
                <w:szCs w:val="22"/>
              </w:rPr>
              <w:t>];</w:t>
            </w:r>
          </w:p>
          <w:p w:rsidRPr="004525E3" w:rsidR="0029166F" w:rsidP="006F2A87" w:rsidRDefault="00893886">
            <w:pPr>
              <w:pStyle w:val="Definition1"/>
              <w:numPr>
                <w:ilvl w:val="1"/>
                <w:numId w:val="30"/>
              </w:numPr>
              <w:rPr>
                <w:rFonts w:cs="Times New Roman"/>
                <w:szCs w:val="22"/>
              </w:rPr>
            </w:pPr>
            <w:r w:rsidRPr="004525E3">
              <w:rPr>
                <w:rFonts w:cs="Times New Roman"/>
                <w:szCs w:val="22"/>
              </w:rPr>
              <w:t>[in connection with a hostile bid]; or</w:t>
            </w:r>
          </w:p>
          <w:p w:rsidRPr="004525E3" w:rsidR="0093005F" w:rsidP="006F2A87" w:rsidRDefault="00893886">
            <w:pPr>
              <w:pStyle w:val="Definition1"/>
              <w:numPr>
                <w:ilvl w:val="1"/>
                <w:numId w:val="30"/>
              </w:numPr>
              <w:rPr>
                <w:rFonts w:cs="Times New Roman"/>
                <w:szCs w:val="22"/>
              </w:rPr>
            </w:pPr>
            <w:r w:rsidRPr="004525E3">
              <w:rPr>
                <w:rFonts w:cs="Times New Roman"/>
                <w:szCs w:val="22"/>
              </w:rPr>
              <w:t>[in any person that charges any fee or profit share].</w:t>
            </w:r>
          </w:p>
          <w:p w:rsidRPr="004525E3" w:rsidR="00FC1FB4" w:rsidP="004B7A0D" w:rsidRDefault="00EC6F22">
            <w:pPr>
              <w:pStyle w:val="Definition1"/>
              <w:numPr>
                <w:ilvl w:val="0"/>
                <w:numId w:val="0"/>
              </w:numPr>
              <w:rPr>
                <w:rFonts w:cs="Times New Roman"/>
                <w:szCs w:val="22"/>
              </w:rPr>
            </w:pPr>
            <w:r>
              <w:rPr>
                <w:rFonts w:cs="Times New Roman"/>
                <w:szCs w:val="22"/>
              </w:rPr>
              <w:t>“</w:t>
            </w:r>
            <w:r w:rsidRPr="004525E3" w:rsidR="00893886">
              <w:rPr>
                <w:rFonts w:cs="Times New Roman"/>
                <w:b/>
                <w:szCs w:val="22"/>
              </w:rPr>
              <w:t>Target Region</w:t>
            </w:r>
            <w:r>
              <w:rPr>
                <w:rFonts w:cs="Times New Roman"/>
                <w:szCs w:val="22"/>
              </w:rPr>
              <w:t>”</w:t>
            </w:r>
            <w:r w:rsidRPr="004525E3" w:rsidR="00893886">
              <w:rPr>
                <w:rFonts w:cs="Times New Roman"/>
                <w:szCs w:val="22"/>
              </w:rPr>
              <w:t xml:space="preserve"> means [</w:t>
            </w:r>
            <w:r w:rsidRPr="004525E3" w:rsidR="004B7A0D">
              <w:rPr>
                <w:rFonts w:cs="Times New Roman"/>
                <w:szCs w:val="22"/>
              </w:rPr>
              <w:t>list countries in Target Region</w:t>
            </w:r>
            <w:r w:rsidRPr="004525E3" w:rsidR="00893886">
              <w:rPr>
                <w:rFonts w:cs="Times New Roman"/>
                <w:szCs w:val="22"/>
              </w:rPr>
              <w:t>].</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ESG</w:t>
            </w:r>
            <w:r w:rsidRPr="00A028E6" w:rsidR="00A028E6">
              <w:rPr>
                <w:rStyle w:val="FootnoteReference"/>
                <w:rFonts w:cs="Times New Roman"/>
                <w:b w:val="0"/>
                <w:szCs w:val="22"/>
              </w:rPr>
              <w:footnoteReference w:id="18"/>
            </w:r>
          </w:p>
        </w:tc>
        <w:tc>
          <w:tcPr>
            <w:tcW w:w="6596" w:type="dxa"/>
            <w:hideMark/>
          </w:tcPr>
          <w:p w:rsidRPr="004525E3" w:rsidR="0029166F" w:rsidP="00434FE8" w:rsidRDefault="00BD541B">
            <w:pPr>
              <w:pStyle w:val="Definition"/>
              <w:numPr>
                <w:ilvl w:val="0"/>
                <w:numId w:val="30"/>
              </w:numPr>
              <w:rPr>
                <w:rFonts w:cs="Times New Roman"/>
                <w:szCs w:val="22"/>
              </w:rPr>
            </w:pPr>
            <w:r>
              <w:rPr>
                <w:rFonts w:cs="Times New Roman"/>
                <w:szCs w:val="22"/>
              </w:rPr>
              <w:t>[</w:t>
            </w:r>
            <w:r w:rsidRPr="004525E3" w:rsidR="00434FE8">
              <w:rPr>
                <w:rFonts w:cs="Times New Roman"/>
                <w:szCs w:val="22"/>
              </w:rPr>
              <w:t>The Fund will use reasonable commercial efforts to take into account</w:t>
            </w:r>
            <w:r w:rsidRPr="004525E3" w:rsidR="00893886">
              <w:rPr>
                <w:rFonts w:cs="Times New Roman"/>
                <w:szCs w:val="22"/>
              </w:rPr>
              <w:t xml:space="preserve"> environment</w:t>
            </w:r>
            <w:r w:rsidRPr="004525E3" w:rsidR="00434FE8">
              <w:rPr>
                <w:rFonts w:cs="Times New Roman"/>
                <w:szCs w:val="22"/>
              </w:rPr>
              <w:t>al, social and governance investor considerations and policies, consistent with the investment objectives of the Fund</w:t>
            </w:r>
            <w:r w:rsidRPr="004525E3" w:rsidR="00893886">
              <w:rPr>
                <w:rFonts w:cs="Times New Roman"/>
                <w:szCs w:val="22"/>
              </w:rPr>
              <w:t>.</w:t>
            </w:r>
            <w:r>
              <w:rPr>
                <w:rFonts w:cs="Times New Roman"/>
                <w:szCs w:val="22"/>
              </w:rPr>
              <w:t>]</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lastRenderedPageBreak/>
              <w:t>Preferred Return</w:t>
            </w:r>
            <w:r w:rsidRPr="004525E3">
              <w:rPr>
                <w:rStyle w:val="FootnoteReference"/>
                <w:rFonts w:cs="Times New Roman"/>
                <w:b w:val="0"/>
                <w:szCs w:val="22"/>
              </w:rPr>
              <w:footnoteReference w:id="19"/>
            </w:r>
          </w:p>
        </w:tc>
        <w:tc>
          <w:tcPr>
            <w:tcW w:w="6596" w:type="dxa"/>
            <w:hideMark/>
          </w:tcPr>
          <w:p w:rsidRPr="004525E3" w:rsidR="0029166F" w:rsidP="00166758" w:rsidRDefault="00893886">
            <w:pPr>
              <w:pStyle w:val="Definition"/>
              <w:numPr>
                <w:ilvl w:val="0"/>
                <w:numId w:val="30"/>
              </w:numPr>
              <w:rPr>
                <w:rFonts w:cs="Times New Roman"/>
                <w:szCs w:val="22"/>
              </w:rPr>
            </w:pPr>
            <w:r w:rsidRPr="004525E3">
              <w:rPr>
                <w:rFonts w:cs="Times New Roman"/>
                <w:szCs w:val="22"/>
              </w:rPr>
              <w:t>Such amount as is equal to an annual rate of return of [</w:t>
            </w:r>
            <w:r w:rsidRPr="004525E3" w:rsidR="00AA5343">
              <w:rPr>
                <w:rFonts w:cs="Times New Roman"/>
                <w:szCs w:val="22"/>
              </w:rPr>
              <w:t>8</w:t>
            </w:r>
            <w:r w:rsidRPr="004525E3">
              <w:rPr>
                <w:rFonts w:cs="Times New Roman"/>
                <w:szCs w:val="22"/>
              </w:rPr>
              <w:t xml:space="preserve">]% compounded annually and calculated daily on the Capital Contribution made </w:t>
            </w:r>
            <w:r w:rsidRPr="004525E3" w:rsidR="00166758">
              <w:rPr>
                <w:rFonts w:cs="Times New Roman"/>
                <w:szCs w:val="22"/>
              </w:rPr>
              <w:t>by a</w:t>
            </w:r>
            <w:r w:rsidRPr="004525E3">
              <w:rPr>
                <w:rFonts w:cs="Times New Roman"/>
                <w:szCs w:val="22"/>
              </w:rPr>
              <w:t xml:space="preserve"> Limited Partner, calculated from the date of receipt of such Capital Contribution by the Fund </w:t>
            </w:r>
            <w:r w:rsidRPr="004525E3" w:rsidR="00185F3E">
              <w:rPr>
                <w:rFonts w:cs="Times New Roman"/>
                <w:szCs w:val="22"/>
              </w:rPr>
              <w:t xml:space="preserve">and accrual of the Preferred Return </w:t>
            </w:r>
            <w:r w:rsidRPr="004525E3">
              <w:rPr>
                <w:rFonts w:cs="Times New Roman"/>
                <w:szCs w:val="22"/>
              </w:rPr>
              <w:t>until the date of distrib</w:t>
            </w:r>
            <w:r w:rsidRPr="004525E3" w:rsidR="00166758">
              <w:rPr>
                <w:rFonts w:cs="Times New Roman"/>
                <w:szCs w:val="22"/>
              </w:rPr>
              <w:t>ution or deemed distribution to such</w:t>
            </w:r>
            <w:r w:rsidRPr="004525E3">
              <w:rPr>
                <w:rFonts w:cs="Times New Roman"/>
                <w:szCs w:val="22"/>
              </w:rPr>
              <w:t xml:space="preserve"> Limited Partner.</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Distributions/Waterfall</w:t>
            </w:r>
            <w:r w:rsidRPr="004525E3">
              <w:rPr>
                <w:rStyle w:val="FootnoteReference"/>
                <w:rFonts w:cs="Times New Roman"/>
                <w:b w:val="0"/>
                <w:szCs w:val="22"/>
              </w:rPr>
              <w:footnoteReference w:id="20"/>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Distributable Proceeds from any Portfolio Investment shall be initially apportioned among the Partners in proportion to their participation in that Portfolio Investment. Amounts apportioned to Affiliated Partners will be distributed to that Affiliated Partner. </w:t>
            </w:r>
          </w:p>
          <w:p w:rsidRPr="004525E3" w:rsidR="0029166F" w:rsidRDefault="00893886">
            <w:pPr>
              <w:pStyle w:val="Definition1"/>
              <w:numPr>
                <w:ilvl w:val="0"/>
                <w:numId w:val="0"/>
              </w:numPr>
              <w:tabs>
                <w:tab w:val="left" w:pos="720"/>
              </w:tabs>
              <w:rPr>
                <w:rFonts w:cs="Times New Roman"/>
                <w:szCs w:val="22"/>
              </w:rPr>
            </w:pPr>
            <w:r w:rsidRPr="004525E3">
              <w:rPr>
                <w:rFonts w:cs="Times New Roman"/>
                <w:szCs w:val="22"/>
              </w:rPr>
              <w:t xml:space="preserve">The amounts apportioned to all other Partners shall be distributed as follows: </w:t>
            </w:r>
          </w:p>
          <w:p w:rsidRPr="004525E3" w:rsidR="0029166F" w:rsidP="006F2A87" w:rsidRDefault="00893886">
            <w:pPr>
              <w:pStyle w:val="Definition1"/>
              <w:numPr>
                <w:ilvl w:val="1"/>
                <w:numId w:val="30"/>
              </w:numPr>
              <w:rPr>
                <w:rFonts w:cs="Times New Roman"/>
                <w:szCs w:val="22"/>
              </w:rPr>
            </w:pPr>
            <w:r w:rsidRPr="004525E3">
              <w:rPr>
                <w:rFonts w:cs="Times New Roman"/>
                <w:szCs w:val="22"/>
              </w:rPr>
              <w:t>first, 100% to such Partner until such Partner has received cumulative distributions equal to such Partner</w:t>
            </w:r>
            <w:r w:rsidR="00EC6F22">
              <w:rPr>
                <w:rFonts w:cs="Times New Roman"/>
                <w:szCs w:val="22"/>
              </w:rPr>
              <w:t>’</w:t>
            </w:r>
            <w:r w:rsidRPr="004525E3">
              <w:rPr>
                <w:rFonts w:cs="Times New Roman"/>
                <w:szCs w:val="22"/>
              </w:rPr>
              <w:t>s aggregate Capital Contributions;</w:t>
            </w:r>
          </w:p>
          <w:p w:rsidRPr="004525E3" w:rsidR="0029166F" w:rsidP="006F2A87" w:rsidRDefault="00893886">
            <w:pPr>
              <w:pStyle w:val="Definition1"/>
              <w:numPr>
                <w:ilvl w:val="1"/>
                <w:numId w:val="30"/>
              </w:numPr>
              <w:rPr>
                <w:rFonts w:cs="Times New Roman"/>
                <w:szCs w:val="22"/>
              </w:rPr>
            </w:pPr>
            <w:r w:rsidRPr="004525E3">
              <w:rPr>
                <w:rFonts w:cs="Times New Roman"/>
                <w:szCs w:val="22"/>
              </w:rPr>
              <w:t>second, 100% to such Partner until the cumulative amount distributed to such Partner hereunder is equal to the Preferred Return for such Partner;</w:t>
            </w:r>
          </w:p>
          <w:p w:rsidRPr="004525E3" w:rsidR="0029166F" w:rsidP="006F2A87" w:rsidRDefault="00893886">
            <w:pPr>
              <w:pStyle w:val="Definition1"/>
              <w:numPr>
                <w:ilvl w:val="1"/>
                <w:numId w:val="30"/>
              </w:numPr>
              <w:rPr>
                <w:rFonts w:cs="Times New Roman"/>
                <w:szCs w:val="22"/>
              </w:rPr>
            </w:pPr>
            <w:r w:rsidRPr="004525E3">
              <w:rPr>
                <w:rFonts w:cs="Times New Roman"/>
                <w:szCs w:val="22"/>
              </w:rPr>
              <w:t>third, [80]</w:t>
            </w:r>
            <w:r w:rsidRPr="004525E3" w:rsidR="00D0557F">
              <w:rPr>
                <w:rFonts w:cs="Times New Roman"/>
                <w:szCs w:val="22"/>
              </w:rPr>
              <w:t xml:space="preserve"> </w:t>
            </w:r>
            <w:r w:rsidRPr="004525E3">
              <w:rPr>
                <w:rFonts w:cs="Times New Roman"/>
                <w:szCs w:val="22"/>
              </w:rPr>
              <w:t>%</w:t>
            </w:r>
            <w:r w:rsidRPr="004525E3" w:rsidR="00DF43A8">
              <w:rPr>
                <w:rStyle w:val="FootnoteReference"/>
                <w:rFonts w:cs="Times New Roman"/>
                <w:szCs w:val="22"/>
              </w:rPr>
              <w:footnoteReference w:id="21"/>
            </w:r>
            <w:r w:rsidRPr="004525E3">
              <w:rPr>
                <w:rFonts w:cs="Times New Roman"/>
                <w:szCs w:val="22"/>
              </w:rPr>
              <w:t xml:space="preserve"> to the </w:t>
            </w:r>
            <w:r w:rsidRPr="004525E3" w:rsidR="00DF43A8">
              <w:rPr>
                <w:rFonts w:cs="Times New Roman"/>
                <w:szCs w:val="22"/>
              </w:rPr>
              <w:t>[</w:t>
            </w:r>
            <w:r w:rsidRPr="004525E3">
              <w:rPr>
                <w:rFonts w:cs="Times New Roman"/>
                <w:szCs w:val="22"/>
              </w:rPr>
              <w:t>General Partner</w:t>
            </w:r>
            <w:r w:rsidRPr="004525E3" w:rsidR="00DF43A8">
              <w:rPr>
                <w:rFonts w:cs="Times New Roman"/>
                <w:szCs w:val="22"/>
              </w:rPr>
              <w:t>]</w:t>
            </w:r>
            <w:r w:rsidRPr="004525E3" w:rsidR="003B1437">
              <w:rPr>
                <w:rStyle w:val="FootnoteReference"/>
                <w:rFonts w:cs="Times New Roman"/>
                <w:szCs w:val="22"/>
              </w:rPr>
              <w:footnoteReference w:id="22"/>
            </w:r>
            <w:r w:rsidRPr="004525E3">
              <w:rPr>
                <w:rFonts w:cs="Times New Roman"/>
                <w:szCs w:val="22"/>
              </w:rPr>
              <w:t xml:space="preserve"> and [20]% to such Partner until the General Partner has received cumulative distributions with respect to such Partner hereunder equal to [20]% of the sum of distributions made or being made to such Partner pursuant to the preceding and this paragraph and to the General Partner with respect to such Partner hereunder; and</w:t>
            </w:r>
            <w:r w:rsidRPr="004525E3" w:rsidR="0047141B">
              <w:rPr>
                <w:rFonts w:cs="Times New Roman"/>
                <w:szCs w:val="22"/>
              </w:rPr>
              <w:t xml:space="preserve"> </w:t>
            </w:r>
          </w:p>
          <w:p w:rsidRPr="004525E3" w:rsidR="0029166F" w:rsidP="006F2A87" w:rsidRDefault="00893886">
            <w:pPr>
              <w:pStyle w:val="Definition1"/>
              <w:numPr>
                <w:ilvl w:val="1"/>
                <w:numId w:val="30"/>
              </w:numPr>
              <w:rPr>
                <w:rFonts w:cs="Times New Roman"/>
                <w:szCs w:val="22"/>
              </w:rPr>
            </w:pPr>
            <w:r w:rsidRPr="004525E3">
              <w:rPr>
                <w:rFonts w:cs="Times New Roman"/>
                <w:szCs w:val="22"/>
              </w:rPr>
              <w:t xml:space="preserve">fourth, thereafter, (x) [20]% to the </w:t>
            </w:r>
            <w:r w:rsidRPr="004525E3" w:rsidR="00DF43A8">
              <w:rPr>
                <w:rFonts w:cs="Times New Roman"/>
                <w:szCs w:val="22"/>
              </w:rPr>
              <w:t>[</w:t>
            </w:r>
            <w:r w:rsidRPr="004525E3">
              <w:rPr>
                <w:rFonts w:cs="Times New Roman"/>
                <w:szCs w:val="22"/>
              </w:rPr>
              <w:t>General Partner</w:t>
            </w:r>
            <w:r w:rsidRPr="004525E3" w:rsidR="00DF43A8">
              <w:rPr>
                <w:rFonts w:cs="Times New Roman"/>
                <w:szCs w:val="22"/>
              </w:rPr>
              <w:t>]</w:t>
            </w:r>
            <w:r w:rsidRPr="004525E3">
              <w:rPr>
                <w:rFonts w:cs="Times New Roman"/>
                <w:szCs w:val="22"/>
              </w:rPr>
              <w:t xml:space="preserve"> and (y) [80]% to such Partner.</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b w:val="0"/>
                <w:szCs w:val="22"/>
              </w:rPr>
            </w:pPr>
            <w:r w:rsidRPr="004525E3">
              <w:rPr>
                <w:rFonts w:cs="Times New Roman"/>
                <w:szCs w:val="22"/>
              </w:rPr>
              <w:t>[Escrow]</w:t>
            </w:r>
            <w:r w:rsidRPr="004525E3">
              <w:rPr>
                <w:rStyle w:val="FootnoteReference"/>
                <w:rFonts w:cs="Times New Roman"/>
                <w:b w:val="0"/>
                <w:szCs w:val="22"/>
              </w:rPr>
              <w:footnoteReference w:id="23"/>
            </w:r>
          </w:p>
        </w:tc>
        <w:tc>
          <w:tcPr>
            <w:tcW w:w="6596" w:type="dxa"/>
            <w:hideMark/>
          </w:tcPr>
          <w:p w:rsidRPr="004525E3" w:rsidR="00B757D4" w:rsidP="0034085D" w:rsidRDefault="00893886">
            <w:pPr>
              <w:pStyle w:val="Definition"/>
              <w:numPr>
                <w:ilvl w:val="0"/>
                <w:numId w:val="30"/>
              </w:numPr>
              <w:rPr>
                <w:rFonts w:cs="Times New Roman"/>
                <w:szCs w:val="22"/>
              </w:rPr>
            </w:pPr>
            <w:r w:rsidRPr="004525E3">
              <w:rPr>
                <w:rFonts w:cs="Times New Roman"/>
                <w:szCs w:val="22"/>
              </w:rPr>
              <w:t>[The General Partner shall deposit [</w:t>
            </w:r>
            <w:r w:rsidRPr="004525E3" w:rsidR="00912932">
              <w:rPr>
                <w:rFonts w:cs="Times New Roman"/>
                <w:szCs w:val="22"/>
              </w:rPr>
              <w:t>___</w:t>
            </w:r>
            <w:r w:rsidRPr="004525E3">
              <w:rPr>
                <w:rFonts w:cs="Times New Roman"/>
                <w:szCs w:val="22"/>
              </w:rPr>
              <w:t>]% of all amounts that would otherwise be distributed to the General Partner as Carried Interest with respect to each Partner into a separate account of the Fund until such time as such applicable Partner has received aggregate distributions equal to its Commitment and any Preferred Return</w:t>
            </w:r>
            <w:r w:rsidRPr="004525E3" w:rsidR="00E512D6">
              <w:rPr>
                <w:rFonts w:cs="Times New Roman"/>
                <w:szCs w:val="22"/>
              </w:rPr>
              <w:t xml:space="preserve"> calculated on the aggregate capital contributions made by such Partner</w:t>
            </w:r>
            <w:r w:rsidRPr="004525E3">
              <w:rPr>
                <w:rFonts w:cs="Times New Roman"/>
                <w:szCs w:val="22"/>
              </w:rPr>
              <w:t>.]</w:t>
            </w:r>
          </w:p>
        </w:tc>
      </w:tr>
      <w:tr w:rsidRPr="004525E3" w:rsidR="00BF3D8E" w:rsidTr="005C5777">
        <w:tc>
          <w:tcPr>
            <w:tcW w:w="2694" w:type="dxa"/>
            <w:tcMar>
              <w:top w:w="0" w:type="dxa"/>
              <w:left w:w="0" w:type="dxa"/>
              <w:bottom w:w="0" w:type="dxa"/>
              <w:right w:w="113" w:type="dxa"/>
            </w:tcMar>
          </w:tcPr>
          <w:p w:rsidRPr="004525E3" w:rsidR="00B757D4" w:rsidRDefault="00893886">
            <w:pPr>
              <w:pStyle w:val="DefinitionTerm"/>
              <w:rPr>
                <w:rFonts w:cs="Times New Roman"/>
                <w:b w:val="0"/>
                <w:szCs w:val="22"/>
              </w:rPr>
            </w:pPr>
            <w:r w:rsidRPr="004525E3">
              <w:rPr>
                <w:rFonts w:cs="Times New Roman"/>
                <w:szCs w:val="22"/>
              </w:rPr>
              <w:t xml:space="preserve">Carried Interest </w:t>
            </w:r>
            <w:r w:rsidRPr="004525E3" w:rsidR="00807E38">
              <w:rPr>
                <w:rFonts w:cs="Times New Roman"/>
                <w:szCs w:val="22"/>
              </w:rPr>
              <w:t>U</w:t>
            </w:r>
            <w:r w:rsidRPr="004525E3">
              <w:rPr>
                <w:rFonts w:cs="Times New Roman"/>
                <w:szCs w:val="22"/>
              </w:rPr>
              <w:t>ndertaking</w:t>
            </w:r>
            <w:r w:rsidRPr="004525E3">
              <w:rPr>
                <w:rStyle w:val="FootnoteReference"/>
                <w:rFonts w:cs="Times New Roman"/>
                <w:b w:val="0"/>
                <w:szCs w:val="22"/>
              </w:rPr>
              <w:footnoteReference w:id="24"/>
            </w:r>
            <w:r w:rsidRPr="004525E3" w:rsidR="00C25DD8">
              <w:rPr>
                <w:rFonts w:cs="Times New Roman"/>
                <w:szCs w:val="22"/>
              </w:rPr>
              <w:t xml:space="preserve"> (Clawback Guarantee)</w:t>
            </w:r>
          </w:p>
        </w:tc>
        <w:tc>
          <w:tcPr>
            <w:tcW w:w="6596" w:type="dxa"/>
          </w:tcPr>
          <w:p w:rsidRPr="004525E3" w:rsidR="00B757D4" w:rsidP="006F2A87" w:rsidRDefault="00893886">
            <w:pPr>
              <w:pStyle w:val="Definition"/>
              <w:numPr>
                <w:ilvl w:val="0"/>
                <w:numId w:val="30"/>
              </w:numPr>
              <w:rPr>
                <w:rFonts w:cs="Times New Roman"/>
                <w:szCs w:val="22"/>
              </w:rPr>
            </w:pPr>
            <w:bookmarkStart w:name="_cp_change_142" w:id="2"/>
            <w:r w:rsidRPr="004525E3">
              <w:rPr>
                <w:rFonts w:cs="Times New Roman"/>
                <w:szCs w:val="22"/>
              </w:rPr>
              <w:t xml:space="preserve">The General Partner shall ensure that each partner of the General Partner who is entitled to receive Carried Interest shall have entered into an undertaking in favour of the Fund and for the benefit of the </w:t>
            </w:r>
            <w:r w:rsidRPr="004525E3" w:rsidR="001E4C42">
              <w:rPr>
                <w:rFonts w:cs="Times New Roman"/>
                <w:szCs w:val="22"/>
              </w:rPr>
              <w:t>Limited Partners</w:t>
            </w:r>
            <w:r w:rsidRPr="004525E3">
              <w:rPr>
                <w:rFonts w:cs="Times New Roman"/>
                <w:szCs w:val="22"/>
              </w:rPr>
              <w:t xml:space="preserve"> to return its </w:t>
            </w:r>
            <w:r w:rsidRPr="004525E3">
              <w:rPr>
                <w:rFonts w:cs="Times New Roman"/>
                <w:i/>
                <w:szCs w:val="22"/>
              </w:rPr>
              <w:t>pro rata</w:t>
            </w:r>
            <w:r w:rsidRPr="004525E3">
              <w:rPr>
                <w:rFonts w:cs="Times New Roman"/>
                <w:szCs w:val="22"/>
              </w:rPr>
              <w:t xml:space="preserve"> share of any contribution that the General Partner may </w:t>
            </w:r>
            <w:r w:rsidRPr="004525E3">
              <w:rPr>
                <w:rFonts w:cs="Times New Roman"/>
                <w:szCs w:val="22"/>
              </w:rPr>
              <w:lastRenderedPageBreak/>
              <w:t>be due to return to the Fund, should there be any excess payment Carried Interest to the General Partner and it has insufficient funds or fails to meet its return obligation.</w:t>
            </w:r>
            <w:bookmarkEnd w:id="2"/>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lastRenderedPageBreak/>
              <w:t>Distributions in Kind</w:t>
            </w:r>
            <w:r w:rsidRPr="0031373E" w:rsidR="001001C2">
              <w:rPr>
                <w:rStyle w:val="FootnoteReference"/>
                <w:rFonts w:cs="Times New Roman"/>
                <w:b w:val="0"/>
                <w:szCs w:val="22"/>
              </w:rPr>
              <w:footnoteReference w:id="25"/>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Only cash or marketable securities may be distributed prior to the final distribution following the dissolution and winding up of the Fund. </w:t>
            </w:r>
          </w:p>
          <w:p w:rsidRPr="004525E3" w:rsidR="0029166F" w:rsidRDefault="00893886">
            <w:pPr>
              <w:pStyle w:val="Definition1"/>
              <w:numPr>
                <w:ilvl w:val="0"/>
                <w:numId w:val="0"/>
              </w:numPr>
              <w:tabs>
                <w:tab w:val="left" w:pos="720"/>
              </w:tabs>
              <w:rPr>
                <w:rFonts w:cs="Times New Roman"/>
                <w:szCs w:val="22"/>
              </w:rPr>
            </w:pPr>
            <w:r w:rsidRPr="004525E3">
              <w:rPr>
                <w:rFonts w:cs="Times New Roman"/>
                <w:szCs w:val="22"/>
              </w:rPr>
              <w:t>If a Limited Partner elects not to receive distributions of marketable securities, the General Partner shall use commercially reasonable efforts to sell</w:t>
            </w:r>
            <w:r w:rsidRPr="004525E3" w:rsidR="00414A65">
              <w:rPr>
                <w:rFonts w:cs="Times New Roman"/>
                <w:szCs w:val="22"/>
              </w:rPr>
              <w:t>, on behalf of the Limited Partner,</w:t>
            </w:r>
            <w:r w:rsidRPr="004525E3">
              <w:rPr>
                <w:rFonts w:cs="Times New Roman"/>
                <w:szCs w:val="22"/>
              </w:rPr>
              <w:t xml:space="preserve"> any securities that would otherwise have been distributed to such Limited Partner for cash. </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Drawdowns</w:t>
            </w:r>
            <w:r w:rsidRPr="0031373E" w:rsidR="001001C2">
              <w:rPr>
                <w:rStyle w:val="FootnoteReference"/>
                <w:rFonts w:cs="Times New Roman"/>
                <w:b w:val="0"/>
                <w:szCs w:val="22"/>
              </w:rPr>
              <w:footnoteReference w:id="26"/>
            </w:r>
          </w:p>
        </w:tc>
        <w:tc>
          <w:tcPr>
            <w:tcW w:w="6596" w:type="dxa"/>
            <w:hideMark/>
          </w:tcPr>
          <w:p w:rsidRPr="004525E3" w:rsidR="0029166F" w:rsidP="006F2A87" w:rsidRDefault="00893886">
            <w:pPr>
              <w:pStyle w:val="Definition"/>
              <w:numPr>
                <w:ilvl w:val="0"/>
                <w:numId w:val="30"/>
              </w:numPr>
              <w:rPr>
                <w:rFonts w:cs="Times New Roman"/>
                <w:b/>
                <w:szCs w:val="22"/>
              </w:rPr>
            </w:pPr>
            <w:r w:rsidRPr="004525E3">
              <w:rPr>
                <w:rFonts w:cs="Times New Roman"/>
                <w:szCs w:val="22"/>
              </w:rPr>
              <w:t xml:space="preserve">Notice of a drawdown to be given no less than </w:t>
            </w:r>
            <w:r w:rsidRPr="004525E3" w:rsidR="00C25DD8">
              <w:rPr>
                <w:rFonts w:cs="Times New Roman"/>
                <w:szCs w:val="22"/>
              </w:rPr>
              <w:t>[</w:t>
            </w:r>
            <w:r w:rsidRPr="004525E3">
              <w:rPr>
                <w:rFonts w:cs="Times New Roman"/>
                <w:szCs w:val="22"/>
              </w:rPr>
              <w:t>10 business</w:t>
            </w:r>
            <w:r w:rsidRPr="004525E3" w:rsidR="00C25DD8">
              <w:rPr>
                <w:rFonts w:cs="Times New Roman"/>
                <w:szCs w:val="22"/>
              </w:rPr>
              <w:t>]</w:t>
            </w:r>
            <w:r w:rsidRPr="004525E3">
              <w:rPr>
                <w:rFonts w:cs="Times New Roman"/>
                <w:szCs w:val="22"/>
              </w:rPr>
              <w:t xml:space="preserve"> days before it is due</w:t>
            </w:r>
            <w:r w:rsidRPr="004525E3" w:rsidR="00DA128F">
              <w:rPr>
                <w:rFonts w:cs="Times New Roman"/>
                <w:szCs w:val="22"/>
              </w:rPr>
              <w:t xml:space="preserve"> and specifying in reasonable detail the purposes of </w:t>
            </w:r>
            <w:r w:rsidRPr="004525E3" w:rsidR="00D156B8">
              <w:rPr>
                <w:rFonts w:cs="Times New Roman"/>
                <w:szCs w:val="22"/>
              </w:rPr>
              <w:t>the</w:t>
            </w:r>
            <w:r w:rsidRPr="004525E3" w:rsidR="00DA128F">
              <w:rPr>
                <w:rFonts w:cs="Times New Roman"/>
                <w:szCs w:val="22"/>
              </w:rPr>
              <w:t xml:space="preserve"> drawdown</w:t>
            </w:r>
            <w:r w:rsidRPr="004525E3" w:rsidR="00414A65">
              <w:rPr>
                <w:rFonts w:cs="Times New Roman"/>
                <w:szCs w:val="22"/>
              </w:rPr>
              <w:t>.</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b w:val="0"/>
                <w:szCs w:val="22"/>
              </w:rPr>
            </w:pPr>
            <w:r w:rsidRPr="004525E3">
              <w:rPr>
                <w:rFonts w:cs="Times New Roman"/>
                <w:szCs w:val="22"/>
              </w:rPr>
              <w:t>Reinvestment</w:t>
            </w:r>
            <w:r w:rsidRPr="0031373E">
              <w:rPr>
                <w:rStyle w:val="FootnoteReference"/>
                <w:rFonts w:cs="Times New Roman"/>
                <w:b w:val="0"/>
                <w:szCs w:val="22"/>
              </w:rPr>
              <w:footnoteReference w:id="27"/>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In respect of each Limited Partner, the amount available for drawdown shall be increased by the aggregate amount of proceeds distributed to </w:t>
            </w:r>
            <w:r w:rsidRPr="004525E3" w:rsidR="00C25DD8">
              <w:rPr>
                <w:rFonts w:cs="Times New Roman"/>
                <w:szCs w:val="22"/>
              </w:rPr>
              <w:t>such</w:t>
            </w:r>
            <w:r w:rsidRPr="004525E3">
              <w:rPr>
                <w:rFonts w:cs="Times New Roman"/>
                <w:szCs w:val="22"/>
              </w:rPr>
              <w:t xml:space="preserve"> Limited Partner that equals the amount of Capital Contributions of </w:t>
            </w:r>
            <w:r w:rsidRPr="004525E3" w:rsidR="00C25DD8">
              <w:rPr>
                <w:rFonts w:cs="Times New Roman"/>
                <w:szCs w:val="22"/>
              </w:rPr>
              <w:t>such</w:t>
            </w:r>
            <w:r w:rsidRPr="004525E3">
              <w:rPr>
                <w:rFonts w:cs="Times New Roman"/>
                <w:szCs w:val="22"/>
              </w:rPr>
              <w:t xml:space="preserve"> Limited Partner used to fund the acquisition cost of Portfolio Investments realized within [</w:t>
            </w:r>
            <w:r w:rsidRPr="004525E3" w:rsidR="00DA2C0D">
              <w:rPr>
                <w:rFonts w:cs="Times New Roman"/>
                <w:szCs w:val="22"/>
              </w:rPr>
              <w:t>12</w:t>
            </w:r>
            <w:r w:rsidRPr="004525E3" w:rsidR="00B37C61">
              <w:rPr>
                <w:rFonts w:cs="Times New Roman"/>
                <w:szCs w:val="22"/>
              </w:rPr>
              <w:t xml:space="preserve"> to 18</w:t>
            </w:r>
            <w:r w:rsidRPr="004525E3">
              <w:rPr>
                <w:rFonts w:cs="Times New Roman"/>
                <w:szCs w:val="22"/>
              </w:rPr>
              <w:t>] months of their acquisition</w:t>
            </w:r>
            <w:r w:rsidRPr="004525E3" w:rsidR="00B37C61">
              <w:rPr>
                <w:rFonts w:cs="Times New Roman"/>
                <w:szCs w:val="22"/>
              </w:rPr>
              <w:t xml:space="preserve"> during the Commitment Period</w:t>
            </w:r>
            <w:r w:rsidRPr="004525E3">
              <w:rPr>
                <w:rFonts w:cs="Times New Roman"/>
                <w:szCs w:val="22"/>
              </w:rPr>
              <w:t>, plus Fund Expenses, Management Fees and Organizational Expenses provided that such increased amount shall be only used for the purpose of making Portfolio Investments.</w:t>
            </w:r>
          </w:p>
        </w:tc>
      </w:tr>
      <w:tr w:rsidRPr="004525E3" w:rsidR="00BF3D8E" w:rsidTr="005C5777">
        <w:tc>
          <w:tcPr>
            <w:tcW w:w="2694" w:type="dxa"/>
            <w:tcMar>
              <w:top w:w="0" w:type="dxa"/>
              <w:left w:w="0" w:type="dxa"/>
              <w:bottom w:w="0" w:type="dxa"/>
              <w:right w:w="113" w:type="dxa"/>
            </w:tcMar>
            <w:hideMark/>
          </w:tcPr>
          <w:p w:rsidRPr="004525E3" w:rsidR="0029166F" w:rsidP="00916B55" w:rsidRDefault="00893886">
            <w:pPr>
              <w:pStyle w:val="DefinitionTerm"/>
              <w:rPr>
                <w:rFonts w:cs="Times New Roman"/>
                <w:szCs w:val="22"/>
              </w:rPr>
            </w:pPr>
            <w:r w:rsidRPr="004525E3">
              <w:rPr>
                <w:rFonts w:cs="Times New Roman"/>
                <w:szCs w:val="22"/>
              </w:rPr>
              <w:t>Bridge Investments</w:t>
            </w:r>
            <w:r w:rsidRPr="0031373E" w:rsidR="001001C2">
              <w:rPr>
                <w:rStyle w:val="FootnoteReference"/>
                <w:rFonts w:cs="Times New Roman"/>
                <w:b w:val="0"/>
                <w:szCs w:val="22"/>
              </w:rPr>
              <w:footnoteReference w:id="28"/>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The Fund may provide interim financing to, or make investments that are intended to be of a temporary nature in securities of, any Portfolio Company in connection with a Portfolio</w:t>
            </w:r>
            <w:r w:rsidR="002708BD">
              <w:rPr>
                <w:rFonts w:cs="Times New Roman"/>
                <w:szCs w:val="22"/>
              </w:rPr>
              <w:t xml:space="preserve"> Investment by the Fund in such</w:t>
            </w:r>
            <w:r w:rsidRPr="004525E3">
              <w:rPr>
                <w:rFonts w:cs="Times New Roman"/>
                <w:szCs w:val="22"/>
              </w:rPr>
              <w:t xml:space="preserve"> company (each a </w:t>
            </w:r>
            <w:r w:rsidR="00EC6F22">
              <w:rPr>
                <w:rFonts w:cs="Times New Roman"/>
                <w:szCs w:val="22"/>
              </w:rPr>
              <w:t>“</w:t>
            </w:r>
            <w:r w:rsidRPr="004525E3">
              <w:rPr>
                <w:rFonts w:cs="Times New Roman"/>
                <w:b/>
                <w:bCs/>
                <w:szCs w:val="22"/>
              </w:rPr>
              <w:t>Bridge Investment</w:t>
            </w:r>
            <w:r w:rsidR="00EC6F22">
              <w:rPr>
                <w:rFonts w:cs="Times New Roman"/>
                <w:szCs w:val="22"/>
              </w:rPr>
              <w:t>”</w:t>
            </w:r>
            <w:r w:rsidRPr="004525E3">
              <w:rPr>
                <w:rFonts w:cs="Times New Roman"/>
                <w:szCs w:val="22"/>
              </w:rPr>
              <w:t xml:space="preserve">). </w:t>
            </w:r>
          </w:p>
          <w:p w:rsidRPr="004525E3" w:rsidR="0029166F" w:rsidP="006F2A87" w:rsidRDefault="00893886">
            <w:pPr>
              <w:pStyle w:val="Definition"/>
              <w:numPr>
                <w:ilvl w:val="0"/>
                <w:numId w:val="30"/>
              </w:numPr>
              <w:rPr>
                <w:rFonts w:cs="Times New Roman"/>
                <w:szCs w:val="22"/>
              </w:rPr>
            </w:pPr>
            <w:r w:rsidRPr="004525E3">
              <w:rPr>
                <w:rFonts w:cs="Times New Roman"/>
                <w:szCs w:val="22"/>
              </w:rPr>
              <w:t>If a Bridge Investment is not repaid, refinanced or othe</w:t>
            </w:r>
            <w:r w:rsidRPr="004525E3" w:rsidR="0052608C">
              <w:rPr>
                <w:rFonts w:cs="Times New Roman"/>
                <w:szCs w:val="22"/>
              </w:rPr>
              <w:t>rwise disposed of prior to [12-18</w:t>
            </w:r>
            <w:r w:rsidRPr="004525E3">
              <w:rPr>
                <w:rFonts w:cs="Times New Roman"/>
                <w:szCs w:val="22"/>
              </w:rPr>
              <w:t>] months from the acquisition date, it shall</w:t>
            </w:r>
            <w:r w:rsidRPr="004525E3" w:rsidR="00B37C61">
              <w:rPr>
                <w:rFonts w:cs="Times New Roman"/>
                <w:szCs w:val="22"/>
              </w:rPr>
              <w:t>, unless otherwise agreed by the LP Advisory Committee,</w:t>
            </w:r>
            <w:r w:rsidRPr="004525E3">
              <w:rPr>
                <w:rFonts w:cs="Times New Roman"/>
                <w:szCs w:val="22"/>
              </w:rPr>
              <w:t xml:space="preserve"> cease to be treated as a Bridge In</w:t>
            </w:r>
            <w:r w:rsidRPr="004525E3" w:rsidR="0052608C">
              <w:rPr>
                <w:rFonts w:cs="Times New Roman"/>
                <w:szCs w:val="22"/>
              </w:rPr>
              <w:t>vestment on the lapse of such [12</w:t>
            </w:r>
            <w:r w:rsidRPr="004525E3" w:rsidR="00B37C61">
              <w:rPr>
                <w:rFonts w:cs="Times New Roman"/>
                <w:szCs w:val="22"/>
              </w:rPr>
              <w:t>-18</w:t>
            </w:r>
            <w:r w:rsidRPr="004525E3">
              <w:rPr>
                <w:rFonts w:cs="Times New Roman"/>
                <w:szCs w:val="22"/>
              </w:rPr>
              <w:t>] month period and shall be treated as a permanent Portfolio Investment beginning on the date of acquisition of such Bridge Investment.</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Borrowing and Guarantees</w:t>
            </w:r>
            <w:r w:rsidRPr="004525E3">
              <w:rPr>
                <w:rStyle w:val="FootnoteReference"/>
                <w:rFonts w:cs="Times New Roman"/>
                <w:b w:val="0"/>
                <w:szCs w:val="22"/>
              </w:rPr>
              <w:footnoteReference w:id="29"/>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The Fund may not borrow amounts, issue guarantees or otherwise incur indebtedness except on a short-term basis for periods of less than </w:t>
            </w:r>
            <w:r w:rsidRPr="004525E3" w:rsidR="00850DD7">
              <w:rPr>
                <w:rFonts w:cs="Times New Roman"/>
                <w:szCs w:val="22"/>
              </w:rPr>
              <w:t>[12-18</w:t>
            </w:r>
            <w:r w:rsidRPr="004525E3">
              <w:rPr>
                <w:rFonts w:cs="Times New Roman"/>
                <w:szCs w:val="22"/>
              </w:rPr>
              <w:t xml:space="preserve"> months</w:t>
            </w:r>
            <w:r w:rsidRPr="004525E3" w:rsidR="00850DD7">
              <w:rPr>
                <w:rFonts w:cs="Times New Roman"/>
                <w:szCs w:val="22"/>
              </w:rPr>
              <w:t>]</w:t>
            </w:r>
            <w:r w:rsidRPr="004525E3">
              <w:rPr>
                <w:rFonts w:cs="Times New Roman"/>
                <w:szCs w:val="22"/>
              </w:rPr>
              <w:t xml:space="preserve"> to finance investments pending receipt by the Fund of drawdowns. </w:t>
            </w:r>
          </w:p>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The aggregate liability of the Fund with respect to all borrowing, guarantees and indebtedness shall not exceed the </w:t>
            </w:r>
            <w:r w:rsidRPr="004525E3">
              <w:rPr>
                <w:rFonts w:cs="Times New Roman"/>
                <w:szCs w:val="22"/>
                <w:u w:val="single"/>
              </w:rPr>
              <w:t>lesser</w:t>
            </w:r>
            <w:r w:rsidRPr="004525E3">
              <w:rPr>
                <w:rFonts w:cs="Times New Roman"/>
                <w:szCs w:val="22"/>
              </w:rPr>
              <w:t xml:space="preserve"> of (A) [</w:t>
            </w:r>
            <w:r w:rsidRPr="004525E3" w:rsidR="00850DD7">
              <w:rPr>
                <w:rFonts w:cs="Times New Roman"/>
                <w:szCs w:val="22"/>
              </w:rPr>
              <w:t>20-30</w:t>
            </w:r>
            <w:r w:rsidRPr="004525E3">
              <w:rPr>
                <w:rFonts w:cs="Times New Roman"/>
                <w:szCs w:val="22"/>
              </w:rPr>
              <w:t>]% of the total Commitments and (B) the aggregate amount of Remaining Commitments</w:t>
            </w:r>
            <w:r w:rsidRPr="004525E3" w:rsidR="001312CE">
              <w:rPr>
                <w:rFonts w:cs="Times New Roman"/>
                <w:szCs w:val="22"/>
              </w:rPr>
              <w:t xml:space="preserve"> less a reasonable estimate in respect of Fund Expenses</w:t>
            </w:r>
            <w:r w:rsidRPr="004525E3">
              <w:rPr>
                <w:rFonts w:cs="Times New Roman"/>
                <w:szCs w:val="22"/>
              </w:rPr>
              <w:t>.</w:t>
            </w:r>
          </w:p>
          <w:p w:rsidRPr="004525E3" w:rsidR="0029166F" w:rsidP="006F2A87" w:rsidRDefault="00893886">
            <w:pPr>
              <w:pStyle w:val="Definition"/>
              <w:numPr>
                <w:ilvl w:val="0"/>
                <w:numId w:val="30"/>
              </w:numPr>
              <w:rPr>
                <w:rFonts w:cs="Times New Roman"/>
                <w:szCs w:val="22"/>
              </w:rPr>
            </w:pPr>
            <w:r w:rsidRPr="004525E3">
              <w:rPr>
                <w:rFonts w:cs="Times New Roman"/>
                <w:szCs w:val="22"/>
              </w:rPr>
              <w:lastRenderedPageBreak/>
              <w:t>[Subject to the foregoing, the Manager or the General Partner may establish a credit facility for the Fund with one or more financial institutions, pursuant to which the Fund</w:t>
            </w:r>
            <w:r w:rsidR="00EC6F22">
              <w:rPr>
                <w:rFonts w:cs="Times New Roman"/>
                <w:szCs w:val="22"/>
              </w:rPr>
              <w:t>’</w:t>
            </w:r>
            <w:r w:rsidRPr="004525E3">
              <w:rPr>
                <w:rFonts w:cs="Times New Roman"/>
                <w:szCs w:val="22"/>
              </w:rPr>
              <w:t>s obligations are secured by a pledge or other grant of a security interest and the assignment by the General Partner to the relevant lender of the rights of the General Partner to deliver drawdown notices to the Limited Partners and to enforce all remedies against Limited Partners that fail to fund their respective Remaining Commitments.]</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lastRenderedPageBreak/>
              <w:t>Management Fee</w:t>
            </w:r>
            <w:r w:rsidRPr="004525E3">
              <w:rPr>
                <w:rStyle w:val="FootnoteReference"/>
                <w:rFonts w:cs="Times New Roman"/>
                <w:b w:val="0"/>
                <w:szCs w:val="22"/>
              </w:rPr>
              <w:footnoteReference w:id="30"/>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 xml:space="preserve">The Management Fee is payable from the date the Fund acquires its first permanent Portfolio Investment to the earlier of the last day of the initial term of the Fund and the appointment of a liquidator other than the General Partner. </w:t>
            </w:r>
          </w:p>
          <w:p w:rsidRPr="004525E3" w:rsidR="0029166F" w:rsidRDefault="00893886">
            <w:pPr>
              <w:pStyle w:val="Definition1"/>
              <w:numPr>
                <w:ilvl w:val="0"/>
                <w:numId w:val="0"/>
              </w:numPr>
              <w:tabs>
                <w:tab w:val="left" w:pos="720"/>
              </w:tabs>
              <w:rPr>
                <w:rFonts w:cs="Times New Roman"/>
                <w:szCs w:val="22"/>
              </w:rPr>
            </w:pPr>
            <w:r w:rsidRPr="004525E3">
              <w:rPr>
                <w:rFonts w:cs="Times New Roman"/>
                <w:szCs w:val="22"/>
              </w:rPr>
              <w:t xml:space="preserve">Until the termination of the Commitment Period or, if earlier, </w:t>
            </w:r>
            <w:r w:rsidRPr="004525E3" w:rsidR="0023670E">
              <w:rPr>
                <w:rFonts w:cs="Times New Roman"/>
                <w:szCs w:val="22"/>
              </w:rPr>
              <w:t>the effective date on which</w:t>
            </w:r>
            <w:r w:rsidRPr="004525E3">
              <w:rPr>
                <w:rFonts w:cs="Times New Roman"/>
                <w:szCs w:val="22"/>
              </w:rPr>
              <w:t xml:space="preserve"> a management fee begins to accrue in respect of a Successor Fund, the Management Fee will be [</w:t>
            </w:r>
            <w:r w:rsidR="00EC6F22">
              <w:rPr>
                <w:rFonts w:ascii="Wingdings 2" w:hAnsi="Wingdings 2" w:cs="Wingdings 2" w:eastAsiaTheme="minorEastAsia"/>
                <w:szCs w:val="22"/>
              </w:rPr>
              <w:t></w:t>
            </w:r>
            <w:r w:rsidRPr="004525E3">
              <w:rPr>
                <w:rFonts w:cs="Times New Roman"/>
                <w:szCs w:val="22"/>
              </w:rPr>
              <w:t>]%</w:t>
            </w:r>
            <w:r w:rsidRPr="004525E3" w:rsidR="003352D9">
              <w:rPr>
                <w:rFonts w:cs="Times New Roman"/>
                <w:szCs w:val="22"/>
              </w:rPr>
              <w:t xml:space="preserve"> </w:t>
            </w:r>
            <w:r w:rsidRPr="004525E3">
              <w:rPr>
                <w:rFonts w:cs="Times New Roman"/>
                <w:szCs w:val="22"/>
              </w:rPr>
              <w:t xml:space="preserve">per </w:t>
            </w:r>
            <w:r w:rsidRPr="004525E3" w:rsidR="00FB7750">
              <w:rPr>
                <w:rFonts w:cs="Times New Roman"/>
                <w:szCs w:val="22"/>
              </w:rPr>
              <w:t>year</w:t>
            </w:r>
            <w:r w:rsidRPr="004525E3">
              <w:rPr>
                <w:rFonts w:cs="Times New Roman"/>
                <w:szCs w:val="22"/>
              </w:rPr>
              <w:t xml:space="preserve"> of the Commitment of each Limited Partner.  </w:t>
            </w:r>
          </w:p>
          <w:p w:rsidRPr="004525E3" w:rsidR="0029166F" w:rsidRDefault="00893886">
            <w:pPr>
              <w:pStyle w:val="Definition1"/>
              <w:numPr>
                <w:ilvl w:val="0"/>
                <w:numId w:val="0"/>
              </w:numPr>
              <w:tabs>
                <w:tab w:val="left" w:pos="720"/>
              </w:tabs>
              <w:rPr>
                <w:rFonts w:cs="Times New Roman"/>
                <w:szCs w:val="22"/>
              </w:rPr>
            </w:pPr>
            <w:r w:rsidRPr="004525E3">
              <w:rPr>
                <w:rFonts w:cs="Times New Roman"/>
                <w:szCs w:val="22"/>
              </w:rPr>
              <w:t>Thereafter (and during any period of suspension of investments) the Management Fee will be [</w:t>
            </w:r>
            <w:r w:rsidR="00EC6F22">
              <w:rPr>
                <w:rFonts w:ascii="Wingdings 2" w:hAnsi="Wingdings 2" w:cs="Wingdings 2" w:eastAsiaTheme="minorEastAsia"/>
                <w:szCs w:val="22"/>
              </w:rPr>
              <w:t></w:t>
            </w:r>
            <w:r w:rsidRPr="004525E3">
              <w:rPr>
                <w:rFonts w:cs="Times New Roman"/>
                <w:szCs w:val="22"/>
              </w:rPr>
              <w:t xml:space="preserve">]% per </w:t>
            </w:r>
            <w:r w:rsidRPr="004525E3" w:rsidR="00FB7750">
              <w:rPr>
                <w:rFonts w:cs="Times New Roman"/>
                <w:szCs w:val="22"/>
              </w:rPr>
              <w:t>year</w:t>
            </w:r>
            <w:r w:rsidRPr="004525E3">
              <w:rPr>
                <w:rFonts w:cs="Times New Roman"/>
                <w:szCs w:val="22"/>
              </w:rPr>
              <w:t xml:space="preserve"> of the Capital Contributions made by </w:t>
            </w:r>
            <w:r w:rsidRPr="004525E3" w:rsidR="00EB4EE4">
              <w:rPr>
                <w:rFonts w:cs="Times New Roman"/>
                <w:szCs w:val="22"/>
              </w:rPr>
              <w:t>such</w:t>
            </w:r>
            <w:r w:rsidRPr="004525E3">
              <w:rPr>
                <w:rFonts w:cs="Times New Roman"/>
                <w:szCs w:val="22"/>
              </w:rPr>
              <w:t xml:space="preserve"> Limited Partner to fund the acquisition cost of Portfolio Investments (other than Temporary Investments), </w:t>
            </w:r>
            <w:r w:rsidRPr="004525E3">
              <w:rPr>
                <w:rFonts w:cs="Times New Roman"/>
                <w:szCs w:val="22"/>
                <w:u w:val="single"/>
              </w:rPr>
              <w:t>less</w:t>
            </w:r>
            <w:r w:rsidRPr="004525E3">
              <w:rPr>
                <w:rFonts w:cs="Times New Roman"/>
                <w:szCs w:val="22"/>
              </w:rPr>
              <w:t xml:space="preserve"> an amount equal to the Acquisition Cost of Portfolio Investments (other than Temporary Investments) that have been realized</w:t>
            </w:r>
            <w:r w:rsidRPr="004525E3" w:rsidR="00356EE3">
              <w:rPr>
                <w:rFonts w:cs="Times New Roman"/>
                <w:szCs w:val="22"/>
              </w:rPr>
              <w:t xml:space="preserve"> (in whole or in part)</w:t>
            </w:r>
            <w:r w:rsidRPr="004525E3">
              <w:rPr>
                <w:rFonts w:cs="Times New Roman"/>
                <w:szCs w:val="22"/>
              </w:rPr>
              <w:t xml:space="preserve">, written off, or permanently written down as of the end of the most recent financial quarter. </w:t>
            </w:r>
          </w:p>
          <w:p w:rsidRPr="004525E3" w:rsidR="0029166F" w:rsidP="0034085D" w:rsidRDefault="00893886">
            <w:pPr>
              <w:pStyle w:val="Definition"/>
              <w:numPr>
                <w:ilvl w:val="0"/>
                <w:numId w:val="30"/>
              </w:numPr>
              <w:rPr>
                <w:rFonts w:cs="Times New Roman"/>
                <w:szCs w:val="22"/>
              </w:rPr>
            </w:pPr>
            <w:r w:rsidRPr="004525E3">
              <w:rPr>
                <w:rFonts w:cs="Times New Roman"/>
                <w:szCs w:val="22"/>
              </w:rPr>
              <w:t>Management Fee is payable in qu</w:t>
            </w:r>
            <w:r w:rsidRPr="004525E3" w:rsidR="0034085D">
              <w:rPr>
                <w:rFonts w:cs="Times New Roman"/>
                <w:szCs w:val="22"/>
              </w:rPr>
              <w:t>arterly instalments in advance.</w:t>
            </w:r>
          </w:p>
        </w:tc>
      </w:tr>
      <w:tr w:rsidRPr="004525E3" w:rsidR="00BF3D8E" w:rsidTr="005C5777">
        <w:tc>
          <w:tcPr>
            <w:tcW w:w="2694" w:type="dxa"/>
            <w:tcMar>
              <w:top w:w="0" w:type="dxa"/>
              <w:left w:w="0" w:type="dxa"/>
              <w:bottom w:w="0" w:type="dxa"/>
              <w:right w:w="113" w:type="dxa"/>
            </w:tcMar>
            <w:hideMark/>
          </w:tcPr>
          <w:p w:rsidRPr="004525E3" w:rsidR="0029166F" w:rsidRDefault="00893886">
            <w:pPr>
              <w:pStyle w:val="DefinitionTerm"/>
              <w:rPr>
                <w:rFonts w:cs="Times New Roman"/>
                <w:szCs w:val="22"/>
              </w:rPr>
            </w:pPr>
            <w:r w:rsidRPr="004525E3">
              <w:rPr>
                <w:rFonts w:cs="Times New Roman"/>
                <w:szCs w:val="22"/>
              </w:rPr>
              <w:t>Management Fee Offset</w:t>
            </w:r>
            <w:r w:rsidRPr="0031373E" w:rsidR="00E5189E">
              <w:rPr>
                <w:rStyle w:val="FootnoteReference"/>
                <w:rFonts w:cs="Times New Roman"/>
                <w:b w:val="0"/>
                <w:szCs w:val="22"/>
              </w:rPr>
              <w:footnoteReference w:id="31"/>
            </w:r>
          </w:p>
        </w:tc>
        <w:tc>
          <w:tcPr>
            <w:tcW w:w="6596" w:type="dxa"/>
            <w:hideMark/>
          </w:tcPr>
          <w:p w:rsidRPr="004525E3" w:rsidR="0029166F" w:rsidP="006F2A87" w:rsidRDefault="00893886">
            <w:pPr>
              <w:pStyle w:val="Definition"/>
              <w:numPr>
                <w:ilvl w:val="0"/>
                <w:numId w:val="30"/>
              </w:numPr>
              <w:rPr>
                <w:rFonts w:cs="Times New Roman"/>
                <w:szCs w:val="22"/>
              </w:rPr>
            </w:pPr>
            <w:r w:rsidRPr="004525E3">
              <w:rPr>
                <w:rFonts w:cs="Times New Roman"/>
                <w:szCs w:val="22"/>
              </w:rPr>
              <w:t>Each quarterly Management Fee instalment shall be reduced (but not below zero) by an amount equal to each Limited Partner</w:t>
            </w:r>
            <w:r w:rsidR="00EC6F22">
              <w:rPr>
                <w:rFonts w:cs="Times New Roman"/>
                <w:szCs w:val="22"/>
              </w:rPr>
              <w:t>’</w:t>
            </w:r>
            <w:r w:rsidRPr="004525E3">
              <w:rPr>
                <w:rFonts w:cs="Times New Roman"/>
                <w:szCs w:val="22"/>
              </w:rPr>
              <w:t xml:space="preserve">s pro rata share of the aggregate amount of Fee Income paid since the preceding payment date. Any excess of Fee Income will roll forward and reduce succeeding Management Fee instalments. Any Fee Income not used to reduce the Management Fee and remaining on the termination of the Fund will be distributed to the non-defaulting Limited Partners in proportion to their Commitments. </w:t>
            </w:r>
          </w:p>
        </w:tc>
      </w:tr>
      <w:tr w:rsidRPr="004525E3" w:rsidR="00026BFF" w:rsidTr="005C5777">
        <w:tc>
          <w:tcPr>
            <w:tcW w:w="2694" w:type="dxa"/>
            <w:tcMar>
              <w:top w:w="0" w:type="dxa"/>
              <w:left w:w="0" w:type="dxa"/>
              <w:bottom w:w="0" w:type="dxa"/>
              <w:right w:w="113" w:type="dxa"/>
            </w:tcMar>
          </w:tcPr>
          <w:p w:rsidRPr="004525E3" w:rsidR="00026BFF" w:rsidP="00026BFF" w:rsidRDefault="00026BFF">
            <w:pPr>
              <w:pStyle w:val="DefinitionTerm"/>
              <w:rPr>
                <w:rFonts w:cs="Times New Roman"/>
                <w:szCs w:val="22"/>
              </w:rPr>
            </w:pPr>
            <w:r w:rsidRPr="004525E3">
              <w:rPr>
                <w:rFonts w:cs="Times New Roman"/>
                <w:szCs w:val="22"/>
              </w:rPr>
              <w:t>Suspension of Investments</w:t>
            </w:r>
            <w:r w:rsidRPr="0031373E" w:rsidR="00E5189E">
              <w:rPr>
                <w:rStyle w:val="FootnoteReference"/>
                <w:rFonts w:cs="Times New Roman"/>
                <w:b w:val="0"/>
                <w:szCs w:val="22"/>
              </w:rPr>
              <w:footnoteReference w:id="32"/>
            </w:r>
          </w:p>
        </w:tc>
        <w:tc>
          <w:tcPr>
            <w:tcW w:w="6596" w:type="dxa"/>
          </w:tcPr>
          <w:p w:rsidRPr="004525E3" w:rsidR="00026BFF" w:rsidP="0014137F" w:rsidRDefault="00026BFF">
            <w:pPr>
              <w:pStyle w:val="Definition"/>
              <w:numPr>
                <w:ilvl w:val="0"/>
                <w:numId w:val="30"/>
              </w:numPr>
              <w:rPr>
                <w:rFonts w:cs="Times New Roman"/>
                <w:szCs w:val="22"/>
              </w:rPr>
            </w:pPr>
            <w:r w:rsidRPr="004525E3">
              <w:rPr>
                <w:rFonts w:cs="Times New Roman"/>
                <w:szCs w:val="22"/>
              </w:rPr>
              <w:t xml:space="preserve">Upon the occurrence of a Key Person Event, the Commitment Period shall be automatically suspended and no drawdown notices may be issued without </w:t>
            </w:r>
            <w:r w:rsidRPr="004525E3" w:rsidR="009C0210">
              <w:rPr>
                <w:rFonts w:cs="Times New Roman"/>
                <w:szCs w:val="22"/>
              </w:rPr>
              <w:t>[</w:t>
            </w:r>
            <w:r w:rsidRPr="004525E3">
              <w:rPr>
                <w:rFonts w:cs="Times New Roman"/>
                <w:szCs w:val="22"/>
              </w:rPr>
              <w:t xml:space="preserve">LP Advisory Committee </w:t>
            </w:r>
            <w:r w:rsidRPr="004525E3" w:rsidR="009C0210">
              <w:rPr>
                <w:rFonts w:cs="Times New Roman"/>
                <w:szCs w:val="22"/>
              </w:rPr>
              <w:t xml:space="preserve">or a Majority in Interest] </w:t>
            </w:r>
            <w:r w:rsidRPr="004525E3">
              <w:rPr>
                <w:rFonts w:cs="Times New Roman"/>
                <w:szCs w:val="22"/>
              </w:rPr>
              <w:t>consent o</w:t>
            </w:r>
            <w:r w:rsidRPr="004525E3" w:rsidR="0014137F">
              <w:rPr>
                <w:rFonts w:cs="Times New Roman"/>
                <w:szCs w:val="22"/>
              </w:rPr>
              <w:t xml:space="preserve">ther than to pay Fund Expenses, </w:t>
            </w:r>
            <w:r w:rsidRPr="004525E3">
              <w:rPr>
                <w:rFonts w:cs="Times New Roman"/>
                <w:szCs w:val="22"/>
              </w:rPr>
              <w:t>complete investments</w:t>
            </w:r>
            <w:r w:rsidRPr="004525E3" w:rsidR="0014137F">
              <w:rPr>
                <w:rFonts w:cs="Times New Roman"/>
                <w:szCs w:val="22"/>
              </w:rPr>
              <w:t xml:space="preserve"> for which the Fund has negotiated a term sheet or entered into a binding agreement prior to such suspension (provided such investments must be closed within [6 months] of the Key Person Event, unless otherwise approved by the LP Advisory Committee), </w:t>
            </w:r>
            <w:r w:rsidR="002708BD">
              <w:rPr>
                <w:rFonts w:cs="Times New Roman"/>
                <w:szCs w:val="22"/>
              </w:rPr>
              <w:t>and</w:t>
            </w:r>
            <w:r w:rsidRPr="004525E3">
              <w:rPr>
                <w:rFonts w:cs="Times New Roman"/>
                <w:szCs w:val="22"/>
              </w:rPr>
              <w:t xml:space="preserve"> repay indebtedness and satisfy liabilities of the Fund incurred prior to such suspension.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Key Person Event</w:t>
            </w:r>
            <w:r w:rsidRPr="004525E3">
              <w:rPr>
                <w:rStyle w:val="FootnoteReference"/>
                <w:rFonts w:cs="Times New Roman"/>
                <w:b w:val="0"/>
                <w:szCs w:val="22"/>
              </w:rPr>
              <w:footnoteReference w:id="33"/>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w:t>
            </w:r>
            <w:r w:rsidR="00EC6F22">
              <w:rPr>
                <w:rFonts w:ascii="Wingdings 2" w:hAnsi="Wingdings 2" w:cs="Wingdings 2" w:eastAsiaTheme="minorEastAsia"/>
                <w:szCs w:val="22"/>
              </w:rPr>
              <w:t></w:t>
            </w:r>
            <w:r w:rsidRPr="004525E3">
              <w:rPr>
                <w:rFonts w:cs="Times New Roman"/>
                <w:szCs w:val="22"/>
              </w:rPr>
              <w:t>], [</w:t>
            </w:r>
            <w:r w:rsidR="00EC6F22">
              <w:rPr>
                <w:rFonts w:ascii="Wingdings 2" w:hAnsi="Wingdings 2" w:cs="Wingdings 2" w:eastAsiaTheme="minorEastAsia"/>
                <w:szCs w:val="22"/>
              </w:rPr>
              <w:t></w:t>
            </w:r>
            <w:r w:rsidRPr="004525E3">
              <w:rPr>
                <w:rFonts w:cs="Times New Roman"/>
                <w:szCs w:val="22"/>
              </w:rPr>
              <w:t>], and [</w:t>
            </w:r>
            <w:r w:rsidR="00EC6F22">
              <w:rPr>
                <w:rFonts w:ascii="Wingdings 2" w:hAnsi="Wingdings 2" w:cs="Wingdings 2" w:eastAsiaTheme="minorEastAsia"/>
                <w:szCs w:val="22"/>
              </w:rPr>
              <w:t></w:t>
            </w:r>
            <w:r w:rsidRPr="004525E3">
              <w:rPr>
                <w:rFonts w:cs="Times New Roman"/>
                <w:szCs w:val="22"/>
              </w:rPr>
              <w:t xml:space="preserve">] shall each be Key Persons. </w:t>
            </w:r>
          </w:p>
          <w:p w:rsidRPr="004525E3" w:rsidR="00026BFF" w:rsidP="00026BFF" w:rsidRDefault="00026BFF">
            <w:pPr>
              <w:pStyle w:val="Definition1"/>
              <w:numPr>
                <w:ilvl w:val="0"/>
                <w:numId w:val="0"/>
              </w:numPr>
              <w:tabs>
                <w:tab w:val="left" w:pos="720"/>
              </w:tabs>
              <w:rPr>
                <w:rFonts w:cs="Times New Roman"/>
                <w:szCs w:val="22"/>
              </w:rPr>
            </w:pPr>
            <w:r w:rsidRPr="004525E3">
              <w:rPr>
                <w:rFonts w:cs="Times New Roman"/>
                <w:szCs w:val="22"/>
              </w:rPr>
              <w:t xml:space="preserve">Key Person Event occurs if (i) during the Commitment Period [NAMES OF KEY PEOPLE </w:t>
            </w:r>
            <w:r w:rsidRPr="004525E3">
              <w:rPr>
                <w:rFonts w:cs="Times New Roman"/>
                <w:szCs w:val="22"/>
                <w:u w:val="single"/>
              </w:rPr>
              <w:t>OR</w:t>
            </w:r>
            <w:r w:rsidRPr="004525E3">
              <w:rPr>
                <w:rFonts w:cs="Times New Roman"/>
                <w:szCs w:val="22"/>
              </w:rPr>
              <w:t xml:space="preserve"> HOW MANY OF THEM] cease to devote substantially all their business time to the affairs of the Fund,</w:t>
            </w:r>
            <w:r w:rsidRPr="004525E3" w:rsidR="00690FB1">
              <w:rPr>
                <w:rFonts w:cs="Times New Roman"/>
                <w:szCs w:val="22"/>
              </w:rPr>
              <w:t xml:space="preserve"> the General Partner, the Manager, parallel funds, the Prior Funds</w:t>
            </w:r>
            <w:r w:rsidRPr="004525E3">
              <w:rPr>
                <w:rFonts w:cs="Times New Roman"/>
                <w:szCs w:val="22"/>
              </w:rPr>
              <w:t xml:space="preserve">, and any Successor Fund, or (ii) there is a Change of Control. </w:t>
            </w:r>
          </w:p>
          <w:p w:rsidRPr="004525E3" w:rsidR="00026BFF" w:rsidP="00026BFF" w:rsidRDefault="00EC6F22">
            <w:pPr>
              <w:pStyle w:val="Definition1"/>
              <w:numPr>
                <w:ilvl w:val="0"/>
                <w:numId w:val="0"/>
              </w:numPr>
              <w:tabs>
                <w:tab w:val="left" w:pos="720"/>
              </w:tabs>
              <w:rPr>
                <w:rFonts w:cs="Times New Roman"/>
                <w:szCs w:val="22"/>
              </w:rPr>
            </w:pPr>
            <w:r>
              <w:rPr>
                <w:rFonts w:cs="Times New Roman"/>
                <w:i/>
                <w:iCs/>
                <w:szCs w:val="22"/>
              </w:rPr>
              <w:t>“</w:t>
            </w:r>
            <w:r w:rsidRPr="004525E3" w:rsidR="00026BFF">
              <w:rPr>
                <w:rFonts w:cs="Times New Roman"/>
                <w:b/>
                <w:bCs/>
                <w:szCs w:val="22"/>
              </w:rPr>
              <w:t>Change of Control</w:t>
            </w:r>
            <w:r>
              <w:rPr>
                <w:rFonts w:cs="Times New Roman"/>
                <w:i/>
                <w:iCs/>
                <w:szCs w:val="22"/>
              </w:rPr>
              <w:t>”</w:t>
            </w:r>
            <w:r w:rsidRPr="004525E3" w:rsidR="00026BFF">
              <w:rPr>
                <w:rFonts w:cs="Times New Roman"/>
                <w:szCs w:val="22"/>
              </w:rPr>
              <w:t xml:space="preserve"> means any conduct that results in (i) the Key Persons ceasing to control the General Partner and the Manager, or (ii) the Key Persons [and the employees of the General Partner, the Manager and their respective Affiliates] together being legally and beneficially entitled to less than [75]% of the Carried Interest.</w:t>
            </w:r>
            <w:r w:rsidRPr="004525E3" w:rsidR="00026BFF">
              <w:rPr>
                <w:rStyle w:val="FootnoteReference"/>
                <w:rFonts w:cs="Times New Roman"/>
                <w:iCs/>
                <w:szCs w:val="22"/>
              </w:rPr>
              <w:footnoteReference w:id="34"/>
            </w:r>
          </w:p>
          <w:p w:rsidRPr="004525E3" w:rsidR="00026BFF" w:rsidP="00690FB1" w:rsidRDefault="00026BFF">
            <w:pPr>
              <w:pStyle w:val="Definition"/>
              <w:numPr>
                <w:ilvl w:val="0"/>
                <w:numId w:val="30"/>
              </w:numPr>
              <w:rPr>
                <w:rFonts w:cs="Times New Roman"/>
                <w:szCs w:val="22"/>
              </w:rPr>
            </w:pPr>
            <w:r w:rsidRPr="004525E3">
              <w:rPr>
                <w:rFonts w:cs="Times New Roman"/>
                <w:szCs w:val="22"/>
              </w:rPr>
              <w:t>The suspension will last until a Majority in Interest either (i) approves a remediation plan for the Key Person Event; or (ii) waives the suspension either generally or with respect to one</w:t>
            </w:r>
            <w:r w:rsidR="002708BD">
              <w:rPr>
                <w:rFonts w:cs="Times New Roman"/>
                <w:szCs w:val="22"/>
              </w:rPr>
              <w:t xml:space="preserve"> or more specified investments.</w:t>
            </w:r>
            <w:r w:rsidRPr="004525E3">
              <w:rPr>
                <w:rFonts w:cs="Times New Roman"/>
                <w:szCs w:val="22"/>
              </w:rPr>
              <w:t xml:space="preserve"> If no such approval or waiver is given within [90 days]</w:t>
            </w:r>
            <w:r w:rsidRPr="004525E3">
              <w:rPr>
                <w:rStyle w:val="FootnoteReference"/>
                <w:rFonts w:cs="Times New Roman"/>
                <w:szCs w:val="22"/>
              </w:rPr>
              <w:footnoteReference w:id="35"/>
            </w:r>
            <w:r w:rsidRPr="004525E3">
              <w:rPr>
                <w:rFonts w:cs="Times New Roman"/>
                <w:szCs w:val="22"/>
              </w:rPr>
              <w:t xml:space="preserve"> of the beginning of the suspension, the Commitment Period will immediately terminate.</w:t>
            </w:r>
          </w:p>
        </w:tc>
      </w:tr>
      <w:tr w:rsidRPr="004525E3" w:rsidR="00026BFF" w:rsidTr="005C5777">
        <w:tc>
          <w:tcPr>
            <w:tcW w:w="2694" w:type="dxa"/>
            <w:tcMar>
              <w:top w:w="0" w:type="dxa"/>
              <w:left w:w="0" w:type="dxa"/>
              <w:bottom w:w="0" w:type="dxa"/>
              <w:right w:w="113" w:type="dxa"/>
            </w:tcMar>
            <w:hideMark/>
          </w:tcPr>
          <w:p w:rsidRPr="00E9352B" w:rsidR="00026BFF" w:rsidP="00026BFF" w:rsidRDefault="00026BFF">
            <w:pPr>
              <w:pStyle w:val="DefinitionTerm"/>
              <w:rPr>
                <w:rFonts w:cs="Times New Roman"/>
                <w:szCs w:val="22"/>
              </w:rPr>
            </w:pPr>
            <w:r w:rsidRPr="00E9352B">
              <w:rPr>
                <w:rFonts w:cs="Times New Roman"/>
                <w:szCs w:val="22"/>
              </w:rPr>
              <w:t>Early Termination of the Fund</w:t>
            </w:r>
            <w:r w:rsidRPr="0031373E" w:rsidR="0031373E">
              <w:rPr>
                <w:rStyle w:val="FootnoteReference"/>
                <w:rFonts w:cs="Times New Roman"/>
                <w:b w:val="0"/>
                <w:szCs w:val="22"/>
              </w:rPr>
              <w:footnoteReference w:id="36"/>
            </w:r>
          </w:p>
        </w:tc>
        <w:tc>
          <w:tcPr>
            <w:tcW w:w="6596" w:type="dxa"/>
            <w:hideMark/>
          </w:tcPr>
          <w:p w:rsidRPr="00E9352B" w:rsidR="00026BFF" w:rsidP="006F2A87" w:rsidRDefault="00026BFF">
            <w:pPr>
              <w:pStyle w:val="Definition"/>
              <w:numPr>
                <w:ilvl w:val="0"/>
                <w:numId w:val="30"/>
              </w:numPr>
              <w:rPr>
                <w:rFonts w:cs="Times New Roman"/>
                <w:szCs w:val="22"/>
              </w:rPr>
            </w:pPr>
            <w:r w:rsidRPr="00E9352B">
              <w:rPr>
                <w:rFonts w:cs="Times New Roman"/>
                <w:szCs w:val="22"/>
              </w:rPr>
              <w:t>The Fund may be terminated early if the Limited Partners elect to terminate the Fund in a removal notice (for cause or without) (see below</w:t>
            </w:r>
            <w:r w:rsidRPr="00E9352B">
              <w:rPr>
                <w:rFonts w:cs="Times New Roman"/>
                <w:i/>
                <w:iCs/>
                <w:szCs w:val="22"/>
              </w:rPr>
              <w:t>, Removal of the General Partner)</w:t>
            </w:r>
            <w:r w:rsidRPr="00E9352B">
              <w:rPr>
                <w:rFonts w:cs="Times New Roman"/>
                <w:szCs w:val="22"/>
              </w:rPr>
              <w:t>;</w:t>
            </w:r>
            <w:r w:rsidRPr="00E9352B">
              <w:rPr>
                <w:rFonts w:cs="Times New Roman"/>
                <w:i/>
                <w:iCs/>
                <w:szCs w:val="22"/>
              </w:rPr>
              <w:t xml:space="preserve"> </w:t>
            </w:r>
            <w:r w:rsidRPr="00E9352B">
              <w:rPr>
                <w:rFonts w:cs="Times New Roman"/>
                <w:szCs w:val="22"/>
              </w:rPr>
              <w:t xml:space="preserve">upon the dissolution of the General Partner or the withdrawal of the General Partner as general partner of the Fund; or upon any event which, under the laws of the Province of Ontario, causes the dissolution of the Fund. </w:t>
            </w:r>
          </w:p>
        </w:tc>
      </w:tr>
      <w:tr w:rsidRPr="004525E3" w:rsidR="00026BFF" w:rsidTr="005C5777">
        <w:tc>
          <w:tcPr>
            <w:tcW w:w="2694" w:type="dxa"/>
            <w:tcMar>
              <w:top w:w="0" w:type="dxa"/>
              <w:left w:w="0" w:type="dxa"/>
              <w:bottom w:w="0" w:type="dxa"/>
              <w:right w:w="113" w:type="dxa"/>
            </w:tcMar>
            <w:hideMark/>
          </w:tcPr>
          <w:p w:rsidRPr="00173CD4" w:rsidR="00026BFF" w:rsidP="00026BFF" w:rsidRDefault="00026BFF">
            <w:pPr>
              <w:pStyle w:val="DefinitionTerm"/>
              <w:rPr>
                <w:rFonts w:cs="Times New Roman"/>
                <w:szCs w:val="22"/>
                <w:highlight w:val="yellow"/>
              </w:rPr>
            </w:pPr>
            <w:r w:rsidRPr="00173CD4">
              <w:rPr>
                <w:rFonts w:cs="Times New Roman"/>
                <w:szCs w:val="22"/>
              </w:rPr>
              <w:t>Removal of the General Partner for Cause</w:t>
            </w:r>
            <w:r w:rsidRPr="0031373E" w:rsidR="0031373E">
              <w:rPr>
                <w:rStyle w:val="FootnoteReference"/>
                <w:rFonts w:cs="Times New Roman"/>
                <w:b w:val="0"/>
                <w:szCs w:val="22"/>
              </w:rPr>
              <w:footnoteReference w:id="37"/>
            </w:r>
          </w:p>
        </w:tc>
        <w:tc>
          <w:tcPr>
            <w:tcW w:w="6596" w:type="dxa"/>
            <w:hideMark/>
          </w:tcPr>
          <w:p w:rsidRPr="00994FBE" w:rsidR="00026BFF" w:rsidP="006F2A87" w:rsidRDefault="00026BFF">
            <w:pPr>
              <w:pStyle w:val="Definition"/>
              <w:numPr>
                <w:ilvl w:val="0"/>
                <w:numId w:val="30"/>
              </w:numPr>
              <w:rPr>
                <w:rFonts w:cs="Times New Roman"/>
                <w:szCs w:val="22"/>
              </w:rPr>
            </w:pPr>
            <w:r w:rsidRPr="00994FBE">
              <w:rPr>
                <w:rFonts w:cs="Times New Roman"/>
                <w:szCs w:val="22"/>
              </w:rPr>
              <w:t xml:space="preserve">The General Partner shall notify the Limited Partners immediately upon the occurrence of any Removal Conduct. After [the entry of final non-appealable verdict, judgment, order or injunction by a court of competent jurisdiction which confirms that] Removal Conduct has occurred, the Limited Partners by written notice approved by a Majority in Interest may elect to either terminate the Fund early or remove the General Partner. </w:t>
            </w:r>
          </w:p>
          <w:p w:rsidRPr="00994FBE" w:rsidR="004043A6" w:rsidP="00A25876" w:rsidRDefault="00EC6F22">
            <w:pPr>
              <w:pStyle w:val="Definition1"/>
              <w:numPr>
                <w:ilvl w:val="0"/>
                <w:numId w:val="0"/>
              </w:numPr>
              <w:tabs>
                <w:tab w:val="left" w:pos="720"/>
              </w:tabs>
              <w:rPr>
                <w:rFonts w:cs="Times New Roman"/>
                <w:szCs w:val="22"/>
              </w:rPr>
            </w:pPr>
            <w:r>
              <w:rPr>
                <w:rFonts w:cs="Times New Roman"/>
                <w:szCs w:val="22"/>
              </w:rPr>
              <w:t>“</w:t>
            </w:r>
            <w:r w:rsidRPr="00994FBE" w:rsidR="00386076">
              <w:rPr>
                <w:rFonts w:cs="Times New Roman"/>
                <w:b/>
                <w:bCs/>
                <w:szCs w:val="22"/>
              </w:rPr>
              <w:t>Removal Conduct</w:t>
            </w:r>
            <w:r>
              <w:rPr>
                <w:rFonts w:cs="Times New Roman"/>
                <w:i/>
                <w:iCs/>
                <w:szCs w:val="22"/>
              </w:rPr>
              <w:t>”</w:t>
            </w:r>
            <w:r w:rsidRPr="00994FBE" w:rsidR="00A25876">
              <w:rPr>
                <w:rFonts w:cs="Times New Roman"/>
                <w:iCs/>
                <w:szCs w:val="22"/>
              </w:rPr>
              <w:t xml:space="preserve"> means</w:t>
            </w:r>
            <w:r w:rsidRPr="00994FBE" w:rsidR="00A25876">
              <w:rPr>
                <w:rFonts w:cs="Times New Roman"/>
                <w:szCs w:val="22"/>
              </w:rPr>
              <w:t xml:space="preserve"> </w:t>
            </w:r>
            <w:r w:rsidRPr="00994FBE" w:rsidR="00026BFF">
              <w:rPr>
                <w:rFonts w:cs="Times New Roman"/>
                <w:szCs w:val="22"/>
              </w:rPr>
              <w:t xml:space="preserve">with respect to </w:t>
            </w:r>
            <w:r w:rsidRPr="00994FBE" w:rsidR="00AE4123">
              <w:rPr>
                <w:rFonts w:cs="Times New Roman"/>
                <w:szCs w:val="22"/>
              </w:rPr>
              <w:t>the General Partner, the Manager,</w:t>
            </w:r>
            <w:r w:rsidRPr="00994FBE" w:rsidR="006F2A87">
              <w:rPr>
                <w:rFonts w:cs="Times New Roman"/>
                <w:szCs w:val="22"/>
              </w:rPr>
              <w:t xml:space="preserve"> any of the Key Persons and any of</w:t>
            </w:r>
            <w:r w:rsidRPr="00994FBE" w:rsidR="00AE4123">
              <w:rPr>
                <w:rFonts w:cs="Times New Roman"/>
                <w:szCs w:val="22"/>
              </w:rPr>
              <w:t xml:space="preserve"> their respective Affiliates, </w:t>
            </w:r>
            <w:r w:rsidRPr="00994FBE" w:rsidR="006F2A87">
              <w:rPr>
                <w:rFonts w:cs="Times New Roman"/>
                <w:szCs w:val="22"/>
              </w:rPr>
              <w:t xml:space="preserve">any conduct </w:t>
            </w:r>
            <w:r w:rsidRPr="00994FBE" w:rsidR="008D2C5B">
              <w:rPr>
                <w:rFonts w:cs="Times New Roman"/>
                <w:szCs w:val="22"/>
              </w:rPr>
              <w:t xml:space="preserve">or lack </w:t>
            </w:r>
            <w:r w:rsidRPr="00994FBE" w:rsidR="00EF513F">
              <w:rPr>
                <w:rFonts w:cs="Times New Roman"/>
                <w:szCs w:val="22"/>
              </w:rPr>
              <w:t>thereof</w:t>
            </w:r>
            <w:r w:rsidRPr="00994FBE" w:rsidR="008D2C5B">
              <w:rPr>
                <w:rFonts w:cs="Times New Roman"/>
                <w:szCs w:val="22"/>
              </w:rPr>
              <w:t xml:space="preserve"> </w:t>
            </w:r>
            <w:r w:rsidRPr="00994FBE" w:rsidR="00EF513F">
              <w:rPr>
                <w:rFonts w:cs="Times New Roman"/>
                <w:szCs w:val="22"/>
              </w:rPr>
              <w:t xml:space="preserve">amounting to: </w:t>
            </w:r>
            <w:r w:rsidRPr="00994FBE" w:rsidR="00E9352B">
              <w:rPr>
                <w:rFonts w:cs="Times New Roman"/>
                <w:szCs w:val="22"/>
              </w:rPr>
              <w:t xml:space="preserve">(i) </w:t>
            </w:r>
            <w:r w:rsidRPr="00994FBE" w:rsidR="00EF513F">
              <w:rPr>
                <w:rFonts w:cs="Times New Roman"/>
                <w:szCs w:val="22"/>
              </w:rPr>
              <w:t>fraud, bad faith</w:t>
            </w:r>
            <w:r w:rsidRPr="00994FBE" w:rsidR="007A2FF9">
              <w:rPr>
                <w:rFonts w:cs="Times New Roman"/>
                <w:szCs w:val="22"/>
              </w:rPr>
              <w:t>,</w:t>
            </w:r>
            <w:r w:rsidRPr="00994FBE" w:rsidR="00EF513F">
              <w:rPr>
                <w:rFonts w:cs="Times New Roman"/>
                <w:szCs w:val="22"/>
              </w:rPr>
              <w:t xml:space="preserve"> </w:t>
            </w:r>
            <w:r w:rsidRPr="00994FBE" w:rsidR="007A2FF9">
              <w:rPr>
                <w:rFonts w:cs="Times New Roman"/>
                <w:szCs w:val="22"/>
              </w:rPr>
              <w:t>[wilful misconduct,] [intentional or gross fault,]</w:t>
            </w:r>
            <w:r w:rsidRPr="00994FBE" w:rsidR="007A2FF9">
              <w:rPr>
                <w:rStyle w:val="FootnoteReference"/>
                <w:rFonts w:cs="Times New Roman"/>
                <w:szCs w:val="22"/>
              </w:rPr>
              <w:footnoteReference w:id="38"/>
            </w:r>
            <w:r w:rsidRPr="00994FBE" w:rsidR="00CB36AC">
              <w:rPr>
                <w:rFonts w:cs="Times New Roman"/>
                <w:szCs w:val="22"/>
              </w:rPr>
              <w:t xml:space="preserve"> </w:t>
            </w:r>
            <w:r w:rsidRPr="00994FBE" w:rsidR="007A2FF9">
              <w:rPr>
                <w:rFonts w:cs="Times New Roman"/>
                <w:szCs w:val="22"/>
              </w:rPr>
              <w:t xml:space="preserve">theft misappropriation of property, embezzlement or breach of trust, </w:t>
            </w:r>
            <w:r w:rsidRPr="00994FBE" w:rsidR="00173CD4">
              <w:rPr>
                <w:rFonts w:cs="Times New Roman"/>
                <w:szCs w:val="22"/>
              </w:rPr>
              <w:t>[</w:t>
            </w:r>
            <w:r w:rsidRPr="00994FBE" w:rsidR="007A2FF9">
              <w:rPr>
                <w:rFonts w:cs="Times New Roman"/>
                <w:szCs w:val="22"/>
              </w:rPr>
              <w:t>determined in a final, non-appealable judgment by a court of competent jurisdiction</w:t>
            </w:r>
            <w:r w:rsidRPr="00994FBE" w:rsidR="00173CD4">
              <w:rPr>
                <w:rFonts w:cs="Times New Roman"/>
                <w:szCs w:val="22"/>
              </w:rPr>
              <w:t>]</w:t>
            </w:r>
            <w:r w:rsidRPr="00994FBE" w:rsidR="00754AA2">
              <w:rPr>
                <w:rFonts w:cs="Times New Roman"/>
                <w:szCs w:val="22"/>
              </w:rPr>
              <w:t>;</w:t>
            </w:r>
            <w:r w:rsidRPr="00994FBE" w:rsidR="007A2FF9">
              <w:rPr>
                <w:rFonts w:cs="Times New Roman"/>
                <w:szCs w:val="22"/>
              </w:rPr>
              <w:t xml:space="preserve"> </w:t>
            </w:r>
            <w:r w:rsidRPr="00994FBE" w:rsidR="00E9352B">
              <w:rPr>
                <w:rFonts w:cs="Times New Roman"/>
                <w:szCs w:val="22"/>
              </w:rPr>
              <w:t>(ii) [gross]</w:t>
            </w:r>
            <w:r w:rsidRPr="00994FBE" w:rsidR="00E9352B">
              <w:rPr>
                <w:rStyle w:val="FootnoteReference"/>
                <w:rFonts w:cs="Times New Roman"/>
                <w:szCs w:val="22"/>
              </w:rPr>
              <w:footnoteReference w:id="39"/>
            </w:r>
            <w:r w:rsidRPr="00994FBE" w:rsidR="00E9352B">
              <w:rPr>
                <w:rFonts w:cs="Times New Roman"/>
                <w:szCs w:val="22"/>
              </w:rPr>
              <w:t xml:space="preserve"> </w:t>
            </w:r>
            <w:r w:rsidRPr="00994FBE" w:rsidR="00E9352B">
              <w:rPr>
                <w:rFonts w:cs="Times New Roman"/>
                <w:szCs w:val="22"/>
              </w:rPr>
              <w:lastRenderedPageBreak/>
              <w:t>negligence [or intentional or gross fault] in relation to activities of the Fund [determined in a final, non-appealable judgment by a court of competent jurisdiction]</w:t>
            </w:r>
            <w:r w:rsidRPr="00994FBE" w:rsidR="00754AA2">
              <w:rPr>
                <w:rFonts w:cs="Times New Roman"/>
                <w:szCs w:val="22"/>
              </w:rPr>
              <w:t xml:space="preserve">; </w:t>
            </w:r>
            <w:r w:rsidRPr="00994FBE" w:rsidR="00E9352B">
              <w:rPr>
                <w:rFonts w:cs="Times New Roman"/>
                <w:szCs w:val="22"/>
              </w:rPr>
              <w:t xml:space="preserve">(iii) </w:t>
            </w:r>
            <w:r w:rsidRPr="00994FBE" w:rsidR="00EF513F">
              <w:rPr>
                <w:rFonts w:cs="Times New Roman"/>
                <w:szCs w:val="22"/>
              </w:rPr>
              <w:t>material breach of the Partnership Agreement</w:t>
            </w:r>
            <w:r w:rsidRPr="00994FBE" w:rsidR="00E9352B">
              <w:rPr>
                <w:rFonts w:cs="Times New Roman"/>
                <w:szCs w:val="22"/>
              </w:rPr>
              <w:t>, the Management Agreement [or of any other Fund Document]</w:t>
            </w:r>
            <w:r w:rsidRPr="00994FBE" w:rsidR="00EF513F">
              <w:rPr>
                <w:rFonts w:cs="Times New Roman"/>
                <w:szCs w:val="22"/>
              </w:rPr>
              <w:t xml:space="preserve"> or breach of the standard of care</w:t>
            </w:r>
            <w:r w:rsidRPr="00994FBE" w:rsidR="00754AA2">
              <w:rPr>
                <w:rFonts w:cs="Times New Roman"/>
                <w:szCs w:val="22"/>
              </w:rPr>
              <w:t>, which have not been remedied within [60] days</w:t>
            </w:r>
            <w:r w:rsidRPr="00994FBE" w:rsidR="00EF513F">
              <w:rPr>
                <w:rFonts w:cs="Times New Roman"/>
                <w:szCs w:val="22"/>
              </w:rPr>
              <w:t xml:space="preserve">; </w:t>
            </w:r>
            <w:r w:rsidR="00D677D9">
              <w:rPr>
                <w:rFonts w:cs="Times New Roman"/>
                <w:szCs w:val="22"/>
              </w:rPr>
              <w:t>(iv) </w:t>
            </w:r>
            <w:r w:rsidRPr="00994FBE" w:rsidR="00EF513F">
              <w:rPr>
                <w:rFonts w:cs="Times New Roman"/>
                <w:szCs w:val="22"/>
              </w:rPr>
              <w:t xml:space="preserve">material violation of securities, commodities, AML/OFAC or corrupt practice laws, rules or regulations in relation to the activities of the Fund; </w:t>
            </w:r>
            <w:r w:rsidRPr="00994FBE" w:rsidR="00754AA2">
              <w:rPr>
                <w:rFonts w:cs="Times New Roman"/>
                <w:szCs w:val="22"/>
              </w:rPr>
              <w:t xml:space="preserve">(v) </w:t>
            </w:r>
            <w:r w:rsidRPr="00994FBE" w:rsidR="00EF513F">
              <w:rPr>
                <w:rFonts w:cs="Times New Roman"/>
                <w:szCs w:val="22"/>
              </w:rPr>
              <w:t xml:space="preserve">criminal conduct; </w:t>
            </w:r>
            <w:r w:rsidRPr="00994FBE" w:rsidR="00754AA2">
              <w:rPr>
                <w:rFonts w:cs="Times New Roman"/>
                <w:szCs w:val="22"/>
              </w:rPr>
              <w:t xml:space="preserve">(vi) </w:t>
            </w:r>
            <w:r w:rsidRPr="00994FBE" w:rsidR="00EF513F">
              <w:rPr>
                <w:rFonts w:cs="Times New Roman"/>
                <w:szCs w:val="22"/>
              </w:rPr>
              <w:t xml:space="preserve">any order, judgment or decree of any court, arbitral tribunal or regulatory authority which prohibits, prevents or materially impairs such Person from carrying on its duties or performing its obligations with respect to the Fund; and </w:t>
            </w:r>
            <w:r w:rsidRPr="00994FBE" w:rsidR="00754AA2">
              <w:rPr>
                <w:rFonts w:cs="Times New Roman"/>
                <w:szCs w:val="22"/>
              </w:rPr>
              <w:t xml:space="preserve">(vii) </w:t>
            </w:r>
            <w:r w:rsidRPr="00994FBE" w:rsidR="00EF513F">
              <w:rPr>
                <w:rFonts w:cs="Times New Roman"/>
                <w:szCs w:val="22"/>
              </w:rPr>
              <w:t>with respect to the General Partner and the Manager only: insolvency, administration, dissolution, liquidation, involuntary reorganization, bankruptcy or suspension of payments.</w:t>
            </w:r>
          </w:p>
          <w:p w:rsidRPr="00994FBE" w:rsidR="00026BFF" w:rsidP="00B029E9" w:rsidRDefault="00026BFF">
            <w:pPr>
              <w:pStyle w:val="Definition1"/>
              <w:numPr>
                <w:ilvl w:val="0"/>
                <w:numId w:val="0"/>
              </w:numPr>
              <w:tabs>
                <w:tab w:val="left" w:pos="720"/>
              </w:tabs>
              <w:rPr>
                <w:rFonts w:cs="Times New Roman"/>
                <w:szCs w:val="22"/>
              </w:rPr>
            </w:pPr>
            <w:r w:rsidRPr="00994FBE">
              <w:rPr>
                <w:rFonts w:cs="Times New Roman"/>
                <w:szCs w:val="22"/>
              </w:rPr>
              <w:t>Upon the removal or termination of the Fund for Removal Conduct, the General Partner will not to be entitled to receive further carried interest distributions [and any amounts thereof retained in escrow</w:t>
            </w:r>
            <w:r w:rsidRPr="00994FBE" w:rsidR="00994FBE">
              <w:rPr>
                <w:rFonts w:cs="Times New Roman"/>
                <w:szCs w:val="22"/>
              </w:rPr>
              <w:t>, if any,</w:t>
            </w:r>
            <w:r w:rsidRPr="00994FBE">
              <w:rPr>
                <w:rFonts w:cs="Times New Roman"/>
                <w:szCs w:val="22"/>
              </w:rPr>
              <w:t xml:space="preserve"> will be distributed to the Limited Partners]. In respect of its Commitment, the removed General Partner shall be treated as a Limited Partner and it and the Affiliated Partners shall not be obliged to invest in new Portfolio Investments, should the Limited Partners elect to appoint a new general partner and continue the Fund.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b w:val="0"/>
                <w:szCs w:val="22"/>
              </w:rPr>
            </w:pPr>
            <w:r w:rsidRPr="004525E3">
              <w:rPr>
                <w:rFonts w:cs="Times New Roman"/>
                <w:szCs w:val="22"/>
              </w:rPr>
              <w:lastRenderedPageBreak/>
              <w:t>Removal of the General Partner Without Cause</w:t>
            </w:r>
            <w:r w:rsidRPr="004525E3">
              <w:rPr>
                <w:rStyle w:val="FootnoteReference"/>
                <w:rFonts w:cs="Times New Roman"/>
                <w:b w:val="0"/>
                <w:szCs w:val="22"/>
              </w:rPr>
              <w:footnoteReference w:id="40"/>
            </w:r>
          </w:p>
        </w:tc>
        <w:tc>
          <w:tcPr>
            <w:tcW w:w="6596" w:type="dxa"/>
            <w:hideMark/>
          </w:tcPr>
          <w:p w:rsidRPr="00994FBE" w:rsidR="00026BFF" w:rsidP="006F2A87" w:rsidRDefault="00026BFF">
            <w:pPr>
              <w:pStyle w:val="Definition"/>
              <w:numPr>
                <w:ilvl w:val="0"/>
                <w:numId w:val="30"/>
              </w:numPr>
              <w:rPr>
                <w:rFonts w:cs="Times New Roman"/>
                <w:szCs w:val="22"/>
              </w:rPr>
            </w:pPr>
            <w:r w:rsidRPr="00994FBE">
              <w:rPr>
                <w:rFonts w:cs="Times New Roman"/>
                <w:szCs w:val="22"/>
              </w:rPr>
              <w:t xml:space="preserve">The Limited Partners may at any time remove and replace the General Partner or terminate the Fund by written notice approved by at least </w:t>
            </w:r>
            <w:r w:rsidRPr="00994FBE" w:rsidR="00B029E9">
              <w:rPr>
                <w:rFonts w:cs="Times New Roman"/>
                <w:szCs w:val="22"/>
              </w:rPr>
              <w:t>[</w:t>
            </w:r>
            <w:r w:rsidRPr="00994FBE" w:rsidR="00B44A5B">
              <w:rPr>
                <w:rFonts w:cs="Times New Roman"/>
                <w:szCs w:val="22"/>
              </w:rPr>
              <w:t>75% to 90</w:t>
            </w:r>
            <w:r w:rsidRPr="00994FBE">
              <w:rPr>
                <w:rFonts w:cs="Times New Roman"/>
                <w:szCs w:val="22"/>
              </w:rPr>
              <w:t>%</w:t>
            </w:r>
            <w:r w:rsidRPr="00994FBE" w:rsidR="00B029E9">
              <w:rPr>
                <w:rFonts w:cs="Times New Roman"/>
                <w:szCs w:val="22"/>
              </w:rPr>
              <w:t>]</w:t>
            </w:r>
            <w:r w:rsidRPr="00994FBE">
              <w:rPr>
                <w:rFonts w:cs="Times New Roman"/>
                <w:szCs w:val="22"/>
              </w:rPr>
              <w:t xml:space="preserve"> in Interest.</w:t>
            </w:r>
          </w:p>
          <w:p w:rsidRPr="00994FBE" w:rsidR="00026BFF" w:rsidP="006F2A87" w:rsidRDefault="00026BFF">
            <w:pPr>
              <w:pStyle w:val="Definition"/>
              <w:numPr>
                <w:ilvl w:val="0"/>
                <w:numId w:val="30"/>
              </w:numPr>
              <w:rPr>
                <w:rFonts w:cs="Times New Roman"/>
                <w:szCs w:val="22"/>
              </w:rPr>
            </w:pPr>
            <w:r w:rsidRPr="00994FBE">
              <w:rPr>
                <w:rFonts w:cs="Times New Roman"/>
                <w:szCs w:val="22"/>
              </w:rPr>
              <w:t xml:space="preserve">Upon such removal or termination of the Fund, the General Partner </w:t>
            </w:r>
            <w:r w:rsidRPr="00994FBE" w:rsidR="00B25024">
              <w:rPr>
                <w:rFonts w:cs="Times New Roman"/>
                <w:szCs w:val="22"/>
              </w:rPr>
              <w:t>will</w:t>
            </w:r>
            <w:r w:rsidRPr="00994FBE">
              <w:rPr>
                <w:rFonts w:cs="Times New Roman"/>
                <w:szCs w:val="22"/>
              </w:rPr>
              <w:t xml:space="preserve"> be entitled to receive further distributions of Carried Interest [immediately and automatically reduced to [</w:t>
            </w:r>
            <w:r w:rsidR="00EC6F22">
              <w:rPr>
                <w:rFonts w:ascii="Wingdings 2" w:hAnsi="Wingdings 2" w:cs="Wingdings 2" w:eastAsiaTheme="minorEastAsia"/>
                <w:szCs w:val="22"/>
              </w:rPr>
              <w:t></w:t>
            </w:r>
            <w:r w:rsidRPr="00994FBE">
              <w:rPr>
                <w:rFonts w:cs="Times New Roman"/>
                <w:szCs w:val="22"/>
              </w:rPr>
              <w:t>]% of the Carried Interest to which it is otherwise entitled]</w:t>
            </w:r>
            <w:r w:rsidRPr="00994FBE">
              <w:rPr>
                <w:rStyle w:val="FootnoteReference"/>
                <w:rFonts w:cs="Times New Roman"/>
                <w:szCs w:val="22"/>
              </w:rPr>
              <w:footnoteReference w:id="41"/>
            </w:r>
            <w:r w:rsidRPr="00994FBE">
              <w:rPr>
                <w:rFonts w:cs="Times New Roman"/>
                <w:szCs w:val="22"/>
              </w:rPr>
              <w:t xml:space="preserve"> with respect to Portfolio Investments made prior to such removal (but not with respect to any Portfolio Investment made thereafter). In respect of its Commitment, the removed General Partner </w:t>
            </w:r>
            <w:r w:rsidRPr="00994FBE" w:rsidR="00EB4D50">
              <w:rPr>
                <w:rFonts w:cs="Times New Roman"/>
                <w:szCs w:val="22"/>
              </w:rPr>
              <w:t>will</w:t>
            </w:r>
            <w:r w:rsidRPr="00994FBE">
              <w:rPr>
                <w:rFonts w:cs="Times New Roman"/>
                <w:szCs w:val="22"/>
              </w:rPr>
              <w:t xml:space="preserve"> be treated as a Limited Partner and it and the Affiliated Partners </w:t>
            </w:r>
            <w:r w:rsidRPr="00994FBE" w:rsidR="00EB4D50">
              <w:rPr>
                <w:rFonts w:cs="Times New Roman"/>
                <w:szCs w:val="22"/>
              </w:rPr>
              <w:t>will</w:t>
            </w:r>
            <w:r w:rsidRPr="00994FBE">
              <w:rPr>
                <w:rFonts w:cs="Times New Roman"/>
                <w:szCs w:val="22"/>
              </w:rPr>
              <w:t xml:space="preserve"> not be obliged to invest in new Portfolio Investments, should the Limited Partners elect to appoint a new general partner and continue the Fund.</w:t>
            </w:r>
          </w:p>
          <w:p w:rsidRPr="00994FBE" w:rsidR="00B029E9" w:rsidP="000C4424" w:rsidRDefault="00B029E9">
            <w:pPr>
              <w:pStyle w:val="Definition"/>
              <w:numPr>
                <w:ilvl w:val="0"/>
                <w:numId w:val="30"/>
              </w:numPr>
              <w:rPr>
                <w:rFonts w:cs="Times New Roman"/>
                <w:szCs w:val="22"/>
              </w:rPr>
            </w:pPr>
            <w:r w:rsidRPr="00994FBE">
              <w:rPr>
                <w:rFonts w:cs="Times New Roman"/>
                <w:szCs w:val="22"/>
              </w:rPr>
              <w:t>[Upon removal without cause of the General Partner, the Manager shall be entitled to collect [on the removal date], the Management Fee that would otherwise be payable to it for the 12 month period immediately following the removal of the General Partner.]</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Appointment of Replacement General Partner</w:t>
            </w:r>
            <w:r w:rsidRPr="0031373E" w:rsidR="0031373E">
              <w:rPr>
                <w:rStyle w:val="FootnoteReference"/>
                <w:rFonts w:cs="Times New Roman"/>
                <w:b w:val="0"/>
                <w:szCs w:val="22"/>
              </w:rPr>
              <w:footnoteReference w:id="42"/>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A Majority in Interest may approve the appointment of a replacement general partner following the removal of the General Partner for cause or without cause.</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b w:val="0"/>
                <w:szCs w:val="22"/>
              </w:rPr>
            </w:pPr>
            <w:r w:rsidRPr="004525E3">
              <w:rPr>
                <w:rFonts w:cs="Times New Roman"/>
                <w:szCs w:val="22"/>
              </w:rPr>
              <w:t>General Partner Clawback</w:t>
            </w:r>
            <w:r w:rsidRPr="004525E3">
              <w:rPr>
                <w:rStyle w:val="FootnoteReference"/>
                <w:rFonts w:cs="Times New Roman"/>
                <w:b w:val="0"/>
                <w:szCs w:val="22"/>
              </w:rPr>
              <w:footnoteReference w:id="43"/>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If, upon the first anniversary of the end of the Commitment Period, the date of the General Partner</w:t>
            </w:r>
            <w:r w:rsidR="00EC6F22">
              <w:rPr>
                <w:rFonts w:cs="Times New Roman"/>
                <w:szCs w:val="22"/>
              </w:rPr>
              <w:t>’</w:t>
            </w:r>
            <w:r w:rsidRPr="004525E3">
              <w:rPr>
                <w:rFonts w:cs="Times New Roman"/>
                <w:szCs w:val="22"/>
              </w:rPr>
              <w:t>s removal, the liquidation and the final distribution of the Fund, or any re-advance of any amounts pursuant to the Limited Partner Giveback:</w:t>
            </w:r>
          </w:p>
          <w:p w:rsidRPr="004525E3" w:rsidR="00026BFF" w:rsidP="006F2A87" w:rsidRDefault="00026BFF">
            <w:pPr>
              <w:pStyle w:val="Definition1"/>
              <w:numPr>
                <w:ilvl w:val="1"/>
                <w:numId w:val="30"/>
              </w:numPr>
              <w:rPr>
                <w:rFonts w:cs="Times New Roman"/>
                <w:szCs w:val="22"/>
              </w:rPr>
            </w:pPr>
            <w:r w:rsidRPr="004525E3">
              <w:rPr>
                <w:rFonts w:cs="Times New Roman"/>
                <w:szCs w:val="22"/>
              </w:rPr>
              <w:t> the General Partner has received cumulative distributions in excess of the amount of Carried Interest distributions that it should have received; or</w:t>
            </w:r>
          </w:p>
          <w:p w:rsidRPr="004525E3" w:rsidR="00026BFF" w:rsidP="006F2A87" w:rsidRDefault="00026BFF">
            <w:pPr>
              <w:pStyle w:val="Definition1"/>
              <w:numPr>
                <w:ilvl w:val="1"/>
                <w:numId w:val="30"/>
              </w:numPr>
              <w:rPr>
                <w:rFonts w:cs="Times New Roman"/>
                <w:szCs w:val="22"/>
              </w:rPr>
            </w:pPr>
            <w:r w:rsidRPr="004525E3">
              <w:rPr>
                <w:rFonts w:cs="Times New Roman"/>
                <w:szCs w:val="22"/>
              </w:rPr>
              <w:t>any Limited Partner has received distributions less than the sum of that such Limited Partner</w:t>
            </w:r>
            <w:r w:rsidR="00EC6F22">
              <w:rPr>
                <w:rFonts w:cs="Times New Roman"/>
                <w:szCs w:val="22"/>
              </w:rPr>
              <w:t>’</w:t>
            </w:r>
            <w:r w:rsidRPr="004525E3">
              <w:rPr>
                <w:rFonts w:cs="Times New Roman"/>
                <w:szCs w:val="22"/>
              </w:rPr>
              <w:t xml:space="preserve">s Capital Contribution and the Preferred Return thereon, </w:t>
            </w:r>
          </w:p>
          <w:p w:rsidRPr="004525E3" w:rsidR="00026BFF" w:rsidP="00026BFF" w:rsidRDefault="00026BFF">
            <w:pPr>
              <w:pStyle w:val="Definition1"/>
              <w:numPr>
                <w:ilvl w:val="0"/>
                <w:numId w:val="0"/>
              </w:numPr>
              <w:tabs>
                <w:tab w:val="left" w:pos="720"/>
              </w:tabs>
              <w:rPr>
                <w:rFonts w:cs="Times New Roman"/>
                <w:szCs w:val="22"/>
              </w:rPr>
            </w:pPr>
            <w:r w:rsidRPr="004525E3">
              <w:rPr>
                <w:rFonts w:cs="Times New Roman"/>
                <w:szCs w:val="22"/>
              </w:rPr>
              <w:t xml:space="preserve">then within </w:t>
            </w:r>
            <w:r w:rsidRPr="004525E3" w:rsidR="006B652D">
              <w:rPr>
                <w:rFonts w:cs="Times New Roman"/>
                <w:szCs w:val="22"/>
              </w:rPr>
              <w:t>[</w:t>
            </w:r>
            <w:r w:rsidRPr="004525E3">
              <w:rPr>
                <w:rFonts w:cs="Times New Roman"/>
                <w:szCs w:val="22"/>
              </w:rPr>
              <w:t>10</w:t>
            </w:r>
            <w:r w:rsidRPr="004525E3" w:rsidR="006B652D">
              <w:rPr>
                <w:rFonts w:cs="Times New Roman"/>
                <w:szCs w:val="22"/>
              </w:rPr>
              <w:t>]</w:t>
            </w:r>
            <w:r w:rsidRPr="004525E3" w:rsidR="006102D9">
              <w:rPr>
                <w:rFonts w:cs="Times New Roman"/>
                <w:szCs w:val="22"/>
              </w:rPr>
              <w:t xml:space="preserve"> business d</w:t>
            </w:r>
            <w:r w:rsidRPr="004525E3">
              <w:rPr>
                <w:rFonts w:cs="Times New Roman"/>
                <w:szCs w:val="22"/>
              </w:rPr>
              <w:t xml:space="preserve">ays of such occurrence the General Partner must notify the Limited Partners of this in writing and contribute to the Fund [(firstly out of escrow account)] the </w:t>
            </w:r>
            <w:r w:rsidRPr="004525E3">
              <w:rPr>
                <w:rFonts w:cs="Times New Roman"/>
                <w:szCs w:val="22"/>
                <w:u w:val="single"/>
              </w:rPr>
              <w:t>lesser</w:t>
            </w:r>
            <w:r w:rsidRPr="004525E3">
              <w:rPr>
                <w:rFonts w:cs="Times New Roman"/>
                <w:szCs w:val="22"/>
              </w:rPr>
              <w:t xml:space="preserve"> of:</w:t>
            </w:r>
          </w:p>
          <w:p w:rsidRPr="004525E3" w:rsidR="00026BFF" w:rsidP="006F2A87" w:rsidRDefault="00026BFF">
            <w:pPr>
              <w:pStyle w:val="Definition1"/>
              <w:numPr>
                <w:ilvl w:val="1"/>
                <w:numId w:val="30"/>
              </w:numPr>
              <w:rPr>
                <w:rFonts w:cs="Times New Roman"/>
                <w:szCs w:val="22"/>
              </w:rPr>
            </w:pPr>
            <w:r w:rsidRPr="004525E3">
              <w:rPr>
                <w:rFonts w:cs="Times New Roman"/>
                <w:szCs w:val="22"/>
              </w:rPr>
              <w:t xml:space="preserve">the </w:t>
            </w:r>
            <w:r w:rsidRPr="004525E3">
              <w:rPr>
                <w:rFonts w:cs="Times New Roman"/>
                <w:szCs w:val="22"/>
                <w:u w:val="single"/>
              </w:rPr>
              <w:t>greater</w:t>
            </w:r>
            <w:r w:rsidRPr="004525E3">
              <w:rPr>
                <w:rFonts w:cs="Times New Roman"/>
                <w:szCs w:val="22"/>
              </w:rPr>
              <w:t xml:space="preserve"> of: (A) the amount of excess distributions received, and (B) the amount of the Limited Partner</w:t>
            </w:r>
            <w:r w:rsidR="00EC6F22">
              <w:rPr>
                <w:rFonts w:cs="Times New Roman"/>
                <w:szCs w:val="22"/>
              </w:rPr>
              <w:t>’</w:t>
            </w:r>
            <w:r w:rsidRPr="004525E3">
              <w:rPr>
                <w:rFonts w:cs="Times New Roman"/>
                <w:szCs w:val="22"/>
              </w:rPr>
              <w:t>s distribution shortfall; and</w:t>
            </w:r>
          </w:p>
          <w:p w:rsidRPr="004525E3" w:rsidR="00026BFF" w:rsidP="006F2A87" w:rsidRDefault="00026BFF">
            <w:pPr>
              <w:pStyle w:val="Definition1"/>
              <w:numPr>
                <w:ilvl w:val="1"/>
                <w:numId w:val="30"/>
              </w:numPr>
              <w:rPr>
                <w:rFonts w:cs="Times New Roman"/>
                <w:szCs w:val="22"/>
              </w:rPr>
            </w:pPr>
            <w:r w:rsidRPr="004525E3">
              <w:rPr>
                <w:rFonts w:cs="Times New Roman"/>
                <w:szCs w:val="22"/>
              </w:rPr>
              <w:t xml:space="preserve">the amount of distributions of Carried Interest received and attributable to such Limited Partner, less the sum of any taxes paid or payable by the General Partner (or its owners) thereon.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Limited Partner Giveback</w:t>
            </w:r>
            <w:r w:rsidRPr="000C4424" w:rsidR="000C4424">
              <w:rPr>
                <w:rStyle w:val="FootnoteReference"/>
                <w:rFonts w:cs="Times New Roman"/>
                <w:b w:val="0"/>
                <w:szCs w:val="22"/>
              </w:rPr>
              <w:footnoteReference w:id="44"/>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The Fund may require the Partners to return distributions to the Fund to the extent not previously returned in an amount sufficient to satisfy all or any portion of the indemnification and other obligations of the Fund, whether such obligations or liabilities arise before or after the last day of the term of the Fund or, with respect to any Partner, before or after such Partner</w:t>
            </w:r>
            <w:r w:rsidR="00EC6F22">
              <w:rPr>
                <w:rFonts w:cs="Times New Roman"/>
                <w:szCs w:val="22"/>
              </w:rPr>
              <w:t>’</w:t>
            </w:r>
            <w:r w:rsidRPr="004525E3">
              <w:rPr>
                <w:rFonts w:cs="Times New Roman"/>
                <w:szCs w:val="22"/>
              </w:rPr>
              <w:t xml:space="preserve">s withdrawal from the Fund. </w:t>
            </w:r>
          </w:p>
          <w:p w:rsidRPr="004525E3" w:rsidR="00026BFF" w:rsidP="00026BFF" w:rsidRDefault="00846FE4">
            <w:pPr>
              <w:pStyle w:val="Definition1"/>
              <w:numPr>
                <w:ilvl w:val="0"/>
                <w:numId w:val="0"/>
              </w:numPr>
              <w:tabs>
                <w:tab w:val="left" w:pos="720"/>
              </w:tabs>
              <w:rPr>
                <w:rFonts w:cs="Times New Roman"/>
                <w:szCs w:val="22"/>
              </w:rPr>
            </w:pPr>
            <w:r w:rsidRPr="004525E3">
              <w:rPr>
                <w:rFonts w:cs="Times New Roman"/>
                <w:szCs w:val="22"/>
              </w:rPr>
              <w:t>Subject to applicable law</w:t>
            </w:r>
            <w:r w:rsidRPr="004525E3" w:rsidR="00EC6F22">
              <w:rPr>
                <w:rFonts w:cs="Times New Roman"/>
                <w:szCs w:val="22"/>
              </w:rPr>
              <w:t>,</w:t>
            </w:r>
            <w:r w:rsidRPr="004525E3">
              <w:rPr>
                <w:rStyle w:val="FootnoteReference"/>
                <w:rFonts w:cs="Times New Roman"/>
                <w:szCs w:val="22"/>
              </w:rPr>
              <w:footnoteReference w:id="45"/>
            </w:r>
            <w:r w:rsidRPr="004525E3">
              <w:rPr>
                <w:rFonts w:cs="Times New Roman"/>
                <w:szCs w:val="22"/>
              </w:rPr>
              <w:t xml:space="preserve"> e</w:t>
            </w:r>
            <w:r w:rsidRPr="004525E3" w:rsidR="00026BFF">
              <w:rPr>
                <w:rFonts w:cs="Times New Roman"/>
                <w:szCs w:val="22"/>
              </w:rPr>
              <w:t>ach Limited Partner</w:t>
            </w:r>
            <w:r w:rsidR="00EC6F22">
              <w:rPr>
                <w:rFonts w:cs="Times New Roman"/>
                <w:szCs w:val="22"/>
              </w:rPr>
              <w:t>’</w:t>
            </w:r>
            <w:r w:rsidRPr="004525E3" w:rsidR="00026BFF">
              <w:rPr>
                <w:rFonts w:cs="Times New Roman"/>
                <w:szCs w:val="22"/>
              </w:rPr>
              <w:t xml:space="preserve">s aggregate liability under the giveback is limited to an amount equal to the </w:t>
            </w:r>
            <w:r w:rsidRPr="004525E3" w:rsidR="00026BFF">
              <w:rPr>
                <w:rFonts w:cs="Times New Roman"/>
                <w:szCs w:val="22"/>
                <w:u w:val="single"/>
              </w:rPr>
              <w:t>lesser</w:t>
            </w:r>
            <w:r w:rsidRPr="004525E3" w:rsidR="00026BFF">
              <w:rPr>
                <w:rFonts w:cs="Times New Roman"/>
                <w:szCs w:val="22"/>
              </w:rPr>
              <w:t xml:space="preserve"> of: (i) [30]% o</w:t>
            </w:r>
            <w:r w:rsidRPr="004525E3" w:rsidR="00883118">
              <w:rPr>
                <w:rFonts w:cs="Times New Roman"/>
                <w:szCs w:val="22"/>
              </w:rPr>
              <w:t>f all distributions received by such</w:t>
            </w:r>
            <w:r w:rsidRPr="004525E3" w:rsidR="00026BFF">
              <w:rPr>
                <w:rFonts w:cs="Times New Roman"/>
                <w:szCs w:val="22"/>
              </w:rPr>
              <w:t xml:space="preserve"> Limited Partner from the Fund; and (ii) [50]% of </w:t>
            </w:r>
            <w:r w:rsidRPr="004525E3" w:rsidR="00883118">
              <w:rPr>
                <w:rFonts w:cs="Times New Roman"/>
                <w:szCs w:val="22"/>
              </w:rPr>
              <w:t>such</w:t>
            </w:r>
            <w:r w:rsidRPr="004525E3" w:rsidR="00026BFF">
              <w:rPr>
                <w:rFonts w:cs="Times New Roman"/>
                <w:szCs w:val="22"/>
              </w:rPr>
              <w:t xml:space="preserve"> Limited Partner</w:t>
            </w:r>
            <w:r w:rsidR="00EC6F22">
              <w:rPr>
                <w:rFonts w:cs="Times New Roman"/>
                <w:szCs w:val="22"/>
              </w:rPr>
              <w:t>’</w:t>
            </w:r>
            <w:r w:rsidRPr="004525E3" w:rsidR="00026BFF">
              <w:rPr>
                <w:rFonts w:cs="Times New Roman"/>
                <w:szCs w:val="22"/>
              </w:rPr>
              <w:t xml:space="preserve">s Commitment.  </w:t>
            </w:r>
          </w:p>
          <w:p w:rsidRPr="004525E3" w:rsidR="00026BFF" w:rsidP="00846FE4" w:rsidRDefault="00026BFF">
            <w:pPr>
              <w:pStyle w:val="Definition1"/>
              <w:numPr>
                <w:ilvl w:val="0"/>
                <w:numId w:val="0"/>
              </w:numPr>
              <w:tabs>
                <w:tab w:val="left" w:pos="720"/>
              </w:tabs>
              <w:rPr>
                <w:rFonts w:cs="Times New Roman"/>
                <w:szCs w:val="22"/>
              </w:rPr>
            </w:pPr>
            <w:r w:rsidRPr="004525E3">
              <w:rPr>
                <w:rFonts w:cs="Times New Roman"/>
                <w:szCs w:val="22"/>
              </w:rPr>
              <w:t>Notwithstanding the foregoing,</w:t>
            </w:r>
            <w:r w:rsidRPr="004525E3" w:rsidR="00846FE4">
              <w:rPr>
                <w:rFonts w:cs="Times New Roman"/>
                <w:szCs w:val="22"/>
              </w:rPr>
              <w:t xml:space="preserve"> but subject to applicable law,</w:t>
            </w:r>
            <w:r w:rsidRPr="004525E3">
              <w:rPr>
                <w:rFonts w:cs="Times New Roman"/>
                <w:szCs w:val="22"/>
              </w:rPr>
              <w:t xml:space="preserve"> no Limited Partner shall be required to return to the Fund any amount distributed by the Fund to </w:t>
            </w:r>
            <w:r w:rsidRPr="004525E3" w:rsidR="00883118">
              <w:rPr>
                <w:rFonts w:cs="Times New Roman"/>
                <w:szCs w:val="22"/>
              </w:rPr>
              <w:t>such</w:t>
            </w:r>
            <w:r w:rsidRPr="004525E3">
              <w:rPr>
                <w:rFonts w:cs="Times New Roman"/>
                <w:szCs w:val="22"/>
              </w:rPr>
              <w:t xml:space="preserve"> Limited Partner after the earlier of: (i) the </w:t>
            </w:r>
            <w:r w:rsidRPr="004525E3" w:rsidR="00846FE4">
              <w:rPr>
                <w:rFonts w:cs="Times New Roman"/>
                <w:szCs w:val="22"/>
              </w:rPr>
              <w:t>[</w:t>
            </w:r>
            <w:r w:rsidRPr="004525E3">
              <w:rPr>
                <w:rFonts w:cs="Times New Roman"/>
                <w:szCs w:val="22"/>
              </w:rPr>
              <w:t>third anniversary</w:t>
            </w:r>
            <w:r w:rsidRPr="004525E3" w:rsidR="00846FE4">
              <w:rPr>
                <w:rFonts w:cs="Times New Roman"/>
                <w:szCs w:val="22"/>
              </w:rPr>
              <w:t>]</w:t>
            </w:r>
            <w:r w:rsidRPr="004525E3">
              <w:rPr>
                <w:rFonts w:cs="Times New Roman"/>
                <w:szCs w:val="22"/>
              </w:rPr>
              <w:t xml:space="preserve"> of such distribution (unless notified by the General Partner that there are ongoing proceedings against the Fund); and (ii) the </w:t>
            </w:r>
            <w:r w:rsidRPr="004525E3" w:rsidR="00884CBE">
              <w:rPr>
                <w:rFonts w:cs="Times New Roman"/>
                <w:szCs w:val="22"/>
              </w:rPr>
              <w:t>[</w:t>
            </w:r>
            <w:r w:rsidRPr="004525E3">
              <w:rPr>
                <w:rFonts w:cs="Times New Roman"/>
                <w:szCs w:val="22"/>
              </w:rPr>
              <w:t>third anniversary</w:t>
            </w:r>
            <w:r w:rsidRPr="004525E3" w:rsidR="00884CBE">
              <w:rPr>
                <w:rFonts w:cs="Times New Roman"/>
                <w:szCs w:val="22"/>
              </w:rPr>
              <w:t>]</w:t>
            </w:r>
            <w:r w:rsidRPr="004525E3">
              <w:rPr>
                <w:rFonts w:cs="Times New Roman"/>
                <w:szCs w:val="22"/>
              </w:rPr>
              <w:t xml:space="preserve"> of the end of the term of the Fund.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Standard of Care</w:t>
            </w:r>
            <w:r w:rsidRPr="000C4424" w:rsidR="000C4424">
              <w:rPr>
                <w:rStyle w:val="FootnoteReference"/>
                <w:rFonts w:cs="Times New Roman"/>
                <w:b w:val="0"/>
                <w:szCs w:val="22"/>
              </w:rPr>
              <w:footnoteReference w:id="46"/>
            </w:r>
          </w:p>
        </w:tc>
        <w:tc>
          <w:tcPr>
            <w:tcW w:w="6596" w:type="dxa"/>
            <w:hideMark/>
          </w:tcPr>
          <w:p w:rsidRPr="004525E3" w:rsidR="00026BFF" w:rsidP="006F2A87" w:rsidRDefault="00026BFF">
            <w:pPr>
              <w:pStyle w:val="Definition"/>
              <w:numPr>
                <w:ilvl w:val="0"/>
                <w:numId w:val="30"/>
              </w:numPr>
              <w:rPr>
                <w:rFonts w:cs="Times New Roman"/>
                <w:szCs w:val="22"/>
              </w:rPr>
            </w:pPr>
            <w:r w:rsidRPr="004525E3">
              <w:rPr>
                <w:szCs w:val="22"/>
              </w:rPr>
              <w:t>The General Partner shall exercis</w:t>
            </w:r>
            <w:r w:rsidRPr="004525E3">
              <w:rPr>
                <w:rStyle w:val="ArtBJStyCont2Char"/>
                <w:rFonts w:eastAsiaTheme="minorHAnsi"/>
                <w:szCs w:val="22"/>
              </w:rPr>
              <w:t>e its powers and discharge its duties under this Agreement honestly, in good faith and in the best interests of the Fund and, in connection therew</w:t>
            </w:r>
            <w:r w:rsidRPr="004525E3">
              <w:rPr>
                <w:szCs w:val="22"/>
              </w:rPr>
              <w:t xml:space="preserve">ith, shall apply the degree of care that a reasonably prudent investment manager would exercise in similar circumstances.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b w:val="0"/>
                <w:szCs w:val="22"/>
              </w:rPr>
            </w:pPr>
            <w:r w:rsidRPr="004525E3">
              <w:rPr>
                <w:rFonts w:cs="Times New Roman"/>
                <w:szCs w:val="22"/>
              </w:rPr>
              <w:t>Exclusivity</w:t>
            </w:r>
            <w:r w:rsidRPr="004525E3">
              <w:rPr>
                <w:rStyle w:val="FootnoteReference"/>
                <w:rFonts w:cs="Times New Roman"/>
                <w:b w:val="0"/>
                <w:szCs w:val="22"/>
              </w:rPr>
              <w:footnoteReference w:id="47"/>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Until the end of the Commitment Period, all investment opportunities received by any of the General Partner, the Manager, any of the Key Persons or any </w:t>
            </w:r>
            <w:r w:rsidRPr="004525E3" w:rsidR="00734350">
              <w:rPr>
                <w:rFonts w:cs="Times New Roman"/>
                <w:szCs w:val="22"/>
              </w:rPr>
              <w:t>of their Affiliates</w:t>
            </w:r>
            <w:r w:rsidRPr="004525E3">
              <w:rPr>
                <w:rFonts w:cs="Times New Roman"/>
                <w:szCs w:val="22"/>
              </w:rPr>
              <w:t>, will first be allocated to the Fund to the extent that (i) such investment opportunities fall within the Investment Objectives, (ii) the Fund has available undrawn commitment, and (iii) the participation by the Fund in such investment opportunity would be in the best interests of the Fund as determined in good faith by the General Partner.</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Co-investment Opportunities</w:t>
            </w:r>
            <w:r w:rsidRPr="004525E3">
              <w:rPr>
                <w:rStyle w:val="FootnoteReference"/>
                <w:rFonts w:cs="Times New Roman"/>
                <w:b w:val="0"/>
                <w:szCs w:val="22"/>
              </w:rPr>
              <w:footnoteReference w:id="48"/>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The </w:t>
            </w:r>
            <w:r w:rsidRPr="004525E3" w:rsidR="00734350">
              <w:rPr>
                <w:rFonts w:cs="Times New Roman"/>
                <w:szCs w:val="22"/>
              </w:rPr>
              <w:t xml:space="preserve">General Partner or </w:t>
            </w:r>
            <w:r w:rsidRPr="004525E3">
              <w:rPr>
                <w:rFonts w:cs="Times New Roman"/>
                <w:szCs w:val="22"/>
              </w:rPr>
              <w:t>Manager may provide co-investment opportunities to any one or more Limited Partners</w:t>
            </w:r>
            <w:r w:rsidRPr="004525E3" w:rsidR="00734350">
              <w:rPr>
                <w:rFonts w:cs="Times New Roman"/>
                <w:szCs w:val="22"/>
              </w:rPr>
              <w:t xml:space="preserve"> or [strategic third parties] [any third party]</w:t>
            </w:r>
            <w:r w:rsidRPr="004525E3">
              <w:rPr>
                <w:rFonts w:cs="Times New Roman"/>
                <w:szCs w:val="22"/>
              </w:rPr>
              <w:t>.</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Successor Funds</w:t>
            </w:r>
            <w:r w:rsidRPr="004525E3">
              <w:rPr>
                <w:rStyle w:val="FootnoteReference"/>
                <w:rFonts w:cs="Times New Roman"/>
                <w:b w:val="0"/>
                <w:szCs w:val="22"/>
              </w:rPr>
              <w:footnoteReference w:id="49"/>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Unl</w:t>
            </w:r>
            <w:r w:rsidRPr="004525E3" w:rsidR="00653AB8">
              <w:rPr>
                <w:rFonts w:cs="Times New Roman"/>
                <w:szCs w:val="22"/>
              </w:rPr>
              <w:t xml:space="preserve">ess with the prior consent of the </w:t>
            </w:r>
            <w:r w:rsidRPr="004525E3" w:rsidR="006B652D">
              <w:rPr>
                <w:rFonts w:cs="Times New Roman"/>
                <w:szCs w:val="22"/>
              </w:rPr>
              <w:t>[</w:t>
            </w:r>
            <w:r w:rsidRPr="004525E3" w:rsidR="00653AB8">
              <w:rPr>
                <w:rFonts w:cs="Times New Roman"/>
                <w:szCs w:val="22"/>
              </w:rPr>
              <w:t xml:space="preserve">LP Advisory Committee or a </w:t>
            </w:r>
            <w:r w:rsidRPr="004525E3">
              <w:rPr>
                <w:rFonts w:cs="Times New Roman"/>
                <w:szCs w:val="22"/>
              </w:rPr>
              <w:t>Majority in Interest</w:t>
            </w:r>
            <w:r w:rsidRPr="004525E3" w:rsidR="006B652D">
              <w:rPr>
                <w:rFonts w:cs="Times New Roman"/>
                <w:szCs w:val="22"/>
              </w:rPr>
              <w:t>]</w:t>
            </w:r>
            <w:r w:rsidRPr="004525E3">
              <w:rPr>
                <w:rFonts w:cs="Times New Roman"/>
                <w:szCs w:val="22"/>
              </w:rPr>
              <w:t xml:space="preserve">, the General Partner and the Manager </w:t>
            </w:r>
            <w:r w:rsidRPr="004525E3" w:rsidR="00C0315B">
              <w:rPr>
                <w:rFonts w:cs="Times New Roman"/>
                <w:szCs w:val="22"/>
              </w:rPr>
              <w:t xml:space="preserve">shall not manage any </w:t>
            </w:r>
            <w:r w:rsidRPr="004525E3">
              <w:rPr>
                <w:rFonts w:cs="Times New Roman"/>
                <w:szCs w:val="22"/>
              </w:rPr>
              <w:t xml:space="preserve">vehicle with investment objectives that </w:t>
            </w:r>
            <w:r w:rsidRPr="004525E3" w:rsidR="00C0315B">
              <w:rPr>
                <w:rFonts w:cs="Times New Roman"/>
                <w:szCs w:val="22"/>
              </w:rPr>
              <w:t>are substantially similar</w:t>
            </w:r>
            <w:r w:rsidRPr="004525E3">
              <w:rPr>
                <w:rFonts w:cs="Times New Roman"/>
                <w:szCs w:val="22"/>
              </w:rPr>
              <w:t xml:space="preserve"> </w:t>
            </w:r>
            <w:r w:rsidRPr="004525E3" w:rsidR="00C0315B">
              <w:rPr>
                <w:rFonts w:cs="Times New Roman"/>
                <w:szCs w:val="22"/>
              </w:rPr>
              <w:t>to</w:t>
            </w:r>
            <w:r w:rsidRPr="004525E3">
              <w:rPr>
                <w:rFonts w:cs="Times New Roman"/>
                <w:szCs w:val="22"/>
              </w:rPr>
              <w:t xml:space="preserve"> the Investment Objectives before the earlier of:</w:t>
            </w:r>
          </w:p>
          <w:p w:rsidRPr="004525E3" w:rsidR="00026BFF" w:rsidP="006F2A87" w:rsidRDefault="00026BFF">
            <w:pPr>
              <w:pStyle w:val="Definition1"/>
              <w:numPr>
                <w:ilvl w:val="1"/>
                <w:numId w:val="30"/>
              </w:numPr>
              <w:rPr>
                <w:rFonts w:cs="Times New Roman"/>
                <w:szCs w:val="22"/>
              </w:rPr>
            </w:pPr>
            <w:r w:rsidRPr="004525E3">
              <w:rPr>
                <w:rFonts w:cs="Times New Roman"/>
                <w:szCs w:val="22"/>
              </w:rPr>
              <w:t xml:space="preserve">the termination of the Commitment Period; </w:t>
            </w:r>
            <w:r w:rsidRPr="004525E3" w:rsidR="00653AB8">
              <w:rPr>
                <w:rFonts w:cs="Times New Roman"/>
                <w:szCs w:val="22"/>
              </w:rPr>
              <w:t>and</w:t>
            </w:r>
          </w:p>
          <w:p w:rsidRPr="004525E3" w:rsidR="00026BFF" w:rsidP="006F2A87" w:rsidRDefault="00026BFF">
            <w:pPr>
              <w:pStyle w:val="Definition1"/>
              <w:numPr>
                <w:ilvl w:val="1"/>
                <w:numId w:val="30"/>
              </w:numPr>
              <w:rPr>
                <w:rFonts w:cs="Times New Roman"/>
                <w:szCs w:val="22"/>
              </w:rPr>
            </w:pPr>
            <w:r w:rsidRPr="004525E3">
              <w:rPr>
                <w:rFonts w:cs="Times New Roman"/>
                <w:szCs w:val="22"/>
              </w:rPr>
              <w:t>the date when 80% of Commitments have been funded, invested or commi</w:t>
            </w:r>
            <w:r w:rsidRPr="004525E3" w:rsidR="00653AB8">
              <w:rPr>
                <w:rFonts w:cs="Times New Roman"/>
                <w:szCs w:val="22"/>
              </w:rPr>
              <w:t>tted or reserved for investment.</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Conflicts of Interest</w:t>
            </w:r>
            <w:r w:rsidRPr="004525E3">
              <w:rPr>
                <w:rStyle w:val="FootnoteReference"/>
                <w:rFonts w:cs="Times New Roman"/>
                <w:b w:val="0"/>
                <w:szCs w:val="22"/>
              </w:rPr>
              <w:footnoteReference w:id="50"/>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The General Partner [and the Manager]</w:t>
            </w:r>
            <w:r w:rsidRPr="004525E3" w:rsidR="00C1007F">
              <w:rPr>
                <w:rFonts w:cs="Times New Roman"/>
                <w:szCs w:val="22"/>
              </w:rPr>
              <w:t xml:space="preserve"> shall not (and shall cause</w:t>
            </w:r>
            <w:r w:rsidRPr="004525E3">
              <w:rPr>
                <w:rFonts w:cs="Times New Roman"/>
                <w:szCs w:val="22"/>
              </w:rPr>
              <w:t xml:space="preserve"> the Fund </w:t>
            </w:r>
            <w:r w:rsidRPr="004525E3" w:rsidR="00C1007F">
              <w:rPr>
                <w:rFonts w:cs="Times New Roman"/>
                <w:szCs w:val="22"/>
              </w:rPr>
              <w:t>not to</w:t>
            </w:r>
            <w:r w:rsidRPr="004525E3">
              <w:rPr>
                <w:rFonts w:cs="Times New Roman"/>
                <w:szCs w:val="22"/>
              </w:rPr>
              <w:t>) directly or indirectly knowingly undertake any conduct constituting an actual or potential conflict of interest between (i) the Fund, any Portfolio Investment or any Portfolio Company on the one hand, and (ii) any Interested Person on the other hand (including the Fund directly or indirectly entering into any investment, divestment or other business transaction with any Interested Person whether or not on arm</w:t>
            </w:r>
            <w:r w:rsidR="00EC6F22">
              <w:rPr>
                <w:rFonts w:cs="Times New Roman"/>
                <w:szCs w:val="22"/>
              </w:rPr>
              <w:t>’</w:t>
            </w:r>
            <w:r w:rsidRPr="004525E3">
              <w:rPr>
                <w:rFonts w:cs="Times New Roman"/>
                <w:szCs w:val="22"/>
              </w:rPr>
              <w:t>s length terms and conditions) without the prior written consen</w:t>
            </w:r>
            <w:r w:rsidR="00F722E6">
              <w:rPr>
                <w:rFonts w:cs="Times New Roman"/>
                <w:szCs w:val="22"/>
              </w:rPr>
              <w:t>t of the LP Advisory Committee.</w:t>
            </w:r>
          </w:p>
          <w:p w:rsidRPr="004525E3" w:rsidR="00026BFF" w:rsidP="006F2A87" w:rsidRDefault="00EC6F22">
            <w:pPr>
              <w:pStyle w:val="Definition"/>
              <w:numPr>
                <w:ilvl w:val="0"/>
                <w:numId w:val="30"/>
              </w:numPr>
              <w:rPr>
                <w:rFonts w:cs="Times New Roman"/>
                <w:szCs w:val="22"/>
              </w:rPr>
            </w:pPr>
            <w:r>
              <w:rPr>
                <w:rFonts w:cs="Times New Roman"/>
                <w:szCs w:val="22"/>
              </w:rPr>
              <w:t>“</w:t>
            </w:r>
            <w:r w:rsidRPr="004525E3" w:rsidR="00026BFF">
              <w:rPr>
                <w:rFonts w:cs="Times New Roman"/>
                <w:b/>
                <w:szCs w:val="22"/>
              </w:rPr>
              <w:t>Interested Person</w:t>
            </w:r>
            <w:r>
              <w:rPr>
                <w:rFonts w:cs="Times New Roman"/>
                <w:szCs w:val="22"/>
              </w:rPr>
              <w:t>”</w:t>
            </w:r>
            <w:r w:rsidRPr="004525E3" w:rsidR="00026BFF">
              <w:rPr>
                <w:rFonts w:cs="Times New Roman"/>
                <w:szCs w:val="22"/>
              </w:rPr>
              <w:t xml:space="preserve"> means </w:t>
            </w:r>
            <w:r w:rsidRPr="004525E3" w:rsidR="00026BFF">
              <w:rPr>
                <w:szCs w:val="22"/>
              </w:rPr>
              <w:t>each of the General Partner, the Manager, any Key Person, any member of the General Partner</w:t>
            </w:r>
            <w:r>
              <w:rPr>
                <w:szCs w:val="22"/>
              </w:rPr>
              <w:t>’</w:t>
            </w:r>
            <w:r w:rsidRPr="004525E3" w:rsidR="00026BFF">
              <w:rPr>
                <w:szCs w:val="22"/>
              </w:rPr>
              <w:t>s or Manager</w:t>
            </w:r>
            <w:r>
              <w:rPr>
                <w:szCs w:val="22"/>
              </w:rPr>
              <w:t>’</w:t>
            </w:r>
            <w:r w:rsidRPr="004525E3" w:rsidR="00026BFF">
              <w:rPr>
                <w:szCs w:val="22"/>
              </w:rPr>
              <w:t>s investment committee, any of their respective relatives, employees, directors, officers, members, shareholders and partners and any Affiliate of any of the foregoing.</w:t>
            </w:r>
            <w:r w:rsidR="00F722E6">
              <w:rPr>
                <w:rStyle w:val="FootnoteReference"/>
                <w:szCs w:val="22"/>
              </w:rPr>
              <w:footnoteReference w:id="51"/>
            </w:r>
          </w:p>
          <w:p w:rsidRPr="004525E3" w:rsidR="00026BFF" w:rsidP="006F2A87" w:rsidRDefault="00026BFF">
            <w:pPr>
              <w:pStyle w:val="Definition"/>
              <w:numPr>
                <w:ilvl w:val="0"/>
                <w:numId w:val="30"/>
              </w:numPr>
              <w:rPr>
                <w:rFonts w:cs="Times New Roman"/>
                <w:szCs w:val="22"/>
              </w:rPr>
            </w:pPr>
            <w:r w:rsidRPr="004525E3">
              <w:rPr>
                <w:rFonts w:cs="Times New Roman"/>
                <w:szCs w:val="22"/>
              </w:rPr>
              <w:lastRenderedPageBreak/>
              <w:t xml:space="preserve">Each of the General Partner [and the Manager] must promptly disclose all actual or material potential conflicts of interest of which it is aware to the LP Advisory Committee. </w:t>
            </w:r>
          </w:p>
        </w:tc>
      </w:tr>
      <w:tr w:rsidRPr="004525E3" w:rsidR="00026BFF" w:rsidTr="005C5777">
        <w:tc>
          <w:tcPr>
            <w:tcW w:w="2694" w:type="dxa"/>
            <w:tcMar>
              <w:top w:w="0" w:type="dxa"/>
              <w:left w:w="0" w:type="dxa"/>
              <w:bottom w:w="0" w:type="dxa"/>
              <w:right w:w="113" w:type="dxa"/>
            </w:tcMar>
            <w:hideMark/>
          </w:tcPr>
          <w:p w:rsidRPr="00F722E6" w:rsidR="00026BFF" w:rsidP="00026BFF" w:rsidRDefault="00026BFF">
            <w:pPr>
              <w:pStyle w:val="DefinitionTerm"/>
              <w:rPr>
                <w:rFonts w:cs="Times New Roman"/>
                <w:b w:val="0"/>
                <w:szCs w:val="22"/>
              </w:rPr>
            </w:pPr>
            <w:r w:rsidRPr="004525E3">
              <w:rPr>
                <w:rFonts w:cs="Times New Roman"/>
                <w:szCs w:val="22"/>
              </w:rPr>
              <w:lastRenderedPageBreak/>
              <w:t>Organizational Expenses</w:t>
            </w:r>
            <w:r w:rsidRPr="00F722E6" w:rsidR="00F722E6">
              <w:rPr>
                <w:rStyle w:val="FootnoteReference"/>
                <w:rFonts w:cs="Times New Roman"/>
                <w:b w:val="0"/>
                <w:szCs w:val="22"/>
              </w:rPr>
              <w:footnoteReference w:id="52"/>
            </w:r>
          </w:p>
        </w:tc>
        <w:tc>
          <w:tcPr>
            <w:tcW w:w="6596" w:type="dxa"/>
            <w:hideMark/>
          </w:tcPr>
          <w:p w:rsidRPr="004525E3" w:rsidR="00026BFF" w:rsidP="00EC6F22" w:rsidRDefault="00026BFF">
            <w:pPr>
              <w:pStyle w:val="Definition"/>
              <w:numPr>
                <w:ilvl w:val="0"/>
                <w:numId w:val="30"/>
              </w:numPr>
              <w:rPr>
                <w:rFonts w:cs="Times New Roman"/>
                <w:szCs w:val="22"/>
              </w:rPr>
            </w:pPr>
            <w:r w:rsidRPr="004525E3">
              <w:rPr>
                <w:rFonts w:cs="Times New Roman"/>
                <w:szCs w:val="22"/>
              </w:rPr>
              <w:t xml:space="preserve">The Fund shall pay or reimburse the General Partner and its Affiliates for their </w:t>
            </w:r>
            <w:r w:rsidRPr="004525E3">
              <w:rPr>
                <w:rFonts w:cs="Times New Roman"/>
                <w:i/>
                <w:szCs w:val="22"/>
              </w:rPr>
              <w:t>pro rata</w:t>
            </w:r>
            <w:r w:rsidRPr="004525E3">
              <w:rPr>
                <w:rFonts w:cs="Times New Roman"/>
                <w:szCs w:val="22"/>
              </w:rPr>
              <w:t xml:space="preserve"> share of all fees, costs and expenses reasonably and properly incurred by any of them in connection with the formation</w:t>
            </w:r>
            <w:r w:rsidRPr="004525E3" w:rsidR="00CB48C1">
              <w:rPr>
                <w:rFonts w:cs="Times New Roman"/>
                <w:szCs w:val="22"/>
              </w:rPr>
              <w:t>, offering and funding</w:t>
            </w:r>
            <w:r w:rsidRPr="004525E3">
              <w:rPr>
                <w:rFonts w:cs="Times New Roman"/>
                <w:szCs w:val="22"/>
              </w:rPr>
              <w:t xml:space="preserve"> of the Fund,</w:t>
            </w:r>
            <w:r w:rsidRPr="004525E3" w:rsidR="00CB48C1">
              <w:rPr>
                <w:rFonts w:cs="Times New Roman"/>
                <w:szCs w:val="22"/>
              </w:rPr>
              <w:t xml:space="preserve"> the General Partner, the Parallel Vehicles and their respective general partners, as applicable,</w:t>
            </w:r>
            <w:r w:rsidRPr="004525E3">
              <w:rPr>
                <w:rFonts w:cs="Times New Roman"/>
                <w:szCs w:val="22"/>
              </w:rPr>
              <w:t xml:space="preserve"> including</w:t>
            </w:r>
            <w:r w:rsidRPr="004525E3" w:rsidR="007F0344">
              <w:rPr>
                <w:rFonts w:cs="Times New Roman"/>
                <w:szCs w:val="22"/>
              </w:rPr>
              <w:t xml:space="preserve"> related </w:t>
            </w:r>
            <w:r w:rsidRPr="004525E3" w:rsidR="00CB48C1">
              <w:rPr>
                <w:rFonts w:cs="Times New Roman"/>
                <w:szCs w:val="22"/>
              </w:rPr>
              <w:t xml:space="preserve">legal, consulting, accounting, regulatory filings, printing, </w:t>
            </w:r>
            <w:r w:rsidRPr="004525E3">
              <w:rPr>
                <w:rFonts w:cs="Times New Roman"/>
                <w:szCs w:val="22"/>
              </w:rPr>
              <w:t>travel, meals and lodging</w:t>
            </w:r>
            <w:r w:rsidRPr="004525E3" w:rsidR="00CB48C1">
              <w:rPr>
                <w:rFonts w:cs="Times New Roman"/>
                <w:szCs w:val="22"/>
              </w:rPr>
              <w:t>/accommodation</w:t>
            </w:r>
            <w:r w:rsidRPr="00F722E6" w:rsidR="00CB48C1">
              <w:rPr>
                <w:rFonts w:cs="Times New Roman"/>
                <w:szCs w:val="22"/>
              </w:rPr>
              <w:t xml:space="preserve"> [</w:t>
            </w:r>
            <w:r w:rsidRPr="00F722E6">
              <w:rPr>
                <w:rFonts w:cs="Times New Roman"/>
                <w:szCs w:val="22"/>
              </w:rPr>
              <w:t xml:space="preserve">but not including entertainment expenses or </w:t>
            </w:r>
            <w:r w:rsidRPr="00F722E6" w:rsidR="00CB48C1">
              <w:rPr>
                <w:rFonts w:cs="Times New Roman"/>
                <w:szCs w:val="22"/>
              </w:rPr>
              <w:t>the costs of private air travel in excess of business class commercial airfare]</w:t>
            </w:r>
            <w:r w:rsidRPr="00F722E6">
              <w:rPr>
                <w:rFonts w:cs="Times New Roman"/>
                <w:szCs w:val="22"/>
              </w:rPr>
              <w:t xml:space="preserve"> and </w:t>
            </w:r>
            <w:r w:rsidRPr="00F722E6" w:rsidR="00CB48C1">
              <w:rPr>
                <w:rFonts w:cs="Times New Roman"/>
                <w:szCs w:val="22"/>
              </w:rPr>
              <w:t>including expenses related to the preparation or amendment of the Fund</w:t>
            </w:r>
            <w:r w:rsidR="00EC6F22">
              <w:rPr>
                <w:rFonts w:cs="Times New Roman"/>
                <w:szCs w:val="22"/>
              </w:rPr>
              <w:t>’</w:t>
            </w:r>
            <w:r w:rsidRPr="00F722E6" w:rsidR="00CB48C1">
              <w:rPr>
                <w:rFonts w:cs="Times New Roman"/>
                <w:szCs w:val="22"/>
              </w:rPr>
              <w:t>s and any Parallel Vehicle</w:t>
            </w:r>
            <w:r w:rsidR="00EC6F22">
              <w:rPr>
                <w:rFonts w:cs="Times New Roman"/>
                <w:szCs w:val="22"/>
              </w:rPr>
              <w:t>’</w:t>
            </w:r>
            <w:r w:rsidRPr="00F722E6" w:rsidR="00CB48C1">
              <w:rPr>
                <w:rFonts w:cs="Times New Roman"/>
                <w:szCs w:val="22"/>
              </w:rPr>
              <w:t xml:space="preserve">s governing documentation and </w:t>
            </w:r>
            <w:r w:rsidRPr="00F722E6" w:rsidR="00344B51">
              <w:rPr>
                <w:rFonts w:cs="Times New Roman"/>
                <w:szCs w:val="22"/>
              </w:rPr>
              <w:t>related ancillary documentation</w:t>
            </w:r>
            <w:r w:rsidRPr="00F722E6" w:rsidR="00CB48C1">
              <w:rPr>
                <w:rFonts w:cs="Times New Roman"/>
                <w:szCs w:val="22"/>
              </w:rPr>
              <w:t>[</w:t>
            </w:r>
            <w:r w:rsidRPr="00F722E6" w:rsidR="00344B51">
              <w:rPr>
                <w:rFonts w:cs="Times New Roman"/>
                <w:szCs w:val="22"/>
              </w:rPr>
              <w:t xml:space="preserve">, </w:t>
            </w:r>
            <w:r w:rsidRPr="00F722E6">
              <w:rPr>
                <w:rFonts w:cs="Times New Roman"/>
                <w:szCs w:val="22"/>
              </w:rPr>
              <w:t xml:space="preserve">the costs of compliance with the </w:t>
            </w:r>
            <w:r w:rsidR="00EC6F22">
              <w:rPr>
                <w:rFonts w:cs="Times New Roman"/>
                <w:szCs w:val="22"/>
              </w:rPr>
              <w:t>“</w:t>
            </w:r>
            <w:r w:rsidRPr="00F722E6">
              <w:rPr>
                <w:rFonts w:cs="Times New Roman"/>
                <w:i/>
                <w:iCs/>
                <w:szCs w:val="22"/>
              </w:rPr>
              <w:t>most favoured nations</w:t>
            </w:r>
            <w:r w:rsidR="00EC6F22">
              <w:rPr>
                <w:rFonts w:cs="Times New Roman"/>
                <w:szCs w:val="22"/>
              </w:rPr>
              <w:t>”</w:t>
            </w:r>
            <w:r w:rsidRPr="00F722E6">
              <w:rPr>
                <w:rFonts w:cs="Times New Roman"/>
                <w:szCs w:val="22"/>
              </w:rPr>
              <w:t xml:space="preserve"> process</w:t>
            </w:r>
            <w:r w:rsidRPr="00F722E6" w:rsidR="00CB48C1">
              <w:rPr>
                <w:rFonts w:cs="Times New Roman"/>
                <w:szCs w:val="22"/>
              </w:rPr>
              <w:t>]</w:t>
            </w:r>
            <w:r w:rsidRPr="00F722E6">
              <w:rPr>
                <w:rFonts w:cs="Times New Roman"/>
                <w:szCs w:val="22"/>
              </w:rPr>
              <w:t>, and</w:t>
            </w:r>
            <w:r w:rsidRPr="004525E3">
              <w:rPr>
                <w:rFonts w:cs="Times New Roman"/>
                <w:szCs w:val="22"/>
              </w:rPr>
              <w:t xml:space="preserve"> excluding the fees and expenses of any placement agent</w:t>
            </w:r>
            <w:r w:rsidRPr="004525E3" w:rsidR="00EC6F22">
              <w:rPr>
                <w:rFonts w:cs="Times New Roman"/>
                <w:szCs w:val="22"/>
              </w:rPr>
              <w:t>,</w:t>
            </w:r>
            <w:r w:rsidR="00173CD4">
              <w:rPr>
                <w:rStyle w:val="FootnoteReference"/>
                <w:rFonts w:cs="Times New Roman"/>
                <w:szCs w:val="22"/>
              </w:rPr>
              <w:footnoteReference w:id="53"/>
            </w:r>
            <w:r w:rsidRPr="004525E3">
              <w:rPr>
                <w:rFonts w:cs="Times New Roman"/>
                <w:szCs w:val="22"/>
              </w:rPr>
              <w:t xml:space="preserve"> up to the lower of [</w:t>
            </w:r>
            <w:r w:rsidR="00EC6F22">
              <w:rPr>
                <w:rFonts w:ascii="Wingdings 2" w:hAnsi="Wingdings 2" w:cs="Wingdings 2" w:eastAsiaTheme="minorEastAsia"/>
                <w:szCs w:val="22"/>
              </w:rPr>
              <w:t></w:t>
            </w:r>
            <w:r w:rsidRPr="004525E3">
              <w:rPr>
                <w:rFonts w:cs="Times New Roman"/>
                <w:szCs w:val="22"/>
              </w:rPr>
              <w:t>]% of aggregate Commitments and [</w:t>
            </w:r>
            <w:r w:rsidR="00EC6F22">
              <w:rPr>
                <w:rFonts w:ascii="Wingdings 2" w:hAnsi="Wingdings 2" w:cs="Wingdings 2" w:eastAsiaTheme="minorEastAsia"/>
                <w:szCs w:val="22"/>
              </w:rPr>
              <w:t></w:t>
            </w:r>
            <w:r w:rsidRPr="004525E3">
              <w:rPr>
                <w:rFonts w:cs="Times New Roman"/>
                <w:szCs w:val="22"/>
              </w:rPr>
              <w:t>]</w:t>
            </w:r>
            <w:r w:rsidRPr="004525E3" w:rsidR="00EC6F22">
              <w:rPr>
                <w:rFonts w:cs="Times New Roman"/>
                <w:szCs w:val="22"/>
              </w:rPr>
              <w:t>.</w:t>
            </w:r>
            <w:r w:rsidRPr="004525E3">
              <w:rPr>
                <w:rStyle w:val="FootnoteReference"/>
                <w:rFonts w:cs="Times New Roman"/>
                <w:szCs w:val="22"/>
              </w:rPr>
              <w:footnoteReference w:id="54"/>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Fund Expenses</w:t>
            </w:r>
            <w:r w:rsidRPr="004525E3">
              <w:rPr>
                <w:rStyle w:val="FootnoteReference"/>
                <w:rFonts w:cs="Times New Roman"/>
                <w:b w:val="0"/>
                <w:szCs w:val="22"/>
              </w:rPr>
              <w:footnoteReference w:id="55"/>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The Fund shall pay all of the Fund</w:t>
            </w:r>
            <w:r w:rsidR="00EC6F22">
              <w:rPr>
                <w:rFonts w:cs="Times New Roman"/>
                <w:szCs w:val="22"/>
              </w:rPr>
              <w:t>’</w:t>
            </w:r>
            <w:r w:rsidRPr="004525E3">
              <w:rPr>
                <w:rFonts w:cs="Times New Roman"/>
                <w:szCs w:val="22"/>
              </w:rPr>
              <w:t xml:space="preserve">s </w:t>
            </w:r>
            <w:r w:rsidRPr="004525E3">
              <w:rPr>
                <w:rFonts w:cs="Times New Roman"/>
                <w:i/>
                <w:szCs w:val="22"/>
              </w:rPr>
              <w:t>pro rata</w:t>
            </w:r>
            <w:r w:rsidRPr="004525E3">
              <w:rPr>
                <w:rFonts w:cs="Times New Roman"/>
                <w:szCs w:val="22"/>
              </w:rPr>
              <w:t xml:space="preserve"> share of the reasonable and properly incurred costs and expenses of the Fund (other than the General Partner Expenses) in each case to the extent not reimbursed by a Portfolio Company as follows:</w:t>
            </w:r>
          </w:p>
          <w:p w:rsidRPr="004525E3" w:rsidR="00026BFF" w:rsidP="006F2A87" w:rsidRDefault="00026BFF">
            <w:pPr>
              <w:pStyle w:val="Definition1"/>
              <w:numPr>
                <w:ilvl w:val="1"/>
                <w:numId w:val="30"/>
              </w:numPr>
              <w:rPr>
                <w:rFonts w:cs="Times New Roman"/>
                <w:szCs w:val="22"/>
              </w:rPr>
            </w:pPr>
            <w:r w:rsidRPr="004525E3">
              <w:rPr>
                <w:rFonts w:cs="Times New Roman"/>
                <w:szCs w:val="22"/>
              </w:rPr>
              <w:t>liquidation expenses of the Fund;</w:t>
            </w:r>
          </w:p>
          <w:p w:rsidRPr="004525E3" w:rsidR="00026BFF" w:rsidP="006F2A87" w:rsidRDefault="00026BFF">
            <w:pPr>
              <w:pStyle w:val="Definition1"/>
              <w:numPr>
                <w:ilvl w:val="1"/>
                <w:numId w:val="30"/>
              </w:numPr>
              <w:rPr>
                <w:rFonts w:cs="Times New Roman"/>
                <w:szCs w:val="22"/>
              </w:rPr>
            </w:pPr>
            <w:r w:rsidRPr="004525E3">
              <w:rPr>
                <w:rFonts w:cs="Times New Roman"/>
                <w:szCs w:val="22"/>
              </w:rPr>
              <w:t xml:space="preserve">sales, withholding, or other taxes, fees or similar government charges </w:t>
            </w:r>
            <w:r w:rsidRPr="004525E3" w:rsidR="007F0344">
              <w:rPr>
                <w:rFonts w:cs="Times New Roman"/>
                <w:szCs w:val="22"/>
              </w:rPr>
              <w:t>that</w:t>
            </w:r>
            <w:r w:rsidRPr="004525E3">
              <w:rPr>
                <w:rFonts w:cs="Times New Roman"/>
                <w:szCs w:val="22"/>
              </w:rPr>
              <w:t xml:space="preserve"> may be assessed against the Fund;</w:t>
            </w:r>
          </w:p>
          <w:p w:rsidRPr="004525E3" w:rsidR="00026BFF" w:rsidP="006F2A87" w:rsidRDefault="00026BFF">
            <w:pPr>
              <w:pStyle w:val="Definition1"/>
              <w:numPr>
                <w:ilvl w:val="1"/>
                <w:numId w:val="30"/>
              </w:numPr>
              <w:rPr>
                <w:rFonts w:cs="Times New Roman"/>
                <w:szCs w:val="22"/>
              </w:rPr>
            </w:pPr>
            <w:r w:rsidRPr="004525E3">
              <w:rPr>
                <w:rFonts w:cs="Times New Roman"/>
                <w:szCs w:val="22"/>
              </w:rPr>
              <w:t> commissions, brokerage fees or similar charges incurred in connection with the purchase or sale of securities;</w:t>
            </w:r>
          </w:p>
          <w:p w:rsidRPr="004525E3" w:rsidR="00026BFF" w:rsidP="006F2A87" w:rsidRDefault="00026BFF">
            <w:pPr>
              <w:pStyle w:val="Definition1"/>
              <w:numPr>
                <w:ilvl w:val="1"/>
                <w:numId w:val="30"/>
              </w:numPr>
              <w:rPr>
                <w:rFonts w:cs="Times New Roman"/>
                <w:szCs w:val="22"/>
              </w:rPr>
            </w:pPr>
            <w:r w:rsidRPr="004525E3">
              <w:rPr>
                <w:rFonts w:cs="Times New Roman"/>
                <w:szCs w:val="22"/>
              </w:rPr>
              <w:t>costs and expenses of meeting with investors and of the LP Advisory Committee;</w:t>
            </w:r>
          </w:p>
          <w:p w:rsidRPr="004525E3" w:rsidR="00026BFF" w:rsidP="006F2A87" w:rsidRDefault="00026BFF">
            <w:pPr>
              <w:pStyle w:val="Definition1"/>
              <w:numPr>
                <w:ilvl w:val="1"/>
                <w:numId w:val="30"/>
              </w:numPr>
              <w:rPr>
                <w:rFonts w:cs="Times New Roman"/>
                <w:szCs w:val="22"/>
              </w:rPr>
            </w:pPr>
            <w:r w:rsidRPr="004525E3">
              <w:rPr>
                <w:rFonts w:cs="Times New Roman"/>
                <w:szCs w:val="22"/>
              </w:rPr>
              <w:t>expenses associated with preparation of the Fund</w:t>
            </w:r>
            <w:r w:rsidR="00EC6F22">
              <w:rPr>
                <w:rFonts w:cs="Times New Roman"/>
                <w:szCs w:val="22"/>
              </w:rPr>
              <w:t>’</w:t>
            </w:r>
            <w:r w:rsidRPr="004525E3">
              <w:rPr>
                <w:rFonts w:cs="Times New Roman"/>
                <w:szCs w:val="22"/>
              </w:rPr>
              <w:t>s financial statements, tax returns and reports to the Partners;</w:t>
            </w:r>
          </w:p>
          <w:p w:rsidRPr="004525E3" w:rsidR="00154B1F" w:rsidP="006F2A87" w:rsidRDefault="00154B1F">
            <w:pPr>
              <w:pStyle w:val="Definition1"/>
              <w:numPr>
                <w:ilvl w:val="1"/>
                <w:numId w:val="30"/>
              </w:numPr>
              <w:rPr>
                <w:rFonts w:cs="Times New Roman"/>
                <w:szCs w:val="22"/>
              </w:rPr>
            </w:pPr>
            <w:r w:rsidRPr="004525E3">
              <w:rPr>
                <w:rFonts w:cs="Times New Roman"/>
                <w:szCs w:val="22"/>
              </w:rPr>
              <w:t>interest expense for Credit Facilities;</w:t>
            </w:r>
          </w:p>
          <w:p w:rsidRPr="004525E3" w:rsidR="00154B1F" w:rsidP="006F2A87" w:rsidRDefault="00154B1F">
            <w:pPr>
              <w:pStyle w:val="Definition1"/>
              <w:numPr>
                <w:ilvl w:val="1"/>
                <w:numId w:val="30"/>
              </w:numPr>
              <w:rPr>
                <w:rFonts w:cs="Times New Roman"/>
                <w:szCs w:val="22"/>
              </w:rPr>
            </w:pPr>
            <w:r w:rsidRPr="004525E3">
              <w:rPr>
                <w:rFonts w:cs="Times New Roman"/>
                <w:szCs w:val="22"/>
              </w:rPr>
              <w:t>fees, cost and expenses incurred in connection with the investigation, diligence, acquisition, holding, monitoring of Portfolio Investments, including broken deal expenses to the extent not borne by the co-investors;</w:t>
            </w:r>
          </w:p>
          <w:p w:rsidRPr="004525E3" w:rsidR="00026BFF" w:rsidP="006F2A87" w:rsidRDefault="00026BFF">
            <w:pPr>
              <w:pStyle w:val="Definition1"/>
              <w:numPr>
                <w:ilvl w:val="1"/>
                <w:numId w:val="30"/>
              </w:numPr>
              <w:rPr>
                <w:rFonts w:cs="Times New Roman"/>
                <w:szCs w:val="22"/>
              </w:rPr>
            </w:pPr>
            <w:r w:rsidRPr="004525E3">
              <w:rPr>
                <w:rFonts w:cs="Times New Roman"/>
                <w:szCs w:val="22"/>
              </w:rPr>
              <w:lastRenderedPageBreak/>
              <w:t>all fees, costs and expenses (including attorneys</w:t>
            </w:r>
            <w:r w:rsidR="00EC6F22">
              <w:rPr>
                <w:rFonts w:cs="Times New Roman"/>
                <w:szCs w:val="22"/>
              </w:rPr>
              <w:t>’</w:t>
            </w:r>
            <w:r w:rsidRPr="004525E3">
              <w:rPr>
                <w:rFonts w:cs="Times New Roman"/>
                <w:szCs w:val="22"/>
              </w:rPr>
              <w:t xml:space="preserve"> fees) relating to litigation and threatened litigation, investigation or other proceeding involving the Fund or any Portfolio Investment, including indemnification expenses; </w:t>
            </w:r>
          </w:p>
          <w:p w:rsidRPr="004525E3" w:rsidR="00154B1F" w:rsidP="006F2A87" w:rsidRDefault="00154B1F">
            <w:pPr>
              <w:pStyle w:val="Definition1"/>
              <w:numPr>
                <w:ilvl w:val="1"/>
                <w:numId w:val="30"/>
              </w:numPr>
              <w:rPr>
                <w:rFonts w:cs="Times New Roman"/>
                <w:szCs w:val="22"/>
              </w:rPr>
            </w:pPr>
            <w:r w:rsidRPr="004525E3">
              <w:rPr>
                <w:rFonts w:cs="Times New Roman"/>
                <w:szCs w:val="22"/>
              </w:rPr>
              <w:t>fees, costs and expenses attributable to normal and extraordinary banking, investment banking, commercial banking, accounting, auditing, appraisal, valuation, administration, consulting, legal</w:t>
            </w:r>
            <w:r w:rsidRPr="004525E3" w:rsidR="00A6455D">
              <w:rPr>
                <w:rFonts w:cs="Times New Roman"/>
                <w:szCs w:val="22"/>
              </w:rPr>
              <w:t>, custodial, depositary, registration, and other professional services provided to the Fund;</w:t>
            </w:r>
          </w:p>
          <w:p w:rsidRPr="004525E3" w:rsidR="00026BFF" w:rsidP="006F2A87" w:rsidRDefault="00026BFF">
            <w:pPr>
              <w:pStyle w:val="Definition1"/>
              <w:numPr>
                <w:ilvl w:val="1"/>
                <w:numId w:val="30"/>
              </w:numPr>
              <w:rPr>
                <w:rFonts w:cs="Times New Roman"/>
                <w:szCs w:val="22"/>
              </w:rPr>
            </w:pPr>
            <w:r w:rsidRPr="004525E3">
              <w:rPr>
                <w:rFonts w:cs="Times New Roman"/>
                <w:szCs w:val="22"/>
              </w:rPr>
              <w:t>reasonable premiums for liability insurance;</w:t>
            </w:r>
          </w:p>
          <w:p w:rsidRPr="004525E3" w:rsidR="00154B1F" w:rsidP="006F2A87" w:rsidRDefault="00154B1F">
            <w:pPr>
              <w:pStyle w:val="Definition1"/>
              <w:numPr>
                <w:ilvl w:val="1"/>
                <w:numId w:val="30"/>
              </w:numPr>
              <w:rPr>
                <w:rFonts w:cs="Times New Roman"/>
                <w:szCs w:val="22"/>
              </w:rPr>
            </w:pPr>
            <w:r w:rsidRPr="004525E3">
              <w:rPr>
                <w:rFonts w:cs="Times New Roman"/>
                <w:szCs w:val="22"/>
              </w:rPr>
              <w:t xml:space="preserve">costs associated with Parallel Vehicles, Alternative Vehicles, and Feeder Entities; </w:t>
            </w:r>
          </w:p>
          <w:p w:rsidRPr="004525E3" w:rsidR="00026BFF" w:rsidP="006F2A87" w:rsidRDefault="00026BFF">
            <w:pPr>
              <w:pStyle w:val="Definition1"/>
              <w:numPr>
                <w:ilvl w:val="1"/>
                <w:numId w:val="30"/>
              </w:numPr>
              <w:rPr>
                <w:rFonts w:cs="Times New Roman"/>
                <w:szCs w:val="22"/>
              </w:rPr>
            </w:pPr>
            <w:r w:rsidRPr="004525E3">
              <w:rPr>
                <w:rFonts w:cs="Times New Roman"/>
                <w:szCs w:val="22"/>
              </w:rPr>
              <w:t>expenses incurred or related to audits of the Fund conducted by regulatory bodies;</w:t>
            </w:r>
          </w:p>
          <w:p w:rsidRPr="004525E3" w:rsidR="00154B1F" w:rsidP="006F2A87" w:rsidRDefault="00026BFF">
            <w:pPr>
              <w:pStyle w:val="Definition1"/>
              <w:numPr>
                <w:ilvl w:val="1"/>
                <w:numId w:val="30"/>
              </w:numPr>
              <w:rPr>
                <w:rFonts w:cs="Times New Roman"/>
                <w:szCs w:val="22"/>
              </w:rPr>
            </w:pPr>
            <w:r w:rsidRPr="004525E3">
              <w:rPr>
                <w:rFonts w:cs="Times New Roman"/>
                <w:szCs w:val="22"/>
              </w:rPr>
              <w:t>the Management Fee; and</w:t>
            </w:r>
          </w:p>
          <w:p w:rsidRPr="004525E3" w:rsidR="00026BFF" w:rsidP="006F2A87" w:rsidRDefault="00026BFF">
            <w:pPr>
              <w:pStyle w:val="Definition1"/>
              <w:numPr>
                <w:ilvl w:val="1"/>
                <w:numId w:val="30"/>
              </w:numPr>
              <w:rPr>
                <w:rFonts w:cs="Times New Roman"/>
                <w:szCs w:val="22"/>
              </w:rPr>
            </w:pPr>
            <w:r w:rsidRPr="004525E3">
              <w:rPr>
                <w:rFonts w:cs="Times New Roman"/>
                <w:szCs w:val="22"/>
              </w:rPr>
              <w:t>Organizational Expenses up to the cap.</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General Partner Expenses</w:t>
            </w:r>
            <w:r w:rsidRPr="004525E3">
              <w:rPr>
                <w:rStyle w:val="FootnoteReference"/>
                <w:rFonts w:cs="Times New Roman"/>
                <w:b w:val="0"/>
                <w:szCs w:val="22"/>
              </w:rPr>
              <w:footnoteReference w:id="56"/>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The General Partner </w:t>
            </w:r>
            <w:r w:rsidRPr="004525E3" w:rsidR="00082931">
              <w:rPr>
                <w:rFonts w:cs="Times New Roman"/>
                <w:szCs w:val="22"/>
              </w:rPr>
              <w:t>shall</w:t>
            </w:r>
            <w:r w:rsidRPr="004525E3">
              <w:rPr>
                <w:rFonts w:cs="Times New Roman"/>
                <w:szCs w:val="22"/>
              </w:rPr>
              <w:t xml:space="preserve"> assume and pay, or to cause one or more of its Affiliates to assume and pay, all normal operating expenses attributable to the Fund</w:t>
            </w:r>
            <w:r w:rsidR="00EC6F22">
              <w:rPr>
                <w:rFonts w:cs="Times New Roman"/>
                <w:szCs w:val="22"/>
              </w:rPr>
              <w:t>’</w:t>
            </w:r>
            <w:r w:rsidRPr="004525E3">
              <w:rPr>
                <w:rFonts w:cs="Times New Roman"/>
                <w:szCs w:val="22"/>
              </w:rPr>
              <w:t>s investment activities, including, without limitation:</w:t>
            </w:r>
          </w:p>
          <w:p w:rsidRPr="004525E3" w:rsidR="00026BFF" w:rsidP="006F2A87" w:rsidRDefault="00026BFF">
            <w:pPr>
              <w:pStyle w:val="Definition1"/>
              <w:numPr>
                <w:ilvl w:val="1"/>
                <w:numId w:val="30"/>
              </w:numPr>
              <w:rPr>
                <w:rFonts w:cs="Times New Roman"/>
                <w:szCs w:val="22"/>
              </w:rPr>
            </w:pPr>
            <w:r w:rsidRPr="004525E3">
              <w:rPr>
                <w:rFonts w:cs="Times New Roman"/>
                <w:szCs w:val="22"/>
              </w:rPr>
              <w:t>all routine, recurring expenses incident to the activities of the General Partner or the Manager on behalf of the Fund;</w:t>
            </w:r>
          </w:p>
          <w:p w:rsidRPr="004525E3" w:rsidR="00026BFF" w:rsidP="006F2A87" w:rsidRDefault="00026BFF">
            <w:pPr>
              <w:pStyle w:val="Definition1"/>
              <w:numPr>
                <w:ilvl w:val="1"/>
                <w:numId w:val="30"/>
              </w:numPr>
              <w:rPr>
                <w:rFonts w:cs="Times New Roman"/>
                <w:szCs w:val="22"/>
              </w:rPr>
            </w:pPr>
            <w:r w:rsidRPr="004525E3">
              <w:rPr>
                <w:rFonts w:cs="Times New Roman"/>
                <w:szCs w:val="22"/>
              </w:rPr>
              <w:t>compensation and benefits of the officers and employees of the General Partner, the Manager and their respective Affiliates;</w:t>
            </w:r>
          </w:p>
          <w:p w:rsidRPr="004525E3" w:rsidR="00026BFF" w:rsidP="006F2A87" w:rsidRDefault="00026BFF">
            <w:pPr>
              <w:pStyle w:val="Definition1"/>
              <w:numPr>
                <w:ilvl w:val="1"/>
                <w:numId w:val="30"/>
              </w:numPr>
              <w:rPr>
                <w:rFonts w:cs="Times New Roman"/>
                <w:szCs w:val="22"/>
              </w:rPr>
            </w:pPr>
            <w:r w:rsidRPr="004525E3">
              <w:rPr>
                <w:rFonts w:cs="Times New Roman"/>
                <w:szCs w:val="22"/>
              </w:rPr>
              <w:t>clerical, legal, accounting and support services</w:t>
            </w:r>
            <w:r w:rsidRPr="004525E3" w:rsidR="00C8064B">
              <w:rPr>
                <w:rFonts w:cs="Times New Roman"/>
                <w:szCs w:val="22"/>
              </w:rPr>
              <w:t xml:space="preserve"> typically provided by a fund sponsor, in each case</w:t>
            </w:r>
            <w:r w:rsidR="00754AA2">
              <w:rPr>
                <w:rFonts w:cs="Times New Roman"/>
                <w:szCs w:val="22"/>
              </w:rPr>
              <w:t xml:space="preserve"> </w:t>
            </w:r>
            <w:r w:rsidRPr="004525E3" w:rsidR="00754AA2">
              <w:rPr>
                <w:rFonts w:cs="Times New Roman"/>
                <w:szCs w:val="22"/>
              </w:rPr>
              <w:t>outsourced to third-party providers</w:t>
            </w:r>
            <w:r w:rsidR="00754AA2">
              <w:rPr>
                <w:rFonts w:cs="Times New Roman"/>
                <w:szCs w:val="22"/>
              </w:rPr>
              <w:t xml:space="preserve"> or</w:t>
            </w:r>
            <w:r w:rsidRPr="004525E3" w:rsidR="00C8064B">
              <w:rPr>
                <w:rFonts w:cs="Times New Roman"/>
                <w:szCs w:val="22"/>
              </w:rPr>
              <w:t xml:space="preserve"> </w:t>
            </w:r>
            <w:r w:rsidRPr="004525E3">
              <w:rPr>
                <w:rFonts w:cs="Times New Roman"/>
                <w:szCs w:val="22"/>
              </w:rPr>
              <w:t>performed by employees of the G</w:t>
            </w:r>
            <w:r w:rsidR="00754AA2">
              <w:rPr>
                <w:rFonts w:cs="Times New Roman"/>
                <w:szCs w:val="22"/>
              </w:rPr>
              <w:t>eneral Partner, the Manager and/</w:t>
            </w:r>
            <w:r w:rsidRPr="004525E3">
              <w:rPr>
                <w:rFonts w:cs="Times New Roman"/>
                <w:szCs w:val="22"/>
              </w:rPr>
              <w:t>or their Affiliates;</w:t>
            </w:r>
          </w:p>
          <w:p w:rsidRPr="004525E3" w:rsidR="00026BFF" w:rsidP="006F2A87" w:rsidRDefault="00026BFF">
            <w:pPr>
              <w:pStyle w:val="Definition1"/>
              <w:numPr>
                <w:ilvl w:val="1"/>
                <w:numId w:val="30"/>
              </w:numPr>
              <w:rPr>
                <w:rFonts w:cs="Times New Roman"/>
                <w:szCs w:val="22"/>
              </w:rPr>
            </w:pPr>
            <w:r w:rsidRPr="004525E3">
              <w:rPr>
                <w:rFonts w:cs="Times New Roman"/>
                <w:szCs w:val="22"/>
              </w:rPr>
              <w:t>all expenses incurred in maintaining the General Partner</w:t>
            </w:r>
            <w:r w:rsidR="00EC6F22">
              <w:rPr>
                <w:rFonts w:cs="Times New Roman"/>
                <w:szCs w:val="22"/>
              </w:rPr>
              <w:t>’</w:t>
            </w:r>
            <w:r w:rsidRPr="004525E3">
              <w:rPr>
                <w:rFonts w:cs="Times New Roman"/>
                <w:szCs w:val="22"/>
              </w:rPr>
              <w:t>s or the Manager</w:t>
            </w:r>
            <w:r w:rsidR="00EC6F22">
              <w:rPr>
                <w:rFonts w:cs="Times New Roman"/>
                <w:szCs w:val="22"/>
              </w:rPr>
              <w:t>’</w:t>
            </w:r>
            <w:r w:rsidRPr="004525E3">
              <w:rPr>
                <w:rFonts w:cs="Times New Roman"/>
                <w:szCs w:val="22"/>
              </w:rPr>
              <w:t>s registration as an investment fund manager;</w:t>
            </w:r>
          </w:p>
          <w:p w:rsidRPr="004525E3" w:rsidR="00026BFF" w:rsidP="006F2A87" w:rsidRDefault="00026BFF">
            <w:pPr>
              <w:pStyle w:val="Definition1"/>
              <w:numPr>
                <w:ilvl w:val="1"/>
                <w:numId w:val="30"/>
              </w:numPr>
              <w:rPr>
                <w:rFonts w:cs="Times New Roman"/>
                <w:szCs w:val="22"/>
              </w:rPr>
            </w:pPr>
            <w:r w:rsidRPr="004525E3">
              <w:rPr>
                <w:rFonts w:cs="Times New Roman"/>
                <w:szCs w:val="22"/>
              </w:rPr>
              <w:t>costs and expenses of entertainment, including speaker fees, incurred in connection with conferences or meetings;</w:t>
            </w:r>
          </w:p>
          <w:p w:rsidRPr="004525E3" w:rsidR="00026BFF" w:rsidP="006F2A87" w:rsidRDefault="00026BFF">
            <w:pPr>
              <w:pStyle w:val="Definition1"/>
              <w:numPr>
                <w:ilvl w:val="1"/>
                <w:numId w:val="30"/>
              </w:numPr>
              <w:rPr>
                <w:rFonts w:cs="Times New Roman"/>
                <w:szCs w:val="22"/>
              </w:rPr>
            </w:pPr>
            <w:r w:rsidRPr="004525E3">
              <w:rPr>
                <w:rFonts w:cs="Times New Roman"/>
                <w:szCs w:val="22"/>
              </w:rPr>
              <w:t>office space, furniture, computers, telephones, facilities, utilities, and communications; and</w:t>
            </w:r>
          </w:p>
          <w:p w:rsidRPr="004525E3" w:rsidR="00026BFF" w:rsidP="00030415" w:rsidRDefault="00026BFF">
            <w:pPr>
              <w:pStyle w:val="Definition1"/>
              <w:numPr>
                <w:ilvl w:val="1"/>
                <w:numId w:val="30"/>
              </w:numPr>
              <w:rPr>
                <w:rFonts w:cs="Times New Roman"/>
                <w:szCs w:val="22"/>
              </w:rPr>
            </w:pPr>
            <w:r w:rsidRPr="004525E3">
              <w:rPr>
                <w:rFonts w:cs="Times New Roman"/>
                <w:szCs w:val="22"/>
              </w:rPr>
              <w:t>all costs of remedying a Cause Event, Indemnification Excl</w:t>
            </w:r>
            <w:r w:rsidRPr="004525E3" w:rsidR="00030415">
              <w:rPr>
                <w:rFonts w:cs="Times New Roman"/>
                <w:szCs w:val="22"/>
              </w:rPr>
              <w:t xml:space="preserve">usion Event or Removal Conduct </w:t>
            </w:r>
            <w:r w:rsidRPr="004525E3">
              <w:rPr>
                <w:rFonts w:cs="Times New Roman"/>
                <w:szCs w:val="22"/>
              </w:rPr>
              <w:t xml:space="preserve">and any taxes or other expenses incurred </w:t>
            </w:r>
            <w:r w:rsidRPr="004525E3">
              <w:rPr>
                <w:rFonts w:cs="Times New Roman"/>
                <w:szCs w:val="22"/>
              </w:rPr>
              <w:lastRenderedPageBreak/>
              <w:t>by the Fund or the General Partner or any of its Affiliates in respect of Carried Interest.</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Limited Partner Transfers</w:t>
            </w:r>
            <w:r w:rsidRPr="0086404D" w:rsidR="0086404D">
              <w:rPr>
                <w:rStyle w:val="FootnoteReference"/>
                <w:rFonts w:cs="Times New Roman"/>
                <w:b w:val="0"/>
                <w:szCs w:val="22"/>
              </w:rPr>
              <w:footnoteReference w:id="57"/>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The Limited Partners wishing to transfer their interest in the Fund will require the prior written consent of the General Partner which shall not to be unreasonably withheld or delayed where the transfer is to an Affiliate of the transferor; or certain conditions as specified in the Partnership Agreement are met, including an undertaking to pay all of the Fund</w:t>
            </w:r>
            <w:r w:rsidR="00EC6F22">
              <w:rPr>
                <w:rFonts w:cs="Times New Roman"/>
                <w:szCs w:val="22"/>
              </w:rPr>
              <w:t>’</w:t>
            </w:r>
            <w:r w:rsidRPr="004525E3">
              <w:rPr>
                <w:rFonts w:cs="Times New Roman"/>
                <w:szCs w:val="22"/>
              </w:rPr>
              <w:t>s and General Partner</w:t>
            </w:r>
            <w:r w:rsidR="00EC6F22">
              <w:rPr>
                <w:rFonts w:cs="Times New Roman"/>
                <w:szCs w:val="22"/>
              </w:rPr>
              <w:t>’</w:t>
            </w:r>
            <w:r w:rsidRPr="004525E3">
              <w:rPr>
                <w:rFonts w:cs="Times New Roman"/>
                <w:szCs w:val="22"/>
              </w:rPr>
              <w:t xml:space="preserve">s expenses relating to the transfer, and the transfer not causing the Fund to become subject to any laws, regulations or taxation to which the Fund, the General Partner or such Limited Partner is not subject but for such Transfer.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General Partner Transfer</w:t>
            </w:r>
            <w:r w:rsidRPr="0086404D" w:rsidR="0086404D">
              <w:rPr>
                <w:rStyle w:val="FootnoteReference"/>
                <w:rFonts w:cs="Times New Roman"/>
                <w:b w:val="0"/>
                <w:szCs w:val="22"/>
              </w:rPr>
              <w:footnoteReference w:id="58"/>
            </w:r>
          </w:p>
        </w:tc>
        <w:tc>
          <w:tcPr>
            <w:tcW w:w="6596" w:type="dxa"/>
            <w:hideMark/>
          </w:tcPr>
          <w:p w:rsidRPr="004525E3" w:rsidR="00026BFF" w:rsidP="0086404D" w:rsidRDefault="00026BFF">
            <w:pPr>
              <w:pStyle w:val="Definition"/>
              <w:numPr>
                <w:ilvl w:val="0"/>
                <w:numId w:val="30"/>
              </w:numPr>
              <w:rPr>
                <w:rFonts w:cs="Times New Roman"/>
                <w:szCs w:val="22"/>
              </w:rPr>
            </w:pPr>
            <w:r w:rsidRPr="004525E3">
              <w:rPr>
                <w:rFonts w:cs="Times New Roman"/>
                <w:szCs w:val="22"/>
              </w:rPr>
              <w:t>The General Partner may not transfer any of its interest in the Fund without the prior written consent of [80]% in Interest.</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Excused Limited Partners</w:t>
            </w:r>
            <w:r w:rsidRPr="0086404D" w:rsidR="0086404D">
              <w:rPr>
                <w:rStyle w:val="FootnoteReference"/>
                <w:rFonts w:cs="Times New Roman"/>
                <w:b w:val="0"/>
                <w:szCs w:val="22"/>
              </w:rPr>
              <w:footnoteReference w:id="59"/>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A Limited Partner may be excused from its obligation to make Capital Contributions or fund any amount from Distributable Proceeds in respect of a Portfolio Investment if: </w:t>
            </w:r>
          </w:p>
          <w:p w:rsidRPr="004525E3" w:rsidR="00026BFF" w:rsidP="006F2A87" w:rsidRDefault="00026BFF">
            <w:pPr>
              <w:pStyle w:val="Definition1"/>
              <w:numPr>
                <w:ilvl w:val="1"/>
                <w:numId w:val="30"/>
              </w:numPr>
              <w:rPr>
                <w:rFonts w:cs="Times New Roman"/>
                <w:szCs w:val="22"/>
              </w:rPr>
            </w:pPr>
            <w:r w:rsidRPr="004525E3">
              <w:rPr>
                <w:rFonts w:cs="Times New Roman"/>
                <w:szCs w:val="22"/>
              </w:rPr>
              <w:t xml:space="preserve">the Limited Partner delivers to the General Partner a written notice within </w:t>
            </w:r>
            <w:r w:rsidRPr="004525E3" w:rsidR="00211842">
              <w:rPr>
                <w:rFonts w:cs="Times New Roman"/>
                <w:szCs w:val="22"/>
              </w:rPr>
              <w:t>[</w:t>
            </w:r>
            <w:r w:rsidRPr="004525E3" w:rsidR="006102D9">
              <w:rPr>
                <w:rFonts w:cs="Times New Roman"/>
                <w:szCs w:val="22"/>
              </w:rPr>
              <w:t>five b</w:t>
            </w:r>
            <w:r w:rsidRPr="004525E3">
              <w:rPr>
                <w:rFonts w:cs="Times New Roman"/>
                <w:szCs w:val="22"/>
              </w:rPr>
              <w:t>us</w:t>
            </w:r>
            <w:r w:rsidRPr="004525E3" w:rsidR="006102D9">
              <w:rPr>
                <w:rFonts w:cs="Times New Roman"/>
                <w:szCs w:val="22"/>
              </w:rPr>
              <w:t>iness d</w:t>
            </w:r>
            <w:r w:rsidRPr="004525E3">
              <w:rPr>
                <w:rFonts w:cs="Times New Roman"/>
                <w:szCs w:val="22"/>
              </w:rPr>
              <w:t>ays</w:t>
            </w:r>
            <w:r w:rsidRPr="004525E3" w:rsidR="00211842">
              <w:rPr>
                <w:rFonts w:cs="Times New Roman"/>
                <w:szCs w:val="22"/>
              </w:rPr>
              <w:t>]</w:t>
            </w:r>
            <w:r w:rsidRPr="004525E3">
              <w:rPr>
                <w:rFonts w:cs="Times New Roman"/>
                <w:szCs w:val="22"/>
              </w:rPr>
              <w:t xml:space="preserve"> of the relevant drawdown notice stating that it is entitled to be excused based on its reasonable determination that the making of all or a portion of the relevant investment is reasonably likely to have a material adverse effect on </w:t>
            </w:r>
            <w:r w:rsidRPr="004525E3" w:rsidR="00F15FAB">
              <w:rPr>
                <w:rFonts w:cs="Times New Roman"/>
                <w:szCs w:val="22"/>
              </w:rPr>
              <w:t>the</w:t>
            </w:r>
            <w:r w:rsidRPr="004525E3">
              <w:rPr>
                <w:rFonts w:cs="Times New Roman"/>
                <w:szCs w:val="22"/>
              </w:rPr>
              <w:t xml:space="preserve"> Limited Partner;</w:t>
            </w:r>
          </w:p>
          <w:p w:rsidRPr="004525E3" w:rsidR="00026BFF" w:rsidP="006F2A87" w:rsidRDefault="00026BFF">
            <w:pPr>
              <w:pStyle w:val="Definition1"/>
              <w:numPr>
                <w:ilvl w:val="1"/>
                <w:numId w:val="30"/>
              </w:numPr>
              <w:rPr>
                <w:rFonts w:cs="Times New Roman"/>
                <w:szCs w:val="22"/>
              </w:rPr>
            </w:pPr>
            <w:r w:rsidRPr="004525E3">
              <w:rPr>
                <w:rFonts w:cs="Times New Roman"/>
                <w:szCs w:val="22"/>
              </w:rPr>
              <w:t>the General Partner reasonably determines that (i) such Limited Partner</w:t>
            </w:r>
            <w:r w:rsidR="00EC6F22">
              <w:rPr>
                <w:rFonts w:cs="Times New Roman"/>
                <w:szCs w:val="22"/>
              </w:rPr>
              <w:t>’</w:t>
            </w:r>
            <w:r w:rsidRPr="004525E3">
              <w:rPr>
                <w:rFonts w:cs="Times New Roman"/>
                <w:szCs w:val="22"/>
              </w:rPr>
              <w:t xml:space="preserve">s making a Capital Contribution with respect to all or a portion of the relevant Investment is reasonably likely to have a material adverse effect, or (ii) the participation of </w:t>
            </w:r>
            <w:r w:rsidRPr="004525E3" w:rsidR="00F15FAB">
              <w:rPr>
                <w:rFonts w:cs="Times New Roman"/>
                <w:szCs w:val="22"/>
              </w:rPr>
              <w:t>the</w:t>
            </w:r>
            <w:r w:rsidRPr="004525E3">
              <w:rPr>
                <w:rFonts w:cs="Times New Roman"/>
                <w:szCs w:val="22"/>
              </w:rPr>
              <w:t xml:space="preserve"> Limited Partner in all or a portion of the relevant Investment would (A) prevent the Fund from being able to </w:t>
            </w:r>
            <w:r w:rsidRPr="004525E3" w:rsidR="00F15FAB">
              <w:rPr>
                <w:rFonts w:cs="Times New Roman"/>
                <w:szCs w:val="22"/>
              </w:rPr>
              <w:t>complete</w:t>
            </w:r>
            <w:r w:rsidRPr="004525E3">
              <w:rPr>
                <w:rFonts w:cs="Times New Roman"/>
                <w:szCs w:val="22"/>
              </w:rPr>
              <w:t xml:space="preserve"> such Investment, (B) result in a material increase in the risk or difficulty to the Fund of </w:t>
            </w:r>
            <w:r w:rsidRPr="004525E3" w:rsidR="00F15FAB">
              <w:rPr>
                <w:rFonts w:cs="Times New Roman"/>
                <w:szCs w:val="22"/>
              </w:rPr>
              <w:t>completing</w:t>
            </w:r>
            <w:r w:rsidRPr="004525E3">
              <w:rPr>
                <w:rFonts w:cs="Times New Roman"/>
                <w:szCs w:val="22"/>
              </w:rPr>
              <w:t xml:space="preserve"> such Investment, (C) impose any material filing, tax, regulatory or other similar burden to which the Fund, a Portfolio Company or any Partner or its Affiliate would not otherwise be subject or (D) would otherwise cause the Fund to incur a material extraordinary expense. </w:t>
            </w:r>
          </w:p>
          <w:p w:rsidRPr="004525E3" w:rsidR="00026BFF" w:rsidP="00026BFF" w:rsidRDefault="00026BFF">
            <w:pPr>
              <w:pStyle w:val="Definition1"/>
              <w:numPr>
                <w:ilvl w:val="0"/>
                <w:numId w:val="0"/>
              </w:numPr>
              <w:tabs>
                <w:tab w:val="left" w:pos="720"/>
              </w:tabs>
              <w:rPr>
                <w:rFonts w:cs="Times New Roman"/>
                <w:szCs w:val="22"/>
              </w:rPr>
            </w:pPr>
            <w:r w:rsidRPr="004525E3">
              <w:rPr>
                <w:rFonts w:cs="Times New Roman"/>
                <w:szCs w:val="22"/>
              </w:rPr>
              <w:t xml:space="preserve">If a Limited Partner does not participate in a particular Portfolio Investment, the General Partner may elect to cause the Fund to make the Portfolio Investment and may issue a revised drawdown notice to the other Limited Partners in order to increase the Capital Contributions with respect to such Portfolio Investment from such other Limited Partners in proportion to their </w:t>
            </w:r>
            <w:r w:rsidRPr="004525E3">
              <w:rPr>
                <w:rFonts w:cs="Times New Roman"/>
                <w:szCs w:val="22"/>
              </w:rPr>
              <w:lastRenderedPageBreak/>
              <w:t>Remaining Commitments to the extent necessary to fund the excused amount.</w:t>
            </w:r>
            <w:r w:rsidRPr="004525E3">
              <w:rPr>
                <w:rStyle w:val="FootnoteReference"/>
                <w:rFonts w:cs="Times New Roman"/>
                <w:szCs w:val="22"/>
              </w:rPr>
              <w:footnoteReference w:id="60"/>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Defaulting Partners</w:t>
            </w:r>
            <w:r w:rsidRPr="004525E3">
              <w:rPr>
                <w:rStyle w:val="FootnoteReference"/>
                <w:rFonts w:cs="Times New Roman"/>
                <w:b w:val="0"/>
                <w:szCs w:val="22"/>
              </w:rPr>
              <w:footnoteReference w:id="61"/>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If any Partner fails to make</w:t>
            </w:r>
            <w:r w:rsidRPr="004525E3" w:rsidR="00211842">
              <w:rPr>
                <w:rFonts w:cs="Times New Roman"/>
                <w:szCs w:val="22"/>
              </w:rPr>
              <w:t xml:space="preserve"> all or</w:t>
            </w:r>
            <w:r w:rsidRPr="004525E3">
              <w:rPr>
                <w:rFonts w:cs="Times New Roman"/>
                <w:szCs w:val="22"/>
              </w:rPr>
              <w:t xml:space="preserve"> any portion of </w:t>
            </w:r>
            <w:r w:rsidRPr="004525E3" w:rsidR="001B02F3">
              <w:rPr>
                <w:rFonts w:cs="Times New Roman"/>
                <w:szCs w:val="22"/>
              </w:rPr>
              <w:t>a</w:t>
            </w:r>
            <w:r w:rsidRPr="004525E3">
              <w:rPr>
                <w:rFonts w:cs="Times New Roman"/>
                <w:szCs w:val="22"/>
              </w:rPr>
              <w:t xml:space="preserve"> Capital Contribution or any other amount required to be funded by such Partner, the General Partner will notify them in writing thereof and if the default is not remedied within [five] business days </w:t>
            </w:r>
            <w:r w:rsidRPr="004525E3" w:rsidR="001B02F3">
              <w:rPr>
                <w:rFonts w:cs="Times New Roman"/>
                <w:szCs w:val="22"/>
              </w:rPr>
              <w:t>after</w:t>
            </w:r>
            <w:r w:rsidRPr="004525E3">
              <w:rPr>
                <w:rFonts w:cs="Times New Roman"/>
                <w:szCs w:val="22"/>
              </w:rPr>
              <w:t xml:space="preserve"> receipt of such notice, the Partner will be designated a D</w:t>
            </w:r>
            <w:r w:rsidR="002708BD">
              <w:rPr>
                <w:rFonts w:cs="Times New Roman"/>
                <w:szCs w:val="22"/>
              </w:rPr>
              <w:t>efaulting Partner.</w:t>
            </w:r>
            <w:r w:rsidRPr="004525E3">
              <w:rPr>
                <w:rFonts w:cs="Times New Roman"/>
                <w:szCs w:val="22"/>
              </w:rPr>
              <w:t xml:space="preserve"> All Limited Partners will be notified of any default within [30 days] of such Partner becoming a Defaulting Partner. </w:t>
            </w:r>
            <w:r w:rsidRPr="004525E3">
              <w:rPr>
                <w:rFonts w:cs="Times New Roman"/>
                <w:i/>
                <w:iCs/>
                <w:szCs w:val="22"/>
              </w:rPr>
              <w:t> </w:t>
            </w:r>
          </w:p>
          <w:p w:rsidRPr="004525E3" w:rsidR="00026BFF" w:rsidP="00026BFF" w:rsidRDefault="00026BFF">
            <w:pPr>
              <w:pStyle w:val="Definition1"/>
              <w:numPr>
                <w:ilvl w:val="0"/>
                <w:numId w:val="0"/>
              </w:numPr>
              <w:tabs>
                <w:tab w:val="left" w:pos="720"/>
              </w:tabs>
              <w:rPr>
                <w:rFonts w:cs="Times New Roman"/>
                <w:szCs w:val="22"/>
              </w:rPr>
            </w:pPr>
            <w:r w:rsidRPr="004525E3">
              <w:rPr>
                <w:rFonts w:cs="Times New Roman"/>
                <w:szCs w:val="22"/>
              </w:rPr>
              <w:t>Any amounts that are not duly paid on the relevant due date shall acc</w:t>
            </w:r>
            <w:r w:rsidRPr="004525E3" w:rsidR="00F83B4F">
              <w:rPr>
                <w:rFonts w:cs="Times New Roman"/>
                <w:szCs w:val="22"/>
              </w:rPr>
              <w:t xml:space="preserve">rue interest at </w:t>
            </w:r>
            <w:r w:rsidRPr="004525E3" w:rsidR="0063641F">
              <w:rPr>
                <w:rFonts w:cs="Times New Roman"/>
                <w:szCs w:val="22"/>
              </w:rPr>
              <w:t>the Prime Rate plus</w:t>
            </w:r>
            <w:r w:rsidRPr="004525E3" w:rsidR="00F83B4F">
              <w:rPr>
                <w:rFonts w:cs="Times New Roman"/>
                <w:szCs w:val="22"/>
              </w:rPr>
              <w:t xml:space="preserve"> [10]% per year </w:t>
            </w:r>
            <w:r w:rsidRPr="004525E3">
              <w:rPr>
                <w:rFonts w:cs="Times New Roman"/>
                <w:szCs w:val="22"/>
              </w:rPr>
              <w:t>from the Due Date until the date the Defaulting Partner makes the Capital Contribution.</w:t>
            </w:r>
          </w:p>
          <w:p w:rsidRPr="004525E3" w:rsidR="00026BFF" w:rsidP="00F83B4F" w:rsidRDefault="00026BFF">
            <w:pPr>
              <w:pStyle w:val="Definition1"/>
              <w:numPr>
                <w:ilvl w:val="0"/>
                <w:numId w:val="0"/>
              </w:numPr>
              <w:tabs>
                <w:tab w:val="left" w:pos="720"/>
              </w:tabs>
              <w:rPr>
                <w:rFonts w:cs="Times New Roman"/>
                <w:szCs w:val="22"/>
              </w:rPr>
            </w:pPr>
            <w:r w:rsidRPr="004525E3">
              <w:rPr>
                <w:rFonts w:cs="Times New Roman"/>
                <w:szCs w:val="22"/>
              </w:rPr>
              <w:t xml:space="preserve">The General Partner </w:t>
            </w:r>
            <w:r w:rsidRPr="004525E3" w:rsidR="00F83B4F">
              <w:rPr>
                <w:rFonts w:cs="Times New Roman"/>
                <w:szCs w:val="22"/>
              </w:rPr>
              <w:t xml:space="preserve">may </w:t>
            </w:r>
            <w:r w:rsidRPr="004525E3">
              <w:rPr>
                <w:rFonts w:cs="Times New Roman"/>
                <w:szCs w:val="22"/>
              </w:rPr>
              <w:t>pursue and enforce any rights and remedies the Fund, the General Partner or the Manager may have against such Defaulting Partner at law, in equity or pursuant to the Partnership Agreement, including forfeiting up to 100% of its Interest in the Fund without payment or other consideration.</w:t>
            </w:r>
          </w:p>
          <w:p w:rsidRPr="004525E3" w:rsidR="0063641F" w:rsidP="0063641F" w:rsidRDefault="0063641F">
            <w:pPr>
              <w:pStyle w:val="Definition1"/>
              <w:numPr>
                <w:ilvl w:val="0"/>
                <w:numId w:val="0"/>
              </w:numPr>
              <w:tabs>
                <w:tab w:val="left" w:pos="720"/>
              </w:tabs>
              <w:rPr>
                <w:rFonts w:cs="Times New Roman"/>
                <w:color w:val="000000"/>
                <w:szCs w:val="22"/>
                <w:lang w:eastAsia="en-GB"/>
              </w:rPr>
            </w:pPr>
            <w:r w:rsidRPr="004525E3">
              <w:rPr>
                <w:rFonts w:cs="Times New Roman"/>
                <w:color w:val="000000"/>
                <w:szCs w:val="22"/>
                <w:lang w:eastAsia="en-GB"/>
              </w:rPr>
              <w:t>With respect to any amount that is in Default, the General Partner may require additional Drawdowns from the Non-Defaulting Partners in proportion to their Remaining Commitments.</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LP Advisory Committee</w:t>
            </w:r>
            <w:r w:rsidRPr="001F1E93" w:rsidR="001F1E93">
              <w:rPr>
                <w:rStyle w:val="FootnoteReference"/>
                <w:rFonts w:cs="Times New Roman"/>
                <w:b w:val="0"/>
                <w:szCs w:val="22"/>
              </w:rPr>
              <w:footnoteReference w:id="62"/>
            </w:r>
          </w:p>
        </w:tc>
        <w:tc>
          <w:tcPr>
            <w:tcW w:w="6596" w:type="dxa"/>
            <w:hideMark/>
          </w:tcPr>
          <w:p w:rsidRPr="004525E3" w:rsidR="00026BFF" w:rsidP="00026BFF" w:rsidRDefault="00026BFF">
            <w:pPr>
              <w:spacing w:before="100" w:beforeAutospacing="1" w:after="100" w:afterAutospacing="1"/>
              <w:rPr>
                <w:rFonts w:cs="Times New Roman"/>
                <w:color w:val="000000"/>
                <w:szCs w:val="22"/>
                <w:lang w:eastAsia="en-GB"/>
              </w:rPr>
            </w:pPr>
            <w:r w:rsidRPr="004525E3">
              <w:rPr>
                <w:rFonts w:cs="Times New Roman"/>
                <w:color w:val="000000"/>
                <w:szCs w:val="22"/>
                <w:lang w:eastAsia="en-GB"/>
              </w:rPr>
              <w:t>The General Partner will e</w:t>
            </w:r>
            <w:r w:rsidRPr="004525E3" w:rsidR="00C74361">
              <w:rPr>
                <w:rFonts w:cs="Times New Roman"/>
                <w:color w:val="000000"/>
                <w:szCs w:val="22"/>
                <w:lang w:eastAsia="en-GB"/>
              </w:rPr>
              <w:t>stablish an advisory committee </w:t>
            </w:r>
            <w:r w:rsidRPr="004525E3">
              <w:rPr>
                <w:rFonts w:cs="Times New Roman"/>
                <w:color w:val="000000"/>
                <w:szCs w:val="22"/>
                <w:lang w:eastAsia="en-GB"/>
              </w:rPr>
              <w:t>of the Fund no later than by the Final Clo</w:t>
            </w:r>
            <w:r w:rsidRPr="004525E3" w:rsidR="00C74361">
              <w:rPr>
                <w:rFonts w:cs="Times New Roman"/>
                <w:color w:val="000000"/>
                <w:szCs w:val="22"/>
                <w:lang w:eastAsia="en-GB"/>
              </w:rPr>
              <w:t>sing Date comprising of between</w:t>
            </w:r>
            <w:r w:rsidRPr="004525E3">
              <w:rPr>
                <w:rFonts w:cs="Times New Roman"/>
                <w:color w:val="000000"/>
                <w:szCs w:val="22"/>
                <w:lang w:eastAsia="en-GB"/>
              </w:rPr>
              <w:t xml:space="preserve"> [three] and [seven] members, who shall be representatives of Limited Partners</w:t>
            </w:r>
            <w:r w:rsidRPr="004525E3" w:rsidR="00211842">
              <w:rPr>
                <w:rFonts w:cs="Times New Roman"/>
                <w:color w:val="000000"/>
                <w:szCs w:val="22"/>
                <w:lang w:eastAsia="en-GB"/>
              </w:rPr>
              <w:t xml:space="preserve"> [having subscribed for a Capital Commitment of at least $[</w:t>
            </w:r>
            <w:r w:rsidR="00EC6F22">
              <w:rPr>
                <w:rFonts w:ascii="Wingdings 2" w:hAnsi="Wingdings 2" w:cs="Wingdings 2" w:eastAsiaTheme="minorEastAsia"/>
                <w:color w:val="000000"/>
                <w:szCs w:val="22"/>
                <w:lang w:eastAsia="en-GB"/>
              </w:rPr>
              <w:t></w:t>
            </w:r>
            <w:r w:rsidRPr="004525E3" w:rsidR="00211842">
              <w:rPr>
                <w:rFonts w:cs="Times New Roman"/>
                <w:color w:val="000000"/>
                <w:szCs w:val="22"/>
                <w:lang w:eastAsia="en-GB"/>
              </w:rPr>
              <w:t>]</w:t>
            </w:r>
            <w:r w:rsidR="00EC6F22">
              <w:rPr>
                <w:rFonts w:cs="Times New Roman"/>
                <w:color w:val="000000"/>
                <w:szCs w:val="22"/>
                <w:lang w:eastAsia="en-GB"/>
              </w:rPr>
              <w:t>]</w:t>
            </w:r>
            <w:r w:rsidRPr="004525E3">
              <w:rPr>
                <w:rFonts w:cs="Times New Roman"/>
                <w:color w:val="000000"/>
                <w:szCs w:val="22"/>
                <w:lang w:eastAsia="en-GB"/>
              </w:rPr>
              <w:t xml:space="preserve"> (other than the</w:t>
            </w:r>
            <w:r w:rsidRPr="004525E3">
              <w:rPr>
                <w:rFonts w:cs="Times New Roman"/>
                <w:szCs w:val="22"/>
              </w:rPr>
              <w:t xml:space="preserve"> Manager, Key Persons, and their respective Affiliates</w:t>
            </w:r>
            <w:r w:rsidR="002708BD">
              <w:rPr>
                <w:rFonts w:cs="Times New Roman"/>
                <w:color w:val="000000"/>
                <w:szCs w:val="22"/>
                <w:lang w:eastAsia="en-GB"/>
              </w:rPr>
              <w:t>) and appointed by the </w:t>
            </w:r>
            <w:r w:rsidRPr="004525E3" w:rsidR="00FD4768">
              <w:rPr>
                <w:rFonts w:cs="Times New Roman"/>
                <w:color w:val="000000"/>
                <w:szCs w:val="22"/>
                <w:lang w:eastAsia="en-GB"/>
              </w:rPr>
              <w:t>General Partner</w:t>
            </w:r>
            <w:r w:rsidRPr="004525E3">
              <w:rPr>
                <w:rFonts w:cs="Times New Roman"/>
                <w:color w:val="000000"/>
                <w:szCs w:val="22"/>
                <w:lang w:eastAsia="en-GB"/>
              </w:rPr>
              <w:t xml:space="preserve">. The </w:t>
            </w:r>
            <w:r w:rsidRPr="004525E3">
              <w:rPr>
                <w:rFonts w:cs="Times New Roman"/>
                <w:szCs w:val="22"/>
              </w:rPr>
              <w:t xml:space="preserve">LP </w:t>
            </w:r>
            <w:r w:rsidRPr="004525E3">
              <w:rPr>
                <w:rFonts w:cs="Times New Roman"/>
                <w:color w:val="000000"/>
                <w:szCs w:val="22"/>
                <w:lang w:eastAsia="en-GB"/>
              </w:rPr>
              <w:t xml:space="preserve">Advisory Committee will be invited by the General Partner to meet at least </w:t>
            </w:r>
            <w:r w:rsidRPr="004525E3" w:rsidR="00C74361">
              <w:rPr>
                <w:rFonts w:cs="Times New Roman"/>
                <w:color w:val="000000"/>
                <w:szCs w:val="22"/>
                <w:lang w:eastAsia="en-GB"/>
              </w:rPr>
              <w:t>[</w:t>
            </w:r>
            <w:r w:rsidRPr="004525E3">
              <w:rPr>
                <w:rFonts w:cs="Times New Roman"/>
                <w:color w:val="000000"/>
                <w:szCs w:val="22"/>
                <w:lang w:eastAsia="en-GB"/>
              </w:rPr>
              <w:t>once</w:t>
            </w:r>
            <w:r w:rsidRPr="004525E3" w:rsidR="00C74361">
              <w:rPr>
                <w:rFonts w:cs="Times New Roman"/>
                <w:color w:val="000000"/>
                <w:szCs w:val="22"/>
                <w:lang w:eastAsia="en-GB"/>
              </w:rPr>
              <w:t>]</w:t>
            </w:r>
            <w:r w:rsidRPr="004525E3">
              <w:rPr>
                <w:rFonts w:cs="Times New Roman"/>
                <w:color w:val="000000"/>
                <w:szCs w:val="22"/>
                <w:lang w:eastAsia="en-GB"/>
              </w:rPr>
              <w:t xml:space="preserve"> a </w:t>
            </w:r>
            <w:r w:rsidRPr="004525E3" w:rsidR="00C74361">
              <w:rPr>
                <w:rFonts w:cs="Times New Roman"/>
                <w:color w:val="000000"/>
                <w:szCs w:val="22"/>
                <w:lang w:eastAsia="en-GB"/>
              </w:rPr>
              <w:t>[</w:t>
            </w:r>
            <w:r w:rsidRPr="004525E3">
              <w:rPr>
                <w:rFonts w:cs="Times New Roman"/>
                <w:color w:val="000000"/>
                <w:szCs w:val="22"/>
                <w:lang w:eastAsia="en-GB"/>
              </w:rPr>
              <w:t>year</w:t>
            </w:r>
            <w:r w:rsidRPr="004525E3" w:rsidR="00C74361">
              <w:rPr>
                <w:rFonts w:cs="Times New Roman"/>
                <w:color w:val="000000"/>
                <w:szCs w:val="22"/>
                <w:lang w:eastAsia="en-GB"/>
              </w:rPr>
              <w:t>]</w:t>
            </w:r>
            <w:r w:rsidRPr="004525E3">
              <w:rPr>
                <w:rFonts w:cs="Times New Roman"/>
                <w:color w:val="000000"/>
                <w:szCs w:val="22"/>
                <w:lang w:eastAsia="en-GB"/>
              </w:rPr>
              <w:t xml:space="preserve"> and may be called to meet at any time by </w:t>
            </w:r>
            <w:r w:rsidRPr="004525E3" w:rsidR="00C74361">
              <w:rPr>
                <w:rFonts w:cs="Times New Roman"/>
                <w:color w:val="000000"/>
                <w:szCs w:val="22"/>
                <w:lang w:eastAsia="en-GB"/>
              </w:rPr>
              <w:t xml:space="preserve">the General Partner or any two or more members of the </w:t>
            </w:r>
            <w:r w:rsidRPr="004525E3">
              <w:rPr>
                <w:rFonts w:cs="Times New Roman"/>
                <w:szCs w:val="22"/>
              </w:rPr>
              <w:t xml:space="preserve">LP </w:t>
            </w:r>
            <w:r w:rsidRPr="004525E3">
              <w:rPr>
                <w:rFonts w:cs="Times New Roman"/>
                <w:color w:val="000000"/>
                <w:szCs w:val="22"/>
                <w:lang w:eastAsia="en-GB"/>
              </w:rPr>
              <w:t xml:space="preserve">Advisory Committee.  </w:t>
            </w:r>
          </w:p>
          <w:p w:rsidRPr="004525E3" w:rsidR="00026BFF" w:rsidP="00026BFF" w:rsidRDefault="00026BFF">
            <w:pPr>
              <w:spacing w:before="100" w:beforeAutospacing="1" w:after="100" w:afterAutospacing="1"/>
              <w:rPr>
                <w:rFonts w:cs="Times New Roman"/>
                <w:color w:val="000000"/>
                <w:szCs w:val="22"/>
                <w:lang w:eastAsia="en-GB"/>
              </w:rPr>
            </w:pPr>
            <w:r w:rsidRPr="004525E3">
              <w:rPr>
                <w:rFonts w:cs="Times New Roman"/>
                <w:color w:val="000000"/>
                <w:szCs w:val="22"/>
                <w:lang w:eastAsia="en-GB"/>
              </w:rPr>
              <w:t xml:space="preserve">Members of the </w:t>
            </w:r>
            <w:r w:rsidRPr="004525E3">
              <w:rPr>
                <w:rFonts w:cs="Times New Roman"/>
                <w:szCs w:val="22"/>
              </w:rPr>
              <w:t xml:space="preserve">LP </w:t>
            </w:r>
            <w:r w:rsidRPr="004525E3">
              <w:rPr>
                <w:rFonts w:cs="Times New Roman"/>
                <w:color w:val="000000"/>
                <w:szCs w:val="22"/>
                <w:lang w:eastAsia="en-GB"/>
              </w:rPr>
              <w:t>Advisory Committee will cease being such members should the Limited Partner that such person represents become</w:t>
            </w:r>
            <w:r w:rsidRPr="004525E3" w:rsidR="00757140">
              <w:rPr>
                <w:rFonts w:cs="Times New Roman"/>
                <w:color w:val="000000"/>
                <w:szCs w:val="22"/>
                <w:lang w:eastAsia="en-GB"/>
              </w:rPr>
              <w:t>s</w:t>
            </w:r>
            <w:r w:rsidRPr="004525E3">
              <w:rPr>
                <w:rFonts w:cs="Times New Roman"/>
                <w:color w:val="000000"/>
                <w:szCs w:val="22"/>
                <w:lang w:eastAsia="en-GB"/>
              </w:rPr>
              <w:t xml:space="preserve"> a Defaulting Partner</w:t>
            </w:r>
            <w:r w:rsidRPr="004525E3" w:rsidR="00757140">
              <w:rPr>
                <w:rFonts w:cs="Times New Roman"/>
                <w:color w:val="000000"/>
                <w:szCs w:val="22"/>
                <w:lang w:eastAsia="en-GB"/>
              </w:rPr>
              <w:t xml:space="preserve">, </w:t>
            </w:r>
            <w:r w:rsidRPr="004525E3">
              <w:rPr>
                <w:rFonts w:cs="Times New Roman"/>
                <w:color w:val="000000"/>
                <w:szCs w:val="22"/>
                <w:lang w:eastAsia="en-GB"/>
              </w:rPr>
              <w:t>transfer</w:t>
            </w:r>
            <w:r w:rsidRPr="004525E3" w:rsidR="00757140">
              <w:rPr>
                <w:rFonts w:cs="Times New Roman"/>
                <w:color w:val="000000"/>
                <w:szCs w:val="22"/>
                <w:lang w:eastAsia="en-GB"/>
              </w:rPr>
              <w:t>s</w:t>
            </w:r>
            <w:r w:rsidRPr="004525E3">
              <w:rPr>
                <w:rFonts w:cs="Times New Roman"/>
                <w:color w:val="000000"/>
                <w:szCs w:val="22"/>
                <w:lang w:eastAsia="en-GB"/>
              </w:rPr>
              <w:t xml:space="preserve"> a portion</w:t>
            </w:r>
            <w:r w:rsidRPr="004525E3" w:rsidR="00757140">
              <w:rPr>
                <w:rFonts w:cs="Times New Roman"/>
                <w:color w:val="000000"/>
                <w:szCs w:val="22"/>
                <w:lang w:eastAsia="en-GB"/>
              </w:rPr>
              <w:t xml:space="preserve"> </w:t>
            </w:r>
            <w:r w:rsidRPr="004525E3">
              <w:rPr>
                <w:rFonts w:cs="Times New Roman"/>
                <w:color w:val="000000"/>
                <w:szCs w:val="22"/>
                <w:lang w:eastAsia="en-GB"/>
              </w:rPr>
              <w:t>or its entire Commitment or otherwise withdraw</w:t>
            </w:r>
            <w:r w:rsidRPr="004525E3" w:rsidR="00757140">
              <w:rPr>
                <w:rFonts w:cs="Times New Roman"/>
                <w:color w:val="000000"/>
                <w:szCs w:val="22"/>
                <w:lang w:eastAsia="en-GB"/>
              </w:rPr>
              <w:t>s</w:t>
            </w:r>
            <w:r w:rsidRPr="004525E3">
              <w:rPr>
                <w:rFonts w:cs="Times New Roman"/>
                <w:color w:val="000000"/>
                <w:szCs w:val="22"/>
                <w:lang w:eastAsia="en-GB"/>
              </w:rPr>
              <w:t xml:space="preserve"> from the Fund.</w:t>
            </w:r>
          </w:p>
          <w:p w:rsidRPr="004525E3" w:rsidR="00026BFF" w:rsidP="006F2A87" w:rsidRDefault="00026BFF">
            <w:pPr>
              <w:pStyle w:val="Definition"/>
              <w:numPr>
                <w:ilvl w:val="0"/>
                <w:numId w:val="30"/>
              </w:numPr>
              <w:rPr>
                <w:rFonts w:cs="Times New Roman"/>
                <w:szCs w:val="22"/>
              </w:rPr>
            </w:pPr>
            <w:r w:rsidRPr="004525E3">
              <w:rPr>
                <w:rFonts w:cs="Times New Roman"/>
                <w:color w:val="000000"/>
                <w:szCs w:val="22"/>
                <w:lang w:eastAsia="en-GB"/>
              </w:rPr>
              <w:t xml:space="preserve">The </w:t>
            </w:r>
            <w:r w:rsidRPr="004525E3">
              <w:rPr>
                <w:rFonts w:cs="Times New Roman"/>
                <w:szCs w:val="22"/>
              </w:rPr>
              <w:t xml:space="preserve">LP </w:t>
            </w:r>
            <w:r w:rsidRPr="004525E3">
              <w:rPr>
                <w:rFonts w:cs="Times New Roman"/>
                <w:color w:val="000000"/>
                <w:szCs w:val="22"/>
                <w:lang w:eastAsia="en-GB"/>
              </w:rPr>
              <w:t xml:space="preserve">Advisory Committee shall provide such advice and opinions to the General Partner as requested by the General Partner, as required under the Partnership Agreement (including on conflicts of interest), or as the </w:t>
            </w:r>
            <w:r w:rsidRPr="004525E3">
              <w:rPr>
                <w:rFonts w:cs="Times New Roman"/>
                <w:szCs w:val="22"/>
              </w:rPr>
              <w:t xml:space="preserve">LP </w:t>
            </w:r>
            <w:r w:rsidRPr="004525E3">
              <w:rPr>
                <w:rFonts w:cs="Times New Roman"/>
                <w:color w:val="000000"/>
                <w:szCs w:val="22"/>
                <w:lang w:eastAsia="en-GB"/>
              </w:rPr>
              <w:t>Advisory C</w:t>
            </w:r>
            <w:r w:rsidR="002708BD">
              <w:rPr>
                <w:rFonts w:cs="Times New Roman"/>
                <w:color w:val="000000"/>
                <w:szCs w:val="22"/>
                <w:lang w:eastAsia="en-GB"/>
              </w:rPr>
              <w:t>ommittee may choose to provide.</w:t>
            </w:r>
            <w:r w:rsidRPr="004525E3">
              <w:rPr>
                <w:rFonts w:cs="Times New Roman"/>
                <w:color w:val="000000"/>
                <w:szCs w:val="22"/>
                <w:lang w:eastAsia="en-GB"/>
              </w:rPr>
              <w:t xml:space="preserve"> The members of the </w:t>
            </w:r>
            <w:r w:rsidRPr="004525E3">
              <w:rPr>
                <w:rFonts w:cs="Times New Roman"/>
                <w:szCs w:val="22"/>
              </w:rPr>
              <w:t xml:space="preserve">LP </w:t>
            </w:r>
            <w:r w:rsidRPr="004525E3">
              <w:rPr>
                <w:rFonts w:cs="Times New Roman"/>
                <w:color w:val="000000"/>
                <w:szCs w:val="22"/>
                <w:lang w:eastAsia="en-GB"/>
              </w:rPr>
              <w:t>Advisory Committee shall not take part in the management of the Fund</w:t>
            </w:r>
            <w:r w:rsidR="00EC6F22">
              <w:rPr>
                <w:rFonts w:cs="Times New Roman"/>
                <w:color w:val="000000"/>
                <w:szCs w:val="22"/>
                <w:lang w:eastAsia="en-GB"/>
              </w:rPr>
              <w:t>’</w:t>
            </w:r>
            <w:r w:rsidRPr="004525E3">
              <w:rPr>
                <w:rFonts w:cs="Times New Roman"/>
                <w:color w:val="000000"/>
                <w:szCs w:val="22"/>
                <w:lang w:eastAsia="en-GB"/>
              </w:rPr>
              <w:t>s business. Decisions will be made by majority vote.</w:t>
            </w:r>
          </w:p>
          <w:p w:rsidRPr="004525E3" w:rsidR="00757140" w:rsidP="006F2A87" w:rsidRDefault="00757140">
            <w:pPr>
              <w:pStyle w:val="Definition"/>
              <w:numPr>
                <w:ilvl w:val="0"/>
                <w:numId w:val="30"/>
              </w:numPr>
              <w:rPr>
                <w:rFonts w:cs="Times New Roman"/>
                <w:szCs w:val="22"/>
              </w:rPr>
            </w:pPr>
            <w:r w:rsidRPr="004525E3">
              <w:rPr>
                <w:rFonts w:cs="Times New Roman"/>
                <w:color w:val="000000"/>
                <w:szCs w:val="22"/>
                <w:lang w:eastAsia="en-GB"/>
              </w:rPr>
              <w:lastRenderedPageBreak/>
              <w:t xml:space="preserve">The LP Advisory Committee shall be a consultative body and shall have no decision-making power in respect of the activities or affairs of the </w:t>
            </w:r>
            <w:r w:rsidRPr="004525E3" w:rsidR="00A771B9">
              <w:rPr>
                <w:rFonts w:cs="Times New Roman"/>
                <w:color w:val="000000"/>
                <w:szCs w:val="22"/>
                <w:lang w:eastAsia="en-GB"/>
              </w:rPr>
              <w:t>Fund</w:t>
            </w:r>
            <w:r w:rsidRPr="004525E3">
              <w:rPr>
                <w:rFonts w:cs="Times New Roman"/>
                <w:color w:val="000000"/>
                <w:szCs w:val="22"/>
                <w:lang w:eastAsia="en-GB"/>
              </w:rPr>
              <w:t xml:space="preserve">. </w:t>
            </w:r>
          </w:p>
          <w:p w:rsidRPr="004525E3" w:rsidR="00026BFF" w:rsidP="006F2A87" w:rsidRDefault="00026BFF">
            <w:pPr>
              <w:pStyle w:val="Definition"/>
              <w:numPr>
                <w:ilvl w:val="0"/>
                <w:numId w:val="30"/>
              </w:numPr>
              <w:rPr>
                <w:rFonts w:cs="Times New Roman"/>
                <w:szCs w:val="22"/>
              </w:rPr>
            </w:pPr>
            <w:r w:rsidRPr="004525E3">
              <w:rPr>
                <w:rFonts w:cs="Times New Roman"/>
                <w:color w:val="000000"/>
                <w:szCs w:val="22"/>
                <w:lang w:eastAsia="en-GB"/>
              </w:rPr>
              <w:t xml:space="preserve">The </w:t>
            </w:r>
            <w:r w:rsidRPr="004525E3">
              <w:rPr>
                <w:rFonts w:cs="Times New Roman"/>
                <w:szCs w:val="22"/>
              </w:rPr>
              <w:t xml:space="preserve">LP </w:t>
            </w:r>
            <w:r w:rsidRPr="004525E3">
              <w:rPr>
                <w:rFonts w:cs="Times New Roman"/>
                <w:color w:val="000000"/>
                <w:szCs w:val="22"/>
                <w:lang w:eastAsia="en-GB"/>
              </w:rPr>
              <w:t>Advisory Committee shall be entitled to appoint professional advisors at the expense of the Fund.</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Meetings of the Fund</w:t>
            </w:r>
            <w:r w:rsidRPr="001F1E93" w:rsidR="001F1E93">
              <w:rPr>
                <w:rStyle w:val="FootnoteReference"/>
                <w:rFonts w:cs="Times New Roman"/>
                <w:b w:val="0"/>
                <w:szCs w:val="22"/>
              </w:rPr>
              <w:footnoteReference w:id="63"/>
            </w:r>
          </w:p>
        </w:tc>
        <w:tc>
          <w:tcPr>
            <w:tcW w:w="6596" w:type="dxa"/>
          </w:tcPr>
          <w:p w:rsidRPr="004525E3" w:rsidR="00026BFF" w:rsidP="00026BFF" w:rsidRDefault="00026BFF">
            <w:pPr>
              <w:spacing w:before="100" w:beforeAutospacing="1" w:after="100" w:afterAutospacing="1"/>
              <w:rPr>
                <w:rFonts w:cs="Times New Roman"/>
                <w:color w:val="000000"/>
                <w:szCs w:val="22"/>
                <w:lang w:eastAsia="en-GB"/>
              </w:rPr>
            </w:pPr>
            <w:r w:rsidRPr="004525E3">
              <w:rPr>
                <w:rFonts w:cs="Times New Roman"/>
                <w:color w:val="000000"/>
                <w:szCs w:val="22"/>
                <w:lang w:eastAsia="en-GB"/>
              </w:rPr>
              <w:t xml:space="preserve">The Fund shall have a meeting of Partners at least once each year beginning in the year after the year of the Initial Closing Date. The General Partner shall call additional meetings upon receipt of request to do so approved by </w:t>
            </w:r>
            <w:r w:rsidRPr="004525E3">
              <w:rPr>
                <w:rFonts w:cs="Times New Roman"/>
                <w:szCs w:val="22"/>
              </w:rPr>
              <w:t>Limited Partners</w:t>
            </w:r>
            <w:r w:rsidRPr="004525E3" w:rsidR="005A0DBE">
              <w:rPr>
                <w:rFonts w:cs="Times New Roman"/>
                <w:color w:val="000000"/>
                <w:szCs w:val="22"/>
                <w:lang w:eastAsia="en-GB"/>
              </w:rPr>
              <w:t xml:space="preserve"> representing at least [50.1</w:t>
            </w:r>
            <w:r w:rsidRPr="004525E3">
              <w:rPr>
                <w:rFonts w:cs="Times New Roman"/>
                <w:color w:val="000000"/>
                <w:szCs w:val="22"/>
                <w:lang w:eastAsia="en-GB"/>
              </w:rPr>
              <w:t>]%</w:t>
            </w:r>
            <w:r w:rsidRPr="004525E3">
              <w:rPr>
                <w:rStyle w:val="FootnoteReference"/>
                <w:rFonts w:cs="Times New Roman"/>
                <w:color w:val="000000"/>
                <w:szCs w:val="22"/>
                <w:lang w:eastAsia="en-GB"/>
              </w:rPr>
              <w:footnoteReference w:id="64"/>
            </w:r>
            <w:r w:rsidRPr="004525E3">
              <w:rPr>
                <w:rFonts w:cs="Times New Roman"/>
                <w:color w:val="000000"/>
                <w:szCs w:val="22"/>
                <w:lang w:eastAsia="en-GB"/>
              </w:rPr>
              <w:t xml:space="preserve"> of Commitments. </w:t>
            </w:r>
          </w:p>
          <w:p w:rsidRPr="004525E3" w:rsidR="00026BFF" w:rsidP="00026BFF" w:rsidRDefault="00026BFF">
            <w:pPr>
              <w:spacing w:before="100" w:beforeAutospacing="1" w:after="100" w:afterAutospacing="1"/>
              <w:rPr>
                <w:rFonts w:cs="Times New Roman"/>
                <w:color w:val="000000"/>
                <w:szCs w:val="22"/>
                <w:lang w:eastAsia="en-GB"/>
              </w:rPr>
            </w:pPr>
            <w:r w:rsidRPr="004525E3">
              <w:rPr>
                <w:rFonts w:cs="Times New Roman"/>
                <w:color w:val="000000"/>
                <w:szCs w:val="22"/>
                <w:lang w:eastAsia="en-GB"/>
              </w:rPr>
              <w:t xml:space="preserve">The General Partner shall give at least </w:t>
            </w:r>
            <w:r w:rsidRPr="004525E3" w:rsidR="006102D9">
              <w:rPr>
                <w:rFonts w:cs="Times New Roman"/>
                <w:color w:val="000000"/>
                <w:szCs w:val="22"/>
                <w:lang w:eastAsia="en-GB"/>
              </w:rPr>
              <w:t>[</w:t>
            </w:r>
            <w:r w:rsidRPr="004525E3" w:rsidR="005A0DBE">
              <w:rPr>
                <w:rFonts w:cs="Times New Roman"/>
                <w:color w:val="000000"/>
                <w:szCs w:val="22"/>
                <w:lang w:eastAsia="en-GB"/>
              </w:rPr>
              <w:t xml:space="preserve">10 business </w:t>
            </w:r>
            <w:r w:rsidRPr="004525E3">
              <w:rPr>
                <w:rFonts w:cs="Times New Roman"/>
                <w:color w:val="000000"/>
                <w:szCs w:val="22"/>
                <w:lang w:eastAsia="en-GB"/>
              </w:rPr>
              <w:t>days</w:t>
            </w:r>
            <w:r w:rsidRPr="004525E3" w:rsidR="006102D9">
              <w:rPr>
                <w:rFonts w:cs="Times New Roman"/>
                <w:color w:val="000000"/>
                <w:szCs w:val="22"/>
                <w:lang w:eastAsia="en-GB"/>
              </w:rPr>
              <w:t>]</w:t>
            </w:r>
            <w:r w:rsidR="00EC6F22">
              <w:rPr>
                <w:rFonts w:cs="Times New Roman"/>
                <w:color w:val="000000"/>
                <w:szCs w:val="22"/>
                <w:lang w:eastAsia="en-GB"/>
              </w:rPr>
              <w:t>’</w:t>
            </w:r>
            <w:r w:rsidRPr="004525E3">
              <w:rPr>
                <w:rFonts w:cs="Times New Roman"/>
                <w:color w:val="000000"/>
                <w:szCs w:val="22"/>
                <w:lang w:eastAsia="en-GB"/>
              </w:rPr>
              <w:t xml:space="preserve"> advance written notice of any meeting to the </w:t>
            </w:r>
            <w:r w:rsidRPr="004525E3">
              <w:rPr>
                <w:rFonts w:cs="Times New Roman"/>
                <w:szCs w:val="22"/>
              </w:rPr>
              <w:t>Limited Partners</w:t>
            </w:r>
            <w:r w:rsidRPr="004525E3">
              <w:rPr>
                <w:rFonts w:cs="Times New Roman"/>
                <w:color w:val="000000"/>
                <w:szCs w:val="22"/>
                <w:lang w:eastAsia="en-GB"/>
              </w:rPr>
              <w:t xml:space="preserve">, together with a copy of the agenda therefor. A copy of the minutes and any materials distributed at the meeting will be made available to all </w:t>
            </w:r>
            <w:r w:rsidRPr="004525E3">
              <w:rPr>
                <w:rFonts w:cs="Times New Roman"/>
                <w:szCs w:val="22"/>
              </w:rPr>
              <w:t>Limited Partners</w:t>
            </w:r>
            <w:r w:rsidRPr="004525E3">
              <w:rPr>
                <w:rFonts w:cs="Times New Roman"/>
                <w:color w:val="000000"/>
                <w:szCs w:val="22"/>
                <w:lang w:eastAsia="en-GB"/>
              </w:rPr>
              <w:t xml:space="preserve"> within 30 days after the meeting.</w:t>
            </w:r>
          </w:p>
          <w:p w:rsidRPr="004525E3" w:rsidR="005A0DBE" w:rsidP="00026BFF" w:rsidRDefault="004305E9">
            <w:pPr>
              <w:spacing w:before="100" w:beforeAutospacing="1" w:after="100" w:afterAutospacing="1"/>
              <w:rPr>
                <w:rFonts w:cs="Times New Roman"/>
                <w:color w:val="000000"/>
                <w:szCs w:val="22"/>
                <w:lang w:eastAsia="en-GB"/>
              </w:rPr>
            </w:pPr>
            <w:r w:rsidRPr="004525E3">
              <w:rPr>
                <w:rFonts w:cs="Times New Roman"/>
                <w:color w:val="000000"/>
                <w:szCs w:val="22"/>
                <w:lang w:eastAsia="en-GB"/>
              </w:rPr>
              <w:t xml:space="preserve">Two or more Limited Partners present in person and holding or representing at least </w:t>
            </w:r>
            <w:r w:rsidRPr="004525E3" w:rsidR="006102D9">
              <w:rPr>
                <w:rFonts w:cs="Times New Roman"/>
                <w:color w:val="000000"/>
                <w:szCs w:val="22"/>
                <w:lang w:eastAsia="en-GB"/>
              </w:rPr>
              <w:t>[</w:t>
            </w:r>
            <w:r w:rsidRPr="004525E3">
              <w:rPr>
                <w:rFonts w:cs="Times New Roman"/>
                <w:color w:val="000000"/>
                <w:szCs w:val="22"/>
                <w:lang w:eastAsia="en-GB"/>
              </w:rPr>
              <w:t>40</w:t>
            </w:r>
            <w:r w:rsidRPr="004525E3" w:rsidR="006102D9">
              <w:rPr>
                <w:rFonts w:cs="Times New Roman"/>
                <w:color w:val="000000"/>
                <w:szCs w:val="22"/>
                <w:lang w:eastAsia="en-GB"/>
              </w:rPr>
              <w:t>]</w:t>
            </w:r>
            <w:r w:rsidRPr="004525E3">
              <w:rPr>
                <w:rFonts w:cs="Times New Roman"/>
                <w:color w:val="000000"/>
                <w:szCs w:val="22"/>
                <w:lang w:eastAsia="en-GB"/>
              </w:rPr>
              <w:t xml:space="preserve">% of Commitment outstanding shall constitute a quorum. Each Limited Partner shall be entitled to one vote for each dollar of its Commitment. </w:t>
            </w:r>
          </w:p>
          <w:p w:rsidRPr="004525E3" w:rsidR="00026BFF" w:rsidP="00026BFF" w:rsidRDefault="00026BFF">
            <w:pPr>
              <w:spacing w:before="100" w:beforeAutospacing="1" w:after="100" w:afterAutospacing="1"/>
              <w:rPr>
                <w:rFonts w:cs="Times New Roman"/>
                <w:color w:val="000000"/>
                <w:szCs w:val="22"/>
                <w:lang w:eastAsia="en-GB"/>
              </w:rPr>
            </w:pP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Confidentiality</w:t>
            </w:r>
            <w:r w:rsidRPr="001F1E93" w:rsidR="001F1E93">
              <w:rPr>
                <w:rStyle w:val="FootnoteReference"/>
                <w:rFonts w:cs="Times New Roman"/>
                <w:b w:val="0"/>
                <w:szCs w:val="22"/>
              </w:rPr>
              <w:footnoteReference w:id="65"/>
            </w:r>
          </w:p>
        </w:tc>
        <w:tc>
          <w:tcPr>
            <w:tcW w:w="6596" w:type="dxa"/>
          </w:tcPr>
          <w:p w:rsidRPr="004525E3" w:rsidR="00026BFF" w:rsidP="00026BFF" w:rsidRDefault="00026BFF">
            <w:pPr>
              <w:spacing w:before="100" w:beforeAutospacing="1" w:after="100" w:afterAutospacing="1"/>
              <w:rPr>
                <w:rFonts w:cs="Times New Roman"/>
                <w:color w:val="000000"/>
                <w:szCs w:val="22"/>
                <w:lang w:eastAsia="en-GB"/>
              </w:rPr>
            </w:pPr>
            <w:r w:rsidRPr="004525E3">
              <w:rPr>
                <w:rFonts w:cs="Times New Roman"/>
                <w:szCs w:val="22"/>
              </w:rPr>
              <w:t>Limited Partners</w:t>
            </w:r>
            <w:r w:rsidRPr="004525E3">
              <w:rPr>
                <w:rFonts w:cs="Times New Roman"/>
                <w:color w:val="000000"/>
                <w:szCs w:val="22"/>
                <w:lang w:eastAsia="en-GB"/>
              </w:rPr>
              <w:t xml:space="preserve"> will be subject to obligations of confidentiality in relation to the affairs of the Fund and its investments</w:t>
            </w:r>
            <w:r w:rsidRPr="004525E3" w:rsidR="004305E9">
              <w:rPr>
                <w:rFonts w:cs="Times New Roman"/>
                <w:color w:val="000000"/>
                <w:szCs w:val="22"/>
                <w:lang w:eastAsia="en-GB"/>
              </w:rPr>
              <w:t>. H</w:t>
            </w:r>
            <w:r w:rsidRPr="004525E3">
              <w:rPr>
                <w:rFonts w:cs="Times New Roman"/>
                <w:color w:val="000000"/>
                <w:szCs w:val="22"/>
                <w:lang w:eastAsia="en-GB"/>
              </w:rPr>
              <w:t>owever</w:t>
            </w:r>
            <w:r w:rsidR="001F1E93">
              <w:rPr>
                <w:rFonts w:cs="Times New Roman"/>
                <w:color w:val="000000"/>
                <w:szCs w:val="22"/>
                <w:lang w:eastAsia="en-GB"/>
              </w:rPr>
              <w:t>,</w:t>
            </w:r>
            <w:r w:rsidRPr="004525E3">
              <w:rPr>
                <w:rFonts w:cs="Times New Roman"/>
                <w:color w:val="000000"/>
                <w:szCs w:val="22"/>
                <w:lang w:eastAsia="en-GB"/>
              </w:rPr>
              <w:t xml:space="preserve"> they can disclose any such information to any other </w:t>
            </w:r>
            <w:r w:rsidRPr="004525E3">
              <w:rPr>
                <w:rFonts w:cs="Times New Roman"/>
                <w:szCs w:val="22"/>
              </w:rPr>
              <w:t>Limited Partner</w:t>
            </w:r>
            <w:r w:rsidRPr="004525E3">
              <w:rPr>
                <w:rFonts w:cs="Times New Roman"/>
                <w:color w:val="000000"/>
                <w:szCs w:val="22"/>
                <w:lang w:eastAsia="en-GB"/>
              </w:rPr>
              <w:t xml:space="preserve"> or representative thereof; as may be required by any law, order, or regulations; in connection with an audit or examination by any governmental or regulatory authority; and to its employees and professional advisers</w:t>
            </w:r>
            <w:r w:rsidRPr="004525E3" w:rsidR="00E11A7A">
              <w:rPr>
                <w:rFonts w:cs="Times New Roman"/>
                <w:color w:val="000000"/>
                <w:szCs w:val="22"/>
                <w:lang w:eastAsia="en-GB"/>
              </w:rPr>
              <w:t>, external independent auditors and funds administrators</w:t>
            </w:r>
            <w:r w:rsidRPr="004525E3">
              <w:rPr>
                <w:rFonts w:cs="Times New Roman"/>
                <w:color w:val="000000"/>
                <w:szCs w:val="22"/>
                <w:lang w:eastAsia="en-GB"/>
              </w:rPr>
              <w:t xml:space="preserve">. </w:t>
            </w:r>
          </w:p>
          <w:p w:rsidRPr="004525E3" w:rsidR="00030415" w:rsidP="00026BFF" w:rsidRDefault="00030415">
            <w:pPr>
              <w:spacing w:before="100" w:beforeAutospacing="1" w:after="100" w:afterAutospacing="1"/>
              <w:rPr>
                <w:rFonts w:cs="Times New Roman"/>
                <w:color w:val="000000"/>
                <w:szCs w:val="22"/>
                <w:lang w:eastAsia="en-GB"/>
              </w:rPr>
            </w:pP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t>Indemnification</w:t>
            </w:r>
            <w:r w:rsidRPr="001F1E93" w:rsidR="001F1E93">
              <w:rPr>
                <w:rStyle w:val="FootnoteReference"/>
                <w:rFonts w:cs="Times New Roman"/>
                <w:b w:val="0"/>
                <w:szCs w:val="22"/>
              </w:rPr>
              <w:footnoteReference w:id="66"/>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The General Partner, the Manager, their respective Affiliates, partners, members, employees and directors and officers, including Key Persons, will be indemnified out of the Fund</w:t>
            </w:r>
            <w:r w:rsidR="00EC6F22">
              <w:rPr>
                <w:rFonts w:cs="Times New Roman"/>
                <w:szCs w:val="22"/>
              </w:rPr>
              <w:t>’</w:t>
            </w:r>
            <w:r w:rsidRPr="004525E3">
              <w:rPr>
                <w:rFonts w:cs="Times New Roman"/>
                <w:szCs w:val="22"/>
              </w:rPr>
              <w:t>s assets against any claims made by third parties and incurred by reason of their activities on behalf of the Fund except in respect of matters resulting from their fraud, bad faith, or wilful misconduct, [gross] negligence</w:t>
            </w:r>
            <w:r w:rsidRPr="004525E3" w:rsidR="001F16B3">
              <w:rPr>
                <w:rFonts w:cs="Times New Roman"/>
                <w:szCs w:val="22"/>
              </w:rPr>
              <w:t xml:space="preserve"> [or intentional or gross fault]</w:t>
            </w:r>
            <w:r w:rsidRPr="004525E3" w:rsidR="00EC6F22">
              <w:rPr>
                <w:rFonts w:cs="Times New Roman"/>
                <w:szCs w:val="22"/>
              </w:rPr>
              <w:t>,</w:t>
            </w:r>
            <w:r w:rsidRPr="004525E3">
              <w:rPr>
                <w:rStyle w:val="FootnoteReference"/>
                <w:rFonts w:cs="Times New Roman"/>
                <w:szCs w:val="22"/>
              </w:rPr>
              <w:footnoteReference w:id="67"/>
            </w:r>
            <w:r w:rsidRPr="004525E3">
              <w:rPr>
                <w:rFonts w:cs="Times New Roman"/>
                <w:szCs w:val="22"/>
              </w:rPr>
              <w:t xml:space="preserve"> a </w:t>
            </w:r>
            <w:r w:rsidRPr="004525E3" w:rsidR="00813169">
              <w:rPr>
                <w:rFonts w:cs="Times New Roman"/>
                <w:szCs w:val="22"/>
              </w:rPr>
              <w:t xml:space="preserve">material </w:t>
            </w:r>
            <w:r w:rsidRPr="004525E3">
              <w:rPr>
                <w:rFonts w:cs="Times New Roman"/>
                <w:szCs w:val="22"/>
              </w:rPr>
              <w:t>breach of any terms of the Partnership Agr</w:t>
            </w:r>
            <w:r w:rsidRPr="004525E3" w:rsidR="00813169">
              <w:rPr>
                <w:rFonts w:cs="Times New Roman"/>
                <w:szCs w:val="22"/>
              </w:rPr>
              <w:t xml:space="preserve">eement, a violation of any laws, any matters arising out of any Proceeding between or among GP Covered Persons or Interested Persons, </w:t>
            </w:r>
            <w:r w:rsidRPr="004525E3">
              <w:rPr>
                <w:rFonts w:cs="Times New Roman"/>
                <w:szCs w:val="22"/>
              </w:rPr>
              <w:t>or its bankruptcy or insolvency.</w:t>
            </w:r>
          </w:p>
          <w:p w:rsidRPr="004525E3" w:rsidR="00026BFF" w:rsidP="006F2A87" w:rsidRDefault="00026BFF">
            <w:pPr>
              <w:pStyle w:val="Definition"/>
              <w:numPr>
                <w:ilvl w:val="0"/>
                <w:numId w:val="30"/>
              </w:numPr>
              <w:rPr>
                <w:rFonts w:cs="Times New Roman"/>
                <w:szCs w:val="22"/>
              </w:rPr>
            </w:pPr>
            <w:r w:rsidRPr="004525E3">
              <w:rPr>
                <w:rFonts w:cs="Times New Roman"/>
                <w:szCs w:val="22"/>
              </w:rPr>
              <w:lastRenderedPageBreak/>
              <w:t>Any LP Advisory Committee member will be similarly indemnified other than with respect of actions or inactions found by a court to be based upon the bad faith of such member.</w:t>
            </w:r>
            <w:r w:rsidR="00711CE9">
              <w:rPr>
                <w:rStyle w:val="FootnoteReference"/>
                <w:rFonts w:cs="Times New Roman"/>
                <w:szCs w:val="22"/>
              </w:rPr>
              <w:footnoteReference w:id="68"/>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Reporting</w:t>
            </w:r>
            <w:r w:rsidRPr="00711CE9" w:rsidR="00711CE9">
              <w:rPr>
                <w:rStyle w:val="FootnoteReference"/>
                <w:rFonts w:cs="Times New Roman"/>
                <w:b w:val="0"/>
                <w:szCs w:val="22"/>
              </w:rPr>
              <w:footnoteReference w:id="69"/>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The General Partner shall keep, during the term of the Fund and for a period of </w:t>
            </w:r>
            <w:r w:rsidRPr="004525E3" w:rsidR="00C17488">
              <w:rPr>
                <w:rFonts w:cs="Times New Roman"/>
                <w:szCs w:val="22"/>
              </w:rPr>
              <w:t>[</w:t>
            </w:r>
            <w:r w:rsidRPr="004525E3">
              <w:rPr>
                <w:rFonts w:cs="Times New Roman"/>
                <w:szCs w:val="22"/>
              </w:rPr>
              <w:t>six</w:t>
            </w:r>
            <w:r w:rsidRPr="004525E3" w:rsidR="00C17488">
              <w:rPr>
                <w:rFonts w:cs="Times New Roman"/>
                <w:szCs w:val="22"/>
              </w:rPr>
              <w:t>]</w:t>
            </w:r>
            <w:r w:rsidRPr="004525E3">
              <w:rPr>
                <w:rFonts w:cs="Times New Roman"/>
                <w:szCs w:val="22"/>
              </w:rPr>
              <w:t xml:space="preserve"> years thereafter, at is principal business address, proper and complete records and books of account reflecting the assets, liabilit</w:t>
            </w:r>
            <w:r w:rsidR="002708BD">
              <w:rPr>
                <w:rFonts w:cs="Times New Roman"/>
                <w:szCs w:val="22"/>
              </w:rPr>
              <w:t>ies, income and expenditures of</w:t>
            </w:r>
            <w:r w:rsidRPr="004525E3">
              <w:rPr>
                <w:rFonts w:cs="Times New Roman"/>
                <w:szCs w:val="22"/>
              </w:rPr>
              <w:t xml:space="preserve"> the Fund and a record including, among other things, a list of the names and addresses of all the Limited Partners and Interests held by each of them. </w:t>
            </w:r>
          </w:p>
          <w:p w:rsidRPr="004525E3" w:rsidR="00026BFF" w:rsidP="006F2A87" w:rsidRDefault="00026BFF">
            <w:pPr>
              <w:pStyle w:val="Definition"/>
              <w:numPr>
                <w:ilvl w:val="0"/>
                <w:numId w:val="30"/>
              </w:numPr>
              <w:rPr>
                <w:rFonts w:cs="Times New Roman"/>
                <w:szCs w:val="22"/>
              </w:rPr>
            </w:pPr>
            <w:r w:rsidRPr="004525E3">
              <w:rPr>
                <w:rFonts w:cs="Times New Roman"/>
                <w:szCs w:val="22"/>
              </w:rPr>
              <w:t>The books, accounts and records of the Fund as of the end of each fiscal year shall be audited by the auditor.</w:t>
            </w:r>
          </w:p>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Within </w:t>
            </w:r>
            <w:r w:rsidRPr="004525E3" w:rsidR="00C17488">
              <w:rPr>
                <w:rFonts w:cs="Times New Roman"/>
                <w:szCs w:val="22"/>
              </w:rPr>
              <w:t>[</w:t>
            </w:r>
            <w:r w:rsidRPr="004525E3">
              <w:rPr>
                <w:rFonts w:cs="Times New Roman"/>
                <w:szCs w:val="22"/>
              </w:rPr>
              <w:t>90</w:t>
            </w:r>
            <w:r w:rsidRPr="004525E3" w:rsidR="00C17488">
              <w:rPr>
                <w:rFonts w:cs="Times New Roman"/>
                <w:szCs w:val="22"/>
              </w:rPr>
              <w:t>]</w:t>
            </w:r>
            <w:r w:rsidRPr="004525E3">
              <w:rPr>
                <w:rFonts w:cs="Times New Roman"/>
                <w:szCs w:val="22"/>
              </w:rPr>
              <w:t xml:space="preserve"> days of the end of each Fiscal Year the General Partner will provide to Limited Partners a financial report audited by the Auditor as of the end of </w:t>
            </w:r>
            <w:r w:rsidRPr="004525E3" w:rsidR="00B02B09">
              <w:rPr>
                <w:rFonts w:cs="Times New Roman"/>
                <w:szCs w:val="22"/>
              </w:rPr>
              <w:t>the</w:t>
            </w:r>
            <w:r w:rsidRPr="004525E3">
              <w:rPr>
                <w:rFonts w:cs="Times New Roman"/>
                <w:szCs w:val="22"/>
              </w:rPr>
              <w:t xml:space="preserve"> Fiscal Year, prepared in compliance with [GAAP]</w:t>
            </w:r>
            <w:r w:rsidRPr="004525E3" w:rsidR="00EC6F22">
              <w:rPr>
                <w:rFonts w:cs="Times New Roman"/>
                <w:szCs w:val="22"/>
              </w:rPr>
              <w:t>,</w:t>
            </w:r>
            <w:r w:rsidRPr="004525E3">
              <w:rPr>
                <w:rStyle w:val="FootnoteReference"/>
                <w:rFonts w:cs="Times New Roman"/>
                <w:szCs w:val="22"/>
              </w:rPr>
              <w:footnoteReference w:id="70"/>
            </w:r>
            <w:r w:rsidRPr="004525E3">
              <w:rPr>
                <w:rFonts w:cs="Times New Roman"/>
                <w:szCs w:val="22"/>
              </w:rPr>
              <w:t xml:space="preserve"> which shall include, among other things, (i) the audited financial statements of the Fund, (ii) confirmation that </w:t>
            </w:r>
            <w:r w:rsidRPr="004525E3" w:rsidR="00B02B09">
              <w:rPr>
                <w:rFonts w:cs="Times New Roman"/>
                <w:szCs w:val="22"/>
              </w:rPr>
              <w:t xml:space="preserve">(1) </w:t>
            </w:r>
            <w:r w:rsidRPr="004525E3">
              <w:rPr>
                <w:rFonts w:cs="Times New Roman"/>
                <w:szCs w:val="22"/>
              </w:rPr>
              <w:t>the amounts of Management Fee and Carried Interest that have been distributed,</w:t>
            </w:r>
            <w:r w:rsidRPr="004525E3" w:rsidR="00B02B09">
              <w:rPr>
                <w:rFonts w:cs="Times New Roman"/>
                <w:szCs w:val="22"/>
              </w:rPr>
              <w:t xml:space="preserve"> (2)</w:t>
            </w:r>
            <w:r w:rsidRPr="004525E3">
              <w:rPr>
                <w:rFonts w:cs="Times New Roman"/>
                <w:szCs w:val="22"/>
              </w:rPr>
              <w:t xml:space="preserve"> </w:t>
            </w:r>
            <w:r w:rsidRPr="004525E3" w:rsidR="00C17488">
              <w:rPr>
                <w:rFonts w:cs="Times New Roman"/>
                <w:szCs w:val="22"/>
              </w:rPr>
              <w:t>[</w:t>
            </w:r>
            <w:r w:rsidRPr="004525E3">
              <w:rPr>
                <w:rFonts w:cs="Times New Roman"/>
                <w:szCs w:val="22"/>
              </w:rPr>
              <w:t>the amount of Carried Interest retained in the escrow account and</w:t>
            </w:r>
            <w:r w:rsidRPr="004525E3" w:rsidR="00B02B09">
              <w:rPr>
                <w:rFonts w:cs="Times New Roman"/>
                <w:szCs w:val="22"/>
              </w:rPr>
              <w:t xml:space="preserve"> (3)</w:t>
            </w:r>
            <w:r w:rsidRPr="004525E3" w:rsidR="00C17488">
              <w:rPr>
                <w:rFonts w:cs="Times New Roman"/>
                <w:szCs w:val="22"/>
              </w:rPr>
              <w:t>]</w:t>
            </w:r>
            <w:r w:rsidRPr="004525E3">
              <w:rPr>
                <w:rFonts w:cs="Times New Roman"/>
                <w:szCs w:val="22"/>
              </w:rPr>
              <w:t xml:space="preserve"> the amounts of any Fee Income applied to reduce the Management Fee in accordance with the Management Fee offset are correct, and (iii) each Limited Partner</w:t>
            </w:r>
            <w:r w:rsidR="00EC6F22">
              <w:rPr>
                <w:rFonts w:cs="Times New Roman"/>
                <w:szCs w:val="22"/>
              </w:rPr>
              <w:t>’</w:t>
            </w:r>
            <w:r w:rsidRPr="004525E3">
              <w:rPr>
                <w:rFonts w:cs="Times New Roman"/>
                <w:szCs w:val="22"/>
              </w:rPr>
              <w:t xml:space="preserve">s closing capital account balance as of the end of </w:t>
            </w:r>
            <w:r w:rsidRPr="004525E3" w:rsidR="00B02B09">
              <w:rPr>
                <w:rFonts w:cs="Times New Roman"/>
                <w:szCs w:val="22"/>
              </w:rPr>
              <w:t>the</w:t>
            </w:r>
            <w:r w:rsidRPr="004525E3">
              <w:rPr>
                <w:rFonts w:cs="Times New Roman"/>
                <w:szCs w:val="22"/>
              </w:rPr>
              <w:t xml:space="preserve"> Fiscal Year. </w:t>
            </w:r>
          </w:p>
          <w:p w:rsidRPr="004525E3" w:rsidR="00026BFF" w:rsidP="00026BFF" w:rsidRDefault="00026BFF">
            <w:pPr>
              <w:pStyle w:val="Definition1"/>
              <w:numPr>
                <w:ilvl w:val="0"/>
                <w:numId w:val="0"/>
              </w:numPr>
              <w:tabs>
                <w:tab w:val="left" w:pos="720"/>
              </w:tabs>
              <w:rPr>
                <w:rFonts w:cs="Times New Roman"/>
                <w:szCs w:val="22"/>
              </w:rPr>
            </w:pPr>
            <w:r w:rsidRPr="004525E3">
              <w:rPr>
                <w:rFonts w:cs="Times New Roman"/>
                <w:szCs w:val="22"/>
              </w:rPr>
              <w:t xml:space="preserve">Within </w:t>
            </w:r>
            <w:r w:rsidRPr="004525E3" w:rsidR="00C17488">
              <w:rPr>
                <w:rFonts w:cs="Times New Roman"/>
                <w:szCs w:val="22"/>
              </w:rPr>
              <w:t>[</w:t>
            </w:r>
            <w:r w:rsidRPr="004525E3">
              <w:rPr>
                <w:rFonts w:cs="Times New Roman"/>
                <w:szCs w:val="22"/>
              </w:rPr>
              <w:t>45</w:t>
            </w:r>
            <w:r w:rsidRPr="004525E3" w:rsidR="00C17488">
              <w:rPr>
                <w:rFonts w:cs="Times New Roman"/>
                <w:szCs w:val="22"/>
              </w:rPr>
              <w:t>]</w:t>
            </w:r>
            <w:r w:rsidRPr="004525E3">
              <w:rPr>
                <w:rFonts w:cs="Times New Roman"/>
                <w:szCs w:val="22"/>
              </w:rPr>
              <w:t xml:space="preserve"> days of the end of each calendar quarter (commencing with the first full calendar quarter after the date of the first Drawdown) the General Partner will provide to Limited Partners, an unaudited report as of the end of </w:t>
            </w:r>
            <w:r w:rsidRPr="004525E3" w:rsidR="00B02B09">
              <w:rPr>
                <w:rFonts w:cs="Times New Roman"/>
                <w:szCs w:val="22"/>
              </w:rPr>
              <w:t>the</w:t>
            </w:r>
            <w:r w:rsidRPr="004525E3">
              <w:rPr>
                <w:rFonts w:cs="Times New Roman"/>
                <w:szCs w:val="22"/>
              </w:rPr>
              <w:t xml:space="preserve"> quarter </w:t>
            </w:r>
            <w:r w:rsidRPr="004525E3" w:rsidR="00B02B09">
              <w:rPr>
                <w:rFonts w:cs="Times New Roman"/>
                <w:szCs w:val="22"/>
              </w:rPr>
              <w:t>prepared</w:t>
            </w:r>
            <w:r w:rsidRPr="004525E3">
              <w:rPr>
                <w:rFonts w:cs="Times New Roman"/>
                <w:szCs w:val="22"/>
              </w:rPr>
              <w:t xml:space="preserve"> in compliance with [GAAP]</w:t>
            </w:r>
            <w:r w:rsidRPr="004525E3" w:rsidR="00EC6F22">
              <w:rPr>
                <w:rFonts w:cs="Times New Roman"/>
                <w:szCs w:val="22"/>
              </w:rPr>
              <w:t>.</w:t>
            </w:r>
            <w:r w:rsidRPr="004525E3">
              <w:rPr>
                <w:rStyle w:val="FootnoteReference"/>
                <w:rFonts w:cs="Times New Roman"/>
                <w:szCs w:val="22"/>
              </w:rPr>
              <w:footnoteReference w:id="71"/>
            </w:r>
          </w:p>
          <w:p w:rsidRPr="004525E3" w:rsidR="00026BFF" w:rsidP="00026BFF" w:rsidRDefault="00026BFF">
            <w:pPr>
              <w:pStyle w:val="Definition1"/>
              <w:numPr>
                <w:ilvl w:val="0"/>
                <w:numId w:val="0"/>
              </w:numPr>
              <w:tabs>
                <w:tab w:val="left" w:pos="720"/>
              </w:tabs>
              <w:rPr>
                <w:rFonts w:cs="Times New Roman"/>
                <w:szCs w:val="22"/>
              </w:rPr>
            </w:pPr>
            <w:r w:rsidRPr="004525E3">
              <w:rPr>
                <w:rFonts w:cs="Times New Roman"/>
                <w:szCs w:val="22"/>
              </w:rPr>
              <w:t>The General Partner will also provide to each Limited Partner, together with the financial reports:</w:t>
            </w:r>
          </w:p>
          <w:p w:rsidRPr="004525E3" w:rsidR="00026BFF" w:rsidP="006F2A87" w:rsidRDefault="00026BFF">
            <w:pPr>
              <w:pStyle w:val="Definition1"/>
              <w:numPr>
                <w:ilvl w:val="1"/>
                <w:numId w:val="30"/>
              </w:numPr>
              <w:rPr>
                <w:rFonts w:cs="Times New Roman"/>
                <w:szCs w:val="22"/>
              </w:rPr>
            </w:pPr>
            <w:r w:rsidRPr="004525E3">
              <w:rPr>
                <w:rFonts w:cs="Times New Roman"/>
                <w:szCs w:val="22"/>
              </w:rPr>
              <w:t>descriptive investment information with respect to each Portfolio Company;</w:t>
            </w:r>
          </w:p>
          <w:p w:rsidRPr="004525E3" w:rsidR="00026BFF" w:rsidP="006F2A87" w:rsidRDefault="00026BFF">
            <w:pPr>
              <w:pStyle w:val="Definition1"/>
              <w:numPr>
                <w:ilvl w:val="1"/>
                <w:numId w:val="30"/>
              </w:numPr>
              <w:rPr>
                <w:rFonts w:cs="Times New Roman"/>
                <w:szCs w:val="22"/>
              </w:rPr>
            </w:pPr>
            <w:r w:rsidRPr="004525E3">
              <w:rPr>
                <w:rFonts w:cs="Times New Roman"/>
                <w:szCs w:val="22"/>
              </w:rPr>
              <w:t>the results of operations of each Portfolio Company;</w:t>
            </w:r>
          </w:p>
          <w:p w:rsidRPr="004525E3" w:rsidR="00026BFF" w:rsidP="006F2A87" w:rsidRDefault="00C17488">
            <w:pPr>
              <w:pStyle w:val="Definition1"/>
              <w:numPr>
                <w:ilvl w:val="1"/>
                <w:numId w:val="30"/>
              </w:numPr>
              <w:rPr>
                <w:rFonts w:cs="Times New Roman"/>
                <w:szCs w:val="22"/>
              </w:rPr>
            </w:pPr>
            <w:r w:rsidRPr="004525E3">
              <w:rPr>
                <w:rFonts w:cs="Times New Roman"/>
                <w:szCs w:val="22"/>
              </w:rPr>
              <w:t>[</w:t>
            </w:r>
            <w:r w:rsidRPr="004525E3" w:rsidR="00026BFF">
              <w:rPr>
                <w:rFonts w:cs="Times New Roman"/>
                <w:szCs w:val="22"/>
              </w:rPr>
              <w:t>any reporting on environmental, social and governance risks and opportunities in the Fund as deemed appropriate by the General Partner;</w:t>
            </w:r>
            <w:r w:rsidRPr="004525E3">
              <w:rPr>
                <w:rFonts w:cs="Times New Roman"/>
                <w:szCs w:val="22"/>
              </w:rPr>
              <w:t>]</w:t>
            </w:r>
          </w:p>
          <w:p w:rsidRPr="004525E3" w:rsidR="00026BFF" w:rsidP="006F2A87" w:rsidRDefault="00026BFF">
            <w:pPr>
              <w:pStyle w:val="Definition1"/>
              <w:numPr>
                <w:ilvl w:val="1"/>
                <w:numId w:val="30"/>
              </w:numPr>
              <w:rPr>
                <w:rFonts w:cs="Times New Roman"/>
                <w:szCs w:val="22"/>
              </w:rPr>
            </w:pPr>
            <w:r w:rsidRPr="004525E3">
              <w:rPr>
                <w:rFonts w:cs="Times New Roman"/>
                <w:szCs w:val="22"/>
              </w:rPr>
              <w:t>a report of the total debt and credit in use by the Fund; and</w:t>
            </w:r>
          </w:p>
          <w:p w:rsidRPr="004525E3" w:rsidR="00026BFF" w:rsidP="006F2A87" w:rsidRDefault="00026BFF">
            <w:pPr>
              <w:pStyle w:val="Definition1"/>
              <w:numPr>
                <w:ilvl w:val="1"/>
                <w:numId w:val="30"/>
              </w:numPr>
              <w:rPr>
                <w:rFonts w:cs="Times New Roman"/>
                <w:szCs w:val="22"/>
              </w:rPr>
            </w:pPr>
            <w:r w:rsidRPr="004525E3">
              <w:rPr>
                <w:rFonts w:cs="Times New Roman"/>
                <w:szCs w:val="22"/>
              </w:rPr>
              <w:t xml:space="preserve">a report on the status and performance of the Fund and each of the Portfolio Investments containing a confirmation of (i) the aggregate </w:t>
            </w:r>
            <w:r w:rsidRPr="004525E3">
              <w:rPr>
                <w:rFonts w:cs="Times New Roman"/>
                <w:szCs w:val="22"/>
              </w:rPr>
              <w:lastRenderedPageBreak/>
              <w:t xml:space="preserve">amount of the unreturned Capital Contribution, and (ii) the Remaining Commitment, of </w:t>
            </w:r>
            <w:r w:rsidRPr="004525E3" w:rsidR="00B02B09">
              <w:rPr>
                <w:rFonts w:cs="Times New Roman"/>
                <w:szCs w:val="22"/>
              </w:rPr>
              <w:t>the</w:t>
            </w:r>
            <w:r w:rsidRPr="004525E3">
              <w:rPr>
                <w:rFonts w:cs="Times New Roman"/>
                <w:szCs w:val="22"/>
              </w:rPr>
              <w:t xml:space="preserve"> Limited Partner. </w:t>
            </w:r>
          </w:p>
        </w:tc>
      </w:tr>
      <w:tr w:rsidRPr="004525E3" w:rsidR="00026BFF" w:rsidTr="005C5777">
        <w:tc>
          <w:tcPr>
            <w:tcW w:w="2694" w:type="dxa"/>
            <w:tcMar>
              <w:top w:w="0" w:type="dxa"/>
              <w:left w:w="0" w:type="dxa"/>
              <w:bottom w:w="0" w:type="dxa"/>
              <w:right w:w="113" w:type="dxa"/>
            </w:tcMar>
            <w:hideMark/>
          </w:tcPr>
          <w:p w:rsidRPr="004525E3" w:rsidR="00026BFF" w:rsidP="00026BFF" w:rsidRDefault="00026BFF">
            <w:pPr>
              <w:pStyle w:val="DefinitionTerm"/>
              <w:rPr>
                <w:rFonts w:cs="Times New Roman"/>
                <w:szCs w:val="22"/>
              </w:rPr>
            </w:pPr>
            <w:r w:rsidRPr="004525E3">
              <w:rPr>
                <w:rFonts w:cs="Times New Roman"/>
                <w:szCs w:val="22"/>
              </w:rPr>
              <w:lastRenderedPageBreak/>
              <w:t>Side Letters</w:t>
            </w:r>
            <w:r w:rsidRPr="004525E3">
              <w:rPr>
                <w:rStyle w:val="FootnoteReference"/>
                <w:rFonts w:cs="Times New Roman"/>
                <w:b w:val="0"/>
                <w:szCs w:val="22"/>
              </w:rPr>
              <w:footnoteReference w:id="72"/>
            </w:r>
          </w:p>
        </w:tc>
        <w:tc>
          <w:tcPr>
            <w:tcW w:w="6596" w:type="dxa"/>
            <w:hideMark/>
          </w:tcPr>
          <w:p w:rsidRPr="004525E3" w:rsidR="00026BFF" w:rsidP="006F2A87" w:rsidRDefault="00026BFF">
            <w:pPr>
              <w:pStyle w:val="Definition"/>
              <w:numPr>
                <w:ilvl w:val="0"/>
                <w:numId w:val="30"/>
              </w:numPr>
              <w:rPr>
                <w:rFonts w:cs="Times New Roman"/>
                <w:szCs w:val="22"/>
              </w:rPr>
            </w:pPr>
            <w:r w:rsidRPr="004525E3">
              <w:rPr>
                <w:rFonts w:cs="Times New Roman"/>
                <w:szCs w:val="22"/>
              </w:rPr>
              <w:t>The General Partner shall provide notice to each Limited Partner of the terms of all Side Letters reasonably promptly following the Final Closing Date</w:t>
            </w:r>
            <w:r w:rsidRPr="004525E3" w:rsidR="006102D9">
              <w:rPr>
                <w:rFonts w:cs="Times New Roman"/>
                <w:szCs w:val="22"/>
              </w:rPr>
              <w:t xml:space="preserve"> [to the extent that such Side Letters were entered into by one or more Partners whose Capital Commitments are equal to or less than that of the Limited Partner]</w:t>
            </w:r>
            <w:r w:rsidRPr="004525E3">
              <w:rPr>
                <w:rFonts w:cs="Times New Roman"/>
                <w:szCs w:val="22"/>
              </w:rPr>
              <w:t xml:space="preserve"> and, if any such Side Letter grants more favourable rights to any Partner than those provided to another Partner, each such other Partner </w:t>
            </w:r>
            <w:r w:rsidRPr="004525E3" w:rsidR="00D6519C">
              <w:rPr>
                <w:rFonts w:cs="Times New Roman"/>
                <w:szCs w:val="22"/>
              </w:rPr>
              <w:t>will</w:t>
            </w:r>
            <w:r w:rsidRPr="004525E3">
              <w:rPr>
                <w:rFonts w:cs="Times New Roman"/>
                <w:szCs w:val="22"/>
              </w:rPr>
              <w:t xml:space="preserve"> have the benefit of the more favourable rights, except:</w:t>
            </w:r>
          </w:p>
          <w:p w:rsidRPr="004525E3" w:rsidR="00026BFF" w:rsidP="006F2A87" w:rsidRDefault="00026BFF">
            <w:pPr>
              <w:pStyle w:val="Definition1"/>
              <w:numPr>
                <w:ilvl w:val="1"/>
                <w:numId w:val="30"/>
              </w:numPr>
              <w:rPr>
                <w:rFonts w:cs="Times New Roman"/>
                <w:szCs w:val="22"/>
              </w:rPr>
            </w:pPr>
            <w:r w:rsidRPr="004525E3">
              <w:rPr>
                <w:rFonts w:cs="Times New Roman"/>
                <w:szCs w:val="22"/>
              </w:rPr>
              <w:t>any rights granted solely with respect to a particular regulatory, legal or tax situation or policy (including any internal policy of a Partner that has been disclosed to the General Partner in writing at or prior to the date of such Partner</w:t>
            </w:r>
            <w:r w:rsidR="00EC6F22">
              <w:rPr>
                <w:rFonts w:cs="Times New Roman"/>
                <w:szCs w:val="22"/>
              </w:rPr>
              <w:t>’</w:t>
            </w:r>
            <w:r w:rsidRPr="004525E3">
              <w:rPr>
                <w:rFonts w:cs="Times New Roman"/>
                <w:szCs w:val="22"/>
              </w:rPr>
              <w:t xml:space="preserve">s subscription to the Fund) applicable to a Partner but not applicable to such other Partner, </w:t>
            </w:r>
          </w:p>
          <w:p w:rsidRPr="004525E3" w:rsidR="00026BFF" w:rsidP="006F2A87" w:rsidRDefault="00026BFF">
            <w:pPr>
              <w:pStyle w:val="Definition1"/>
              <w:numPr>
                <w:ilvl w:val="1"/>
                <w:numId w:val="30"/>
              </w:numPr>
              <w:rPr>
                <w:rFonts w:cs="Times New Roman"/>
                <w:szCs w:val="22"/>
              </w:rPr>
            </w:pPr>
            <w:r w:rsidRPr="004525E3">
              <w:rPr>
                <w:rFonts w:cs="Times New Roman"/>
                <w:szCs w:val="22"/>
              </w:rPr>
              <w:t>any consent to, or limitation of the General Partner</w:t>
            </w:r>
            <w:r w:rsidR="00EC6F22">
              <w:rPr>
                <w:rFonts w:cs="Times New Roman"/>
                <w:szCs w:val="22"/>
              </w:rPr>
              <w:t>’</w:t>
            </w:r>
            <w:r w:rsidRPr="004525E3">
              <w:rPr>
                <w:rFonts w:cs="Times New Roman"/>
                <w:szCs w:val="22"/>
              </w:rPr>
              <w:t xml:space="preserve">s discretion with respect to, transfers in favour of Affiliates of the recipient of such Side Letter, </w:t>
            </w:r>
          </w:p>
          <w:p w:rsidRPr="004525E3" w:rsidR="00026BFF" w:rsidP="006F2A87" w:rsidRDefault="00C17488">
            <w:pPr>
              <w:pStyle w:val="Definition1"/>
              <w:numPr>
                <w:ilvl w:val="1"/>
                <w:numId w:val="30"/>
              </w:numPr>
              <w:rPr>
                <w:rFonts w:cs="Times New Roman"/>
                <w:szCs w:val="22"/>
              </w:rPr>
            </w:pPr>
            <w:r w:rsidRPr="004525E3">
              <w:rPr>
                <w:rFonts w:cs="Times New Roman"/>
                <w:szCs w:val="22"/>
              </w:rPr>
              <w:t>any excuse rights;</w:t>
            </w:r>
          </w:p>
          <w:p w:rsidRPr="004525E3" w:rsidR="00C17488" w:rsidP="006F2A87" w:rsidRDefault="00026BFF">
            <w:pPr>
              <w:pStyle w:val="Definition1"/>
              <w:numPr>
                <w:ilvl w:val="1"/>
                <w:numId w:val="30"/>
              </w:numPr>
              <w:rPr>
                <w:rFonts w:cs="Times New Roman"/>
                <w:szCs w:val="22"/>
              </w:rPr>
            </w:pPr>
            <w:r w:rsidRPr="004525E3">
              <w:rPr>
                <w:rFonts w:cs="Times New Roman"/>
                <w:szCs w:val="22"/>
              </w:rPr>
              <w:t>any right to nominate a representative on the LP Advisory Committee</w:t>
            </w:r>
            <w:r w:rsidRPr="004525E3" w:rsidR="00C17488">
              <w:rPr>
                <w:rFonts w:cs="Times New Roman"/>
                <w:szCs w:val="22"/>
              </w:rPr>
              <w:t>; and</w:t>
            </w:r>
          </w:p>
          <w:p w:rsidRPr="004525E3" w:rsidR="00026BFF" w:rsidP="006F2A87" w:rsidRDefault="00C17488">
            <w:pPr>
              <w:pStyle w:val="Definition1"/>
              <w:numPr>
                <w:ilvl w:val="1"/>
                <w:numId w:val="30"/>
              </w:numPr>
              <w:rPr>
                <w:rFonts w:cs="Times New Roman"/>
                <w:szCs w:val="22"/>
              </w:rPr>
            </w:pPr>
            <w:r w:rsidRPr="004525E3">
              <w:rPr>
                <w:rFonts w:cs="Times New Roman"/>
                <w:szCs w:val="22"/>
              </w:rPr>
              <w:t>any rights granted to one or more other Partners where such other Partners</w:t>
            </w:r>
            <w:r w:rsidR="00EC6F22">
              <w:rPr>
                <w:rFonts w:cs="Times New Roman"/>
                <w:szCs w:val="22"/>
              </w:rPr>
              <w:t>’</w:t>
            </w:r>
            <w:r w:rsidRPr="004525E3">
              <w:rPr>
                <w:rFonts w:cs="Times New Roman"/>
                <w:szCs w:val="22"/>
              </w:rPr>
              <w:t xml:space="preserve"> Capital Commitment exceed that of the Partner</w:t>
            </w:r>
            <w:r w:rsidRPr="004525E3" w:rsidR="00026BFF">
              <w:rPr>
                <w:rFonts w:cs="Times New Roman"/>
                <w:szCs w:val="22"/>
              </w:rPr>
              <w:t>.</w:t>
            </w:r>
          </w:p>
          <w:p w:rsidRPr="004525E3" w:rsidR="00026BFF" w:rsidP="00D6519C" w:rsidRDefault="00026BFF">
            <w:pPr>
              <w:pStyle w:val="Definition1"/>
              <w:numPr>
                <w:ilvl w:val="0"/>
                <w:numId w:val="0"/>
              </w:numPr>
              <w:tabs>
                <w:tab w:val="left" w:pos="720"/>
              </w:tabs>
              <w:rPr>
                <w:rFonts w:cs="Times New Roman"/>
                <w:szCs w:val="22"/>
              </w:rPr>
            </w:pPr>
            <w:r w:rsidRPr="004525E3">
              <w:rPr>
                <w:rFonts w:cs="Times New Roman"/>
                <w:szCs w:val="22"/>
              </w:rPr>
              <w:t xml:space="preserve">The terms of the side letters </w:t>
            </w:r>
            <w:r w:rsidRPr="004525E3" w:rsidR="00D6519C">
              <w:rPr>
                <w:rFonts w:cs="Times New Roman"/>
                <w:szCs w:val="22"/>
              </w:rPr>
              <w:t>will</w:t>
            </w:r>
            <w:r w:rsidRPr="004525E3">
              <w:rPr>
                <w:rFonts w:cs="Times New Roman"/>
                <w:szCs w:val="22"/>
              </w:rPr>
              <w:t xml:space="preserve"> be binding on the General Partner and the Manager and in case of conflict shall prevail with respect to each Limited Partner that has entered such side letter over the terms of the Partnership Agreement or Subscription Agreement.</w:t>
            </w:r>
          </w:p>
        </w:tc>
      </w:tr>
      <w:tr w:rsidRPr="004525E3" w:rsidR="00026BFF" w:rsidTr="005C5777">
        <w:tc>
          <w:tcPr>
            <w:tcW w:w="2694" w:type="dxa"/>
            <w:tcMar>
              <w:top w:w="0" w:type="dxa"/>
              <w:left w:w="0" w:type="dxa"/>
              <w:bottom w:w="0" w:type="dxa"/>
              <w:right w:w="113" w:type="dxa"/>
            </w:tcMar>
          </w:tcPr>
          <w:p w:rsidRPr="004525E3" w:rsidR="00026BFF" w:rsidP="00026BFF" w:rsidRDefault="00026BFF">
            <w:pPr>
              <w:pStyle w:val="DefinitionTerm"/>
              <w:rPr>
                <w:rFonts w:cs="Times New Roman"/>
                <w:szCs w:val="22"/>
              </w:rPr>
            </w:pPr>
            <w:r w:rsidRPr="004525E3">
              <w:rPr>
                <w:rFonts w:cs="Times New Roman"/>
                <w:szCs w:val="22"/>
              </w:rPr>
              <w:t>Amendments</w:t>
            </w:r>
            <w:r w:rsidRPr="0027510E" w:rsidR="0027510E">
              <w:rPr>
                <w:rStyle w:val="FootnoteReference"/>
                <w:rFonts w:cs="Times New Roman"/>
                <w:b w:val="0"/>
                <w:szCs w:val="22"/>
              </w:rPr>
              <w:footnoteReference w:id="73"/>
            </w:r>
          </w:p>
        </w:tc>
        <w:tc>
          <w:tcPr>
            <w:tcW w:w="6596" w:type="dxa"/>
          </w:tcPr>
          <w:p w:rsidRPr="004525E3" w:rsidR="00026BFF" w:rsidP="00026BFF" w:rsidRDefault="00026BFF">
            <w:pPr>
              <w:pStyle w:val="MTBody"/>
              <w:rPr>
                <w:rFonts w:ascii="Times New Roman" w:hAnsi="Times New Roman"/>
                <w:sz w:val="22"/>
              </w:rPr>
            </w:pPr>
            <w:r w:rsidRPr="004525E3">
              <w:rPr>
                <w:rFonts w:ascii="Times New Roman" w:hAnsi="Times New Roman"/>
                <w:sz w:val="22"/>
              </w:rPr>
              <w:t>The Partnership Agreement will set forth certain procedures for its amendment, generally with the prior written consent of the General Partner and the consent of Partners holding at least [75]%</w:t>
            </w:r>
            <w:r w:rsidRPr="004525E3">
              <w:rPr>
                <w:rStyle w:val="FootnoteReference"/>
                <w:rFonts w:ascii="Times New Roman" w:hAnsi="Times New Roman"/>
                <w:sz w:val="22"/>
              </w:rPr>
              <w:footnoteReference w:id="74"/>
            </w:r>
            <w:r w:rsidRPr="004525E3" w:rsidR="00D6519C">
              <w:rPr>
                <w:rFonts w:ascii="Times New Roman" w:hAnsi="Times New Roman"/>
                <w:sz w:val="22"/>
              </w:rPr>
              <w:t xml:space="preserve"> </w:t>
            </w:r>
            <w:r w:rsidRPr="004525E3">
              <w:rPr>
                <w:rFonts w:ascii="Times New Roman" w:hAnsi="Times New Roman"/>
                <w:sz w:val="22"/>
              </w:rPr>
              <w:t xml:space="preserve">in Interest. </w:t>
            </w:r>
          </w:p>
          <w:p w:rsidRPr="004525E3" w:rsidR="00026BFF" w:rsidP="00026BFF" w:rsidRDefault="00026BFF">
            <w:pPr>
              <w:pStyle w:val="MTBody"/>
              <w:rPr>
                <w:sz w:val="22"/>
              </w:rPr>
            </w:pPr>
            <w:r w:rsidRPr="004525E3">
              <w:rPr>
                <w:rFonts w:ascii="Times New Roman" w:hAnsi="Times New Roman"/>
                <w:sz w:val="22"/>
              </w:rPr>
              <w:t>The Partnership Agreement will also include customary provisions allowing the General Partner to make certain amendments without the consent of the Limited Partners in order to, amongst other things, (i) change the name of the Fund,</w:t>
            </w:r>
            <w:r w:rsidRPr="004525E3">
              <w:rPr>
                <w:sz w:val="22"/>
              </w:rPr>
              <w:t xml:space="preserve"> </w:t>
            </w:r>
            <w:r w:rsidRPr="004525E3">
              <w:rPr>
                <w:rFonts w:ascii="Times New Roman" w:hAnsi="Times New Roman"/>
                <w:sz w:val="22"/>
              </w:rPr>
              <w:t>(ii) cure a typographical error, (iii) to satisfy any requirements, conditions or guidelines contained in any opinion, directive, order, ruling, regulation or st</w:t>
            </w:r>
            <w:r w:rsidRPr="004525E3" w:rsidR="00F157D6">
              <w:rPr>
                <w:rFonts w:ascii="Times New Roman" w:hAnsi="Times New Roman"/>
                <w:sz w:val="22"/>
              </w:rPr>
              <w:t>atute of any governmental body, (iv)</w:t>
            </w:r>
            <w:r w:rsidRPr="004525E3">
              <w:rPr>
                <w:sz w:val="22"/>
              </w:rPr>
              <w:t xml:space="preserve"> </w:t>
            </w:r>
            <w:r w:rsidRPr="004525E3">
              <w:rPr>
                <w:rFonts w:ascii="Times New Roman" w:hAnsi="Times New Roman"/>
                <w:sz w:val="22"/>
              </w:rPr>
              <w:t>update Schedule 1 (</w:t>
            </w:r>
            <w:r w:rsidRPr="004525E3">
              <w:rPr>
                <w:rFonts w:ascii="Times New Roman" w:hAnsi="Times New Roman"/>
                <w:i/>
                <w:sz w:val="22"/>
              </w:rPr>
              <w:t>Partner Commitments</w:t>
            </w:r>
            <w:r w:rsidRPr="004525E3">
              <w:rPr>
                <w:rFonts w:ascii="Times New Roman" w:hAnsi="Times New Roman"/>
                <w:sz w:val="22"/>
              </w:rPr>
              <w:t xml:space="preserve">) from time to time to ensure that it is complete and accurate, the whole, provided that such modification or </w:t>
            </w:r>
            <w:r w:rsidRPr="004525E3">
              <w:rPr>
                <w:rFonts w:ascii="Times New Roman" w:hAnsi="Times New Roman"/>
                <w:sz w:val="22"/>
              </w:rPr>
              <w:lastRenderedPageBreak/>
              <w:t>amendment does not materially adversely affect the rights, obligations or Interests of the Limited Partners.</w:t>
            </w:r>
          </w:p>
        </w:tc>
      </w:tr>
      <w:tr w:rsidRPr="004525E3" w:rsidR="00026BFF" w:rsidTr="005C5777">
        <w:tc>
          <w:tcPr>
            <w:tcW w:w="2694" w:type="dxa"/>
            <w:tcMar>
              <w:top w:w="0" w:type="dxa"/>
              <w:left w:w="0" w:type="dxa"/>
              <w:bottom w:w="0" w:type="dxa"/>
              <w:right w:w="113" w:type="dxa"/>
            </w:tcMar>
          </w:tcPr>
          <w:p w:rsidRPr="004525E3" w:rsidR="00026BFF" w:rsidP="00026BFF" w:rsidRDefault="00026BFF">
            <w:pPr>
              <w:pStyle w:val="DefinitionTerm"/>
              <w:rPr>
                <w:rFonts w:cs="Times New Roman"/>
                <w:szCs w:val="22"/>
              </w:rPr>
            </w:pPr>
            <w:r w:rsidRPr="004525E3">
              <w:rPr>
                <w:rFonts w:cs="Times New Roman"/>
                <w:szCs w:val="22"/>
              </w:rPr>
              <w:lastRenderedPageBreak/>
              <w:t>Governing Law</w:t>
            </w:r>
            <w:r w:rsidRPr="0027510E" w:rsidR="0027510E">
              <w:rPr>
                <w:rStyle w:val="FootnoteReference"/>
                <w:rFonts w:cs="Times New Roman"/>
                <w:b w:val="0"/>
                <w:szCs w:val="22"/>
              </w:rPr>
              <w:footnoteReference w:id="75"/>
            </w:r>
          </w:p>
        </w:tc>
        <w:tc>
          <w:tcPr>
            <w:tcW w:w="6596" w:type="dxa"/>
          </w:tcPr>
          <w:p w:rsidRPr="004525E3" w:rsidR="00026BFF" w:rsidP="006F2A87" w:rsidRDefault="00026BFF">
            <w:pPr>
              <w:pStyle w:val="Definition"/>
              <w:numPr>
                <w:ilvl w:val="0"/>
                <w:numId w:val="30"/>
              </w:numPr>
              <w:rPr>
                <w:rFonts w:cs="Times New Roman"/>
                <w:szCs w:val="22"/>
              </w:rPr>
            </w:pPr>
            <w:r w:rsidRPr="004525E3">
              <w:rPr>
                <w:rFonts w:cs="Times New Roman"/>
                <w:szCs w:val="22"/>
              </w:rPr>
              <w:t xml:space="preserve">The Partnership Agreement </w:t>
            </w:r>
            <w:r w:rsidRPr="004525E3">
              <w:rPr>
                <w:szCs w:val="22"/>
              </w:rPr>
              <w:t xml:space="preserve">will be interpreted and enforced in accordance with, and the respective rights and obligations of the parties will be governed by, the laws of the Province of </w:t>
            </w:r>
            <w:r w:rsidRPr="004525E3" w:rsidR="00F157D6">
              <w:rPr>
                <w:rFonts w:cs="Times New Roman"/>
                <w:szCs w:val="22"/>
              </w:rPr>
              <w:t>[</w:t>
            </w:r>
            <w:r w:rsidRPr="004525E3">
              <w:rPr>
                <w:szCs w:val="22"/>
              </w:rPr>
              <w:t>Ontario</w:t>
            </w:r>
            <w:r w:rsidRPr="004525E3" w:rsidR="00F157D6">
              <w:rPr>
                <w:szCs w:val="22"/>
              </w:rPr>
              <w:t>/Québec</w:t>
            </w:r>
            <w:r w:rsidRPr="004525E3" w:rsidR="00F157D6">
              <w:rPr>
                <w:rFonts w:cs="Times New Roman"/>
                <w:szCs w:val="22"/>
              </w:rPr>
              <w:t>]</w:t>
            </w:r>
            <w:r w:rsidRPr="004525E3">
              <w:rPr>
                <w:szCs w:val="22"/>
              </w:rPr>
              <w:t>.</w:t>
            </w:r>
          </w:p>
        </w:tc>
      </w:tr>
    </w:tbl>
    <w:p w:rsidRPr="004525E3" w:rsidR="004151F5" w:rsidP="004E7A74" w:rsidRDefault="00893886">
      <w:pPr>
        <w:jc w:val="center"/>
        <w:rPr>
          <w:rFonts w:cs="Times New Roman"/>
          <w:szCs w:val="22"/>
        </w:rPr>
      </w:pPr>
      <w:r w:rsidRPr="004525E3">
        <w:rPr>
          <w:rFonts w:cs="Times New Roman"/>
          <w:szCs w:val="22"/>
        </w:rPr>
        <w:br/>
        <w:t>[</w:t>
      </w:r>
      <w:r w:rsidRPr="004525E3">
        <w:rPr>
          <w:rFonts w:cs="Times New Roman"/>
          <w:i/>
          <w:szCs w:val="22"/>
        </w:rPr>
        <w:t>Signature Page follows</w:t>
      </w:r>
      <w:r w:rsidRPr="004525E3">
        <w:rPr>
          <w:rFonts w:cs="Times New Roman"/>
          <w:szCs w:val="22"/>
        </w:rPr>
        <w:t>]</w:t>
      </w:r>
    </w:p>
    <w:p w:rsidRPr="004525E3" w:rsidR="004E7A74" w:rsidRDefault="00893886">
      <w:pPr>
        <w:spacing w:line="240" w:lineRule="auto"/>
        <w:jc w:val="left"/>
        <w:rPr>
          <w:rFonts w:cs="Times New Roman"/>
          <w:szCs w:val="22"/>
        </w:rPr>
      </w:pPr>
      <w:r w:rsidRPr="004525E3">
        <w:rPr>
          <w:rFonts w:cs="Times New Roman"/>
          <w:szCs w:val="22"/>
        </w:rPr>
        <w:br w:type="page"/>
      </w:r>
    </w:p>
    <w:p w:rsidRPr="004525E3" w:rsidR="004E7A74" w:rsidP="004E7A74" w:rsidRDefault="00893886">
      <w:pPr>
        <w:rPr>
          <w:rFonts w:cs="Times New Roman"/>
          <w:szCs w:val="22"/>
        </w:rPr>
      </w:pPr>
      <w:r w:rsidRPr="004525E3">
        <w:rPr>
          <w:rFonts w:cs="Times New Roman"/>
          <w:szCs w:val="22"/>
        </w:rPr>
        <w:lastRenderedPageBreak/>
        <w:t>EXECUTED this [__] day of [_________], 20[___].</w:t>
      </w:r>
    </w:p>
    <w:p w:rsidRPr="005C5777" w:rsidR="004E7A74" w:rsidP="004E7A74" w:rsidRDefault="00893886">
      <w:pPr>
        <w:rPr>
          <w:rFonts w:cs="Times New Roman"/>
          <w:szCs w:val="22"/>
        </w:rPr>
      </w:pPr>
      <w:r w:rsidRPr="004525E3">
        <w:rPr>
          <w:rFonts w:cs="Times New Roman"/>
          <w:szCs w:val="22"/>
        </w:rPr>
        <w:br/>
        <w:t>[Signature Blocks]</w:t>
      </w:r>
    </w:p>
    <w:p w:rsidRPr="004151F5" w:rsidR="004151F5" w:rsidP="004151F5" w:rsidRDefault="004151F5">
      <w:pPr>
        <w:rPr>
          <w:rFonts w:cs="Times New Roman"/>
          <w:b/>
          <w:sz w:val="24"/>
          <w:szCs w:val="24"/>
        </w:rPr>
      </w:pPr>
    </w:p>
    <w:sectPr w:rsidRPr="004151F5" w:rsidR="004151F5" w:rsidSect="00F14D18">
      <w:headerReference w:type="first" r:id="rId14"/>
      <w:endnotePr>
        <w:numFmt w:val="decimal"/>
      </w:endnotePr>
      <w:pgSz w:w="11906" w:h="16838" w:code="9"/>
      <w:pgMar w:top="1134" w:right="1304" w:bottom="1134" w:left="1304" w:header="567"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2" wne:kcmSecondary="0031">
      <wne:acd wne:acdName="acd2"/>
    </wne:keymap>
    <wne:keymap wne:kcmPrimary="0442" wne:kcmSecondary="0032">
      <wne:acd wne:acdName="acd3"/>
    </wne:keymap>
    <wne:keymap wne:kcmPrimary="0442" wne:kcmSecondary="0033">
      <wne:acd wne:acdName="acd4"/>
    </wne:keymap>
    <wne:keymap wne:kcmPrimary="0442" wne:kcmSecondary="0034">
      <wne:acd wne:acdName="acd5"/>
    </wne:keymap>
    <wne:keymap wne:kcmPrimary="0442" wne:kcmSecondary="0035">
      <wne:acd wne:acdName="acd6"/>
    </wne:keymap>
    <wne:keymap wne:kcmPrimary="0442" wne:kcmSecondary="0036">
      <wne:acd wne:acdName="acd7"/>
    </wne:keymap>
    <wne:keymap wne:kcmPrimary="0444" wne:kcmSecondary="0030">
      <wne:acd wne:acdName="acd8"/>
    </wne:keymap>
    <wne:keymap wne:kcmPrimary="0444" wne:kcmSecondary="0031">
      <wne:acd wne:acdName="acd9"/>
    </wne:keymap>
    <wne:keymap wne:kcmPrimary="0444" wne:kcmSecondary="0032">
      <wne:acd wne:acdName="acd10"/>
    </wne:keymap>
    <wne:keymap wne:kcmPrimary="0444" wne:kcmSecondary="0033">
      <wne:acd wne:acdName="acd11"/>
    </wne:keymap>
    <wne:keymap wne:kcmPrimary="0444" wne:kcmSecondary="0034">
      <wne:acd wne:acdName="acd12"/>
    </wne:keymap>
    <wne:keymap wne:kcmPrimary="0444" wne:kcmSecondary="0054">
      <wne:acd wne:acdName="acd13"/>
    </wne:keymap>
    <wne:keymap wne:kcmPrimary="0448" wne:kcmSecondary="0030">
      <wne:acd wne:acdName="acd14"/>
    </wne:keymap>
    <wne:keymap wne:kcmPrimary="0448" wne:kcmSecondary="0031">
      <wne:acd wne:acdName="acd15"/>
    </wne:keymap>
    <wne:keymap wne:kcmPrimary="0448" wne:kcmSecondary="0032">
      <wne:acd wne:acdName="acd16"/>
    </wne:keymap>
    <wne:keymap wne:kcmPrimary="0448" wne:kcmSecondary="0033">
      <wne:acd wne:acdName="acd17"/>
    </wne:keymap>
    <wne:keymap wne:kcmPrimary="044C" wne:kcmSecondary="0031">
      <wne:acd wne:acdName="acd18"/>
    </wne:keymap>
    <wne:keymap wne:kcmPrimary="044C" wne:kcmSecondary="0032">
      <wne:acd wne:acdName="acd19"/>
    </wne:keymap>
    <wne:keymap wne:kcmPrimary="044C" wne:kcmSecondary="0033">
      <wne:acd wne:acdName="acd20"/>
    </wne:keymap>
    <wne:keymap wne:kcmPrimary="044C" wne:kcmSecondary="0034">
      <wne:acd wne:acdName="acd21"/>
    </wne:keymap>
    <wne:keymap wne:kcmPrimary="044C" wne:kcmSecondary="0035">
      <wne:acd wne:acdName="acd22"/>
    </wne:keymap>
    <wne:keymap wne:kcmPrimary="044C" wne:kcmSecondary="0036">
      <wne:acd wne:acdName="acd23"/>
    </wne:keymap>
    <wne:keymap wne:kcmPrimary="044E" wne:kcmSecondary="0030">
      <wne:acd wne:acdName="acd24"/>
    </wne:keymap>
    <wne:keymap wne:kcmPrimary="044E" wne:kcmSecondary="0031">
      <wne:acd wne:acdName="acd26"/>
    </wne:keymap>
    <wne:keymap wne:kcmPrimary="044E" wne:kcmSecondary="004E">
      <wne:acd wne:acdName="acd25"/>
    </wne:keymap>
    <wne:keymap wne:kcmPrimary="0450">
      <wne:acd wne:acdName="acd28"/>
    </wne:keymap>
    <wne:keymap wne:kcmPrimary="0452">
      <wne:acd wne:acdName="acd1"/>
    </wne:keymap>
    <wne:keymap wne:kcmPrimary="0453" wne:kcmSecondary="0030">
      <wne:acd wne:acdName="acd36"/>
    </wne:keymap>
    <wne:keymap wne:kcmPrimary="0453" wne:kcmSecondary="0031">
      <wne:acd wne:acdName="acd30"/>
    </wne:keymap>
    <wne:keymap wne:kcmPrimary="0453" wne:kcmSecondary="0032">
      <wne:acd wne:acdName="acd31"/>
    </wne:keymap>
    <wne:keymap wne:kcmPrimary="0453" wne:kcmSecondary="0033">
      <wne:acd wne:acdName="acd32"/>
    </wne:keymap>
    <wne:keymap wne:kcmPrimary="0453" wne:kcmSecondary="0034">
      <wne:acd wne:acdName="acd33"/>
    </wne:keymap>
    <wne:keymap wne:kcmPrimary="0453" wne:kcmSecondary="0035">
      <wne:acd wne:acdName="acd34"/>
    </wne:keymap>
    <wne:keymap wne:kcmPrimary="0453" wne:kcmSecondary="0036">
      <wne:acd wne:acdName="acd35"/>
    </wne:keymap>
    <wne:keymap wne:kcmPrimary="0453" wne:kcmSecondary="0048">
      <wne:acd wne:acdName="acd29"/>
    </wne:keymap>
    <wne:keymap wne:kcmPrimary="0453" wne:kcmSecondary="0050">
      <wne:acd wne:acdName="acd2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s>
  <wne:acds>
    <wne:acd wne:argValue="AgBBAHAAcABlAG4AZABpAHgA" wne:fciIndexBasedOn="0065" wne:acdName="acd0"/>
    <wne:acd wne:argValue="AgBCAGEAYwBrAGcAcgBvAHUAbgBkACAAMQA=" wne:fciIndexBasedOn="0065" wne:acdName="acd1"/>
    <wne:acd wne:argValue="AgBCAG8AZAB5ACAAVABlAHgAdAAgADEA" wne:fciIndexBasedOn="0065" wne:acdName="acd2"/>
    <wne:acd wne:argValue="AQAAAFAA" wne:fciIndexBasedOn="0065" wne:acdName="acd3"/>
    <wne:acd wne:argValue="AQAAAFEA" wne:fciIndexBasedOn="0065" wne:acdName="acd4"/>
    <wne:acd wne:argValue="AgBCAG8AZAB5ACAAVABlAHgAdAAgADQA" wne:fciIndexBasedOn="0065" wne:acdName="acd5"/>
    <wne:acd wne:argValue="AgBCAG8AZAB5ACAAVABlAHgAdAAgADUA" wne:fciIndexBasedOn="0065" wne:acdName="acd6"/>
    <wne:acd wne:argValue="AgBCAG8AZAB5ACAAVABlAHgAdAAgADYA" wne:fciIndexBasedOn="0065" wne:acdName="acd7"/>
    <wne:acd wne:argValue="AgBEAGUAZgBpAG4AaQB0AGkAbwBuAA==" wne:fciIndexBasedOn="0065" wne:acdName="acd8"/>
    <wne:acd wne:argValue="AgBEAGUAZgBpAG4AaQB0AGkAbwBuACAAMQA=" wne:fciIndexBasedOn="0065" wne:acdName="acd9"/>
    <wne:acd wne:argValue="AgBEAGUAZgBpAG4AaQB0AGkAbwBuACAAMgA=" wne:fciIndexBasedOn="0065" wne:acdName="acd10"/>
    <wne:acd wne:argValue="AgBEAGUAZgBpAG4AaQB0AGkAbwBuACAAMwA=" wne:fciIndexBasedOn="0065" wne:acdName="acd11"/>
    <wne:acd wne:argValue="AgBEAGUAZgBpAG4AaQB0AGkAbwBuACAANAA=" wne:fciIndexBasedOn="0065" wne:acdName="acd12"/>
    <wne:acd wne:argValue="AgBEAGUAZgBpAG4AaQB0AGkAbwBuACAAVABlAHIAbQA=" wne:fciIndexBasedOn="0065" wne:acdName="acd13"/>
    <wne:acd wne:argValue="AgBJAG4AdAByAG8AIABIAGUAYQBkAGkAbgBnAA==" wne:fciIndexBasedOn="0065" wne:acdName="acd14"/>
    <wne:acd wne:argValue="AgBMAGUAdgBlAGwAIAAxACAASABlAGEAZABpAG4AZwA=" wne:fciIndexBasedOn="0065" wne:acdName="acd15"/>
    <wne:acd wne:argValue="AgBMAGUAdgBlAGwAIAAyACAASABlAGEAZABpAG4AZwA=" wne:fciIndexBasedOn="0065" wne:acdName="acd16"/>
    <wne:acd wne:argValue="AgBMAGUAdgBlAGwAIAAzACAASABlAGEAZABpAG4AZwA=" wne:fciIndexBasedOn="0065" wne:acdName="acd17"/>
    <wne:acd wne:argValue="AgBMAGUAdgBlAGwAIAAxACAATgB1AG0AYgBlAHIA" wne:fciIndexBasedOn="0065" wne:acdName="acd18"/>
    <wne:acd wne:argValue="AgBMAGUAdgBlAGwAIAAyACAATgB1AG0AYgBlAHIA" wne:fciIndexBasedOn="0065" wne:acdName="acd19"/>
    <wne:acd wne:argValue="AgBMAGUAdgBlAGwAIAAzACAATgB1AG0AYgBlAHIA" wne:fciIndexBasedOn="0065" wne:acdName="acd20"/>
    <wne:acd wne:argValue="AgBMAGUAdgBlAGwAIAA0ACAATgB1AG0AYgBlAHIA" wne:fciIndexBasedOn="0065" wne:acdName="acd21"/>
    <wne:acd wne:argValue="AgBMAGUAdgBlAGwAIAA1ACAATgB1AG0AYgBlAHIA" wne:fciIndexBasedOn="0065" wne:acdName="acd22"/>
    <wne:acd wne:argValue="AgBMAGUAdgBlAGwAIAA2ACAATgB1AG0AYgBlAHIA" wne:fciIndexBasedOn="0065" wne:acdName="acd23"/>
    <wne:acd wne:argValue="AQAAAAAA" wne:fciIndexBasedOn="0065" wne:acdName="acd24"/>
    <wne:acd wne:argValue="AgBOAG8AcgBtAGEAbABOAG8AUwBwAGEAYwBlAA==" wne:fciIndexBasedOn="0065" wne:acdName="acd25"/>
    <wne:acd wne:argValue="AgBOAG8AdABlAHMA" wne:fciIndexBasedOn="0065" wne:acdName="acd26"/>
    <wne:acd wne:argValue="AgBQAGEAcgB0AA==" wne:fciIndexBasedOn="0065" wne:acdName="acd27"/>
    <wne:acd wne:argValue="AgBQAGEAcgB0AGkAZQBzACAAMQA=" wne:fciIndexBasedOn="0065" wne:acdName="acd28"/>
    <wne:acd wne:argValue="AgBTAGMAaAAgADEAIABIAGUAYQBkAGkAbgBnAA==" wne:fciIndexBasedOn="0065" wne:acdName="acd29"/>
    <wne:acd wne:argValue="AgBTAGMAaAAgADEAIABOAHUAbQBiAGUAcgA=" wne:fciIndexBasedOn="0065" wne:acdName="acd30"/>
    <wne:acd wne:argValue="AgBTAGMAaAAgADIAIABOAHUAbQBiAGUAcgA=" wne:fciIndexBasedOn="0065" wne:acdName="acd31"/>
    <wne:acd wne:argValue="AgBTAGMAaAAgADMAIABOAHUAbQBiAGUAcgA=" wne:fciIndexBasedOn="0065" wne:acdName="acd32"/>
    <wne:acd wne:argValue="AgBTAGMAaAAgADQAIABOAHUAbQBiAGUAcgA=" wne:fciIndexBasedOn="0065" wne:acdName="acd33"/>
    <wne:acd wne:argValue="AgBTAGMAaAAgADUAIABOAHUAbQBiAGUAcgA=" wne:fciIndexBasedOn="0065" wne:acdName="acd34"/>
    <wne:acd wne:argValue="AgBTAGMAaAAgADYAIABOAHUAbQBiAGUAcgA=" wne:fciIndexBasedOn="0065" wne:acdName="acd35"/>
    <wne:acd wne:argValue="AgBTAGMAaABlAGQAdQBsAGUA" wne:fciIndexBasedOn="0065" wne:acdName="acd36"/>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D8" w:rsidRDefault="00D118D8">
      <w:pPr>
        <w:spacing w:after="0" w:line="240" w:lineRule="auto"/>
      </w:pPr>
      <w:r>
        <w:separator/>
      </w:r>
    </w:p>
  </w:endnote>
  <w:endnote w:type="continuationSeparator" w:id="0">
    <w:p w:rsidR="00D118D8" w:rsidRDefault="00D1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19" w:rsidRDefault="00711CE9">
    <w:pPr>
      <w:pStyle w:val="Footer"/>
      <w:jc w:val="center"/>
      <w:rPr>
        <w:noProof/>
      </w:rPr>
    </w:pPr>
    <w:r>
      <w:t xml:space="preserve">- </w:t>
    </w:r>
    <w:r>
      <w:fldChar w:fldCharType="begin"/>
    </w:r>
    <w:r>
      <w:instrText xml:space="preserve"> PAGE   \* MERGEFORMAT </w:instrText>
    </w:r>
    <w:r>
      <w:fldChar w:fldCharType="separate"/>
    </w:r>
    <w:r w:rsidR="00580419">
      <w:rPr>
        <w:noProof/>
      </w:rPr>
      <w:t>2</w:t>
    </w:r>
    <w:r>
      <w:rPr>
        <w:noProof/>
      </w:rPr>
      <w:fldChar w:fldCharType="end"/>
    </w:r>
    <w:r>
      <w:rPr>
        <w:noProof/>
      </w:rPr>
      <w:t xml:space="preserve"> -</w:t>
    </w:r>
  </w:p>
  <w:p w:rsidR="00580419" w:rsidRDefault="00580419">
    <w:pPr>
      <w:pStyle w:val="Footer"/>
      <w:ind w:left="-144"/>
    </w:pPr>
    <w:r>
      <w:rPr>
        <w:noProof/>
        <w:lang w:eastAsia="en-GB"/>
      </w:rPr>
      <w:pict>
        <v:shapetype id="_x0000_t202" coordsize="21600,21600" o:spt="202" path="m,l,21600r21600,l21600,xe">
          <v:stroke joinstyle="miter"/>
          <v:path gradientshapeok="t" o:connecttype="rect"/>
        </v:shapetype>
        <v:shape id="zzmpTrailer_1078_19"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2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v:textbox inset="0,0,0,0">
            <w:txbxContent>
              <w:p w:rsidR="00580419" w:rsidP="00580419" w:rsidRDefault="00580419">
                <w:pPr>
                  <w:pStyle w:val="MacPacTrailer"/>
                  <w:spacing w:line="20" w:lineRule="exact"/>
                </w:pPr>
              </w:p>
              <w:p w:rsidR="00580419" w:rsidRDefault="00580419">
                <w:pPr>
                  <w:pStyle w:val="MacPacTrailer"/>
                </w:pPr>
                <w:r>
                  <w:t>WSLEGAL\087180\00001\34393087v4</w:t>
                </w:r>
              </w:p>
              <w:p w:rsidR="00580419" w:rsidP="00580419" w:rsidRDefault="00580419">
                <w:pPr>
                  <w:pStyle w:val="MacPacTrailer"/>
                  <w:spacing w:line="20" w:lineRule="exact"/>
                </w:pPr>
              </w:p>
              <w:p w:rsidR="00580419" w:rsidP="00580419" w:rsidRDefault="00580419">
                <w:pPr>
                  <w:pStyle w:val="MacPacTrailer"/>
                  <w:spacing w:line="20" w:lineRule="exact"/>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19" w:rsidP="00950AE7" w:rsidRDefault="00711CE9">
    <w:pPr>
      <w:pStyle w:val="Footer"/>
      <w:jc w:val="right"/>
      <w:rPr>
        <w:rFonts w:cs="Times New Roman"/>
        <w:sz w:val="20"/>
      </w:rPr>
    </w:pPr>
    <w:r w:rsidRPr="00D079DC">
      <w:rPr>
        <w:sz w:val="20"/>
      </w:rPr>
      <w:t xml:space="preserve">Last update: </w:t>
    </w:r>
    <w:r>
      <w:rPr>
        <w:sz w:val="20"/>
      </w:rPr>
      <w:t xml:space="preserve">May </w:t>
    </w:r>
    <w:r>
      <w:rPr>
        <w:rFonts w:cs="Times New Roman"/>
        <w:sz w:val="20"/>
      </w:rPr>
      <w:t>2023</w:t>
    </w:r>
  </w:p>
  <w:p w:rsidR="00580419" w:rsidRDefault="00580419">
    <w:pPr>
      <w:pStyle w:val="Footer"/>
      <w:ind w:left="-144"/>
    </w:pPr>
    <w:r>
      <w:rPr>
        <w:noProof/>
        <w:lang w:eastAsia="en-GB"/>
      </w:rPr>
      <w:pict>
        <v:shapetype id="_x0000_t202" coordsize="21600,21600" o:spt="202" path="m,l,21600r21600,l21600,xe">
          <v:stroke joinstyle="miter"/>
          <v:path gradientshapeok="t" o:connecttype="rect"/>
        </v:shapetype>
        <v:shape id="zzmpTrailer_1078_1B"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2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v:textbox inset="0,0,0,0">
            <w:txbxContent>
              <w:p w:rsidR="00580419" w:rsidP="00580419" w:rsidRDefault="00580419">
                <w:pPr>
                  <w:pStyle w:val="MacPacTrailer"/>
                  <w:spacing w:line="20" w:lineRule="exact"/>
                </w:pPr>
              </w:p>
              <w:p w:rsidR="00580419" w:rsidRDefault="00580419">
                <w:pPr>
                  <w:pStyle w:val="MacPacTrailer"/>
                </w:pPr>
                <w:r>
                  <w:t>WSLEGAL\087180\00001\34393087v4</w:t>
                </w:r>
              </w:p>
              <w:p w:rsidR="00580419" w:rsidP="00580419" w:rsidRDefault="00580419">
                <w:pPr>
                  <w:pStyle w:val="MacPacTrailer"/>
                  <w:spacing w:line="20" w:lineRule="exact"/>
                </w:pPr>
              </w:p>
              <w:p w:rsidR="00580419" w:rsidP="00580419" w:rsidRDefault="00580419">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D8" w:rsidP="006177D2" w:rsidRDefault="00D118D8">
      <w:pPr>
        <w:spacing w:after="0"/>
      </w:pPr>
      <w:r>
        <w:separator/>
      </w:r>
    </w:p>
  </w:footnote>
  <w:footnote w:type="continuationSeparator" w:id="0">
    <w:p w:rsidR="00D118D8" w:rsidP="006177D2" w:rsidRDefault="00D118D8">
      <w:pPr>
        <w:spacing w:after="0"/>
      </w:pPr>
      <w:r>
        <w:continuationSeparator/>
      </w:r>
    </w:p>
  </w:footnote>
  <w:footnote w:id="1">
    <w:p w:rsidRPr="007C3953" w:rsidR="007C3953" w:rsidRDefault="007C3953">
      <w:pPr>
        <w:pStyle w:val="FootnoteText"/>
        <w:rPr>
          <w:lang w:val="en-US"/>
        </w:rPr>
      </w:pPr>
      <w:r>
        <w:rPr>
          <w:rStyle w:val="FootnoteReference"/>
        </w:rPr>
        <w:footnoteRef/>
      </w:r>
      <w:r>
        <w:t xml:space="preserve"> </w:t>
      </w:r>
      <w:r>
        <w:rPr>
          <w:lang w:val="en-US"/>
        </w:rPr>
        <w:t xml:space="preserve">See Recitals to </w:t>
      </w:r>
      <w:r w:rsidR="00014812">
        <w:rPr>
          <w:lang w:val="en-US"/>
        </w:rPr>
        <w:t>the CVCA LPA</w:t>
      </w:r>
      <w:r>
        <w:rPr>
          <w:lang w:val="en-US"/>
        </w:rPr>
        <w:t>.</w:t>
      </w:r>
    </w:p>
  </w:footnote>
  <w:footnote w:id="2">
    <w:p w:rsidRPr="007C3953" w:rsidR="007C3953" w:rsidRDefault="007C3953">
      <w:pPr>
        <w:pStyle w:val="FootnoteText"/>
        <w:rPr>
          <w:lang w:val="en-US"/>
        </w:rPr>
      </w:pPr>
      <w:r>
        <w:rPr>
          <w:rStyle w:val="FootnoteReference"/>
        </w:rPr>
        <w:footnoteRef/>
      </w:r>
      <w:r>
        <w:t xml:space="preserve"> </w:t>
      </w:r>
      <w:r>
        <w:rPr>
          <w:lang w:val="en-US"/>
        </w:rPr>
        <w:t xml:space="preserve">See </w:t>
      </w:r>
      <w:r w:rsidR="006370CC">
        <w:rPr>
          <w:lang w:val="en-US"/>
        </w:rPr>
        <w:t xml:space="preserve">the </w:t>
      </w:r>
      <w:r>
        <w:rPr>
          <w:lang w:val="en-US"/>
        </w:rPr>
        <w:t xml:space="preserve">definition of </w:t>
      </w:r>
      <w:r w:rsidR="00EC6F22">
        <w:rPr>
          <w:lang w:val="en-US"/>
        </w:rPr>
        <w:t>“</w:t>
      </w:r>
      <w:r>
        <w:rPr>
          <w:lang w:val="en-US"/>
        </w:rPr>
        <w:t>General Partner</w:t>
      </w:r>
      <w:r w:rsidR="00EC6F22">
        <w:rPr>
          <w:lang w:val="en-US"/>
        </w:rPr>
        <w:t>”</w:t>
      </w:r>
      <w:r>
        <w:rPr>
          <w:lang w:val="en-US"/>
        </w:rPr>
        <w:t xml:space="preserve"> in Section 1.1 (Definitions) of </w:t>
      </w:r>
      <w:r w:rsidR="00014812">
        <w:rPr>
          <w:lang w:val="en-US"/>
        </w:rPr>
        <w:t>the CVCA LPA</w:t>
      </w:r>
      <w:r>
        <w:rPr>
          <w:lang w:val="en-US"/>
        </w:rPr>
        <w:t xml:space="preserve"> and Recitals to </w:t>
      </w:r>
      <w:r w:rsidR="00014812">
        <w:rPr>
          <w:lang w:val="en-US"/>
        </w:rPr>
        <w:t>the CVCA LPA</w:t>
      </w:r>
      <w:r>
        <w:rPr>
          <w:lang w:val="en-US"/>
        </w:rPr>
        <w:t>.</w:t>
      </w:r>
    </w:p>
  </w:footnote>
  <w:footnote w:id="3">
    <w:p w:rsidRPr="007C3953" w:rsidR="007C3953" w:rsidRDefault="007C3953">
      <w:pPr>
        <w:pStyle w:val="FootnoteText"/>
        <w:rPr>
          <w:lang w:val="en-US"/>
        </w:rPr>
      </w:pPr>
      <w:r>
        <w:rPr>
          <w:rStyle w:val="FootnoteReference"/>
        </w:rPr>
        <w:footnoteRef/>
      </w:r>
      <w:r>
        <w:t xml:space="preserve"> See the footnote to </w:t>
      </w:r>
      <w:r w:rsidR="00F35501">
        <w:t xml:space="preserve">the </w:t>
      </w:r>
      <w:r>
        <w:t xml:space="preserve">definition of </w:t>
      </w:r>
      <w:r w:rsidR="00EC6F22">
        <w:t>“</w:t>
      </w:r>
      <w:r>
        <w:t>Initial Limited Partner</w:t>
      </w:r>
      <w:r w:rsidR="00EC6F22">
        <w:t>”</w:t>
      </w:r>
      <w:r>
        <w:t xml:space="preserve"> in </w:t>
      </w:r>
      <w:r>
        <w:rPr>
          <w:lang w:val="en-US"/>
        </w:rPr>
        <w:t xml:space="preserve">Section 1.1 (Definitions) of </w:t>
      </w:r>
      <w:r w:rsidR="00014812">
        <w:rPr>
          <w:lang w:val="en-US"/>
        </w:rPr>
        <w:t>the CVCA LPA</w:t>
      </w:r>
      <w:r w:rsidR="0002409F">
        <w:rPr>
          <w:lang w:val="en-US"/>
        </w:rPr>
        <w:t xml:space="preserve">, Recitals to </w:t>
      </w:r>
      <w:r w:rsidR="00014812">
        <w:rPr>
          <w:lang w:val="en-US"/>
        </w:rPr>
        <w:t>the CVCA LPA</w:t>
      </w:r>
      <w:r w:rsidR="0002409F">
        <w:rPr>
          <w:lang w:val="en-US"/>
        </w:rPr>
        <w:t xml:space="preserve"> and Section 5.3 of </w:t>
      </w:r>
      <w:r w:rsidR="00014812">
        <w:rPr>
          <w:lang w:val="en-US"/>
        </w:rPr>
        <w:t>the CVCA LPA</w:t>
      </w:r>
      <w:r w:rsidR="0002409F">
        <w:rPr>
          <w:lang w:val="en-US"/>
        </w:rPr>
        <w:t>.</w:t>
      </w:r>
    </w:p>
  </w:footnote>
  <w:footnote w:id="4">
    <w:p w:rsidRPr="00C17488" w:rsidR="00711CE9" w:rsidRDefault="00711CE9">
      <w:pPr>
        <w:pStyle w:val="FootnoteText"/>
      </w:pPr>
      <w:r w:rsidRPr="00C17488">
        <w:rPr>
          <w:rStyle w:val="FootnoteReference"/>
        </w:rPr>
        <w:footnoteRef/>
      </w:r>
      <w:r w:rsidRPr="00C17488">
        <w:t xml:space="preserve"> See the footnotes to the description of the parties section of </w:t>
      </w:r>
      <w:r w:rsidR="00014812">
        <w:t>the CVCA LPA</w:t>
      </w:r>
      <w:r w:rsidRPr="00C17488">
        <w:t xml:space="preserve"> (immediately before the Recitals) for a discussion in respect of the structure of the Fund entities and potential variations thereto.</w:t>
      </w:r>
    </w:p>
  </w:footnote>
  <w:footnote w:id="5">
    <w:p w:rsidRPr="00C17488" w:rsidR="00711CE9" w:rsidRDefault="00711CE9">
      <w:pPr>
        <w:pStyle w:val="FootnoteText"/>
      </w:pPr>
      <w:r w:rsidRPr="00C17488">
        <w:rPr>
          <w:rStyle w:val="FootnoteReference"/>
        </w:rPr>
        <w:footnoteRef/>
      </w:r>
      <w:r w:rsidRPr="00C17488">
        <w:t xml:space="preserve"> See the footnote to Section 4.1 (M</w:t>
      </w:r>
      <w:r>
        <w:t xml:space="preserve">aximum Fund Size) in </w:t>
      </w:r>
      <w:r w:rsidR="00014812">
        <w:t>the CVCA LPA</w:t>
      </w:r>
      <w:r w:rsidRPr="00C17488">
        <w:t xml:space="preserve"> for a discussion in respect of the optionality in respect of the maximum size of the Fund.</w:t>
      </w:r>
    </w:p>
  </w:footnote>
  <w:footnote w:id="6">
    <w:p w:rsidRPr="0002409F" w:rsidR="0002409F" w:rsidRDefault="0002409F">
      <w:pPr>
        <w:pStyle w:val="FootnoteText"/>
        <w:rPr>
          <w:lang w:val="en-US"/>
        </w:rPr>
      </w:pPr>
      <w:r>
        <w:rPr>
          <w:rStyle w:val="FootnoteReference"/>
        </w:rPr>
        <w:footnoteRef/>
      </w:r>
      <w:r>
        <w:t xml:space="preserve"> See Section 2.6 </w:t>
      </w:r>
      <w:r w:rsidR="008E23EF">
        <w:t xml:space="preserve">(Currency) </w:t>
      </w:r>
      <w:r>
        <w:t xml:space="preserve">of </w:t>
      </w:r>
      <w:r w:rsidR="00014812">
        <w:t>the CVCA LPA</w:t>
      </w:r>
      <w:r>
        <w:t>.</w:t>
      </w:r>
    </w:p>
  </w:footnote>
  <w:footnote w:id="7">
    <w:p w:rsidRPr="00C17488" w:rsidR="00711CE9" w:rsidRDefault="00711CE9">
      <w:pPr>
        <w:pStyle w:val="FootnoteText"/>
      </w:pPr>
      <w:r w:rsidRPr="00C17488">
        <w:rPr>
          <w:rStyle w:val="FootnoteReference"/>
        </w:rPr>
        <w:footnoteRef/>
      </w:r>
      <w:r w:rsidRPr="00C17488">
        <w:t xml:space="preserve"> See the footnotes to Section 4.2 (General Partner Commitment) in </w:t>
      </w:r>
      <w:r w:rsidR="00014812">
        <w:t>the CVCA LPA</w:t>
      </w:r>
      <w:r w:rsidRPr="00C17488">
        <w:t xml:space="preserve"> for a discussion in respect of the amount and payment alternatives of the commitment of the General Partner and its Affiliates.</w:t>
      </w:r>
    </w:p>
  </w:footnote>
  <w:footnote w:id="8">
    <w:p w:rsidRPr="0002409F" w:rsidR="0002409F" w:rsidRDefault="0002409F">
      <w:pPr>
        <w:pStyle w:val="FootnoteText"/>
        <w:rPr>
          <w:lang w:val="en-US"/>
        </w:rPr>
      </w:pPr>
      <w:r>
        <w:rPr>
          <w:rStyle w:val="FootnoteReference"/>
        </w:rPr>
        <w:footnoteRef/>
      </w:r>
      <w:r>
        <w:t xml:space="preserve"> </w:t>
      </w:r>
      <w:r>
        <w:rPr>
          <w:lang w:val="en-US"/>
        </w:rPr>
        <w:t xml:space="preserve">See the footnote to </w:t>
      </w:r>
      <w:r w:rsidR="00F35501">
        <w:rPr>
          <w:lang w:val="en-US"/>
        </w:rPr>
        <w:t xml:space="preserve">the </w:t>
      </w:r>
      <w:r>
        <w:rPr>
          <w:lang w:val="en-US"/>
        </w:rPr>
        <w:t xml:space="preserve">definition of </w:t>
      </w:r>
      <w:r w:rsidR="00EC6F22">
        <w:rPr>
          <w:lang w:val="en-US"/>
        </w:rPr>
        <w:t>“</w:t>
      </w:r>
      <w:r>
        <w:rPr>
          <w:lang w:val="en-US"/>
        </w:rPr>
        <w:t>Initial Closing Date</w:t>
      </w:r>
      <w:r w:rsidR="00EC6F22">
        <w:rPr>
          <w:lang w:val="en-US"/>
        </w:rPr>
        <w:t>”</w:t>
      </w:r>
      <w:r>
        <w:rPr>
          <w:lang w:val="en-US"/>
        </w:rPr>
        <w:t xml:space="preserve"> in Section 1.1 (Definitions) of </w:t>
      </w:r>
      <w:r w:rsidR="00014812">
        <w:rPr>
          <w:lang w:val="en-US"/>
        </w:rPr>
        <w:t>the CVCA LPA</w:t>
      </w:r>
      <w:r>
        <w:rPr>
          <w:lang w:val="en-US"/>
        </w:rPr>
        <w:t>.</w:t>
      </w:r>
    </w:p>
  </w:footnote>
  <w:footnote w:id="9">
    <w:p w:rsidRPr="00C17488" w:rsidR="0002409F" w:rsidP="0002409F" w:rsidRDefault="0002409F">
      <w:pPr>
        <w:pStyle w:val="FootnoteText"/>
      </w:pPr>
      <w:r w:rsidRPr="00C17488">
        <w:rPr>
          <w:rStyle w:val="FootnoteReference"/>
        </w:rPr>
        <w:footnoteRef/>
      </w:r>
      <w:r w:rsidRPr="00C17488">
        <w:t xml:space="preserve"> See the footnote to</w:t>
      </w:r>
      <w:r w:rsidR="00F35501">
        <w:t xml:space="preserve"> the</w:t>
      </w:r>
      <w:r w:rsidRPr="00C17488">
        <w:t xml:space="preserve"> </w:t>
      </w:r>
      <w:r w:rsidRPr="00C17488" w:rsidR="008E23EF">
        <w:t xml:space="preserve">definition </w:t>
      </w:r>
      <w:r w:rsidR="008E23EF">
        <w:t xml:space="preserve">of </w:t>
      </w:r>
      <w:r w:rsidRPr="00C17488">
        <w:t xml:space="preserve">the </w:t>
      </w:r>
      <w:r w:rsidR="00EC6F22">
        <w:t>“</w:t>
      </w:r>
      <w:r w:rsidRPr="00C17488">
        <w:t>Final Closing Date</w:t>
      </w:r>
      <w:r w:rsidR="00EC6F22">
        <w:t>”</w:t>
      </w:r>
      <w:r w:rsidRPr="00C17488">
        <w:t xml:space="preserve"> in Section 1.1 (Definitions) of </w:t>
      </w:r>
      <w:r w:rsidR="00014812">
        <w:t>the CVCA LPA</w:t>
      </w:r>
      <w:r w:rsidRPr="00C17488">
        <w:t xml:space="preserve"> for a discussion in respect of the typical range for</w:t>
      </w:r>
      <w:r w:rsidR="008E23EF">
        <w:t xml:space="preserve"> the subsequent closing period.</w:t>
      </w:r>
    </w:p>
  </w:footnote>
  <w:footnote w:id="10">
    <w:p w:rsidRPr="0002409F" w:rsidR="0002409F" w:rsidRDefault="0002409F">
      <w:pPr>
        <w:pStyle w:val="FootnoteText"/>
        <w:rPr>
          <w:lang w:val="en-US"/>
        </w:rPr>
      </w:pPr>
      <w:r>
        <w:rPr>
          <w:rStyle w:val="FootnoteReference"/>
        </w:rPr>
        <w:footnoteRef/>
      </w:r>
      <w:r>
        <w:t xml:space="preserve"> See Section 5.4 </w:t>
      </w:r>
      <w:r w:rsidR="008E23EF">
        <w:t xml:space="preserve">(Subsequent Closings) </w:t>
      </w:r>
      <w:r>
        <w:t xml:space="preserve">of </w:t>
      </w:r>
      <w:r w:rsidR="00014812">
        <w:t>the CVCA LPA</w:t>
      </w:r>
      <w:r>
        <w:t>.</w:t>
      </w:r>
    </w:p>
  </w:footnote>
  <w:footnote w:id="11">
    <w:p w:rsidRPr="00C17488" w:rsidR="00711CE9" w:rsidRDefault="00711CE9">
      <w:pPr>
        <w:pStyle w:val="FootnoteText"/>
      </w:pPr>
      <w:r w:rsidRPr="00C17488">
        <w:rPr>
          <w:rStyle w:val="FootnoteReference"/>
        </w:rPr>
        <w:footnoteRef/>
      </w:r>
      <w:r w:rsidRPr="00C17488">
        <w:t xml:space="preserve"> See the footnote to Section 5.4(d)(ii) (Subsequent Closings) of </w:t>
      </w:r>
      <w:r w:rsidR="00014812">
        <w:t>the CVCA LPA</w:t>
      </w:r>
      <w:r w:rsidRPr="00C17488">
        <w:t xml:space="preserve"> for a discussion in respect of the rationale of the equalization payment.</w:t>
      </w:r>
    </w:p>
  </w:footnote>
  <w:footnote w:id="12">
    <w:p w:rsidRPr="00C17488" w:rsidR="00711CE9" w:rsidP="002711E5" w:rsidRDefault="00711CE9">
      <w:pPr>
        <w:pStyle w:val="FootnoteText"/>
      </w:pPr>
      <w:r w:rsidRPr="00C17488">
        <w:rPr>
          <w:rStyle w:val="FootnoteReference"/>
        </w:rPr>
        <w:footnoteRef/>
      </w:r>
      <w:r w:rsidRPr="00C17488">
        <w:t xml:space="preserve"> See the footnote to Section 18.1 (Term) of </w:t>
      </w:r>
      <w:r w:rsidR="00014812">
        <w:t>the CVCA LPA</w:t>
      </w:r>
      <w:r w:rsidRPr="00C17488">
        <w:t xml:space="preserve"> for a discussion in respect of the typical term for funds and extension rights of the General Partner.</w:t>
      </w:r>
    </w:p>
  </w:footnote>
  <w:footnote w:id="13">
    <w:p w:rsidRPr="00C17488" w:rsidR="0002409F" w:rsidP="0002409F" w:rsidRDefault="0002409F">
      <w:pPr>
        <w:pStyle w:val="FootnoteText"/>
      </w:pPr>
      <w:r w:rsidRPr="00C17488">
        <w:rPr>
          <w:rStyle w:val="FootnoteReference"/>
        </w:rPr>
        <w:footnoteRef/>
      </w:r>
      <w:r w:rsidRPr="00C17488">
        <w:t xml:space="preserve"> See the footnote to paragraph (b) of the</w:t>
      </w:r>
      <w:r w:rsidR="00F35501">
        <w:t xml:space="preserve"> definition of</w:t>
      </w:r>
      <w:r w:rsidRPr="00C17488">
        <w:t xml:space="preserve"> </w:t>
      </w:r>
      <w:r w:rsidR="00EC6F22">
        <w:t>“</w:t>
      </w:r>
      <w:r w:rsidRPr="00C17488">
        <w:t>Commitment Period</w:t>
      </w:r>
      <w:r w:rsidR="00EC6F22">
        <w:t>”</w:t>
      </w:r>
      <w:r w:rsidRPr="00C17488">
        <w:t xml:space="preserve"> in Section 1.1 (Definitions) of </w:t>
      </w:r>
      <w:r w:rsidR="00014812">
        <w:t>the CVCA LPA</w:t>
      </w:r>
      <w:r w:rsidRPr="00C17488">
        <w:t xml:space="preserve"> for a discussion in respect of the possibility for the Limited Partners to negotiate a right of termination of the Commitment Period by a resolution of the Limited Partners.</w:t>
      </w:r>
    </w:p>
  </w:footnote>
  <w:footnote w:id="14">
    <w:p w:rsidRPr="00C17488" w:rsidR="00711CE9" w:rsidP="004F7F18" w:rsidRDefault="00711CE9">
      <w:pPr>
        <w:pStyle w:val="FootnoteText"/>
      </w:pPr>
      <w:r w:rsidRPr="00C17488">
        <w:rPr>
          <w:rStyle w:val="FootnoteReference"/>
        </w:rPr>
        <w:footnoteRef/>
      </w:r>
      <w:r w:rsidRPr="00C17488">
        <w:t xml:space="preserve"> See the footnote to paragraph (a) of the </w:t>
      </w:r>
      <w:r w:rsidR="00EC6F22">
        <w:t>“</w:t>
      </w:r>
      <w:r w:rsidRPr="00C17488">
        <w:t>Commitment Period</w:t>
      </w:r>
      <w:r w:rsidR="00EC6F22">
        <w:t>”</w:t>
      </w:r>
      <w:r w:rsidRPr="00C17488">
        <w:t xml:space="preserve"> definition in Section 1.1 (Definitions) of </w:t>
      </w:r>
      <w:r w:rsidR="00014812">
        <w:t>the CVCA LPA</w:t>
      </w:r>
      <w:r w:rsidRPr="00C17488">
        <w:t xml:space="preserve"> for a discussion in respect of the typical length range for the Commitment Period.</w:t>
      </w:r>
    </w:p>
  </w:footnote>
  <w:footnote w:id="15">
    <w:p w:rsidRPr="00C17488" w:rsidR="0002409F" w:rsidP="0002409F" w:rsidRDefault="0002409F">
      <w:pPr>
        <w:pStyle w:val="FootnoteText"/>
      </w:pPr>
      <w:r w:rsidRPr="00C17488">
        <w:rPr>
          <w:rStyle w:val="FootnoteReference"/>
        </w:rPr>
        <w:footnoteRef/>
      </w:r>
      <w:r w:rsidRPr="00C17488">
        <w:t>To be tailored to the specific investment objectives of the Fund.</w:t>
      </w:r>
    </w:p>
  </w:footnote>
  <w:footnote w:id="16">
    <w:p w:rsidRPr="0002409F" w:rsidR="0002409F" w:rsidRDefault="0002409F">
      <w:pPr>
        <w:pStyle w:val="FootnoteText"/>
        <w:rPr>
          <w:lang w:val="en-US"/>
        </w:rPr>
      </w:pPr>
      <w:r>
        <w:rPr>
          <w:rStyle w:val="FootnoteReference"/>
        </w:rPr>
        <w:footnoteRef/>
      </w:r>
      <w:r>
        <w:t xml:space="preserve"> See </w:t>
      </w:r>
      <w:r w:rsidR="006370CC">
        <w:t xml:space="preserve">the </w:t>
      </w:r>
      <w:r>
        <w:t xml:space="preserve">definition of </w:t>
      </w:r>
      <w:r w:rsidR="00EC6F22">
        <w:t>“</w:t>
      </w:r>
      <w:r>
        <w:t>Investment Policy</w:t>
      </w:r>
      <w:r w:rsidR="00EC6F22">
        <w:t>”</w:t>
      </w:r>
      <w:r>
        <w:t xml:space="preserve"> in </w:t>
      </w:r>
      <w:r>
        <w:rPr>
          <w:lang w:val="en-US"/>
        </w:rPr>
        <w:t xml:space="preserve">Section 1.1 (Definitions) of </w:t>
      </w:r>
      <w:r w:rsidR="00014812">
        <w:rPr>
          <w:lang w:val="en-US"/>
        </w:rPr>
        <w:t>the CVCA LPA</w:t>
      </w:r>
      <w:r>
        <w:rPr>
          <w:lang w:val="en-US"/>
        </w:rPr>
        <w:t>.</w:t>
      </w:r>
    </w:p>
  </w:footnote>
  <w:footnote w:id="17">
    <w:p w:rsidRPr="00C17488" w:rsidR="00711CE9" w:rsidRDefault="00711CE9">
      <w:pPr>
        <w:pStyle w:val="FootnoteText"/>
      </w:pPr>
      <w:r w:rsidRPr="00C17488">
        <w:rPr>
          <w:rStyle w:val="FootnoteReference"/>
        </w:rPr>
        <w:footnoteRef/>
      </w:r>
      <w:r w:rsidRPr="00C17488">
        <w:t xml:space="preserve"> See the footnotes to Section 7.1 (Investment Restrictions) of </w:t>
      </w:r>
      <w:r w:rsidR="00014812">
        <w:t>the CVCA LPA</w:t>
      </w:r>
      <w:r w:rsidRPr="00C17488">
        <w:t xml:space="preserve"> for a discussion in respect of investment restrictions and related considerations.</w:t>
      </w:r>
    </w:p>
  </w:footnote>
  <w:footnote w:id="18">
    <w:p w:rsidRPr="00A028E6" w:rsidR="00A028E6" w:rsidRDefault="00A028E6">
      <w:pPr>
        <w:pStyle w:val="FootnoteText"/>
        <w:rPr>
          <w:lang w:val="en-US"/>
        </w:rPr>
      </w:pPr>
      <w:r>
        <w:rPr>
          <w:rStyle w:val="FootnoteReference"/>
        </w:rPr>
        <w:footnoteRef/>
      </w:r>
      <w:r>
        <w:t xml:space="preserve"> </w:t>
      </w:r>
      <w:r>
        <w:rPr>
          <w:lang w:val="en-US"/>
        </w:rPr>
        <w:t>See</w:t>
      </w:r>
      <w:r w:rsidR="00F35501">
        <w:rPr>
          <w:lang w:val="en-US"/>
        </w:rPr>
        <w:t xml:space="preserve"> the</w:t>
      </w:r>
      <w:r>
        <w:rPr>
          <w:lang w:val="en-US"/>
        </w:rPr>
        <w:t xml:space="preserve"> footnote to Section 7.1(e) </w:t>
      </w:r>
      <w:r w:rsidR="008E23EF">
        <w:rPr>
          <w:lang w:val="en-US"/>
        </w:rPr>
        <w:t>(</w:t>
      </w:r>
      <w:r w:rsidRPr="006400F9" w:rsidR="008E23EF">
        <w:t>Investment Restrictions</w:t>
      </w:r>
      <w:r w:rsidR="008E23EF">
        <w:rPr>
          <w:lang w:val="en-US"/>
        </w:rPr>
        <w:t xml:space="preserve">) </w:t>
      </w:r>
      <w:r>
        <w:rPr>
          <w:lang w:val="en-US"/>
        </w:rPr>
        <w:t xml:space="preserve">of </w:t>
      </w:r>
      <w:r w:rsidR="00014812">
        <w:rPr>
          <w:lang w:val="en-US"/>
        </w:rPr>
        <w:t>the CVCA LPA</w:t>
      </w:r>
      <w:r>
        <w:rPr>
          <w:lang w:val="en-US"/>
        </w:rPr>
        <w:t>.</w:t>
      </w:r>
    </w:p>
  </w:footnote>
  <w:footnote w:id="19">
    <w:p w:rsidRPr="00C17488" w:rsidR="00711CE9" w:rsidRDefault="00711CE9">
      <w:pPr>
        <w:pStyle w:val="FootnoteText"/>
        <w:rPr>
          <w:lang w:val="en-US"/>
        </w:rPr>
      </w:pPr>
      <w:r w:rsidRPr="00C17488">
        <w:rPr>
          <w:rStyle w:val="FootnoteReference"/>
        </w:rPr>
        <w:footnoteRef/>
      </w:r>
      <w:r w:rsidRPr="00C17488">
        <w:t xml:space="preserve"> See the footnote to the definition </w:t>
      </w:r>
      <w:r w:rsidR="00F35501">
        <w:t xml:space="preserve">of </w:t>
      </w:r>
      <w:r w:rsidR="00EC6F22">
        <w:t>“</w:t>
      </w:r>
      <w:r w:rsidRPr="00C17488" w:rsidR="00F35501">
        <w:t>Preferred Return</w:t>
      </w:r>
      <w:r w:rsidR="00EC6F22">
        <w:t>”</w:t>
      </w:r>
      <w:r w:rsidRPr="00C17488" w:rsidR="00F35501">
        <w:t xml:space="preserve"> </w:t>
      </w:r>
      <w:r w:rsidRPr="00C17488">
        <w:t xml:space="preserve">in Section 1.1 (Definitions) of </w:t>
      </w:r>
      <w:r w:rsidR="00014812">
        <w:t>the CVCA LPA</w:t>
      </w:r>
      <w:r w:rsidRPr="00C17488">
        <w:t xml:space="preserve"> for a discussion in respect of the preferred return use and typical range. </w:t>
      </w:r>
    </w:p>
  </w:footnote>
  <w:footnote w:id="20">
    <w:p w:rsidRPr="00C17488" w:rsidR="00711CE9" w:rsidP="00D0557F" w:rsidRDefault="00711CE9">
      <w:pPr>
        <w:pStyle w:val="FootnoteText"/>
        <w:rPr>
          <w:lang w:val="en-US"/>
        </w:rPr>
      </w:pPr>
      <w:r w:rsidRPr="00C17488">
        <w:rPr>
          <w:rStyle w:val="FootnoteReference"/>
        </w:rPr>
        <w:footnoteRef/>
      </w:r>
      <w:r w:rsidRPr="00C17488">
        <w:t xml:space="preserve"> </w:t>
      </w:r>
      <w:r w:rsidRPr="00C17488">
        <w:rPr>
          <w:lang w:val="en-US"/>
        </w:rPr>
        <w:t xml:space="preserve">See the footnotes to Section 14.3 (Distributions of Distributable Proceeds) of </w:t>
      </w:r>
      <w:r w:rsidR="00014812">
        <w:rPr>
          <w:lang w:val="en-US"/>
        </w:rPr>
        <w:t>the CVCA LPA</w:t>
      </w:r>
      <w:r w:rsidRPr="00C17488">
        <w:rPr>
          <w:lang w:val="en-US"/>
        </w:rPr>
        <w:t xml:space="preserve"> for a discussion in respect of the payment of the carried interest (including typical range of the General Partner catch-up and standard profit split among partners).</w:t>
      </w:r>
    </w:p>
  </w:footnote>
  <w:footnote w:id="21">
    <w:p w:rsidRPr="00C17488" w:rsidR="00711CE9" w:rsidRDefault="00711CE9">
      <w:pPr>
        <w:pStyle w:val="FootnoteText"/>
        <w:rPr>
          <w:lang w:val="en-US"/>
        </w:rPr>
      </w:pPr>
      <w:r w:rsidRPr="00C17488">
        <w:rPr>
          <w:rStyle w:val="FootnoteReference"/>
        </w:rPr>
        <w:footnoteRef/>
      </w:r>
      <w:r w:rsidRPr="00C17488">
        <w:t xml:space="preserve"> </w:t>
      </w:r>
      <w:r w:rsidRPr="00C17488">
        <w:rPr>
          <w:lang w:val="en-US"/>
        </w:rPr>
        <w:t xml:space="preserve">See the footnote to Section 14.3(c) (Distributions of Distributable Proceeds) of </w:t>
      </w:r>
      <w:r w:rsidR="00014812">
        <w:rPr>
          <w:lang w:val="en-US"/>
        </w:rPr>
        <w:t>the CVCA LPA</w:t>
      </w:r>
      <w:r w:rsidRPr="00C17488">
        <w:rPr>
          <w:lang w:val="en-US"/>
        </w:rPr>
        <w:t xml:space="preserve"> for a discussion in respect of the carried interest.</w:t>
      </w:r>
    </w:p>
  </w:footnote>
  <w:footnote w:id="22">
    <w:p w:rsidRPr="00C17488" w:rsidR="00711CE9" w:rsidRDefault="00711CE9">
      <w:pPr>
        <w:pStyle w:val="FootnoteText"/>
      </w:pPr>
      <w:r w:rsidRPr="00C17488">
        <w:rPr>
          <w:rStyle w:val="FootnoteReference"/>
        </w:rPr>
        <w:footnoteRef/>
      </w:r>
      <w:r w:rsidRPr="00C17488">
        <w:t xml:space="preserve"> See the footnote to the definition of </w:t>
      </w:r>
      <w:r w:rsidR="00EC6F22">
        <w:t>“</w:t>
      </w:r>
      <w:r w:rsidRPr="00C17488">
        <w:t>Carried Interest</w:t>
      </w:r>
      <w:r w:rsidR="00EC6F22">
        <w:t>”</w:t>
      </w:r>
      <w:r w:rsidRPr="00C17488">
        <w:t xml:space="preserve"> in Section 1.1 (Definitions) of </w:t>
      </w:r>
      <w:r w:rsidR="00014812">
        <w:t>the CVCA LPA</w:t>
      </w:r>
      <w:r w:rsidRPr="00C17488">
        <w:t xml:space="preserve"> for a discussion in respect of tax structuring and the establishment of a </w:t>
      </w:r>
      <w:r w:rsidR="00EC6F22">
        <w:t>“</w:t>
      </w:r>
      <w:r w:rsidRPr="00C17488">
        <w:t>special limited partner</w:t>
      </w:r>
      <w:r w:rsidR="00EC6F22">
        <w:t>”</w:t>
      </w:r>
      <w:r w:rsidRPr="00C17488">
        <w:t xml:space="preserve"> to receive the carried interest.</w:t>
      </w:r>
    </w:p>
  </w:footnote>
  <w:footnote w:id="23">
    <w:p w:rsidRPr="00C17488" w:rsidR="00711CE9" w:rsidRDefault="00711CE9">
      <w:pPr>
        <w:pStyle w:val="FootnoteText"/>
        <w:rPr>
          <w:lang w:val="en-US"/>
        </w:rPr>
      </w:pPr>
      <w:r w:rsidRPr="00C17488">
        <w:rPr>
          <w:rStyle w:val="FootnoteReference"/>
        </w:rPr>
        <w:footnoteRef/>
      </w:r>
      <w:r w:rsidRPr="00C17488">
        <w:t xml:space="preserve"> </w:t>
      </w:r>
      <w:r w:rsidRPr="00C17488">
        <w:rPr>
          <w:lang w:val="en-US"/>
        </w:rPr>
        <w:t xml:space="preserve">See the footnotes to Section 14.7(b) (Clawback) of </w:t>
      </w:r>
      <w:r w:rsidR="00014812">
        <w:rPr>
          <w:lang w:val="en-US"/>
        </w:rPr>
        <w:t>the CVCA LPA</w:t>
      </w:r>
      <w:r w:rsidRPr="00C17488">
        <w:rPr>
          <w:lang w:val="en-US"/>
        </w:rPr>
        <w:t xml:space="preserve"> for a discussion in respect of the typical range of the escrow percentage and alternatives to the escrow of General Partner distributions.</w:t>
      </w:r>
    </w:p>
  </w:footnote>
  <w:footnote w:id="24">
    <w:p w:rsidRPr="00C17488" w:rsidR="00711CE9" w:rsidRDefault="00711CE9">
      <w:pPr>
        <w:pStyle w:val="FootnoteText"/>
        <w:rPr>
          <w:lang w:val="en-US"/>
        </w:rPr>
      </w:pPr>
      <w:r w:rsidRPr="00C17488">
        <w:rPr>
          <w:rStyle w:val="FootnoteReference"/>
        </w:rPr>
        <w:footnoteRef/>
      </w:r>
      <w:r w:rsidRPr="00C17488">
        <w:t xml:space="preserve"> </w:t>
      </w:r>
      <w:r w:rsidRPr="00C17488">
        <w:rPr>
          <w:lang w:val="en-US"/>
        </w:rPr>
        <w:t>See the footnotes to Section</w:t>
      </w:r>
      <w:r>
        <w:rPr>
          <w:lang w:val="en-US"/>
        </w:rPr>
        <w:t>s</w:t>
      </w:r>
      <w:r w:rsidRPr="00C17488">
        <w:rPr>
          <w:lang w:val="en-US"/>
        </w:rPr>
        <w:t xml:space="preserve"> 14.7</w:t>
      </w:r>
      <w:r w:rsidR="002639D0">
        <w:rPr>
          <w:lang w:val="en-US"/>
        </w:rPr>
        <w:t xml:space="preserve">(a), (b) and </w:t>
      </w:r>
      <w:r>
        <w:rPr>
          <w:lang w:val="en-US"/>
        </w:rPr>
        <w:t>(c)</w:t>
      </w:r>
      <w:r w:rsidRPr="00C17488">
        <w:rPr>
          <w:lang w:val="en-US"/>
        </w:rPr>
        <w:t xml:space="preserve"> (Clawback) of </w:t>
      </w:r>
      <w:r w:rsidR="00014812">
        <w:rPr>
          <w:lang w:val="en-US"/>
        </w:rPr>
        <w:t>the CVCA LPA</w:t>
      </w:r>
      <w:r w:rsidRPr="00C17488">
        <w:rPr>
          <w:lang w:val="en-US"/>
        </w:rPr>
        <w:t xml:space="preserve"> for a discussion in respect of the clawback </w:t>
      </w:r>
      <w:r>
        <w:rPr>
          <w:lang w:val="en-US"/>
        </w:rPr>
        <w:t xml:space="preserve">and clawback </w:t>
      </w:r>
      <w:r w:rsidRPr="00C17488">
        <w:rPr>
          <w:lang w:val="en-US"/>
        </w:rPr>
        <w:t>undertaking (including the possibility to provide such undertaking in organizational documents).</w:t>
      </w:r>
    </w:p>
  </w:footnote>
  <w:footnote w:id="25">
    <w:p w:rsidRPr="001001C2" w:rsidR="00711CE9" w:rsidRDefault="00711CE9">
      <w:pPr>
        <w:pStyle w:val="FootnoteText"/>
        <w:rPr>
          <w:lang w:val="en-US"/>
        </w:rPr>
      </w:pPr>
      <w:r>
        <w:rPr>
          <w:rStyle w:val="FootnoteReference"/>
        </w:rPr>
        <w:footnoteRef/>
      </w:r>
      <w:r>
        <w:t xml:space="preserve"> </w:t>
      </w:r>
      <w:r>
        <w:rPr>
          <w:lang w:val="en-US"/>
        </w:rPr>
        <w:t>See Section 14.4</w:t>
      </w:r>
      <w:r w:rsidR="008E23EF">
        <w:rPr>
          <w:lang w:val="en-US"/>
        </w:rPr>
        <w:t xml:space="preserve"> (</w:t>
      </w:r>
      <w:bookmarkStart w:name="_Ref113892604" w:id="3"/>
      <w:bookmarkStart w:name="_Toc120880758" w:id="4"/>
      <w:r w:rsidRPr="006400F9" w:rsidR="008E23EF">
        <w:t>Distributions in Kind</w:t>
      </w:r>
      <w:bookmarkEnd w:id="3"/>
      <w:bookmarkEnd w:id="4"/>
      <w:r w:rsidR="008E23EF">
        <w:t>)</w:t>
      </w:r>
      <w:r>
        <w:rPr>
          <w:lang w:val="en-US"/>
        </w:rPr>
        <w:t xml:space="preserve"> of </w:t>
      </w:r>
      <w:r w:rsidR="00014812">
        <w:rPr>
          <w:lang w:val="en-US"/>
        </w:rPr>
        <w:t>the CVCA LPA</w:t>
      </w:r>
      <w:r>
        <w:rPr>
          <w:lang w:val="en-US"/>
        </w:rPr>
        <w:t>.</w:t>
      </w:r>
    </w:p>
  </w:footnote>
  <w:footnote w:id="26">
    <w:p w:rsidRPr="001001C2" w:rsidR="00711CE9" w:rsidRDefault="00711CE9">
      <w:pPr>
        <w:pStyle w:val="FootnoteText"/>
        <w:rPr>
          <w:lang w:val="en-US"/>
        </w:rPr>
      </w:pPr>
      <w:r>
        <w:rPr>
          <w:rStyle w:val="FootnoteReference"/>
        </w:rPr>
        <w:footnoteRef/>
      </w:r>
      <w:r>
        <w:t xml:space="preserve"> See Section 6.2(a)</w:t>
      </w:r>
      <w:r w:rsidR="008E23EF">
        <w:t xml:space="preserve"> (</w:t>
      </w:r>
      <w:bookmarkStart w:name="_Ref40801274" w:id="5"/>
      <w:bookmarkStart w:name="_Toc120880703" w:id="6"/>
      <w:r w:rsidRPr="006400F9" w:rsidR="008E23EF">
        <w:t>Terms and Conditions; Capital Contributions</w:t>
      </w:r>
      <w:bookmarkEnd w:id="5"/>
      <w:bookmarkEnd w:id="6"/>
      <w:r w:rsidR="008E23EF">
        <w:t>)</w:t>
      </w:r>
      <w:r>
        <w:t xml:space="preserve"> of </w:t>
      </w:r>
      <w:r w:rsidR="00014812">
        <w:t>the CVCA LPA</w:t>
      </w:r>
      <w:r>
        <w:t>.</w:t>
      </w:r>
    </w:p>
  </w:footnote>
  <w:footnote w:id="27">
    <w:p w:rsidRPr="00C17488" w:rsidR="00711CE9" w:rsidRDefault="00711CE9">
      <w:pPr>
        <w:pStyle w:val="FootnoteText"/>
        <w:rPr>
          <w:lang w:val="en-US"/>
        </w:rPr>
      </w:pPr>
      <w:r w:rsidRPr="00C17488">
        <w:rPr>
          <w:rStyle w:val="FootnoteReference"/>
        </w:rPr>
        <w:footnoteRef/>
      </w:r>
      <w:r w:rsidRPr="00C17488">
        <w:t xml:space="preserve"> </w:t>
      </w:r>
      <w:r w:rsidRPr="00C17488">
        <w:rPr>
          <w:lang w:val="en-US"/>
        </w:rPr>
        <w:t xml:space="preserve">See the footnote to Section 6.4 (Reinvestment) of </w:t>
      </w:r>
      <w:r w:rsidR="00014812">
        <w:rPr>
          <w:lang w:val="en-US"/>
        </w:rPr>
        <w:t>the CVCA LPA</w:t>
      </w:r>
      <w:r w:rsidRPr="00C17488">
        <w:rPr>
          <w:lang w:val="en-US"/>
        </w:rPr>
        <w:t xml:space="preserve"> for a discussion in respect of potential caps to recycling.</w:t>
      </w:r>
    </w:p>
  </w:footnote>
  <w:footnote w:id="28">
    <w:p w:rsidRPr="001001C2" w:rsidR="00711CE9" w:rsidRDefault="00711CE9">
      <w:pPr>
        <w:pStyle w:val="FootnoteText"/>
        <w:rPr>
          <w:lang w:val="en-US"/>
        </w:rPr>
      </w:pPr>
      <w:r>
        <w:rPr>
          <w:rStyle w:val="FootnoteReference"/>
        </w:rPr>
        <w:footnoteRef/>
      </w:r>
      <w:r>
        <w:t xml:space="preserve"> </w:t>
      </w:r>
      <w:r>
        <w:rPr>
          <w:lang w:val="en-US"/>
        </w:rPr>
        <w:t xml:space="preserve">See </w:t>
      </w:r>
      <w:r w:rsidR="006370CC">
        <w:rPr>
          <w:lang w:val="en-US"/>
        </w:rPr>
        <w:t xml:space="preserve">the </w:t>
      </w:r>
      <w:r>
        <w:rPr>
          <w:lang w:val="en-US"/>
        </w:rPr>
        <w:t xml:space="preserve">definition of </w:t>
      </w:r>
      <w:r w:rsidR="00EC6F22">
        <w:rPr>
          <w:lang w:val="en-US"/>
        </w:rPr>
        <w:t>“</w:t>
      </w:r>
      <w:r>
        <w:rPr>
          <w:lang w:val="en-US"/>
        </w:rPr>
        <w:t>Bridge Investments</w:t>
      </w:r>
      <w:r w:rsidR="00EC6F22">
        <w:rPr>
          <w:lang w:val="en-US"/>
        </w:rPr>
        <w:t>”</w:t>
      </w:r>
      <w:r>
        <w:rPr>
          <w:lang w:val="en-US"/>
        </w:rPr>
        <w:t xml:space="preserve"> in Section 1.1 (Definitions) and Section 7.5 </w:t>
      </w:r>
      <w:r w:rsidR="00551772">
        <w:rPr>
          <w:lang w:val="en-US"/>
        </w:rPr>
        <w:t xml:space="preserve">(Bridge Investments) </w:t>
      </w:r>
      <w:r>
        <w:rPr>
          <w:lang w:val="en-US"/>
        </w:rPr>
        <w:t xml:space="preserve">of </w:t>
      </w:r>
      <w:r w:rsidR="00014812">
        <w:rPr>
          <w:lang w:val="en-US"/>
        </w:rPr>
        <w:t>the CVCA LPA</w:t>
      </w:r>
      <w:r>
        <w:rPr>
          <w:lang w:val="en-US"/>
        </w:rPr>
        <w:t>.</w:t>
      </w:r>
    </w:p>
  </w:footnote>
  <w:footnote w:id="29">
    <w:p w:rsidRPr="00C17488" w:rsidR="00711CE9" w:rsidP="00850DD7" w:rsidRDefault="00711CE9">
      <w:pPr>
        <w:pStyle w:val="FootnoteText"/>
      </w:pPr>
      <w:r w:rsidRPr="00C17488">
        <w:rPr>
          <w:rStyle w:val="FootnoteReference"/>
        </w:rPr>
        <w:footnoteRef/>
      </w:r>
      <w:r w:rsidRPr="00C17488">
        <w:t xml:space="preserve"> See the footnotes to Section 7.2 (Limitation on Indebtedness) of </w:t>
      </w:r>
      <w:r w:rsidR="00014812">
        <w:t>the CVCA LPA</w:t>
      </w:r>
      <w:r w:rsidRPr="00C17488">
        <w:t xml:space="preserve"> for a discussion in respect of the limits of such provision and additional language that may be required by some managers/lenders.</w:t>
      </w:r>
    </w:p>
  </w:footnote>
  <w:footnote w:id="30">
    <w:p w:rsidRPr="00C17488" w:rsidR="00711CE9" w:rsidP="003352D9" w:rsidRDefault="00711CE9">
      <w:pPr>
        <w:pStyle w:val="FootnoteText"/>
      </w:pPr>
      <w:r w:rsidRPr="00C17488">
        <w:rPr>
          <w:rStyle w:val="FootnoteReference"/>
        </w:rPr>
        <w:footnoteRef/>
      </w:r>
      <w:r w:rsidRPr="00C17488">
        <w:t xml:space="preserve"> See the footnotes to Section 8.4 (Management Fee) in </w:t>
      </w:r>
      <w:r w:rsidR="00014812">
        <w:t>the CVCA LPA</w:t>
      </w:r>
      <w:r w:rsidRPr="00C17488">
        <w:t xml:space="preserve"> for a discussion in respect of the range of management fees and payment schedule. </w:t>
      </w:r>
    </w:p>
  </w:footnote>
  <w:footnote w:id="31">
    <w:p w:rsidRPr="00E5189E" w:rsidR="00711CE9" w:rsidRDefault="00711CE9">
      <w:pPr>
        <w:pStyle w:val="FootnoteText"/>
        <w:rPr>
          <w:lang w:val="en-US"/>
        </w:rPr>
      </w:pPr>
      <w:r>
        <w:rPr>
          <w:rStyle w:val="FootnoteReference"/>
        </w:rPr>
        <w:footnoteRef/>
      </w:r>
      <w:r>
        <w:t xml:space="preserve"> </w:t>
      </w:r>
      <w:r>
        <w:rPr>
          <w:lang w:val="en-US"/>
        </w:rPr>
        <w:t>See Section 8.5</w:t>
      </w:r>
      <w:r w:rsidR="006719F5">
        <w:rPr>
          <w:lang w:val="en-US"/>
        </w:rPr>
        <w:t xml:space="preserve"> (</w:t>
      </w:r>
      <w:bookmarkStart w:name="_Ref40803617" w:id="7"/>
      <w:bookmarkStart w:name="_Toc120880720" w:id="8"/>
      <w:r w:rsidRPr="006400F9" w:rsidR="006719F5">
        <w:t>Management Fee Offset</w:t>
      </w:r>
      <w:bookmarkEnd w:id="7"/>
      <w:bookmarkEnd w:id="8"/>
      <w:r w:rsidR="006719F5">
        <w:t>)</w:t>
      </w:r>
      <w:r>
        <w:rPr>
          <w:lang w:val="en-US"/>
        </w:rPr>
        <w:t xml:space="preserve"> of </w:t>
      </w:r>
      <w:r w:rsidR="00014812">
        <w:rPr>
          <w:lang w:val="en-US"/>
        </w:rPr>
        <w:t>the CVCA LPA</w:t>
      </w:r>
      <w:r>
        <w:rPr>
          <w:lang w:val="en-US"/>
        </w:rPr>
        <w:t>.</w:t>
      </w:r>
    </w:p>
  </w:footnote>
  <w:footnote w:id="32">
    <w:p w:rsidRPr="00E5189E" w:rsidR="00711CE9" w:rsidRDefault="00711CE9">
      <w:pPr>
        <w:pStyle w:val="FootnoteText"/>
        <w:rPr>
          <w:lang w:val="en-US"/>
        </w:rPr>
      </w:pPr>
      <w:r>
        <w:rPr>
          <w:rStyle w:val="FootnoteReference"/>
        </w:rPr>
        <w:footnoteRef/>
      </w:r>
      <w:r>
        <w:t xml:space="preserve"> See Article 11</w:t>
      </w:r>
      <w:r w:rsidR="006719F5">
        <w:t xml:space="preserve"> (</w:t>
      </w:r>
      <w:bookmarkStart w:name="_Ref40806952" w:id="9"/>
      <w:bookmarkStart w:name="_Toc120880733" w:id="10"/>
      <w:r w:rsidRPr="006400F9" w:rsidR="006719F5">
        <w:t>Key Person Event; Suspension</w:t>
      </w:r>
      <w:bookmarkEnd w:id="9"/>
      <w:bookmarkEnd w:id="10"/>
      <w:r w:rsidR="006719F5">
        <w:t>)</w:t>
      </w:r>
      <w:r>
        <w:t xml:space="preserve"> of </w:t>
      </w:r>
      <w:r w:rsidR="00014812">
        <w:t>the CVCA LPA</w:t>
      </w:r>
      <w:r>
        <w:t xml:space="preserve"> and related footnotes.</w:t>
      </w:r>
    </w:p>
  </w:footnote>
  <w:footnote w:id="33">
    <w:p w:rsidRPr="00C17488" w:rsidR="00711CE9" w:rsidRDefault="00711CE9">
      <w:pPr>
        <w:pStyle w:val="FootnoteText"/>
      </w:pPr>
      <w:r w:rsidRPr="00C17488">
        <w:rPr>
          <w:rStyle w:val="FootnoteReference"/>
        </w:rPr>
        <w:footnoteRef/>
      </w:r>
      <w:r w:rsidRPr="00C17488">
        <w:t xml:space="preserve"> See the footnote to the </w:t>
      </w:r>
      <w:r w:rsidR="00F35501">
        <w:t xml:space="preserve">definition of </w:t>
      </w:r>
      <w:r w:rsidR="00EC6F22">
        <w:t>“</w:t>
      </w:r>
      <w:r w:rsidRPr="00C17488">
        <w:t>Key Person Event</w:t>
      </w:r>
      <w:r w:rsidR="00EC6F22">
        <w:t>”</w:t>
      </w:r>
      <w:r w:rsidRPr="00C17488">
        <w:t xml:space="preserve"> in Section 1.1 (Definitions) of </w:t>
      </w:r>
      <w:r w:rsidR="00014812">
        <w:t>the CVCA LPA</w:t>
      </w:r>
      <w:r w:rsidRPr="00C17488">
        <w:t xml:space="preserve"> for a discussion in respect of the role of the Key Persons and purpose of the key person provisions in the Partnership Agreement.</w:t>
      </w:r>
      <w:r>
        <w:t xml:space="preserve"> Also see Article 11 </w:t>
      </w:r>
      <w:r w:rsidR="006719F5">
        <w:t>(</w:t>
      </w:r>
      <w:r w:rsidRPr="006400F9" w:rsidR="006719F5">
        <w:t>Key Person Event; Suspension</w:t>
      </w:r>
      <w:r w:rsidR="006719F5">
        <w:t xml:space="preserve">) </w:t>
      </w:r>
      <w:r>
        <w:t xml:space="preserve">of </w:t>
      </w:r>
      <w:r w:rsidR="00014812">
        <w:t>the CVCA LPA</w:t>
      </w:r>
      <w:r>
        <w:t xml:space="preserve"> and related footnotes.</w:t>
      </w:r>
    </w:p>
  </w:footnote>
  <w:footnote w:id="34">
    <w:p w:rsidRPr="00C17488" w:rsidR="00711CE9" w:rsidP="00F377EC" w:rsidRDefault="00711CE9">
      <w:pPr>
        <w:pStyle w:val="FootnoteText"/>
      </w:pPr>
      <w:r w:rsidRPr="00C17488">
        <w:rPr>
          <w:rStyle w:val="FootnoteReference"/>
        </w:rPr>
        <w:footnoteRef/>
      </w:r>
      <w:r w:rsidRPr="00C17488">
        <w:t xml:space="preserve"> See the footnote to the </w:t>
      </w:r>
      <w:r w:rsidR="00F35501">
        <w:t xml:space="preserve">definition of </w:t>
      </w:r>
      <w:r w:rsidR="00EC6F22">
        <w:t>“</w:t>
      </w:r>
      <w:r w:rsidRPr="00C17488">
        <w:t>Change of Control</w:t>
      </w:r>
      <w:r w:rsidR="00EC6F22">
        <w:t>”</w:t>
      </w:r>
      <w:r w:rsidRPr="00C17488">
        <w:t xml:space="preserve"> in Section 1.1 (Definitions) of </w:t>
      </w:r>
      <w:r w:rsidR="00014812">
        <w:t>the CVCA LPA</w:t>
      </w:r>
      <w:r w:rsidRPr="00C17488">
        <w:t xml:space="preserve"> for a discussion in respect of the variability of this definition.</w:t>
      </w:r>
    </w:p>
  </w:footnote>
  <w:footnote w:id="35">
    <w:p w:rsidRPr="00C17488" w:rsidR="00711CE9" w:rsidRDefault="00711CE9">
      <w:pPr>
        <w:pStyle w:val="FootnoteText"/>
      </w:pPr>
      <w:r w:rsidRPr="00C17488">
        <w:rPr>
          <w:rStyle w:val="FootnoteReference"/>
        </w:rPr>
        <w:footnoteRef/>
      </w:r>
      <w:r w:rsidRPr="00C17488">
        <w:t xml:space="preserve"> See the footnote to Section 11.3 (Termination of Commitment Period) of </w:t>
      </w:r>
      <w:r w:rsidR="00014812">
        <w:t>the CVCA LPA</w:t>
      </w:r>
      <w:r w:rsidRPr="00C17488">
        <w:t xml:space="preserve"> for a discussion in respect of the typical range of such period.</w:t>
      </w:r>
      <w:r>
        <w:t xml:space="preserve"> </w:t>
      </w:r>
    </w:p>
  </w:footnote>
  <w:footnote w:id="36">
    <w:p w:rsidRPr="0031373E" w:rsidR="00711CE9" w:rsidRDefault="00711CE9">
      <w:pPr>
        <w:pStyle w:val="FootnoteText"/>
        <w:rPr>
          <w:lang w:val="en-US"/>
        </w:rPr>
      </w:pPr>
      <w:r>
        <w:rPr>
          <w:rStyle w:val="FootnoteReference"/>
        </w:rPr>
        <w:footnoteRef/>
      </w:r>
      <w:r>
        <w:t xml:space="preserve"> </w:t>
      </w:r>
      <w:r>
        <w:rPr>
          <w:lang w:val="en-US"/>
        </w:rPr>
        <w:t>See Article 10</w:t>
      </w:r>
      <w:r w:rsidR="006719F5">
        <w:rPr>
          <w:lang w:val="en-US"/>
        </w:rPr>
        <w:t xml:space="preserve"> (</w:t>
      </w:r>
      <w:bookmarkStart w:name="_Ref40806970" w:id="11"/>
      <w:bookmarkStart w:name="_Toc120880728" w:id="12"/>
      <w:r w:rsidRPr="006400F9" w:rsidR="006719F5">
        <w:t>Removal of the General Partner; Termination of the Fund</w:t>
      </w:r>
      <w:bookmarkEnd w:id="11"/>
      <w:bookmarkEnd w:id="12"/>
      <w:r w:rsidR="006719F5">
        <w:t>)</w:t>
      </w:r>
      <w:r>
        <w:rPr>
          <w:lang w:val="en-US"/>
        </w:rPr>
        <w:t xml:space="preserve"> of </w:t>
      </w:r>
      <w:r w:rsidR="00014812">
        <w:rPr>
          <w:lang w:val="en-US"/>
        </w:rPr>
        <w:t>the CVCA LPA</w:t>
      </w:r>
      <w:r>
        <w:rPr>
          <w:lang w:val="en-US"/>
        </w:rPr>
        <w:t>.</w:t>
      </w:r>
    </w:p>
  </w:footnote>
  <w:footnote w:id="37">
    <w:p w:rsidRPr="00C17488" w:rsidR="00711CE9" w:rsidP="0031373E" w:rsidRDefault="00711CE9">
      <w:pPr>
        <w:pStyle w:val="FootnoteText"/>
      </w:pPr>
      <w:r w:rsidRPr="00C17488">
        <w:rPr>
          <w:rStyle w:val="FootnoteReference"/>
        </w:rPr>
        <w:footnoteRef/>
      </w:r>
      <w:r w:rsidRPr="00C17488">
        <w:t xml:space="preserve"> </w:t>
      </w:r>
      <w:r>
        <w:t>See</w:t>
      </w:r>
      <w:r w:rsidR="006370CC">
        <w:t xml:space="preserve"> the </w:t>
      </w:r>
      <w:r>
        <w:t xml:space="preserve">definition of </w:t>
      </w:r>
      <w:r w:rsidR="00EC6F22">
        <w:t>“</w:t>
      </w:r>
      <w:r>
        <w:t>Removal Conduct</w:t>
      </w:r>
      <w:r w:rsidR="00EC6F22">
        <w:t>”</w:t>
      </w:r>
      <w:r>
        <w:t xml:space="preserve"> in </w:t>
      </w:r>
      <w:r w:rsidR="00014812">
        <w:t>the CVCA LPA</w:t>
      </w:r>
      <w:r>
        <w:t xml:space="preserve"> and related footnotes. See Article 10 </w:t>
      </w:r>
      <w:r w:rsidR="006719F5">
        <w:t>(</w:t>
      </w:r>
      <w:r w:rsidRPr="006400F9" w:rsidR="006719F5">
        <w:t>Removal of the General Partner; Termination of the Fund</w:t>
      </w:r>
      <w:r w:rsidR="006719F5">
        <w:t xml:space="preserve"> ) </w:t>
      </w:r>
      <w:r>
        <w:t xml:space="preserve">of </w:t>
      </w:r>
      <w:r w:rsidR="00014812">
        <w:t>the CVCA LPA</w:t>
      </w:r>
      <w:r>
        <w:t>.</w:t>
      </w:r>
    </w:p>
  </w:footnote>
  <w:footnote w:id="38">
    <w:p w:rsidRPr="00C17488" w:rsidR="00711CE9" w:rsidP="007A2FF9" w:rsidRDefault="00711CE9">
      <w:pPr>
        <w:pStyle w:val="FootnoteText"/>
      </w:pPr>
      <w:r w:rsidRPr="00C17488">
        <w:rPr>
          <w:rStyle w:val="FootnoteReference"/>
        </w:rPr>
        <w:footnoteRef/>
      </w:r>
      <w:r w:rsidRPr="00C17488">
        <w:t xml:space="preserve"> Alternative language may be considered for Québec limited partnerships. Québec counsel should be consulted.</w:t>
      </w:r>
    </w:p>
  </w:footnote>
  <w:footnote w:id="39">
    <w:p w:rsidR="00711CE9" w:rsidP="00E9352B" w:rsidRDefault="00711CE9">
      <w:pPr>
        <w:pStyle w:val="FootnoteText"/>
      </w:pPr>
      <w:r>
        <w:rPr>
          <w:rStyle w:val="FootnoteReference"/>
        </w:rPr>
        <w:footnoteRef/>
      </w:r>
      <w:r>
        <w:t xml:space="preserve"> While there is no clear differentiation between the terms </w:t>
      </w:r>
      <w:r w:rsidR="00EC6F22">
        <w:t>“</w:t>
      </w:r>
      <w:r>
        <w:t>gross negligence</w:t>
      </w:r>
      <w:r w:rsidR="00EC6F22">
        <w:t>”</w:t>
      </w:r>
      <w:r>
        <w:t xml:space="preserve"> and </w:t>
      </w:r>
      <w:r w:rsidR="00EC6F22">
        <w:t>“</w:t>
      </w:r>
      <w:r>
        <w:t>negligence</w:t>
      </w:r>
      <w:r w:rsidR="00EC6F22">
        <w:t>”</w:t>
      </w:r>
      <w:r>
        <w:t xml:space="preserve"> in Canadian jurisprudence, gross negligence</w:t>
      </w:r>
    </w:p>
    <w:p w:rsidRPr="00E9352B" w:rsidR="00711CE9" w:rsidP="00E9352B" w:rsidRDefault="00711CE9">
      <w:pPr>
        <w:pStyle w:val="FootnoteText"/>
      </w:pPr>
      <w:r>
        <w:t>is often still used in contracts of this nature. Consider defining gross negligence using wilful or intentional concepts.</w:t>
      </w:r>
    </w:p>
    <w:p w:rsidRPr="00E9352B" w:rsidR="00711CE9" w:rsidP="00E9352B" w:rsidRDefault="00711CE9">
      <w:pPr>
        <w:pStyle w:val="FootnoteText"/>
      </w:pPr>
    </w:p>
  </w:footnote>
  <w:footnote w:id="40">
    <w:p w:rsidRPr="00C17488" w:rsidR="00711CE9" w:rsidP="009010E2" w:rsidRDefault="00711CE9">
      <w:pPr>
        <w:pStyle w:val="FootnoteText"/>
      </w:pPr>
      <w:r w:rsidRPr="00C17488">
        <w:rPr>
          <w:rStyle w:val="FootnoteReference"/>
        </w:rPr>
        <w:footnoteRef/>
      </w:r>
      <w:r w:rsidRPr="00C17488">
        <w:t xml:space="preserve"> See the footnote to Section 10.1(b)(ii) (Removal/Termination Notice) of </w:t>
      </w:r>
      <w:r w:rsidR="00014812">
        <w:t>the CVCA LPA</w:t>
      </w:r>
      <w:r w:rsidRPr="00C17488">
        <w:t xml:space="preserve"> for a discussion in respect of this removal without cause provision and negotiation of approval threshold and trigger date. </w:t>
      </w:r>
    </w:p>
  </w:footnote>
  <w:footnote w:id="41">
    <w:p w:rsidRPr="00C17488" w:rsidR="00711CE9" w:rsidP="00EC31F6" w:rsidRDefault="00711CE9">
      <w:pPr>
        <w:pStyle w:val="FootnoteText"/>
      </w:pPr>
      <w:r w:rsidRPr="00C17488">
        <w:rPr>
          <w:rStyle w:val="FootnoteReference"/>
        </w:rPr>
        <w:footnoteRef/>
      </w:r>
      <w:r w:rsidRPr="00C17488">
        <w:t xml:space="preserve"> See the footnote to Section 10.2(c)(ii) (Consequences of Removal Notice) for a discussion in respect of such provision.</w:t>
      </w:r>
    </w:p>
  </w:footnote>
  <w:footnote w:id="42">
    <w:p w:rsidRPr="0031373E" w:rsidR="00711CE9" w:rsidRDefault="00711CE9">
      <w:pPr>
        <w:pStyle w:val="FootnoteText"/>
        <w:rPr>
          <w:lang w:val="en-US"/>
        </w:rPr>
      </w:pPr>
      <w:r>
        <w:rPr>
          <w:rStyle w:val="FootnoteReference"/>
        </w:rPr>
        <w:footnoteRef/>
      </w:r>
      <w:r w:rsidR="006719F5">
        <w:t xml:space="preserve"> See Section 10.2(b) (</w:t>
      </w:r>
      <w:bookmarkStart w:name="_Ref40803862" w:id="13"/>
      <w:bookmarkStart w:name="_Toc120880730" w:id="14"/>
      <w:r w:rsidRPr="006400F9" w:rsidR="006719F5">
        <w:t>Consequences of Removal Notice</w:t>
      </w:r>
      <w:bookmarkEnd w:id="13"/>
      <w:bookmarkEnd w:id="14"/>
      <w:r w:rsidR="006719F5">
        <w:t>)</w:t>
      </w:r>
      <w:r>
        <w:t xml:space="preserve"> of </w:t>
      </w:r>
      <w:r w:rsidR="00014812">
        <w:t>the CVCA LPA</w:t>
      </w:r>
      <w:r>
        <w:t>.</w:t>
      </w:r>
    </w:p>
  </w:footnote>
  <w:footnote w:id="43">
    <w:p w:rsidRPr="00C17488" w:rsidR="00711CE9" w:rsidRDefault="00711CE9">
      <w:pPr>
        <w:pStyle w:val="FootnoteText"/>
      </w:pPr>
      <w:r w:rsidRPr="00C17488">
        <w:rPr>
          <w:rStyle w:val="FootnoteReference"/>
        </w:rPr>
        <w:footnoteRef/>
      </w:r>
      <w:r w:rsidRPr="00C17488">
        <w:t xml:space="preserve"> See the footnote to Section 14.7 (Clawback) of </w:t>
      </w:r>
      <w:r w:rsidR="00014812">
        <w:t>the CVCA LPA</w:t>
      </w:r>
      <w:r w:rsidRPr="00C17488">
        <w:t xml:space="preserve"> for a discussion in respect of the type of waterfall where this provision is relevant.</w:t>
      </w:r>
    </w:p>
  </w:footnote>
  <w:footnote w:id="44">
    <w:p w:rsidRPr="000C4424" w:rsidR="00711CE9" w:rsidRDefault="00711CE9">
      <w:pPr>
        <w:pStyle w:val="FootnoteText"/>
        <w:rPr>
          <w:lang w:val="en-US"/>
        </w:rPr>
      </w:pPr>
      <w:r>
        <w:rPr>
          <w:rStyle w:val="FootnoteReference"/>
        </w:rPr>
        <w:footnoteRef/>
      </w:r>
      <w:r>
        <w:t xml:space="preserve"> </w:t>
      </w:r>
      <w:r>
        <w:rPr>
          <w:lang w:val="en-US"/>
        </w:rPr>
        <w:t>See Section 16.3</w:t>
      </w:r>
      <w:r w:rsidR="006719F5">
        <w:rPr>
          <w:lang w:val="en-US"/>
        </w:rPr>
        <w:t xml:space="preserve"> (</w:t>
      </w:r>
      <w:bookmarkStart w:name="_Ref40803097" w:id="15"/>
      <w:bookmarkStart w:name="_Toc120880779" w:id="16"/>
      <w:r w:rsidRPr="006400F9" w:rsidR="006719F5">
        <w:t>Limited Partner Giveback</w:t>
      </w:r>
      <w:bookmarkEnd w:id="15"/>
      <w:bookmarkEnd w:id="16"/>
      <w:r w:rsidR="006719F5">
        <w:t>)</w:t>
      </w:r>
      <w:r>
        <w:rPr>
          <w:lang w:val="en-US"/>
        </w:rPr>
        <w:t xml:space="preserve"> of </w:t>
      </w:r>
      <w:r w:rsidR="00014812">
        <w:rPr>
          <w:lang w:val="en-US"/>
        </w:rPr>
        <w:t>the CVCA LPA</w:t>
      </w:r>
      <w:r>
        <w:rPr>
          <w:lang w:val="en-US"/>
        </w:rPr>
        <w:t>.</w:t>
      </w:r>
    </w:p>
  </w:footnote>
  <w:footnote w:id="45">
    <w:p w:rsidRPr="00C17488" w:rsidR="00711CE9" w:rsidRDefault="00711CE9">
      <w:pPr>
        <w:pStyle w:val="FootnoteText"/>
        <w:rPr>
          <w:i w:val="0"/>
        </w:rPr>
      </w:pPr>
      <w:r w:rsidRPr="00C17488">
        <w:rPr>
          <w:rStyle w:val="FootnoteReference"/>
        </w:rPr>
        <w:footnoteRef/>
      </w:r>
      <w:r w:rsidRPr="00C17488">
        <w:t xml:space="preserve"> See the footnote </w:t>
      </w:r>
      <w:r w:rsidR="00551772">
        <w:t>to</w:t>
      </w:r>
      <w:r w:rsidRPr="00C17488">
        <w:t xml:space="preserve"> Section 16.3(b) (Limited Partner Giveback) </w:t>
      </w:r>
      <w:r w:rsidRPr="00C17488">
        <w:rPr>
          <w:i w:val="0"/>
        </w:rPr>
        <w:t xml:space="preserve">of </w:t>
      </w:r>
      <w:r w:rsidR="00014812">
        <w:rPr>
          <w:i w:val="0"/>
        </w:rPr>
        <w:t>the CVCA LPA</w:t>
      </w:r>
      <w:r w:rsidRPr="00C17488">
        <w:rPr>
          <w:i w:val="0"/>
        </w:rPr>
        <w:t xml:space="preserve"> for a discussion in respect of situations where no limits may apply.</w:t>
      </w:r>
    </w:p>
  </w:footnote>
  <w:footnote w:id="46">
    <w:p w:rsidRPr="000C4424" w:rsidR="00711CE9" w:rsidRDefault="00711CE9">
      <w:pPr>
        <w:pStyle w:val="FootnoteText"/>
        <w:rPr>
          <w:lang w:val="en-US"/>
        </w:rPr>
      </w:pPr>
      <w:r>
        <w:rPr>
          <w:rStyle w:val="FootnoteReference"/>
        </w:rPr>
        <w:footnoteRef/>
      </w:r>
      <w:r>
        <w:t xml:space="preserve"> See Section 8.3 </w:t>
      </w:r>
      <w:r w:rsidR="006719F5">
        <w:t>(</w:t>
      </w:r>
      <w:bookmarkStart w:name="_Ref113892513" w:id="17"/>
      <w:bookmarkStart w:name="_Ref48208467" w:id="18"/>
      <w:bookmarkStart w:name="_Toc120880718" w:id="19"/>
      <w:r w:rsidRPr="006400F9" w:rsidR="006719F5">
        <w:t>Standard of Care</w:t>
      </w:r>
      <w:bookmarkEnd w:id="17"/>
      <w:bookmarkEnd w:id="18"/>
      <w:bookmarkEnd w:id="19"/>
      <w:r w:rsidR="006719F5">
        <w:t xml:space="preserve">) </w:t>
      </w:r>
      <w:r>
        <w:t xml:space="preserve">of </w:t>
      </w:r>
      <w:r w:rsidR="00014812">
        <w:t>the CVCA LPA</w:t>
      </w:r>
      <w:r>
        <w:t>.</w:t>
      </w:r>
    </w:p>
  </w:footnote>
  <w:footnote w:id="47">
    <w:p w:rsidRPr="00C17488" w:rsidR="00711CE9" w:rsidRDefault="00711CE9">
      <w:pPr>
        <w:pStyle w:val="FootnoteText"/>
      </w:pPr>
      <w:r w:rsidRPr="00C17488">
        <w:rPr>
          <w:rStyle w:val="FootnoteReference"/>
        </w:rPr>
        <w:footnoteRef/>
      </w:r>
      <w:r w:rsidRPr="00C17488">
        <w:t xml:space="preserve"> See the footnote to Section 9.4 (Deal-flow) of </w:t>
      </w:r>
      <w:r w:rsidR="00014812">
        <w:t>the CVCA LPA</w:t>
      </w:r>
      <w:r w:rsidRPr="00C17488">
        <w:t xml:space="preserve"> for a discussion in respect of the application of this provision when dealing with multiple funds managed by the same manager and its affiliates. </w:t>
      </w:r>
    </w:p>
  </w:footnote>
  <w:footnote w:id="48">
    <w:p w:rsidRPr="00C17488" w:rsidR="00711CE9" w:rsidRDefault="00711CE9">
      <w:pPr>
        <w:pStyle w:val="FootnoteText"/>
      </w:pPr>
      <w:r w:rsidRPr="00C17488">
        <w:rPr>
          <w:rStyle w:val="FootnoteReference"/>
        </w:rPr>
        <w:footnoteRef/>
      </w:r>
      <w:r w:rsidRPr="00C17488">
        <w:t xml:space="preserve"> See the footnotes to Section 9.3 (Co-Investment Opportunities) of </w:t>
      </w:r>
      <w:r w:rsidR="00014812">
        <w:t>the CVCA LPA</w:t>
      </w:r>
      <w:r w:rsidRPr="00C17488">
        <w:t xml:space="preserve"> for a discussion in respect of </w:t>
      </w:r>
      <w:r w:rsidRPr="00C17488">
        <w:rPr>
          <w:rFonts w:cs="Times New Roman"/>
        </w:rPr>
        <w:t>co-investment opportunities offered by Fund Managers and compliance with the General Partner</w:t>
      </w:r>
      <w:r w:rsidR="00EC6F22">
        <w:rPr>
          <w:rFonts w:cs="Times New Roman"/>
        </w:rPr>
        <w:t>’</w:t>
      </w:r>
      <w:r w:rsidRPr="00C17488">
        <w:rPr>
          <w:rFonts w:cs="Times New Roman"/>
        </w:rPr>
        <w:t>s co-investment policy.</w:t>
      </w:r>
    </w:p>
  </w:footnote>
  <w:footnote w:id="49">
    <w:p w:rsidRPr="00C17488" w:rsidR="00711CE9" w:rsidRDefault="00711CE9">
      <w:pPr>
        <w:pStyle w:val="FootnoteText"/>
      </w:pPr>
      <w:r w:rsidRPr="00C17488">
        <w:rPr>
          <w:rStyle w:val="FootnoteReference"/>
        </w:rPr>
        <w:footnoteRef/>
      </w:r>
      <w:r w:rsidRPr="00C17488">
        <w:t xml:space="preserve"> See the footnotes to Section 9.1 (Successor Fund) of </w:t>
      </w:r>
      <w:r w:rsidR="00014812">
        <w:t>the CVCA LPA</w:t>
      </w:r>
      <w:r w:rsidRPr="00C17488">
        <w:t xml:space="preserve"> for a discussion in respect of </w:t>
      </w:r>
      <w:r w:rsidRPr="00C17488">
        <w:rPr>
          <w:rFonts w:cs="Times New Roman"/>
        </w:rPr>
        <w:t xml:space="preserve">the typical percentage range with respect to paragraph (2), marketing and closing, and the formation of a Successor Fund. </w:t>
      </w:r>
    </w:p>
  </w:footnote>
  <w:footnote w:id="50">
    <w:p w:rsidRPr="00C17488" w:rsidR="00711CE9" w:rsidRDefault="00711CE9">
      <w:pPr>
        <w:pStyle w:val="FootnoteText"/>
      </w:pPr>
      <w:r w:rsidRPr="00C17488">
        <w:rPr>
          <w:rStyle w:val="FootnoteReference"/>
        </w:rPr>
        <w:footnoteRef/>
      </w:r>
      <w:r w:rsidRPr="00C17488">
        <w:t xml:space="preserve"> See the footnote to Section 9.5 (Other Conflicts of Interest) of </w:t>
      </w:r>
      <w:r w:rsidR="00014812">
        <w:t>the CVCA LPA</w:t>
      </w:r>
      <w:r w:rsidRPr="00C17488">
        <w:t xml:space="preserve"> for a discussion in respect of easing the strict prohibition of conflict transactions in certain circumstances.</w:t>
      </w:r>
    </w:p>
  </w:footnote>
  <w:footnote w:id="51">
    <w:p w:rsidRPr="00F722E6" w:rsidR="00711CE9" w:rsidRDefault="00711CE9">
      <w:pPr>
        <w:pStyle w:val="FootnoteText"/>
        <w:rPr>
          <w:lang w:val="en-US"/>
        </w:rPr>
      </w:pPr>
      <w:r>
        <w:rPr>
          <w:rStyle w:val="FootnoteReference"/>
        </w:rPr>
        <w:footnoteRef/>
      </w:r>
      <w:r>
        <w:t xml:space="preserve"> </w:t>
      </w:r>
      <w:r>
        <w:rPr>
          <w:lang w:val="en-US"/>
        </w:rPr>
        <w:t xml:space="preserve">See </w:t>
      </w:r>
      <w:r w:rsidR="006370CC">
        <w:rPr>
          <w:lang w:val="en-US"/>
        </w:rPr>
        <w:t xml:space="preserve">the </w:t>
      </w:r>
      <w:r>
        <w:rPr>
          <w:lang w:val="en-US"/>
        </w:rPr>
        <w:t xml:space="preserve">definition of </w:t>
      </w:r>
      <w:r w:rsidR="00EC6F22">
        <w:rPr>
          <w:lang w:val="en-US"/>
        </w:rPr>
        <w:t>“</w:t>
      </w:r>
      <w:r>
        <w:rPr>
          <w:lang w:val="en-US"/>
        </w:rPr>
        <w:t>Interested Person</w:t>
      </w:r>
      <w:r w:rsidR="00EC6F22">
        <w:rPr>
          <w:lang w:val="en-US"/>
        </w:rPr>
        <w:t>”</w:t>
      </w:r>
      <w:r>
        <w:rPr>
          <w:lang w:val="en-US"/>
        </w:rPr>
        <w:t xml:space="preserve"> in Section 1.1 (Definitions) of </w:t>
      </w:r>
      <w:r w:rsidR="00014812">
        <w:rPr>
          <w:lang w:val="en-US"/>
        </w:rPr>
        <w:t>the CVCA LPA</w:t>
      </w:r>
      <w:r>
        <w:rPr>
          <w:lang w:val="en-US"/>
        </w:rPr>
        <w:t>.</w:t>
      </w:r>
    </w:p>
  </w:footnote>
  <w:footnote w:id="52">
    <w:p w:rsidRPr="00F722E6" w:rsidR="00711CE9" w:rsidRDefault="00711CE9">
      <w:pPr>
        <w:pStyle w:val="FootnoteText"/>
        <w:rPr>
          <w:lang w:val="en-US"/>
        </w:rPr>
      </w:pPr>
      <w:r>
        <w:rPr>
          <w:rStyle w:val="FootnoteReference"/>
        </w:rPr>
        <w:footnoteRef/>
      </w:r>
      <w:r>
        <w:t xml:space="preserve"> See</w:t>
      </w:r>
      <w:r w:rsidR="006370CC">
        <w:t xml:space="preserve"> the</w:t>
      </w:r>
      <w:r>
        <w:t xml:space="preserve"> definition of </w:t>
      </w:r>
      <w:r w:rsidR="00EC6F22">
        <w:t>“</w:t>
      </w:r>
      <w:r>
        <w:t>Organizational Expenses</w:t>
      </w:r>
      <w:r w:rsidR="00EC6F22">
        <w:t>”</w:t>
      </w:r>
      <w:r>
        <w:t xml:space="preserve"> in Section 1.1 (Definitions) of </w:t>
      </w:r>
      <w:r w:rsidR="00014812">
        <w:t>the CVCA LPA</w:t>
      </w:r>
      <w:r>
        <w:t>.</w:t>
      </w:r>
    </w:p>
  </w:footnote>
  <w:footnote w:id="53">
    <w:p w:rsidRPr="00173CD4" w:rsidR="00711CE9" w:rsidRDefault="00711CE9">
      <w:pPr>
        <w:pStyle w:val="FootnoteText"/>
      </w:pPr>
      <w:r>
        <w:rPr>
          <w:rStyle w:val="FootnoteReference"/>
        </w:rPr>
        <w:footnoteRef/>
      </w:r>
      <w:r>
        <w:t xml:space="preserve"> </w:t>
      </w:r>
      <w:r w:rsidRPr="00173CD4">
        <w:t xml:space="preserve">See the footnote to the </w:t>
      </w:r>
      <w:r w:rsidR="00F35501">
        <w:t xml:space="preserve">definition of </w:t>
      </w:r>
      <w:r w:rsidR="00EC6F22">
        <w:t>“</w:t>
      </w:r>
      <w:r w:rsidRPr="00173CD4">
        <w:t>Organizational Expenses</w:t>
      </w:r>
      <w:r w:rsidR="00EC6F22">
        <w:t>”</w:t>
      </w:r>
      <w:r w:rsidRPr="00173CD4">
        <w:t xml:space="preserve"> </w:t>
      </w:r>
      <w:r w:rsidR="00F35501">
        <w:t>in</w:t>
      </w:r>
      <w:r w:rsidRPr="00173CD4">
        <w:t xml:space="preserve"> Section 1.1 (Definitions) of </w:t>
      </w:r>
      <w:r w:rsidR="00014812">
        <w:t>the CVCA LPA</w:t>
      </w:r>
      <w:r w:rsidRPr="00173CD4">
        <w:t xml:space="preserve"> for a discussion in respect of </w:t>
      </w:r>
      <w:r>
        <w:t>the two bracketed portions of the sentence, which are subject to negotiation.</w:t>
      </w:r>
    </w:p>
  </w:footnote>
  <w:footnote w:id="54">
    <w:p w:rsidRPr="00C17488" w:rsidR="00711CE9" w:rsidRDefault="00711CE9">
      <w:pPr>
        <w:pStyle w:val="FootnoteText"/>
      </w:pPr>
      <w:r w:rsidRPr="00C17488">
        <w:rPr>
          <w:rStyle w:val="FootnoteReference"/>
        </w:rPr>
        <w:footnoteRef/>
      </w:r>
      <w:r w:rsidRPr="00C17488">
        <w:t xml:space="preserve"> See the footnote to the </w:t>
      </w:r>
      <w:r w:rsidR="00F35501">
        <w:t xml:space="preserve">definition of </w:t>
      </w:r>
      <w:r w:rsidR="00EC6F22">
        <w:t>“</w:t>
      </w:r>
      <w:r w:rsidRPr="00C17488">
        <w:t>Organizational Expenses Cap</w:t>
      </w:r>
      <w:r w:rsidR="00EC6F22">
        <w:t>”</w:t>
      </w:r>
      <w:r w:rsidRPr="00C17488">
        <w:t xml:space="preserve"> </w:t>
      </w:r>
      <w:r w:rsidR="00F35501">
        <w:t>in</w:t>
      </w:r>
      <w:r w:rsidRPr="00C17488">
        <w:t xml:space="preserve"> Section 1.1 (Definitions) of </w:t>
      </w:r>
      <w:r w:rsidR="00014812">
        <w:t>the CVCA LPA</w:t>
      </w:r>
      <w:r w:rsidRPr="00C17488">
        <w:t xml:space="preserve"> for a discussion in respect of the determination of these amounts.</w:t>
      </w:r>
    </w:p>
  </w:footnote>
  <w:footnote w:id="55">
    <w:p w:rsidRPr="00C17488" w:rsidR="00711CE9" w:rsidRDefault="00711CE9">
      <w:pPr>
        <w:pStyle w:val="FootnoteText"/>
      </w:pPr>
      <w:r w:rsidRPr="00C17488">
        <w:rPr>
          <w:rStyle w:val="FootnoteReference"/>
        </w:rPr>
        <w:footnoteRef/>
      </w:r>
      <w:r w:rsidRPr="00C17488">
        <w:t xml:space="preserve"> See </w:t>
      </w:r>
      <w:r>
        <w:t xml:space="preserve">Section 2.4 </w:t>
      </w:r>
      <w:r w:rsidRPr="00C17488">
        <w:t xml:space="preserve">(Fund Expenses) of </w:t>
      </w:r>
      <w:r w:rsidR="00014812">
        <w:t>the CVCA LPA</w:t>
      </w:r>
      <w:r w:rsidRPr="00C17488">
        <w:t xml:space="preserve"> </w:t>
      </w:r>
      <w:r>
        <w:t xml:space="preserve">and related footnotes </w:t>
      </w:r>
      <w:r w:rsidRPr="00C17488">
        <w:t>for a discussion in respect of the possibility to adjust and negotiate the extent of the definition of Fund Expenses.</w:t>
      </w:r>
    </w:p>
  </w:footnote>
  <w:footnote w:id="56">
    <w:p w:rsidRPr="00C17488" w:rsidR="00711CE9" w:rsidRDefault="00711CE9">
      <w:pPr>
        <w:pStyle w:val="FootnoteText"/>
      </w:pPr>
      <w:r w:rsidRPr="00C17488">
        <w:rPr>
          <w:rStyle w:val="FootnoteReference"/>
        </w:rPr>
        <w:footnoteRef/>
      </w:r>
      <w:r w:rsidRPr="00C17488">
        <w:t xml:space="preserve"> See the footnotes to Section 2.5 (General Partner Expenses) of </w:t>
      </w:r>
      <w:r w:rsidR="00014812">
        <w:t>the CVCA LPA</w:t>
      </w:r>
      <w:r w:rsidRPr="00C17488">
        <w:t xml:space="preserve"> for a discussion in respect of additional costs or expenses that may be included to this list as well as other considerations for the establishment of General Partner Expenses.</w:t>
      </w:r>
    </w:p>
  </w:footnote>
  <w:footnote w:id="57">
    <w:p w:rsidRPr="0086404D" w:rsidR="00711CE9" w:rsidRDefault="00711CE9">
      <w:pPr>
        <w:pStyle w:val="FootnoteText"/>
        <w:rPr>
          <w:lang w:val="en-US"/>
        </w:rPr>
      </w:pPr>
      <w:r>
        <w:rPr>
          <w:rStyle w:val="FootnoteReference"/>
        </w:rPr>
        <w:footnoteRef/>
      </w:r>
      <w:r>
        <w:t xml:space="preserve"> See </w:t>
      </w:r>
      <w:r w:rsidRPr="006719F5">
        <w:t>Article 17</w:t>
      </w:r>
      <w:r>
        <w:t xml:space="preserve"> </w:t>
      </w:r>
      <w:r w:rsidR="006719F5">
        <w:t>(</w:t>
      </w:r>
      <w:bookmarkStart w:name="_Ref40802840" w:id="20"/>
      <w:bookmarkStart w:name="_Toc120880781" w:id="21"/>
      <w:r w:rsidRPr="006400F9" w:rsidR="006719F5">
        <w:t>Transfers; Substitute Partners</w:t>
      </w:r>
      <w:bookmarkEnd w:id="20"/>
      <w:bookmarkEnd w:id="21"/>
      <w:r w:rsidR="006719F5">
        <w:t xml:space="preserve">) </w:t>
      </w:r>
      <w:r>
        <w:t xml:space="preserve">of </w:t>
      </w:r>
      <w:r w:rsidR="00014812">
        <w:t>the CVCA LPA</w:t>
      </w:r>
      <w:r>
        <w:t>.</w:t>
      </w:r>
    </w:p>
  </w:footnote>
  <w:footnote w:id="58">
    <w:p w:rsidRPr="00C17488" w:rsidR="00711CE9" w:rsidP="0086404D" w:rsidRDefault="00711CE9">
      <w:pPr>
        <w:pStyle w:val="FootnoteText"/>
      </w:pPr>
      <w:r w:rsidRPr="00C17488">
        <w:rPr>
          <w:rStyle w:val="FootnoteReference"/>
        </w:rPr>
        <w:footnoteRef/>
      </w:r>
      <w:r w:rsidRPr="00C17488">
        <w:t xml:space="preserve"> See the footnote to Section 17.3 (Prohibited Transfers) of </w:t>
      </w:r>
      <w:r w:rsidR="00014812">
        <w:t>the CVCA LPA</w:t>
      </w:r>
      <w:r w:rsidRPr="00C17488">
        <w:t xml:space="preserve"> for a discussion in respect of the typical approval percentage range.</w:t>
      </w:r>
    </w:p>
  </w:footnote>
  <w:footnote w:id="59">
    <w:p w:rsidRPr="0086404D" w:rsidR="00711CE9" w:rsidRDefault="00711CE9">
      <w:pPr>
        <w:pStyle w:val="FootnoteText"/>
        <w:rPr>
          <w:lang w:val="en-US"/>
        </w:rPr>
      </w:pPr>
      <w:r>
        <w:rPr>
          <w:rStyle w:val="FootnoteReference"/>
        </w:rPr>
        <w:footnoteRef/>
      </w:r>
      <w:r>
        <w:t xml:space="preserve"> </w:t>
      </w:r>
      <w:r>
        <w:rPr>
          <w:lang w:val="en-US"/>
        </w:rPr>
        <w:t xml:space="preserve">See Section 6.7 </w:t>
      </w:r>
      <w:r w:rsidR="006719F5">
        <w:rPr>
          <w:lang w:val="en-US"/>
        </w:rPr>
        <w:t>(</w:t>
      </w:r>
      <w:bookmarkStart w:name="_Ref40802008" w:id="22"/>
      <w:bookmarkStart w:name="_Toc120880708" w:id="23"/>
      <w:r w:rsidRPr="006400F9" w:rsidR="006719F5">
        <w:t>Excused Limited Partners</w:t>
      </w:r>
      <w:bookmarkEnd w:id="22"/>
      <w:bookmarkEnd w:id="23"/>
      <w:r w:rsidR="006719F5">
        <w:t xml:space="preserve">) </w:t>
      </w:r>
      <w:r>
        <w:rPr>
          <w:lang w:val="en-US"/>
        </w:rPr>
        <w:t xml:space="preserve">of </w:t>
      </w:r>
      <w:r w:rsidR="00014812">
        <w:rPr>
          <w:lang w:val="en-US"/>
        </w:rPr>
        <w:t>the CVCA LPA</w:t>
      </w:r>
      <w:r>
        <w:rPr>
          <w:lang w:val="en-US"/>
        </w:rPr>
        <w:t>.</w:t>
      </w:r>
    </w:p>
  </w:footnote>
  <w:footnote w:id="60">
    <w:p w:rsidRPr="00C17488" w:rsidR="00711CE9" w:rsidRDefault="00711CE9">
      <w:pPr>
        <w:pStyle w:val="FootnoteText"/>
      </w:pPr>
      <w:r w:rsidRPr="00C17488">
        <w:rPr>
          <w:rStyle w:val="FootnoteReference"/>
        </w:rPr>
        <w:footnoteRef/>
      </w:r>
      <w:r w:rsidRPr="00C17488">
        <w:t xml:space="preserve"> See the footnote to Section 6.7 (Excused Limited Partners) of </w:t>
      </w:r>
      <w:r w:rsidR="00014812">
        <w:t>the CVCA LPA</w:t>
      </w:r>
      <w:r w:rsidRPr="00C17488">
        <w:t xml:space="preserve"> for a discussion in respect of the potential restriction on additional capital calls to fund shortfalls created by excuses.</w:t>
      </w:r>
    </w:p>
  </w:footnote>
  <w:footnote w:id="61">
    <w:p w:rsidRPr="00C17488" w:rsidR="00711CE9" w:rsidP="00EF62AE" w:rsidRDefault="00711CE9">
      <w:pPr>
        <w:pStyle w:val="FootnoteText"/>
      </w:pPr>
      <w:r w:rsidRPr="00C17488">
        <w:rPr>
          <w:rStyle w:val="FootnoteReference"/>
        </w:rPr>
        <w:footnoteRef/>
      </w:r>
      <w:r w:rsidRPr="00C17488">
        <w:t xml:space="preserve"> See the footnotes to Section 6.6 (Defaulting Partners) of </w:t>
      </w:r>
      <w:r w:rsidR="00014812">
        <w:t>the CVCA LPA</w:t>
      </w:r>
      <w:r w:rsidRPr="00C17488">
        <w:t xml:space="preserve"> for a discussion in respect of the range of remedies in case of default as well as potential restriction on additional capital calls to fund shortfalls created by defaults.</w:t>
      </w:r>
    </w:p>
  </w:footnote>
  <w:footnote w:id="62">
    <w:p w:rsidRPr="001F1E93" w:rsidR="00711CE9" w:rsidRDefault="00711CE9">
      <w:pPr>
        <w:pStyle w:val="FootnoteText"/>
        <w:rPr>
          <w:lang w:val="en-US"/>
        </w:rPr>
      </w:pPr>
      <w:r>
        <w:rPr>
          <w:rStyle w:val="FootnoteReference"/>
        </w:rPr>
        <w:footnoteRef/>
      </w:r>
      <w:r>
        <w:t xml:space="preserve"> </w:t>
      </w:r>
      <w:r>
        <w:rPr>
          <w:lang w:val="en-US"/>
        </w:rPr>
        <w:t xml:space="preserve">See Article 13 </w:t>
      </w:r>
      <w:r w:rsidR="006719F5">
        <w:rPr>
          <w:lang w:val="en-US"/>
        </w:rPr>
        <w:t>(</w:t>
      </w:r>
      <w:bookmarkStart w:name="_Ref48207468" w:id="24"/>
      <w:bookmarkStart w:name="_Toc120880747" w:id="25"/>
      <w:r w:rsidRPr="006400F9" w:rsidR="006719F5">
        <w:t xml:space="preserve">LP Advisory </w:t>
      </w:r>
      <w:r w:rsidR="006719F5">
        <w:t>Committee</w:t>
      </w:r>
      <w:bookmarkEnd w:id="24"/>
      <w:bookmarkEnd w:id="25"/>
      <w:r w:rsidR="006719F5">
        <w:t xml:space="preserve">) </w:t>
      </w:r>
      <w:r>
        <w:rPr>
          <w:lang w:val="en-US"/>
        </w:rPr>
        <w:t xml:space="preserve">of </w:t>
      </w:r>
      <w:r w:rsidR="00014812">
        <w:rPr>
          <w:lang w:val="en-US"/>
        </w:rPr>
        <w:t>the CVCA LPA</w:t>
      </w:r>
      <w:r>
        <w:rPr>
          <w:lang w:val="en-US"/>
        </w:rPr>
        <w:t xml:space="preserve"> and the related footnotes.</w:t>
      </w:r>
    </w:p>
  </w:footnote>
  <w:footnote w:id="63">
    <w:p w:rsidRPr="001F1E93" w:rsidR="00711CE9" w:rsidRDefault="00711CE9">
      <w:pPr>
        <w:pStyle w:val="FootnoteText"/>
        <w:rPr>
          <w:lang w:val="en-US"/>
        </w:rPr>
      </w:pPr>
      <w:r>
        <w:rPr>
          <w:rStyle w:val="FootnoteReference"/>
        </w:rPr>
        <w:footnoteRef/>
      </w:r>
      <w:r>
        <w:t xml:space="preserve"> </w:t>
      </w:r>
      <w:r>
        <w:rPr>
          <w:lang w:val="en-US"/>
        </w:rPr>
        <w:t>See Article 12</w:t>
      </w:r>
      <w:r w:rsidR="006719F5">
        <w:rPr>
          <w:lang w:val="en-US"/>
        </w:rPr>
        <w:t xml:space="preserve"> (</w:t>
      </w:r>
      <w:bookmarkStart w:name="_Ref40807277" w:id="26"/>
      <w:bookmarkStart w:name="_Toc120880738" w:id="27"/>
      <w:r w:rsidRPr="006400F9" w:rsidR="006719F5">
        <w:t>General Meeting of Partners</w:t>
      </w:r>
      <w:bookmarkEnd w:id="26"/>
      <w:bookmarkEnd w:id="27"/>
      <w:r w:rsidR="006719F5">
        <w:t xml:space="preserve">). </w:t>
      </w:r>
    </w:p>
  </w:footnote>
  <w:footnote w:id="64">
    <w:p w:rsidRPr="00C17488" w:rsidR="00711CE9" w:rsidRDefault="00711CE9">
      <w:pPr>
        <w:pStyle w:val="FootnoteText"/>
      </w:pPr>
      <w:r w:rsidRPr="00C17488">
        <w:rPr>
          <w:rStyle w:val="FootnoteReference"/>
        </w:rPr>
        <w:footnoteRef/>
      </w:r>
      <w:r w:rsidRPr="00C17488">
        <w:t xml:space="preserve"> See the footnote to Section 12.1 (General Meeting) of </w:t>
      </w:r>
      <w:r w:rsidR="00014812">
        <w:t>the CVCA LPA</w:t>
      </w:r>
      <w:r w:rsidRPr="00C17488">
        <w:t xml:space="preserve"> for a discussion in respect of the typical range of such percentage.</w:t>
      </w:r>
    </w:p>
  </w:footnote>
  <w:footnote w:id="65">
    <w:p w:rsidRPr="001F1E93" w:rsidR="00711CE9" w:rsidRDefault="00711CE9">
      <w:pPr>
        <w:pStyle w:val="FootnoteText"/>
        <w:rPr>
          <w:lang w:val="en-US"/>
        </w:rPr>
      </w:pPr>
      <w:r>
        <w:rPr>
          <w:rStyle w:val="FootnoteReference"/>
        </w:rPr>
        <w:footnoteRef/>
      </w:r>
      <w:r>
        <w:t xml:space="preserve"> See Section 20.1 </w:t>
      </w:r>
      <w:r w:rsidRPr="006719F5" w:rsidR="006719F5">
        <w:t xml:space="preserve">(Confidentiality) </w:t>
      </w:r>
      <w:r>
        <w:t xml:space="preserve">of </w:t>
      </w:r>
      <w:r w:rsidR="00014812">
        <w:t>the CVCA LPA</w:t>
      </w:r>
      <w:r>
        <w:t xml:space="preserve"> and the related footnotes.</w:t>
      </w:r>
    </w:p>
  </w:footnote>
  <w:footnote w:id="66">
    <w:p w:rsidRPr="001F1E93" w:rsidR="00711CE9" w:rsidRDefault="00711CE9">
      <w:pPr>
        <w:pStyle w:val="FootnoteText"/>
        <w:rPr>
          <w:lang w:val="en-US"/>
        </w:rPr>
      </w:pPr>
      <w:r>
        <w:rPr>
          <w:rStyle w:val="FootnoteReference"/>
        </w:rPr>
        <w:footnoteRef/>
      </w:r>
      <w:r>
        <w:t xml:space="preserve"> See </w:t>
      </w:r>
      <w:r w:rsidR="006370CC">
        <w:t xml:space="preserve">the </w:t>
      </w:r>
      <w:r>
        <w:t xml:space="preserve">definitions of </w:t>
      </w:r>
      <w:r w:rsidR="00EC6F22">
        <w:t>“</w:t>
      </w:r>
      <w:r>
        <w:t>Indemnification Exclusion Event</w:t>
      </w:r>
      <w:r w:rsidR="00EC6F22">
        <w:t>”</w:t>
      </w:r>
      <w:r>
        <w:t xml:space="preserve"> and </w:t>
      </w:r>
      <w:r w:rsidR="00EC6F22">
        <w:t>“</w:t>
      </w:r>
      <w:r>
        <w:t>Cause Event</w:t>
      </w:r>
      <w:r w:rsidR="00EC6F22">
        <w:t>”</w:t>
      </w:r>
      <w:r>
        <w:t xml:space="preserve"> in Section 1.1 (Definitions) of </w:t>
      </w:r>
      <w:r w:rsidR="00014812">
        <w:t>the CVCA LPA</w:t>
      </w:r>
      <w:r>
        <w:t>. Also see Section 16.2</w:t>
      </w:r>
      <w:r w:rsidR="006719F5">
        <w:t xml:space="preserve"> (</w:t>
      </w:r>
      <w:bookmarkStart w:name="_Ref40803551" w:id="28"/>
      <w:bookmarkStart w:name="_Toc120880778" w:id="29"/>
      <w:r w:rsidRPr="006400F9" w:rsidR="006719F5">
        <w:t>Indemnification of Covered Persons</w:t>
      </w:r>
      <w:bookmarkEnd w:id="28"/>
      <w:bookmarkEnd w:id="29"/>
      <w:r w:rsidR="006719F5">
        <w:t>)</w:t>
      </w:r>
      <w:r>
        <w:t xml:space="preserve"> of </w:t>
      </w:r>
      <w:r w:rsidR="00014812">
        <w:t>the CVCA LPA</w:t>
      </w:r>
      <w:r>
        <w:t>.</w:t>
      </w:r>
    </w:p>
  </w:footnote>
  <w:footnote w:id="67">
    <w:p w:rsidRPr="00C17488" w:rsidR="00711CE9" w:rsidRDefault="00711CE9">
      <w:pPr>
        <w:pStyle w:val="FootnoteText"/>
      </w:pPr>
      <w:r w:rsidRPr="00C17488">
        <w:rPr>
          <w:rStyle w:val="FootnoteReference"/>
        </w:rPr>
        <w:footnoteRef/>
      </w:r>
      <w:r w:rsidRPr="00C17488">
        <w:t xml:space="preserve"> See the footnote to the </w:t>
      </w:r>
      <w:r w:rsidR="00F35501">
        <w:t xml:space="preserve">definition of </w:t>
      </w:r>
      <w:r w:rsidR="00EC6F22">
        <w:t>“</w:t>
      </w:r>
      <w:r w:rsidRPr="00C17488">
        <w:t>Cause Event</w:t>
      </w:r>
      <w:r w:rsidR="00EC6F22">
        <w:t>”</w:t>
      </w:r>
      <w:r w:rsidRPr="00C17488">
        <w:t xml:space="preserve"> in Section 1.1 (Definitions) of </w:t>
      </w:r>
      <w:r w:rsidR="00014812">
        <w:t>the CVCA LPA</w:t>
      </w:r>
      <w:r w:rsidRPr="00C17488">
        <w:t xml:space="preserve"> for a discussion in respect of the gross negligence concept and variability of indemnification triggers.</w:t>
      </w:r>
    </w:p>
  </w:footnote>
  <w:footnote w:id="68">
    <w:p w:rsidRPr="00711CE9" w:rsidR="00711CE9" w:rsidRDefault="00711CE9">
      <w:pPr>
        <w:pStyle w:val="FootnoteText"/>
        <w:rPr>
          <w:lang w:val="en-US"/>
        </w:rPr>
      </w:pPr>
      <w:r>
        <w:rPr>
          <w:rStyle w:val="FootnoteReference"/>
        </w:rPr>
        <w:footnoteRef/>
      </w:r>
      <w:r>
        <w:t xml:space="preserve"> </w:t>
      </w:r>
      <w:r>
        <w:rPr>
          <w:lang w:val="en-US"/>
        </w:rPr>
        <w:t xml:space="preserve">See </w:t>
      </w:r>
      <w:r w:rsidR="006370CC">
        <w:rPr>
          <w:lang w:val="en-US"/>
        </w:rPr>
        <w:t xml:space="preserve">the </w:t>
      </w:r>
      <w:r>
        <w:rPr>
          <w:lang w:val="en-US"/>
        </w:rPr>
        <w:t xml:space="preserve">definition of </w:t>
      </w:r>
      <w:r w:rsidR="00EC6F22">
        <w:t>“</w:t>
      </w:r>
      <w:r w:rsidR="00014812">
        <w:rPr>
          <w:lang w:val="en-US"/>
        </w:rPr>
        <w:t>CVCA LPA</w:t>
      </w:r>
      <w:r>
        <w:rPr>
          <w:lang w:val="en-US"/>
        </w:rPr>
        <w:t>C Covered Person</w:t>
      </w:r>
      <w:r w:rsidR="00EC6F22">
        <w:t>”</w:t>
      </w:r>
      <w:r w:rsidRPr="00C17488" w:rsidR="00D7626D">
        <w:t xml:space="preserve"> </w:t>
      </w:r>
      <w:r>
        <w:rPr>
          <w:lang w:val="en-US"/>
        </w:rPr>
        <w:t xml:space="preserve">in Section 1.1 (Definitions) of </w:t>
      </w:r>
      <w:r w:rsidR="00014812">
        <w:rPr>
          <w:lang w:val="en-US"/>
        </w:rPr>
        <w:t>the CVCA LPA</w:t>
      </w:r>
      <w:r>
        <w:rPr>
          <w:lang w:val="en-US"/>
        </w:rPr>
        <w:t xml:space="preserve"> and Section 16.2(b)</w:t>
      </w:r>
      <w:r w:rsidR="00B82D5D">
        <w:rPr>
          <w:lang w:val="en-US"/>
        </w:rPr>
        <w:t xml:space="preserve"> (</w:t>
      </w:r>
      <w:r w:rsidRPr="006400F9" w:rsidR="00B82D5D">
        <w:t>Ind</w:t>
      </w:r>
      <w:r w:rsidR="00B82D5D">
        <w:t>emnification of Covered Persons)</w:t>
      </w:r>
      <w:r>
        <w:rPr>
          <w:lang w:val="en-US"/>
        </w:rPr>
        <w:t xml:space="preserve"> of </w:t>
      </w:r>
      <w:r w:rsidR="00014812">
        <w:rPr>
          <w:lang w:val="en-US"/>
        </w:rPr>
        <w:t>the CVCA LPA</w:t>
      </w:r>
      <w:r>
        <w:rPr>
          <w:lang w:val="en-US"/>
        </w:rPr>
        <w:t>.</w:t>
      </w:r>
    </w:p>
  </w:footnote>
  <w:footnote w:id="69">
    <w:p w:rsidRPr="00711CE9" w:rsidR="00711CE9" w:rsidRDefault="00711CE9">
      <w:pPr>
        <w:pStyle w:val="FootnoteText"/>
        <w:rPr>
          <w:lang w:val="en-US"/>
        </w:rPr>
      </w:pPr>
      <w:r>
        <w:rPr>
          <w:rStyle w:val="FootnoteReference"/>
        </w:rPr>
        <w:footnoteRef/>
      </w:r>
      <w:r>
        <w:t xml:space="preserve"> See Article 15 </w:t>
      </w:r>
      <w:r w:rsidR="00D7626D">
        <w:t>(</w:t>
      </w:r>
      <w:bookmarkStart w:name="_Ref40807501" w:id="30"/>
      <w:bookmarkStart w:name="_Toc120880772" w:id="31"/>
      <w:r w:rsidRPr="006400F9" w:rsidR="00D7626D">
        <w:t xml:space="preserve">Books and Records; Reports to </w:t>
      </w:r>
      <w:r w:rsidR="00D7626D">
        <w:t>Limited Partners</w:t>
      </w:r>
      <w:bookmarkEnd w:id="30"/>
      <w:bookmarkEnd w:id="31"/>
      <w:r w:rsidR="00D7626D">
        <w:t xml:space="preserve">) </w:t>
      </w:r>
      <w:r>
        <w:t xml:space="preserve">of </w:t>
      </w:r>
      <w:r w:rsidR="00014812">
        <w:t>the CVCA LPA</w:t>
      </w:r>
      <w:r>
        <w:t xml:space="preserve"> and the related footnotes.</w:t>
      </w:r>
    </w:p>
  </w:footnote>
  <w:footnote w:id="70">
    <w:p w:rsidRPr="00C17488" w:rsidR="00711CE9" w:rsidRDefault="00711CE9">
      <w:pPr>
        <w:pStyle w:val="FootnoteText"/>
      </w:pPr>
      <w:r w:rsidRPr="00C17488">
        <w:rPr>
          <w:rStyle w:val="FootnoteReference"/>
        </w:rPr>
        <w:footnoteRef/>
      </w:r>
      <w:r w:rsidRPr="00C17488">
        <w:t xml:space="preserve"> Replace with IFRS, as applicable.</w:t>
      </w:r>
    </w:p>
  </w:footnote>
  <w:footnote w:id="71">
    <w:p w:rsidRPr="00C17488" w:rsidR="00711CE9" w:rsidP="00E726F6" w:rsidRDefault="00711CE9">
      <w:pPr>
        <w:pStyle w:val="FootnoteText"/>
      </w:pPr>
      <w:r w:rsidRPr="00C17488">
        <w:rPr>
          <w:rStyle w:val="FootnoteReference"/>
        </w:rPr>
        <w:footnoteRef/>
      </w:r>
      <w:r w:rsidRPr="00C17488">
        <w:t xml:space="preserve"> Replace with IFRS, as applicable.</w:t>
      </w:r>
    </w:p>
  </w:footnote>
  <w:footnote w:id="72">
    <w:p w:rsidRPr="00C17488" w:rsidR="00711CE9" w:rsidRDefault="00711CE9">
      <w:pPr>
        <w:pStyle w:val="FootnoteText"/>
      </w:pPr>
      <w:r w:rsidRPr="00C17488">
        <w:rPr>
          <w:rStyle w:val="FootnoteReference"/>
        </w:rPr>
        <w:footnoteRef/>
      </w:r>
      <w:r w:rsidRPr="00C17488">
        <w:t xml:space="preserve"> See the footnote to Section 20.5(b) (Entire Agreement) of </w:t>
      </w:r>
      <w:r w:rsidR="00014812">
        <w:t>the CVCA LPA</w:t>
      </w:r>
      <w:r w:rsidRPr="00C17488">
        <w:t xml:space="preserve"> for a discussion in respect of typical </w:t>
      </w:r>
      <w:r w:rsidR="00EC6F22">
        <w:t>“</w:t>
      </w:r>
      <w:r w:rsidRPr="00C17488">
        <w:t>most favoured nations</w:t>
      </w:r>
      <w:r w:rsidR="00EC6F22">
        <w:t>”</w:t>
      </w:r>
      <w:r w:rsidRPr="00C17488">
        <w:t xml:space="preserve"> provisions.</w:t>
      </w:r>
    </w:p>
  </w:footnote>
  <w:footnote w:id="73">
    <w:p w:rsidRPr="0027510E" w:rsidR="0027510E" w:rsidRDefault="0027510E">
      <w:pPr>
        <w:pStyle w:val="FootnoteText"/>
        <w:rPr>
          <w:lang w:val="en-US"/>
        </w:rPr>
      </w:pPr>
      <w:r>
        <w:rPr>
          <w:rStyle w:val="FootnoteReference"/>
        </w:rPr>
        <w:footnoteRef/>
      </w:r>
      <w:r>
        <w:t xml:space="preserve"> </w:t>
      </w:r>
      <w:r w:rsidR="00C727E1">
        <w:t>See Sections 19.1</w:t>
      </w:r>
      <w:r w:rsidR="00B82D5D">
        <w:t xml:space="preserve"> (</w:t>
      </w:r>
      <w:bookmarkStart w:name="_Ref40806492" w:id="32"/>
      <w:bookmarkStart w:name="_Toc120880794" w:id="33"/>
      <w:r w:rsidRPr="00226F06" w:rsidR="00B82D5D">
        <w:t>Amendments</w:t>
      </w:r>
      <w:bookmarkEnd w:id="32"/>
      <w:bookmarkEnd w:id="33"/>
      <w:r w:rsidR="00B82D5D">
        <w:t>)</w:t>
      </w:r>
      <w:r w:rsidR="00C727E1">
        <w:t>, 19.2</w:t>
      </w:r>
      <w:r w:rsidR="00B82D5D">
        <w:t xml:space="preserve"> (</w:t>
      </w:r>
      <w:r w:rsidRPr="006400F9" w:rsidR="00B82D5D">
        <w:t>Certain Amendments Not Requiring Consent of Limited Partners</w:t>
      </w:r>
      <w:r w:rsidR="00B82D5D">
        <w:t>),</w:t>
      </w:r>
      <w:r w:rsidR="00C727E1">
        <w:t xml:space="preserve"> 19.3</w:t>
      </w:r>
      <w:r w:rsidR="00B82D5D">
        <w:t xml:space="preserve"> (</w:t>
      </w:r>
      <w:bookmarkStart w:name="_Ref40806459" w:id="34"/>
      <w:bookmarkStart w:name="_Toc120880796" w:id="35"/>
      <w:r w:rsidRPr="006400F9" w:rsidR="00B82D5D">
        <w:t>Certain Amendments Requiring Specified Consent</w:t>
      </w:r>
      <w:bookmarkEnd w:id="34"/>
      <w:bookmarkEnd w:id="35"/>
      <w:r w:rsidR="00B82D5D">
        <w:t>)</w:t>
      </w:r>
      <w:r w:rsidR="00C727E1">
        <w:t xml:space="preserve"> and 19.4</w:t>
      </w:r>
      <w:r w:rsidR="00B82D5D">
        <w:t xml:space="preserve"> (</w:t>
      </w:r>
      <w:bookmarkStart w:name="_Ref40806476" w:id="36"/>
      <w:bookmarkStart w:name="_Toc120880797" w:id="37"/>
      <w:r w:rsidRPr="006400F9" w:rsidR="00B82D5D">
        <w:t>Notices of Amendments</w:t>
      </w:r>
      <w:bookmarkEnd w:id="36"/>
      <w:bookmarkEnd w:id="37"/>
      <w:r w:rsidR="00B82D5D">
        <w:t>)</w:t>
      </w:r>
      <w:r w:rsidR="00C727E1">
        <w:t xml:space="preserve"> of </w:t>
      </w:r>
      <w:r w:rsidR="00014812">
        <w:t>the CVCA LPA</w:t>
      </w:r>
      <w:r w:rsidR="00C727E1">
        <w:t>.</w:t>
      </w:r>
    </w:p>
  </w:footnote>
  <w:footnote w:id="74">
    <w:p w:rsidRPr="00BB4DB2" w:rsidR="00711CE9" w:rsidRDefault="00711CE9">
      <w:pPr>
        <w:pStyle w:val="FootnoteText"/>
        <w:rPr>
          <w:lang w:val="en-US"/>
        </w:rPr>
      </w:pPr>
      <w:r w:rsidRPr="00C17488">
        <w:rPr>
          <w:rStyle w:val="FootnoteReference"/>
        </w:rPr>
        <w:footnoteRef/>
      </w:r>
      <w:r w:rsidRPr="00C17488">
        <w:t xml:space="preserve"> </w:t>
      </w:r>
      <w:r w:rsidRPr="00C17488">
        <w:rPr>
          <w:lang w:val="en-US"/>
        </w:rPr>
        <w:t xml:space="preserve">See the footnote to Section 19.1 (Amendments) of </w:t>
      </w:r>
      <w:r w:rsidR="00014812">
        <w:rPr>
          <w:lang w:val="en-US"/>
        </w:rPr>
        <w:t>the CVCA LPA</w:t>
      </w:r>
      <w:r w:rsidRPr="00C17488">
        <w:rPr>
          <w:lang w:val="en-US"/>
        </w:rPr>
        <w:t xml:space="preserve"> for a discussion in respect of the typical threshold in this respect.</w:t>
      </w:r>
    </w:p>
  </w:footnote>
  <w:footnote w:id="75">
    <w:p w:rsidRPr="0027510E" w:rsidR="0027510E" w:rsidRDefault="0027510E">
      <w:pPr>
        <w:pStyle w:val="FootnoteText"/>
        <w:rPr>
          <w:lang w:val="en-US"/>
        </w:rPr>
      </w:pPr>
      <w:r>
        <w:rPr>
          <w:rStyle w:val="FootnoteReference"/>
        </w:rPr>
        <w:footnoteRef/>
      </w:r>
      <w:r>
        <w:t xml:space="preserve"> </w:t>
      </w:r>
      <w:r w:rsidR="00C727E1">
        <w:t xml:space="preserve">See Sections 21.2 </w:t>
      </w:r>
      <w:r w:rsidR="009B56D0">
        <w:t>(</w:t>
      </w:r>
      <w:bookmarkStart w:name="_Ref113892728" w:id="38"/>
      <w:bookmarkStart w:name="_Toc120880817" w:id="39"/>
      <w:r w:rsidRPr="006400F9" w:rsidR="009B56D0">
        <w:t>Governing La</w:t>
      </w:r>
      <w:bookmarkEnd w:id="38"/>
      <w:bookmarkEnd w:id="39"/>
      <w:r w:rsidR="009B56D0">
        <w:t xml:space="preserve">w) </w:t>
      </w:r>
      <w:r w:rsidR="00C727E1">
        <w:t>and 2</w:t>
      </w:r>
      <w:r w:rsidR="009B56D0">
        <w:t>1</w:t>
      </w:r>
      <w:r w:rsidR="00C727E1">
        <w:t>.</w:t>
      </w:r>
      <w:r w:rsidR="009B56D0">
        <w:t>3 (Jurisdiction)</w:t>
      </w:r>
      <w:r w:rsidR="00C727E1">
        <w:t xml:space="preserve"> of </w:t>
      </w:r>
      <w:r w:rsidR="00014812">
        <w:t>the CVCA LPA</w:t>
      </w:r>
      <w:r w:rsidR="00C727E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41EEB" w:rsidR="00711CE9" w:rsidP="00741EEB" w:rsidRDefault="00711CE9">
    <w:pPr>
      <w:pStyle w:val="Header"/>
      <w:jc w:val="right"/>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AA49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9639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7AA4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B8D3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16BA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D62C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ED2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9AE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66D2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3E5C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ADC4A38E"/>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948" w:firstLine="0"/>
      </w:pPr>
      <w:rPr>
        <w:rFonts w:hint="default"/>
      </w:rPr>
    </w:lvl>
    <w:lvl w:ilvl="7">
      <w:start w:val="1"/>
      <w:numFmt w:val="none"/>
      <w:pStyle w:val="BodyText8"/>
      <w:suff w:val="nothing"/>
      <w:lvlText w:val=""/>
      <w:lvlJc w:val="left"/>
      <w:pPr>
        <w:ind w:left="2948" w:firstLine="0"/>
      </w:pPr>
      <w:rPr>
        <w:rFonts w:hint="default"/>
      </w:rPr>
    </w:lvl>
    <w:lvl w:ilvl="8">
      <w:start w:val="1"/>
      <w:numFmt w:val="none"/>
      <w:pStyle w:val="BodyText9"/>
      <w:suff w:val="nothing"/>
      <w:lvlText w:val=""/>
      <w:lvlJc w:val="left"/>
      <w:pPr>
        <w:ind w:left="2948" w:firstLine="0"/>
      </w:pPr>
      <w:rPr>
        <w:rFonts w:hint="default"/>
      </w:rPr>
    </w:lvl>
  </w:abstractNum>
  <w:abstractNum w:abstractNumId="11" w15:restartNumberingAfterBreak="0">
    <w:nsid w:val="01B22BFC"/>
    <w:multiLevelType w:val="multilevel"/>
    <w:tmpl w:val="C436C09C"/>
    <w:styleLink w:val="NumbLstTables"/>
    <w:lvl w:ilvl="0">
      <w:start w:val="1"/>
      <w:numFmt w:val="decimal"/>
      <w:pStyle w:val="TableTitle"/>
      <w:suff w:val="space"/>
      <w:lvlText w:val="Table %1."/>
      <w:lvlJc w:val="left"/>
      <w:pPr>
        <w:ind w:left="0" w:firstLine="0"/>
      </w:pPr>
      <w:rPr>
        <w:rFonts w:hint="default"/>
      </w:rPr>
    </w:lvl>
    <w:lvl w:ilvl="1">
      <w:start w:val="1"/>
      <w:numFmt w:val="decimal"/>
      <w:pStyle w:val="TableNumber1"/>
      <w:lvlText w:val="%2."/>
      <w:lvlJc w:val="left"/>
      <w:pPr>
        <w:tabs>
          <w:tab w:val="num" w:pos="454"/>
        </w:tabs>
        <w:ind w:left="454" w:hanging="341"/>
      </w:pPr>
      <w:rPr>
        <w:rFonts w:hint="default"/>
      </w:rPr>
    </w:lvl>
    <w:lvl w:ilvl="2">
      <w:start w:val="1"/>
      <w:numFmt w:val="bullet"/>
      <w:pStyle w:val="TableBullet1"/>
      <w:lvlText w:val=""/>
      <w:lvlJc w:val="left"/>
      <w:pPr>
        <w:tabs>
          <w:tab w:val="num" w:pos="454"/>
        </w:tabs>
        <w:ind w:left="454" w:hanging="341"/>
      </w:pPr>
      <w:rPr>
        <w:rFonts w:ascii="Wingdings" w:hAnsi="Wingdings" w:hint="default"/>
        <w:color w:val="auto"/>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2" w15:restartNumberingAfterBreak="0">
    <w:nsid w:val="029A7BE3"/>
    <w:multiLevelType w:val="hybridMultilevel"/>
    <w:tmpl w:val="8BDE62A6"/>
    <w:lvl w:ilvl="0" w:tplc="79FC202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6977CA0"/>
    <w:multiLevelType w:val="multilevel"/>
    <w:tmpl w:val="ADC4A38E"/>
    <w:numStyleLink w:val="NumbListBodyText"/>
  </w:abstractNum>
  <w:abstractNum w:abstractNumId="14" w15:restartNumberingAfterBreak="0">
    <w:nsid w:val="14E9608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E8C053F"/>
    <w:multiLevelType w:val="multilevel"/>
    <w:tmpl w:val="574A05AC"/>
    <w:styleLink w:val="NumLstBullets"/>
    <w:lvl w:ilvl="0">
      <w:start w:val="1"/>
      <w:numFmt w:val="bullet"/>
      <w:lvlText w:val=""/>
      <w:lvlJc w:val="left"/>
      <w:pPr>
        <w:ind w:left="680" w:hanging="680"/>
      </w:pPr>
      <w:rPr>
        <w:rFonts w:ascii="Wingdings" w:hAnsi="Wingdings" w:hint="default"/>
        <w:color w:val="auto"/>
      </w:rPr>
    </w:lvl>
    <w:lvl w:ilvl="1">
      <w:start w:val="1"/>
      <w:numFmt w:val="bullet"/>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6"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7" w15:restartNumberingAfterBreak="0">
    <w:nsid w:val="305A232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C326E"/>
    <w:multiLevelType w:val="multilevel"/>
    <w:tmpl w:val="D71CEB02"/>
    <w:styleLink w:val="NumbListSchedules"/>
    <w:lvl w:ilvl="0">
      <w:start w:val="1"/>
      <w:numFmt w:val="decimal"/>
      <w:pStyle w:val="Schedule"/>
      <w:lvlText w:val="Schedule %1"/>
      <w:lvlJc w:val="left"/>
      <w:pPr>
        <w:ind w:left="0" w:firstLine="0"/>
      </w:pPr>
      <w:rPr>
        <w:rFonts w:hint="default"/>
        <w:caps/>
      </w:rPr>
    </w:lvl>
    <w:lvl w:ilvl="1">
      <w:start w:val="1"/>
      <w:numFmt w:val="decimal"/>
      <w:pStyle w:val="Part"/>
      <w:lvlText w:val="Part %2"/>
      <w:lvlJc w:val="left"/>
      <w:pPr>
        <w:ind w:left="0" w:firstLine="0"/>
      </w:pPr>
      <w:rPr>
        <w:rFonts w:hint="default"/>
      </w:rPr>
    </w:lvl>
    <w:lvl w:ilvl="2">
      <w:start w:val="1"/>
      <w:numFmt w:val="decimal"/>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9" w15:restartNumberingAfterBreak="0">
    <w:nsid w:val="39BE5B8C"/>
    <w:multiLevelType w:val="hybridMultilevel"/>
    <w:tmpl w:val="87788090"/>
    <w:lvl w:ilvl="0" w:tplc="AC328D9C">
      <w:start w:val="1"/>
      <w:numFmt w:val="lowerRoman"/>
      <w:lvlText w:val="(%1)"/>
      <w:lvlJc w:val="left"/>
      <w:pPr>
        <w:ind w:left="1495" w:hanging="360"/>
      </w:pPr>
      <w:rPr>
        <w:rFonts w:hint="default"/>
        <w:b w:val="0"/>
      </w:rPr>
    </w:lvl>
    <w:lvl w:ilvl="1" w:tplc="0C0C0019" w:tentative="1">
      <w:start w:val="1"/>
      <w:numFmt w:val="lowerLetter"/>
      <w:lvlText w:val="%2."/>
      <w:lvlJc w:val="left"/>
      <w:pPr>
        <w:ind w:left="2215" w:hanging="360"/>
      </w:pPr>
    </w:lvl>
    <w:lvl w:ilvl="2" w:tplc="0C0C001B" w:tentative="1">
      <w:start w:val="1"/>
      <w:numFmt w:val="lowerRoman"/>
      <w:lvlText w:val="%3."/>
      <w:lvlJc w:val="right"/>
      <w:pPr>
        <w:ind w:left="2935" w:hanging="180"/>
      </w:p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20" w15:restartNumberingAfterBreak="0">
    <w:nsid w:val="48FF131A"/>
    <w:multiLevelType w:val="multilevel"/>
    <w:tmpl w:val="763443CC"/>
    <w:styleLink w:val="NumbListAlpha"/>
    <w:lvl w:ilvl="0">
      <w:start w:val="1"/>
      <w:numFmt w:val="lowerLetter"/>
      <w:pStyle w:val="AlphaList1"/>
      <w:lvlText w:val="(%1)"/>
      <w:lvlJc w:val="left"/>
      <w:pPr>
        <w:tabs>
          <w:tab w:val="num" w:pos="1134"/>
        </w:tabs>
        <w:ind w:left="1134" w:hanging="454"/>
      </w:pPr>
      <w:rPr>
        <w:rFonts w:hint="default"/>
      </w:rPr>
    </w:lvl>
    <w:lvl w:ilvl="1">
      <w:start w:val="1"/>
      <w:numFmt w:val="lowerRoman"/>
      <w:pStyle w:val="AlphaList2"/>
      <w:lvlText w:val="(%2)"/>
      <w:lvlJc w:val="left"/>
      <w:pPr>
        <w:tabs>
          <w:tab w:val="num" w:pos="1588"/>
        </w:tabs>
        <w:ind w:left="1588" w:hanging="454"/>
      </w:pPr>
      <w:rPr>
        <w:rFonts w:hint="default"/>
      </w:rPr>
    </w:lvl>
    <w:lvl w:ilvl="2">
      <w:start w:val="1"/>
      <w:numFmt w:val="none"/>
      <w:suff w:val="nothing"/>
      <w:lvlText w:val=""/>
      <w:lvlJc w:val="left"/>
      <w:pPr>
        <w:ind w:left="1588"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1588" w:firstLine="0"/>
      </w:pPr>
      <w:rPr>
        <w:rFonts w:hint="default"/>
      </w:rPr>
    </w:lvl>
    <w:lvl w:ilvl="5">
      <w:start w:val="1"/>
      <w:numFmt w:val="none"/>
      <w:suff w:val="nothing"/>
      <w:lvlText w:val=""/>
      <w:lvlJc w:val="left"/>
      <w:pPr>
        <w:ind w:left="1588" w:firstLine="0"/>
      </w:pPr>
      <w:rPr>
        <w:rFonts w:hint="default"/>
      </w:rPr>
    </w:lvl>
    <w:lvl w:ilvl="6">
      <w:start w:val="1"/>
      <w:numFmt w:val="none"/>
      <w:suff w:val="nothing"/>
      <w:lvlText w:val=""/>
      <w:lvlJc w:val="left"/>
      <w:pPr>
        <w:ind w:left="1588" w:firstLine="0"/>
      </w:pPr>
      <w:rPr>
        <w:rFonts w:hint="default"/>
      </w:rPr>
    </w:lvl>
    <w:lvl w:ilvl="7">
      <w:start w:val="1"/>
      <w:numFmt w:val="none"/>
      <w:suff w:val="nothing"/>
      <w:lvlText w:val=""/>
      <w:lvlJc w:val="left"/>
      <w:pPr>
        <w:ind w:left="1588" w:firstLine="0"/>
      </w:pPr>
      <w:rPr>
        <w:rFonts w:hint="default"/>
      </w:rPr>
    </w:lvl>
    <w:lvl w:ilvl="8">
      <w:start w:val="1"/>
      <w:numFmt w:val="none"/>
      <w:lvlRestart w:val="3"/>
      <w:suff w:val="nothing"/>
      <w:lvlText w:val=""/>
      <w:lvlJc w:val="left"/>
      <w:pPr>
        <w:ind w:left="1588" w:firstLine="0"/>
      </w:pPr>
      <w:rPr>
        <w:rFonts w:hint="default"/>
      </w:rPr>
    </w:lvl>
  </w:abstractNum>
  <w:abstractNum w:abstractNumId="21" w15:restartNumberingAfterBreak="0">
    <w:nsid w:val="4D01696E"/>
    <w:multiLevelType w:val="hybridMultilevel"/>
    <w:tmpl w:val="E79A838A"/>
    <w:lvl w:ilvl="0" w:tplc="97204530">
      <w:start w:val="1"/>
      <w:numFmt w:val="decimal"/>
      <w:lvlText w:val="%1."/>
      <w:lvlJc w:val="left"/>
      <w:pPr>
        <w:ind w:left="720" w:hanging="360"/>
      </w:pPr>
    </w:lvl>
    <w:lvl w:ilvl="1" w:tplc="9C4487DA">
      <w:start w:val="1"/>
      <w:numFmt w:val="lowerLetter"/>
      <w:lvlText w:val="%2."/>
      <w:lvlJc w:val="left"/>
      <w:pPr>
        <w:ind w:left="1440" w:hanging="360"/>
      </w:pPr>
    </w:lvl>
    <w:lvl w:ilvl="2" w:tplc="1C7E63DA">
      <w:start w:val="1"/>
      <w:numFmt w:val="lowerRoman"/>
      <w:lvlText w:val="%3."/>
      <w:lvlJc w:val="right"/>
      <w:pPr>
        <w:ind w:left="2160" w:hanging="180"/>
      </w:pPr>
    </w:lvl>
    <w:lvl w:ilvl="3" w:tplc="06960A88">
      <w:start w:val="1"/>
      <w:numFmt w:val="decimal"/>
      <w:lvlText w:val="%4."/>
      <w:lvlJc w:val="left"/>
      <w:pPr>
        <w:ind w:left="2880" w:hanging="360"/>
      </w:pPr>
    </w:lvl>
    <w:lvl w:ilvl="4" w:tplc="4AF03394">
      <w:start w:val="1"/>
      <w:numFmt w:val="lowerLetter"/>
      <w:lvlText w:val="%5."/>
      <w:lvlJc w:val="left"/>
      <w:pPr>
        <w:ind w:left="3600" w:hanging="360"/>
      </w:pPr>
    </w:lvl>
    <w:lvl w:ilvl="5" w:tplc="3CA038EA">
      <w:start w:val="1"/>
      <w:numFmt w:val="lowerRoman"/>
      <w:lvlText w:val="%6."/>
      <w:lvlJc w:val="right"/>
      <w:pPr>
        <w:ind w:left="4320" w:hanging="180"/>
      </w:pPr>
    </w:lvl>
    <w:lvl w:ilvl="6" w:tplc="BD5858FC">
      <w:start w:val="1"/>
      <w:numFmt w:val="decimal"/>
      <w:lvlText w:val="%7."/>
      <w:lvlJc w:val="left"/>
      <w:pPr>
        <w:ind w:left="5040" w:hanging="360"/>
      </w:pPr>
    </w:lvl>
    <w:lvl w:ilvl="7" w:tplc="5448AF98">
      <w:start w:val="1"/>
      <w:numFmt w:val="lowerLetter"/>
      <w:lvlText w:val="%8."/>
      <w:lvlJc w:val="left"/>
      <w:pPr>
        <w:ind w:left="5760" w:hanging="360"/>
      </w:pPr>
    </w:lvl>
    <w:lvl w:ilvl="8" w:tplc="08ECA652">
      <w:start w:val="1"/>
      <w:numFmt w:val="lowerRoman"/>
      <w:lvlText w:val="%9."/>
      <w:lvlJc w:val="right"/>
      <w:pPr>
        <w:ind w:left="6480" w:hanging="180"/>
      </w:pPr>
    </w:lvl>
  </w:abstractNum>
  <w:abstractNum w:abstractNumId="22" w15:restartNumberingAfterBreak="0">
    <w:nsid w:val="4E236D3C"/>
    <w:multiLevelType w:val="multilevel"/>
    <w:tmpl w:val="CE0675FE"/>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suff w:val="nothing"/>
      <w:lvlText w:val=""/>
      <w:lvlJc w:val="left"/>
      <w:pPr>
        <w:ind w:left="1814" w:firstLine="0"/>
      </w:pPr>
      <w:rPr>
        <w:rFonts w:hint="default"/>
      </w:rPr>
    </w:lvl>
    <w:lvl w:ilvl="6">
      <w:start w:val="1"/>
      <w:numFmt w:val="none"/>
      <w:suff w:val="nothing"/>
      <w:lvlText w:val=""/>
      <w:lvlJc w:val="left"/>
      <w:pPr>
        <w:ind w:left="1814" w:firstLine="0"/>
      </w:pPr>
      <w:rPr>
        <w:rFonts w:hint="default"/>
      </w:rPr>
    </w:lvl>
    <w:lvl w:ilvl="7">
      <w:start w:val="1"/>
      <w:numFmt w:val="none"/>
      <w:suff w:val="nothing"/>
      <w:lvlText w:val=""/>
      <w:lvlJc w:val="left"/>
      <w:pPr>
        <w:ind w:left="1814" w:firstLine="0"/>
      </w:pPr>
      <w:rPr>
        <w:rFonts w:hint="default"/>
      </w:rPr>
    </w:lvl>
    <w:lvl w:ilvl="8">
      <w:start w:val="1"/>
      <w:numFmt w:val="none"/>
      <w:suff w:val="nothing"/>
      <w:lvlText w:val=""/>
      <w:lvlJc w:val="left"/>
      <w:pPr>
        <w:ind w:left="1814" w:firstLine="0"/>
      </w:pPr>
      <w:rPr>
        <w:rFonts w:hint="default"/>
      </w:rPr>
    </w:lvl>
  </w:abstractNum>
  <w:abstractNum w:abstractNumId="23" w15:restartNumberingAfterBreak="0">
    <w:nsid w:val="52FA0D3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FF3E8E"/>
    <w:multiLevelType w:val="multilevel"/>
    <w:tmpl w:val="D71CEB02"/>
    <w:numStyleLink w:val="NumbListSchedules"/>
  </w:abstractNum>
  <w:abstractNum w:abstractNumId="25" w15:restartNumberingAfterBreak="0">
    <w:nsid w:val="5EB16703"/>
    <w:multiLevelType w:val="multilevel"/>
    <w:tmpl w:val="C436C09C"/>
    <w:numStyleLink w:val="NumbLstTables"/>
  </w:abstractNum>
  <w:abstractNum w:abstractNumId="26" w15:restartNumberingAfterBreak="0">
    <w:nsid w:val="5F3653C9"/>
    <w:multiLevelType w:val="multilevel"/>
    <w:tmpl w:val="5E4CE9FC"/>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32F5909"/>
    <w:multiLevelType w:val="multilevel"/>
    <w:tmpl w:val="2C787CBC"/>
    <w:lvl w:ilvl="0">
      <w:start w:val="1"/>
      <w:numFmt w:val="decimal"/>
      <w:lvlText w:val="%1."/>
      <w:lvlJc w:val="left"/>
      <w:pPr>
        <w:tabs>
          <w:tab w:val="num" w:pos="72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5B1131F"/>
    <w:multiLevelType w:val="multilevel"/>
    <w:tmpl w:val="FCC232D0"/>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9" w15:restartNumberingAfterBreak="0">
    <w:nsid w:val="6A5C0D92"/>
    <w:multiLevelType w:val="hybridMultilevel"/>
    <w:tmpl w:val="87788090"/>
    <w:lvl w:ilvl="0" w:tplc="AC328D9C">
      <w:start w:val="1"/>
      <w:numFmt w:val="lowerRoman"/>
      <w:lvlText w:val="(%1)"/>
      <w:lvlJc w:val="left"/>
      <w:pPr>
        <w:ind w:left="1495" w:hanging="360"/>
      </w:pPr>
      <w:rPr>
        <w:rFonts w:hint="default"/>
        <w:b w:val="0"/>
      </w:rPr>
    </w:lvl>
    <w:lvl w:ilvl="1" w:tplc="0C0C0019" w:tentative="1">
      <w:start w:val="1"/>
      <w:numFmt w:val="lowerLetter"/>
      <w:lvlText w:val="%2."/>
      <w:lvlJc w:val="left"/>
      <w:pPr>
        <w:ind w:left="2215" w:hanging="360"/>
      </w:pPr>
    </w:lvl>
    <w:lvl w:ilvl="2" w:tplc="0C0C001B" w:tentative="1">
      <w:start w:val="1"/>
      <w:numFmt w:val="lowerRoman"/>
      <w:lvlText w:val="%3."/>
      <w:lvlJc w:val="right"/>
      <w:pPr>
        <w:ind w:left="2935" w:hanging="180"/>
      </w:p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30" w15:restartNumberingAfterBreak="0">
    <w:nsid w:val="70D26E36"/>
    <w:multiLevelType w:val="multilevel"/>
    <w:tmpl w:val="B77A4230"/>
    <w:numStyleLink w:val="NumbListIntro"/>
  </w:abstractNum>
  <w:abstractNum w:abstractNumId="31" w15:restartNumberingAfterBreak="0">
    <w:nsid w:val="7D4B765B"/>
    <w:multiLevelType w:val="multilevel"/>
    <w:tmpl w:val="397CBA40"/>
    <w:name w:val="zzmpExhibit||Exhibit|3|1|1|5|10|33||1|12|32||1|12|32||1|12|32||1|12|32||mpNA||mpNA||mpNA||mpNA||"/>
    <w:lvl w:ilvl="0">
      <w:start w:val="1"/>
      <w:numFmt w:val="upperLetter"/>
      <w:pStyle w:val="ExhibitL1"/>
      <w:suff w:val="nothing"/>
      <w:lvlText w:val="Exhibit %1"/>
      <w:lvlJc w:val="left"/>
      <w:pPr>
        <w:tabs>
          <w:tab w:val="num" w:pos="720"/>
        </w:tabs>
        <w:ind w:left="0" w:firstLine="0"/>
      </w:pPr>
      <w:rPr>
        <w:b/>
        <w:i w:val="0"/>
        <w:caps/>
        <w:smallCaps w:val="0"/>
        <w:color w:val="auto"/>
        <w:u w:val="none"/>
      </w:rPr>
    </w:lvl>
    <w:lvl w:ilvl="1">
      <w:start w:val="1"/>
      <w:numFmt w:val="decimal"/>
      <w:lvlRestart w:val="0"/>
      <w:pStyle w:val="ExhibitL2"/>
      <w:lvlText w:val="%2."/>
      <w:lvlJc w:val="left"/>
      <w:pPr>
        <w:tabs>
          <w:tab w:val="num" w:pos="720"/>
        </w:tabs>
        <w:ind w:left="0" w:firstLine="0"/>
      </w:pPr>
      <w:rPr>
        <w:b w:val="0"/>
        <w:i w:val="0"/>
        <w:caps w:val="0"/>
        <w:color w:val="auto"/>
        <w:u w:val="none"/>
      </w:rPr>
    </w:lvl>
    <w:lvl w:ilvl="2">
      <w:start w:val="1"/>
      <w:numFmt w:val="lowerLetter"/>
      <w:pStyle w:val="ExhibitL3"/>
      <w:lvlText w:val="(%3)"/>
      <w:lvlJc w:val="left"/>
      <w:pPr>
        <w:tabs>
          <w:tab w:val="num" w:pos="720"/>
        </w:tabs>
        <w:ind w:left="720" w:hanging="720"/>
      </w:pPr>
      <w:rPr>
        <w:b w:val="0"/>
        <w:i w:val="0"/>
        <w:caps w:val="0"/>
        <w:color w:val="auto"/>
        <w:u w:val="none"/>
      </w:rPr>
    </w:lvl>
    <w:lvl w:ilvl="3">
      <w:start w:val="1"/>
      <w:numFmt w:val="lowerRoman"/>
      <w:pStyle w:val="ExhibitL4"/>
      <w:lvlText w:val="(%4)"/>
      <w:lvlJc w:val="left"/>
      <w:pPr>
        <w:tabs>
          <w:tab w:val="num" w:pos="1440"/>
        </w:tabs>
        <w:ind w:left="1440" w:hanging="720"/>
      </w:pPr>
      <w:rPr>
        <w:b w:val="0"/>
        <w:i w:val="0"/>
        <w:caps w:val="0"/>
        <w:color w:val="auto"/>
        <w:u w:val="none"/>
      </w:rPr>
    </w:lvl>
    <w:lvl w:ilvl="4">
      <w:start w:val="1"/>
      <w:numFmt w:val="decimal"/>
      <w:pStyle w:val="ExhibitL5"/>
      <w:lvlText w:val="(%5)"/>
      <w:lvlJc w:val="left"/>
      <w:pPr>
        <w:tabs>
          <w:tab w:val="num" w:pos="2160"/>
        </w:tabs>
        <w:ind w:left="2160" w:hanging="720"/>
      </w:pPr>
      <w:rPr>
        <w:b w:val="0"/>
        <w:i w:val="0"/>
        <w:caps w:val="0"/>
        <w:color w:val="auto"/>
        <w:u w:val="none"/>
      </w:rPr>
    </w:lvl>
    <w:lvl w:ilvl="5">
      <w:start w:val="1"/>
      <w:numFmt w:val="upperLetter"/>
      <w:lvlText w:val="(%6)"/>
      <w:lvlJc w:val="left"/>
      <w:pPr>
        <w:tabs>
          <w:tab w:val="num" w:pos="2880"/>
        </w:tabs>
        <w:ind w:left="2880" w:hanging="720"/>
      </w:pPr>
      <w:rPr>
        <w:b w:val="0"/>
        <w:i w:val="0"/>
        <w:caps w:val="0"/>
        <w:color w:val="auto"/>
        <w:u w:val="none"/>
      </w:rPr>
    </w:lvl>
    <w:lvl w:ilvl="6">
      <w:start w:val="1"/>
      <w:numFmt w:val="upperRoman"/>
      <w:lvlText w:val="(%7)"/>
      <w:lvlJc w:val="left"/>
      <w:pPr>
        <w:tabs>
          <w:tab w:val="num" w:pos="3600"/>
        </w:tabs>
        <w:ind w:left="3600" w:hanging="720"/>
      </w:pPr>
      <w:rPr>
        <w:b w:val="0"/>
        <w:i w:val="0"/>
        <w:caps w:val="0"/>
        <w:color w:val="auto"/>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A55ACC"/>
    <w:multiLevelType w:val="multilevel"/>
    <w:tmpl w:val="36689418"/>
    <w:lvl w:ilvl="0">
      <w:start w:val="1"/>
      <w:numFmt w:val="bullet"/>
      <w:pStyle w:val="Bullet1"/>
      <w:lvlText w:val=""/>
      <w:lvlJc w:val="left"/>
      <w:pPr>
        <w:tabs>
          <w:tab w:val="num" w:pos="1134"/>
        </w:tabs>
        <w:ind w:left="1134" w:hanging="454"/>
      </w:pPr>
      <w:rPr>
        <w:rFonts w:ascii="Wingdings" w:hAnsi="Wingdings" w:hint="default"/>
        <w:color w:val="auto"/>
      </w:rPr>
    </w:lvl>
    <w:lvl w:ilvl="1">
      <w:start w:val="1"/>
      <w:numFmt w:val="bullet"/>
      <w:pStyle w:val="Bullet2"/>
      <w:lvlText w:val=""/>
      <w:lvlJc w:val="left"/>
      <w:pPr>
        <w:tabs>
          <w:tab w:val="num" w:pos="1588"/>
        </w:tabs>
        <w:ind w:left="1588" w:hanging="454"/>
      </w:pPr>
      <w:rPr>
        <w:rFonts w:ascii="Wingdings" w:hAnsi="Wingdings" w:hint="default"/>
        <w:color w:val="auto"/>
      </w:rPr>
    </w:lvl>
    <w:lvl w:ilvl="2">
      <w:start w:val="1"/>
      <w:numFmt w:val="bullet"/>
      <w:pStyle w:val="Bullet3"/>
      <w:lvlText w:val="•"/>
      <w:lvlJc w:val="left"/>
      <w:pPr>
        <w:tabs>
          <w:tab w:val="num" w:pos="2041"/>
        </w:tabs>
        <w:ind w:left="2041" w:hanging="453"/>
      </w:pPr>
      <w:rPr>
        <w:rFonts w:ascii="Calibri" w:hAnsi="Calibri" w:hint="default"/>
        <w:color w:val="auto"/>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num w:numId="1">
    <w:abstractNumId w:val="23"/>
  </w:num>
  <w:num w:numId="2">
    <w:abstractNumId w:val="17"/>
  </w:num>
  <w:num w:numId="3">
    <w:abstractNumId w:val="14"/>
  </w:num>
  <w:num w:numId="4">
    <w:abstractNumId w:val="10"/>
  </w:num>
  <w:num w:numId="5">
    <w:abstractNumId w:val="22"/>
    <w:lvlOverride w:ilvl="1">
      <w:lvl w:ilvl="1">
        <w:start w:val="1"/>
        <w:numFmt w:val="lowerLetter"/>
        <w:pStyle w:val="Definition1"/>
        <w:lvlText w:val="(%2)"/>
        <w:lvlJc w:val="left"/>
        <w:pPr>
          <w:tabs>
            <w:tab w:val="num" w:pos="454"/>
          </w:tabs>
          <w:ind w:left="454" w:hanging="454"/>
        </w:pPr>
        <w:rPr>
          <w:rFonts w:hint="default"/>
        </w:rPr>
      </w:lvl>
    </w:lvlOverride>
  </w:num>
  <w:num w:numId="6">
    <w:abstractNumId w:val="28"/>
    <w:lvlOverride w:ilvl="3">
      <w:lvl w:ilvl="3">
        <w:start w:val="1"/>
        <w:numFmt w:val="lowerLetter"/>
        <w:pStyle w:val="Level4Number"/>
        <w:lvlText w:val="(%4)"/>
        <w:lvlJc w:val="left"/>
        <w:pPr>
          <w:tabs>
            <w:tab w:val="num" w:pos="2041"/>
          </w:tabs>
          <w:ind w:left="2041" w:hanging="453"/>
        </w:pPr>
        <w:rPr>
          <w:rFonts w:hint="default"/>
        </w:rPr>
      </w:lvl>
    </w:lvlOverride>
  </w:num>
  <w:num w:numId="7">
    <w:abstractNumId w:val="18"/>
  </w:num>
  <w:num w:numId="8">
    <w:abstractNumId w:val="20"/>
  </w:num>
  <w:num w:numId="9">
    <w:abstractNumId w:val="16"/>
  </w:num>
  <w:num w:numId="10">
    <w:abstractNumId w:val="26"/>
  </w:num>
  <w:num w:numId="11">
    <w:abstractNumId w:val="11"/>
  </w:num>
  <w:num w:numId="12">
    <w:abstractNumId w:val="15"/>
  </w:num>
  <w:num w:numId="13">
    <w:abstractNumId w:val="13"/>
  </w:num>
  <w:num w:numId="14">
    <w:abstractNumId w:val="32"/>
  </w:num>
  <w:num w:numId="15">
    <w:abstractNumId w:val="22"/>
  </w:num>
  <w:num w:numId="16">
    <w:abstractNumId w:val="2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0"/>
  </w:num>
  <w:num w:numId="28">
    <w:abstractNumId w:val="24"/>
  </w:num>
  <w:num w:numId="29">
    <w:abstractNumId w:val="25"/>
  </w:num>
  <w:num w:numId="30">
    <w:abstractNumId w:val="22"/>
    <w:lvlOverride w:ilvl="0">
      <w:startOverride w:val="1"/>
      <w:lvl w:ilvl="0">
        <w:start w:val="1"/>
        <w:numFmt w:val="decimal"/>
        <w:pStyle w:val="Definition"/>
        <w:lvlText w:val=""/>
        <w:lvlJc w:val="left"/>
      </w:lvl>
    </w:lvlOverride>
    <w:lvlOverride w:ilvl="1">
      <w:startOverride w:val="1"/>
      <w:lvl w:ilvl="1">
        <w:start w:val="1"/>
        <w:numFmt w:val="decimal"/>
        <w:pStyle w:val="Definition1"/>
        <w:lvlText w:val="(%2)"/>
        <w:lvlJc w:val="left"/>
        <w:pPr>
          <w:tabs>
            <w:tab w:val="num" w:pos="454"/>
          </w:tabs>
          <w:ind w:left="454" w:hanging="454"/>
        </w:pPr>
      </w:lvl>
    </w:lvlOverride>
    <w:lvlOverride w:ilvl="2">
      <w:startOverride w:val="1"/>
      <w:lvl w:ilvl="2">
        <w:start w:val="1"/>
        <w:numFmt w:val="decimal"/>
        <w:pStyle w:val="Definition2"/>
        <w:lvlText w:val=""/>
        <w:lvlJc w:val="left"/>
      </w:lvl>
    </w:lvlOverride>
    <w:lvlOverride w:ilvl="3">
      <w:startOverride w:val="1"/>
      <w:lvl w:ilvl="3">
        <w:start w:val="1"/>
        <w:numFmt w:val="decimal"/>
        <w:pStyle w:val="Definition3"/>
        <w:lvlText w:val=""/>
        <w:lvlJc w:val="left"/>
      </w:lvl>
    </w:lvlOverride>
    <w:lvlOverride w:ilvl="4">
      <w:startOverride w:val="1"/>
      <w:lvl w:ilvl="4">
        <w:start w:val="1"/>
        <w:numFmt w:val="decimal"/>
        <w:pStyle w:val="Definition4"/>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31"/>
  </w:num>
  <w:num w:numId="32">
    <w:abstractNumId w:val="12"/>
  </w:num>
  <w:num w:numId="33">
    <w:abstractNumId w:val="19"/>
  </w:num>
  <w:num w:numId="34">
    <w:abstractNumId w:val="29"/>
  </w:num>
  <w:num w:numId="35">
    <w:abstractNumId w:val="22"/>
    <w:lvlOverride w:ilvl="1">
      <w:lvl w:ilvl="1">
        <w:start w:val="1"/>
        <w:numFmt w:val="lowerLetter"/>
        <w:pStyle w:val="Definition1"/>
        <w:lvlText w:val="(%2)"/>
        <w:lvlJc w:val="left"/>
        <w:pPr>
          <w:tabs>
            <w:tab w:val="num" w:pos="454"/>
          </w:tabs>
          <w:ind w:left="454" w:hanging="454"/>
        </w:pPr>
        <w:rPr>
          <w:rFonts w:hint="default"/>
        </w:rPr>
      </w:lvl>
    </w:lvlOverride>
  </w:num>
  <w:num w:numId="36">
    <w:abstractNumId w:val="27"/>
  </w:num>
  <w:num w:numId="37">
    <w:abstractNumId w:val="21"/>
  </w:num>
  <w:num w:numId="38">
    <w:abstractNumId w:val="22"/>
    <w:lvlOverride w:ilvl="1">
      <w:lvl w:ilvl="1">
        <w:start w:val="1"/>
        <w:numFmt w:val="lowerLetter"/>
        <w:pStyle w:val="Definition1"/>
        <w:lvlText w:val="(%2)"/>
        <w:lvlJc w:val="left"/>
        <w:pPr>
          <w:tabs>
            <w:tab w:val="num" w:pos="454"/>
          </w:tabs>
          <w:ind w:left="454" w:hanging="454"/>
        </w:pPr>
        <w:rPr>
          <w:rFonts w:hint="default"/>
        </w:rPr>
      </w:lvl>
    </w:lvlOverride>
  </w:num>
  <w:num w:numId="39">
    <w:abstractNumId w:val="22"/>
    <w:lvlOverride w:ilvl="1">
      <w:lvl w:ilvl="1">
        <w:start w:val="1"/>
        <w:numFmt w:val="lowerLetter"/>
        <w:pStyle w:val="Definition1"/>
        <w:lvlText w:val="(%2)"/>
        <w:lvlJc w:val="left"/>
        <w:pPr>
          <w:tabs>
            <w:tab w:val="num" w:pos="454"/>
          </w:tabs>
          <w:ind w:left="454" w:hanging="45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17"/>
    <w:rsid w:val="0000117E"/>
    <w:rsid w:val="00001924"/>
    <w:rsid w:val="00001C52"/>
    <w:rsid w:val="00002025"/>
    <w:rsid w:val="000024E6"/>
    <w:rsid w:val="00003836"/>
    <w:rsid w:val="000040BC"/>
    <w:rsid w:val="0000477D"/>
    <w:rsid w:val="00004B8C"/>
    <w:rsid w:val="000050AB"/>
    <w:rsid w:val="000061B3"/>
    <w:rsid w:val="00006983"/>
    <w:rsid w:val="00006D26"/>
    <w:rsid w:val="000102C0"/>
    <w:rsid w:val="00011E5E"/>
    <w:rsid w:val="00014812"/>
    <w:rsid w:val="00014F3E"/>
    <w:rsid w:val="00015340"/>
    <w:rsid w:val="00015556"/>
    <w:rsid w:val="00015A1A"/>
    <w:rsid w:val="00015DF6"/>
    <w:rsid w:val="00017AF2"/>
    <w:rsid w:val="00020C4A"/>
    <w:rsid w:val="00021CDC"/>
    <w:rsid w:val="00022406"/>
    <w:rsid w:val="000226B8"/>
    <w:rsid w:val="00023D85"/>
    <w:rsid w:val="0002409F"/>
    <w:rsid w:val="0002606A"/>
    <w:rsid w:val="000262F6"/>
    <w:rsid w:val="00026BFF"/>
    <w:rsid w:val="00027906"/>
    <w:rsid w:val="00030415"/>
    <w:rsid w:val="00030E36"/>
    <w:rsid w:val="000310CC"/>
    <w:rsid w:val="00031211"/>
    <w:rsid w:val="00031475"/>
    <w:rsid w:val="000317A2"/>
    <w:rsid w:val="00031970"/>
    <w:rsid w:val="00031EC2"/>
    <w:rsid w:val="00032F32"/>
    <w:rsid w:val="0003664C"/>
    <w:rsid w:val="0003759F"/>
    <w:rsid w:val="00040FB8"/>
    <w:rsid w:val="00041AF0"/>
    <w:rsid w:val="00042BAF"/>
    <w:rsid w:val="000432AB"/>
    <w:rsid w:val="00047C23"/>
    <w:rsid w:val="00052608"/>
    <w:rsid w:val="0005279A"/>
    <w:rsid w:val="000527C6"/>
    <w:rsid w:val="00052EB3"/>
    <w:rsid w:val="0005351A"/>
    <w:rsid w:val="00054494"/>
    <w:rsid w:val="00056D3E"/>
    <w:rsid w:val="00057A17"/>
    <w:rsid w:val="00060E0B"/>
    <w:rsid w:val="00060E9F"/>
    <w:rsid w:val="000618BF"/>
    <w:rsid w:val="00062243"/>
    <w:rsid w:val="00063999"/>
    <w:rsid w:val="00063C0F"/>
    <w:rsid w:val="00065173"/>
    <w:rsid w:val="00065B63"/>
    <w:rsid w:val="00066842"/>
    <w:rsid w:val="00067750"/>
    <w:rsid w:val="00067E81"/>
    <w:rsid w:val="000721F1"/>
    <w:rsid w:val="000722E5"/>
    <w:rsid w:val="000730B6"/>
    <w:rsid w:val="00073497"/>
    <w:rsid w:val="00074406"/>
    <w:rsid w:val="000765C6"/>
    <w:rsid w:val="00077AEA"/>
    <w:rsid w:val="00080650"/>
    <w:rsid w:val="000822FE"/>
    <w:rsid w:val="000823EF"/>
    <w:rsid w:val="00082931"/>
    <w:rsid w:val="00083DEF"/>
    <w:rsid w:val="00086270"/>
    <w:rsid w:val="00087C70"/>
    <w:rsid w:val="00087FB8"/>
    <w:rsid w:val="000916E1"/>
    <w:rsid w:val="00093B2B"/>
    <w:rsid w:val="00093D15"/>
    <w:rsid w:val="00094803"/>
    <w:rsid w:val="00094972"/>
    <w:rsid w:val="00094F4E"/>
    <w:rsid w:val="00094F63"/>
    <w:rsid w:val="00095DCD"/>
    <w:rsid w:val="00097C38"/>
    <w:rsid w:val="000A048A"/>
    <w:rsid w:val="000A1186"/>
    <w:rsid w:val="000A2098"/>
    <w:rsid w:val="000A26B8"/>
    <w:rsid w:val="000A33C5"/>
    <w:rsid w:val="000A3ACE"/>
    <w:rsid w:val="000A6B23"/>
    <w:rsid w:val="000B1B4A"/>
    <w:rsid w:val="000B206A"/>
    <w:rsid w:val="000B294E"/>
    <w:rsid w:val="000B3335"/>
    <w:rsid w:val="000B3A00"/>
    <w:rsid w:val="000B4176"/>
    <w:rsid w:val="000B4376"/>
    <w:rsid w:val="000B4841"/>
    <w:rsid w:val="000B4F8C"/>
    <w:rsid w:val="000B5E40"/>
    <w:rsid w:val="000C0331"/>
    <w:rsid w:val="000C1180"/>
    <w:rsid w:val="000C3E99"/>
    <w:rsid w:val="000C4424"/>
    <w:rsid w:val="000C6D66"/>
    <w:rsid w:val="000D1B41"/>
    <w:rsid w:val="000D492A"/>
    <w:rsid w:val="000D58CF"/>
    <w:rsid w:val="000E1321"/>
    <w:rsid w:val="000E41A8"/>
    <w:rsid w:val="000E520B"/>
    <w:rsid w:val="000E57D1"/>
    <w:rsid w:val="000E6BEB"/>
    <w:rsid w:val="000E776F"/>
    <w:rsid w:val="000E7A87"/>
    <w:rsid w:val="000E7DB3"/>
    <w:rsid w:val="000F0064"/>
    <w:rsid w:val="000F0884"/>
    <w:rsid w:val="000F0B67"/>
    <w:rsid w:val="000F0D50"/>
    <w:rsid w:val="000F1222"/>
    <w:rsid w:val="000F1DCA"/>
    <w:rsid w:val="000F3CCF"/>
    <w:rsid w:val="000F41FC"/>
    <w:rsid w:val="000F4592"/>
    <w:rsid w:val="000F573D"/>
    <w:rsid w:val="000F5A33"/>
    <w:rsid w:val="001001C2"/>
    <w:rsid w:val="001004D6"/>
    <w:rsid w:val="001014EB"/>
    <w:rsid w:val="00101A97"/>
    <w:rsid w:val="00101F8D"/>
    <w:rsid w:val="00102CB5"/>
    <w:rsid w:val="001030F7"/>
    <w:rsid w:val="00104CC2"/>
    <w:rsid w:val="001061EF"/>
    <w:rsid w:val="00110DBB"/>
    <w:rsid w:val="00110E8F"/>
    <w:rsid w:val="00111887"/>
    <w:rsid w:val="00112345"/>
    <w:rsid w:val="00116844"/>
    <w:rsid w:val="00117A5E"/>
    <w:rsid w:val="00120399"/>
    <w:rsid w:val="00121F3C"/>
    <w:rsid w:val="00123077"/>
    <w:rsid w:val="00123772"/>
    <w:rsid w:val="00123830"/>
    <w:rsid w:val="00123972"/>
    <w:rsid w:val="00125A95"/>
    <w:rsid w:val="00126115"/>
    <w:rsid w:val="001300A6"/>
    <w:rsid w:val="001308D0"/>
    <w:rsid w:val="00130A47"/>
    <w:rsid w:val="001312CE"/>
    <w:rsid w:val="00132CEF"/>
    <w:rsid w:val="0013315A"/>
    <w:rsid w:val="001338AB"/>
    <w:rsid w:val="0013659F"/>
    <w:rsid w:val="00136A54"/>
    <w:rsid w:val="001377B2"/>
    <w:rsid w:val="001412C4"/>
    <w:rsid w:val="0014137F"/>
    <w:rsid w:val="001446C0"/>
    <w:rsid w:val="0014577D"/>
    <w:rsid w:val="001505C3"/>
    <w:rsid w:val="00150692"/>
    <w:rsid w:val="0015190D"/>
    <w:rsid w:val="00153DE7"/>
    <w:rsid w:val="00153E70"/>
    <w:rsid w:val="0015470A"/>
    <w:rsid w:val="00154B1F"/>
    <w:rsid w:val="0015568C"/>
    <w:rsid w:val="00155CD7"/>
    <w:rsid w:val="0015630E"/>
    <w:rsid w:val="001578D4"/>
    <w:rsid w:val="00160C12"/>
    <w:rsid w:val="00162621"/>
    <w:rsid w:val="0016357B"/>
    <w:rsid w:val="00163A99"/>
    <w:rsid w:val="001643C5"/>
    <w:rsid w:val="00164877"/>
    <w:rsid w:val="00165D11"/>
    <w:rsid w:val="00166758"/>
    <w:rsid w:val="00166811"/>
    <w:rsid w:val="00166BD7"/>
    <w:rsid w:val="00167CF5"/>
    <w:rsid w:val="00172221"/>
    <w:rsid w:val="001725FD"/>
    <w:rsid w:val="00172D77"/>
    <w:rsid w:val="00173CD4"/>
    <w:rsid w:val="001744AB"/>
    <w:rsid w:val="001752AE"/>
    <w:rsid w:val="00175B54"/>
    <w:rsid w:val="00175F29"/>
    <w:rsid w:val="00176042"/>
    <w:rsid w:val="00177494"/>
    <w:rsid w:val="0018002E"/>
    <w:rsid w:val="00182B43"/>
    <w:rsid w:val="00182F2D"/>
    <w:rsid w:val="00184F19"/>
    <w:rsid w:val="00185F3E"/>
    <w:rsid w:val="00185F69"/>
    <w:rsid w:val="001900D3"/>
    <w:rsid w:val="0019056F"/>
    <w:rsid w:val="00191BE3"/>
    <w:rsid w:val="001930DF"/>
    <w:rsid w:val="00195EB0"/>
    <w:rsid w:val="001973BD"/>
    <w:rsid w:val="00197B30"/>
    <w:rsid w:val="001A055E"/>
    <w:rsid w:val="001A0F84"/>
    <w:rsid w:val="001A2F51"/>
    <w:rsid w:val="001A4686"/>
    <w:rsid w:val="001A6CF9"/>
    <w:rsid w:val="001A701A"/>
    <w:rsid w:val="001A7A62"/>
    <w:rsid w:val="001B02F3"/>
    <w:rsid w:val="001B03F9"/>
    <w:rsid w:val="001B071C"/>
    <w:rsid w:val="001B2524"/>
    <w:rsid w:val="001B2A65"/>
    <w:rsid w:val="001B41F8"/>
    <w:rsid w:val="001B4A55"/>
    <w:rsid w:val="001B592D"/>
    <w:rsid w:val="001B63B9"/>
    <w:rsid w:val="001B66AD"/>
    <w:rsid w:val="001C137F"/>
    <w:rsid w:val="001C17C2"/>
    <w:rsid w:val="001C2906"/>
    <w:rsid w:val="001C42D9"/>
    <w:rsid w:val="001C5A9D"/>
    <w:rsid w:val="001C5EBB"/>
    <w:rsid w:val="001C6DF9"/>
    <w:rsid w:val="001C7459"/>
    <w:rsid w:val="001D0001"/>
    <w:rsid w:val="001D02A4"/>
    <w:rsid w:val="001D03EA"/>
    <w:rsid w:val="001D146F"/>
    <w:rsid w:val="001D1B4E"/>
    <w:rsid w:val="001D20C5"/>
    <w:rsid w:val="001D2995"/>
    <w:rsid w:val="001D5682"/>
    <w:rsid w:val="001D5784"/>
    <w:rsid w:val="001D667A"/>
    <w:rsid w:val="001D6D5E"/>
    <w:rsid w:val="001D71A0"/>
    <w:rsid w:val="001D7447"/>
    <w:rsid w:val="001D74EE"/>
    <w:rsid w:val="001E33AC"/>
    <w:rsid w:val="001E33E8"/>
    <w:rsid w:val="001E3FA7"/>
    <w:rsid w:val="001E46F8"/>
    <w:rsid w:val="001E4C42"/>
    <w:rsid w:val="001E53EB"/>
    <w:rsid w:val="001E6D62"/>
    <w:rsid w:val="001F0B9F"/>
    <w:rsid w:val="001F0D88"/>
    <w:rsid w:val="001F0F6A"/>
    <w:rsid w:val="001F16B3"/>
    <w:rsid w:val="001F1E93"/>
    <w:rsid w:val="001F220B"/>
    <w:rsid w:val="001F3F9B"/>
    <w:rsid w:val="001F5D90"/>
    <w:rsid w:val="001F7BDD"/>
    <w:rsid w:val="001F7C0A"/>
    <w:rsid w:val="001F7E01"/>
    <w:rsid w:val="002001A3"/>
    <w:rsid w:val="00200DEB"/>
    <w:rsid w:val="002024EE"/>
    <w:rsid w:val="00202ED3"/>
    <w:rsid w:val="002044E4"/>
    <w:rsid w:val="00205883"/>
    <w:rsid w:val="0020740E"/>
    <w:rsid w:val="0021063B"/>
    <w:rsid w:val="00211842"/>
    <w:rsid w:val="0021375F"/>
    <w:rsid w:val="00214BF6"/>
    <w:rsid w:val="00215E56"/>
    <w:rsid w:val="00216320"/>
    <w:rsid w:val="00217506"/>
    <w:rsid w:val="002209D1"/>
    <w:rsid w:val="00221C3D"/>
    <w:rsid w:val="00224A31"/>
    <w:rsid w:val="00224B18"/>
    <w:rsid w:val="00225843"/>
    <w:rsid w:val="00225DCB"/>
    <w:rsid w:val="00226781"/>
    <w:rsid w:val="00230052"/>
    <w:rsid w:val="0023147B"/>
    <w:rsid w:val="00231B9C"/>
    <w:rsid w:val="00231C46"/>
    <w:rsid w:val="00233C28"/>
    <w:rsid w:val="0023670E"/>
    <w:rsid w:val="00237925"/>
    <w:rsid w:val="00241653"/>
    <w:rsid w:val="0024219F"/>
    <w:rsid w:val="00243FBB"/>
    <w:rsid w:val="0024558E"/>
    <w:rsid w:val="00245920"/>
    <w:rsid w:val="00245CA9"/>
    <w:rsid w:val="002464EB"/>
    <w:rsid w:val="0024758B"/>
    <w:rsid w:val="00247A92"/>
    <w:rsid w:val="00250023"/>
    <w:rsid w:val="00250738"/>
    <w:rsid w:val="00251989"/>
    <w:rsid w:val="002520CD"/>
    <w:rsid w:val="00253FC8"/>
    <w:rsid w:val="00255549"/>
    <w:rsid w:val="00255902"/>
    <w:rsid w:val="0025695C"/>
    <w:rsid w:val="0025707F"/>
    <w:rsid w:val="002572A6"/>
    <w:rsid w:val="00257E47"/>
    <w:rsid w:val="00260851"/>
    <w:rsid w:val="002614F8"/>
    <w:rsid w:val="0026164F"/>
    <w:rsid w:val="00262680"/>
    <w:rsid w:val="00262FD2"/>
    <w:rsid w:val="002639D0"/>
    <w:rsid w:val="00263E23"/>
    <w:rsid w:val="00264D06"/>
    <w:rsid w:val="00264E80"/>
    <w:rsid w:val="00265EA7"/>
    <w:rsid w:val="0026639C"/>
    <w:rsid w:val="002700EC"/>
    <w:rsid w:val="0027022B"/>
    <w:rsid w:val="002708BD"/>
    <w:rsid w:val="002711E5"/>
    <w:rsid w:val="00271F47"/>
    <w:rsid w:val="00272B67"/>
    <w:rsid w:val="0027313D"/>
    <w:rsid w:val="00274206"/>
    <w:rsid w:val="00274230"/>
    <w:rsid w:val="00274AC4"/>
    <w:rsid w:val="0027510E"/>
    <w:rsid w:val="00275EC2"/>
    <w:rsid w:val="00276C62"/>
    <w:rsid w:val="002806A5"/>
    <w:rsid w:val="002833E8"/>
    <w:rsid w:val="002837A1"/>
    <w:rsid w:val="002838CE"/>
    <w:rsid w:val="00285CF6"/>
    <w:rsid w:val="00287EBB"/>
    <w:rsid w:val="0029166F"/>
    <w:rsid w:val="002917C1"/>
    <w:rsid w:val="002936DB"/>
    <w:rsid w:val="00294492"/>
    <w:rsid w:val="00296057"/>
    <w:rsid w:val="00296243"/>
    <w:rsid w:val="00296288"/>
    <w:rsid w:val="0029666D"/>
    <w:rsid w:val="002A038A"/>
    <w:rsid w:val="002A1944"/>
    <w:rsid w:val="002A3B36"/>
    <w:rsid w:val="002A3F95"/>
    <w:rsid w:val="002A5017"/>
    <w:rsid w:val="002A6921"/>
    <w:rsid w:val="002A717A"/>
    <w:rsid w:val="002B057D"/>
    <w:rsid w:val="002B1428"/>
    <w:rsid w:val="002B1F73"/>
    <w:rsid w:val="002B253A"/>
    <w:rsid w:val="002B3E5B"/>
    <w:rsid w:val="002B6B90"/>
    <w:rsid w:val="002C1E64"/>
    <w:rsid w:val="002C20BB"/>
    <w:rsid w:val="002C2473"/>
    <w:rsid w:val="002C2899"/>
    <w:rsid w:val="002C3BB6"/>
    <w:rsid w:val="002C47AE"/>
    <w:rsid w:val="002C4C6A"/>
    <w:rsid w:val="002C5AA0"/>
    <w:rsid w:val="002C7865"/>
    <w:rsid w:val="002C79F6"/>
    <w:rsid w:val="002D0ACB"/>
    <w:rsid w:val="002D142E"/>
    <w:rsid w:val="002D219C"/>
    <w:rsid w:val="002D3396"/>
    <w:rsid w:val="002D3765"/>
    <w:rsid w:val="002E2539"/>
    <w:rsid w:val="002E3261"/>
    <w:rsid w:val="002E5D0F"/>
    <w:rsid w:val="002E769E"/>
    <w:rsid w:val="002F3A67"/>
    <w:rsid w:val="002F414C"/>
    <w:rsid w:val="002F495A"/>
    <w:rsid w:val="002F518F"/>
    <w:rsid w:val="002F5DF6"/>
    <w:rsid w:val="002F6EEF"/>
    <w:rsid w:val="002F7213"/>
    <w:rsid w:val="002F74AB"/>
    <w:rsid w:val="00300332"/>
    <w:rsid w:val="00300AD5"/>
    <w:rsid w:val="00301AFB"/>
    <w:rsid w:val="00301BB0"/>
    <w:rsid w:val="003024F8"/>
    <w:rsid w:val="0030365D"/>
    <w:rsid w:val="0030465E"/>
    <w:rsid w:val="00304B60"/>
    <w:rsid w:val="003061A2"/>
    <w:rsid w:val="00310362"/>
    <w:rsid w:val="00310C5B"/>
    <w:rsid w:val="0031206C"/>
    <w:rsid w:val="00312D20"/>
    <w:rsid w:val="0031314F"/>
    <w:rsid w:val="003131F9"/>
    <w:rsid w:val="0031373E"/>
    <w:rsid w:val="00313CE2"/>
    <w:rsid w:val="0031441E"/>
    <w:rsid w:val="00315ED2"/>
    <w:rsid w:val="003175F2"/>
    <w:rsid w:val="00317E60"/>
    <w:rsid w:val="003205EA"/>
    <w:rsid w:val="00320C1A"/>
    <w:rsid w:val="00321F09"/>
    <w:rsid w:val="00322C7E"/>
    <w:rsid w:val="003234EC"/>
    <w:rsid w:val="0032366A"/>
    <w:rsid w:val="003236BD"/>
    <w:rsid w:val="003241E4"/>
    <w:rsid w:val="003257A1"/>
    <w:rsid w:val="003273BC"/>
    <w:rsid w:val="0032792B"/>
    <w:rsid w:val="0033014C"/>
    <w:rsid w:val="00330A8B"/>
    <w:rsid w:val="00330DFF"/>
    <w:rsid w:val="00331059"/>
    <w:rsid w:val="00333056"/>
    <w:rsid w:val="00333552"/>
    <w:rsid w:val="003341BB"/>
    <w:rsid w:val="00334880"/>
    <w:rsid w:val="003352D9"/>
    <w:rsid w:val="0033698D"/>
    <w:rsid w:val="00337122"/>
    <w:rsid w:val="00337455"/>
    <w:rsid w:val="00340433"/>
    <w:rsid w:val="0034085D"/>
    <w:rsid w:val="00341CCA"/>
    <w:rsid w:val="00342462"/>
    <w:rsid w:val="00342CE3"/>
    <w:rsid w:val="0034444D"/>
    <w:rsid w:val="00344B51"/>
    <w:rsid w:val="00344DC6"/>
    <w:rsid w:val="00347557"/>
    <w:rsid w:val="003479FA"/>
    <w:rsid w:val="00350442"/>
    <w:rsid w:val="00351BA3"/>
    <w:rsid w:val="00352729"/>
    <w:rsid w:val="00355BE0"/>
    <w:rsid w:val="00356BA7"/>
    <w:rsid w:val="00356EE3"/>
    <w:rsid w:val="003570C9"/>
    <w:rsid w:val="00360EBC"/>
    <w:rsid w:val="003632DC"/>
    <w:rsid w:val="00363AD6"/>
    <w:rsid w:val="003647FD"/>
    <w:rsid w:val="00366A11"/>
    <w:rsid w:val="003671C5"/>
    <w:rsid w:val="0037108B"/>
    <w:rsid w:val="0037120D"/>
    <w:rsid w:val="00372DF4"/>
    <w:rsid w:val="003730F0"/>
    <w:rsid w:val="00373DC0"/>
    <w:rsid w:val="003760E8"/>
    <w:rsid w:val="00380233"/>
    <w:rsid w:val="003809A8"/>
    <w:rsid w:val="00383393"/>
    <w:rsid w:val="00385F70"/>
    <w:rsid w:val="00386076"/>
    <w:rsid w:val="00386DF8"/>
    <w:rsid w:val="00386E3B"/>
    <w:rsid w:val="00386F14"/>
    <w:rsid w:val="003872F6"/>
    <w:rsid w:val="00392589"/>
    <w:rsid w:val="003943C9"/>
    <w:rsid w:val="00397674"/>
    <w:rsid w:val="00397F69"/>
    <w:rsid w:val="003A2469"/>
    <w:rsid w:val="003A4103"/>
    <w:rsid w:val="003A4D62"/>
    <w:rsid w:val="003A5992"/>
    <w:rsid w:val="003A5A6E"/>
    <w:rsid w:val="003B0238"/>
    <w:rsid w:val="003B1437"/>
    <w:rsid w:val="003B25D2"/>
    <w:rsid w:val="003B2F20"/>
    <w:rsid w:val="003B2F65"/>
    <w:rsid w:val="003B4331"/>
    <w:rsid w:val="003B6268"/>
    <w:rsid w:val="003B676E"/>
    <w:rsid w:val="003B7862"/>
    <w:rsid w:val="003C1D90"/>
    <w:rsid w:val="003C1E9B"/>
    <w:rsid w:val="003C1F20"/>
    <w:rsid w:val="003C2349"/>
    <w:rsid w:val="003C5529"/>
    <w:rsid w:val="003D00CE"/>
    <w:rsid w:val="003D2350"/>
    <w:rsid w:val="003D2BC2"/>
    <w:rsid w:val="003D39B1"/>
    <w:rsid w:val="003D5A4B"/>
    <w:rsid w:val="003D5AB8"/>
    <w:rsid w:val="003D6C0C"/>
    <w:rsid w:val="003D7987"/>
    <w:rsid w:val="003D7EFD"/>
    <w:rsid w:val="003E0FAF"/>
    <w:rsid w:val="003E4734"/>
    <w:rsid w:val="003E556A"/>
    <w:rsid w:val="003E6026"/>
    <w:rsid w:val="003F4817"/>
    <w:rsid w:val="003F5E41"/>
    <w:rsid w:val="003F6112"/>
    <w:rsid w:val="003F6BC5"/>
    <w:rsid w:val="003F6F97"/>
    <w:rsid w:val="003F7530"/>
    <w:rsid w:val="00401893"/>
    <w:rsid w:val="00401EB7"/>
    <w:rsid w:val="00402042"/>
    <w:rsid w:val="00403BFE"/>
    <w:rsid w:val="004043A6"/>
    <w:rsid w:val="0040664A"/>
    <w:rsid w:val="00406B8E"/>
    <w:rsid w:val="00406EE2"/>
    <w:rsid w:val="00411C8C"/>
    <w:rsid w:val="00411E5A"/>
    <w:rsid w:val="00412DD9"/>
    <w:rsid w:val="00413335"/>
    <w:rsid w:val="00413B6D"/>
    <w:rsid w:val="00414A65"/>
    <w:rsid w:val="00414E82"/>
    <w:rsid w:val="0041511E"/>
    <w:rsid w:val="004151F5"/>
    <w:rsid w:val="004174B5"/>
    <w:rsid w:val="0042106F"/>
    <w:rsid w:val="00423340"/>
    <w:rsid w:val="0042416A"/>
    <w:rsid w:val="004243D3"/>
    <w:rsid w:val="00425A30"/>
    <w:rsid w:val="00426A78"/>
    <w:rsid w:val="00426E7A"/>
    <w:rsid w:val="00427D59"/>
    <w:rsid w:val="004305E9"/>
    <w:rsid w:val="00430DC4"/>
    <w:rsid w:val="00434B7F"/>
    <w:rsid w:val="00434FE8"/>
    <w:rsid w:val="004369F8"/>
    <w:rsid w:val="00437054"/>
    <w:rsid w:val="00437A7B"/>
    <w:rsid w:val="00442386"/>
    <w:rsid w:val="0044641F"/>
    <w:rsid w:val="00450D1D"/>
    <w:rsid w:val="004514FB"/>
    <w:rsid w:val="00452053"/>
    <w:rsid w:val="004525E3"/>
    <w:rsid w:val="00452EF3"/>
    <w:rsid w:val="004533F8"/>
    <w:rsid w:val="00453AE7"/>
    <w:rsid w:val="004552A8"/>
    <w:rsid w:val="00456611"/>
    <w:rsid w:val="00457E87"/>
    <w:rsid w:val="0046148D"/>
    <w:rsid w:val="00461C76"/>
    <w:rsid w:val="004624BE"/>
    <w:rsid w:val="00462983"/>
    <w:rsid w:val="00465585"/>
    <w:rsid w:val="004659C7"/>
    <w:rsid w:val="00466485"/>
    <w:rsid w:val="0046671B"/>
    <w:rsid w:val="00466A1A"/>
    <w:rsid w:val="00466F4B"/>
    <w:rsid w:val="00467E84"/>
    <w:rsid w:val="0047141B"/>
    <w:rsid w:val="004718E8"/>
    <w:rsid w:val="00472ABC"/>
    <w:rsid w:val="0047444C"/>
    <w:rsid w:val="004751FF"/>
    <w:rsid w:val="00476233"/>
    <w:rsid w:val="00477097"/>
    <w:rsid w:val="00477303"/>
    <w:rsid w:val="00477F4E"/>
    <w:rsid w:val="00481425"/>
    <w:rsid w:val="00484812"/>
    <w:rsid w:val="00487DC4"/>
    <w:rsid w:val="00492753"/>
    <w:rsid w:val="00493462"/>
    <w:rsid w:val="004936FB"/>
    <w:rsid w:val="0049799B"/>
    <w:rsid w:val="004A006E"/>
    <w:rsid w:val="004A0168"/>
    <w:rsid w:val="004A0768"/>
    <w:rsid w:val="004A175C"/>
    <w:rsid w:val="004A1A22"/>
    <w:rsid w:val="004A1E2F"/>
    <w:rsid w:val="004A3875"/>
    <w:rsid w:val="004A3E4F"/>
    <w:rsid w:val="004A54CF"/>
    <w:rsid w:val="004A5586"/>
    <w:rsid w:val="004B1DAE"/>
    <w:rsid w:val="004B42ED"/>
    <w:rsid w:val="004B4A88"/>
    <w:rsid w:val="004B55EC"/>
    <w:rsid w:val="004B6487"/>
    <w:rsid w:val="004B74C8"/>
    <w:rsid w:val="004B7A0D"/>
    <w:rsid w:val="004B7F27"/>
    <w:rsid w:val="004C16AF"/>
    <w:rsid w:val="004C16B4"/>
    <w:rsid w:val="004C32A7"/>
    <w:rsid w:val="004C3CB2"/>
    <w:rsid w:val="004C64DD"/>
    <w:rsid w:val="004C74B2"/>
    <w:rsid w:val="004C75A1"/>
    <w:rsid w:val="004C78C6"/>
    <w:rsid w:val="004C7964"/>
    <w:rsid w:val="004C7E54"/>
    <w:rsid w:val="004D35BA"/>
    <w:rsid w:val="004D3EB5"/>
    <w:rsid w:val="004D5F1C"/>
    <w:rsid w:val="004D603B"/>
    <w:rsid w:val="004D6356"/>
    <w:rsid w:val="004E12DB"/>
    <w:rsid w:val="004E2487"/>
    <w:rsid w:val="004E2AEF"/>
    <w:rsid w:val="004E326E"/>
    <w:rsid w:val="004E41C2"/>
    <w:rsid w:val="004E428C"/>
    <w:rsid w:val="004E6274"/>
    <w:rsid w:val="004E7A74"/>
    <w:rsid w:val="004F008C"/>
    <w:rsid w:val="004F06B1"/>
    <w:rsid w:val="004F089C"/>
    <w:rsid w:val="004F24D8"/>
    <w:rsid w:val="004F3B5B"/>
    <w:rsid w:val="004F572D"/>
    <w:rsid w:val="004F5787"/>
    <w:rsid w:val="004F5A39"/>
    <w:rsid w:val="004F6B52"/>
    <w:rsid w:val="004F74FA"/>
    <w:rsid w:val="004F7F18"/>
    <w:rsid w:val="005001FD"/>
    <w:rsid w:val="005003CF"/>
    <w:rsid w:val="0050047A"/>
    <w:rsid w:val="00504DC3"/>
    <w:rsid w:val="00505707"/>
    <w:rsid w:val="00505B19"/>
    <w:rsid w:val="00505B90"/>
    <w:rsid w:val="00506738"/>
    <w:rsid w:val="00506A08"/>
    <w:rsid w:val="00507091"/>
    <w:rsid w:val="005120DD"/>
    <w:rsid w:val="00513A52"/>
    <w:rsid w:val="00513F2C"/>
    <w:rsid w:val="00514532"/>
    <w:rsid w:val="00514809"/>
    <w:rsid w:val="00517B47"/>
    <w:rsid w:val="00522200"/>
    <w:rsid w:val="00523B90"/>
    <w:rsid w:val="0052608C"/>
    <w:rsid w:val="005265BA"/>
    <w:rsid w:val="00526DDE"/>
    <w:rsid w:val="0053005D"/>
    <w:rsid w:val="00532A37"/>
    <w:rsid w:val="00533B1A"/>
    <w:rsid w:val="005350D9"/>
    <w:rsid w:val="00535D00"/>
    <w:rsid w:val="0053608F"/>
    <w:rsid w:val="00540211"/>
    <w:rsid w:val="00540A71"/>
    <w:rsid w:val="00541453"/>
    <w:rsid w:val="0054204D"/>
    <w:rsid w:val="00542D78"/>
    <w:rsid w:val="00543E8C"/>
    <w:rsid w:val="005448BD"/>
    <w:rsid w:val="00544ECF"/>
    <w:rsid w:val="00551647"/>
    <w:rsid w:val="00551772"/>
    <w:rsid w:val="00553256"/>
    <w:rsid w:val="005532E0"/>
    <w:rsid w:val="005566B0"/>
    <w:rsid w:val="005601F2"/>
    <w:rsid w:val="005665A0"/>
    <w:rsid w:val="00567848"/>
    <w:rsid w:val="00567890"/>
    <w:rsid w:val="0056791D"/>
    <w:rsid w:val="00570153"/>
    <w:rsid w:val="005719DB"/>
    <w:rsid w:val="00572DB1"/>
    <w:rsid w:val="00573957"/>
    <w:rsid w:val="00573BBA"/>
    <w:rsid w:val="00573EDB"/>
    <w:rsid w:val="00575511"/>
    <w:rsid w:val="0057585E"/>
    <w:rsid w:val="00580419"/>
    <w:rsid w:val="0058227E"/>
    <w:rsid w:val="005827C1"/>
    <w:rsid w:val="00582BE0"/>
    <w:rsid w:val="00583D95"/>
    <w:rsid w:val="00584214"/>
    <w:rsid w:val="0058499B"/>
    <w:rsid w:val="0058545A"/>
    <w:rsid w:val="005860F7"/>
    <w:rsid w:val="00586135"/>
    <w:rsid w:val="00591574"/>
    <w:rsid w:val="00591B08"/>
    <w:rsid w:val="0059661D"/>
    <w:rsid w:val="00596665"/>
    <w:rsid w:val="00596712"/>
    <w:rsid w:val="00596CA7"/>
    <w:rsid w:val="0059714C"/>
    <w:rsid w:val="005A05EF"/>
    <w:rsid w:val="005A0DBE"/>
    <w:rsid w:val="005A61EF"/>
    <w:rsid w:val="005A633A"/>
    <w:rsid w:val="005A6484"/>
    <w:rsid w:val="005A660F"/>
    <w:rsid w:val="005A67C1"/>
    <w:rsid w:val="005A7639"/>
    <w:rsid w:val="005A7E51"/>
    <w:rsid w:val="005B03FB"/>
    <w:rsid w:val="005B150B"/>
    <w:rsid w:val="005B20D3"/>
    <w:rsid w:val="005B35BE"/>
    <w:rsid w:val="005B573B"/>
    <w:rsid w:val="005B5F4A"/>
    <w:rsid w:val="005B62A2"/>
    <w:rsid w:val="005B6C69"/>
    <w:rsid w:val="005B7653"/>
    <w:rsid w:val="005B7AE1"/>
    <w:rsid w:val="005C1867"/>
    <w:rsid w:val="005C261B"/>
    <w:rsid w:val="005C30C1"/>
    <w:rsid w:val="005C398C"/>
    <w:rsid w:val="005C4CF1"/>
    <w:rsid w:val="005C4F41"/>
    <w:rsid w:val="005C5777"/>
    <w:rsid w:val="005C5AB9"/>
    <w:rsid w:val="005D105E"/>
    <w:rsid w:val="005D2E4A"/>
    <w:rsid w:val="005D32B9"/>
    <w:rsid w:val="005D4003"/>
    <w:rsid w:val="005D4287"/>
    <w:rsid w:val="005D54B9"/>
    <w:rsid w:val="005D6324"/>
    <w:rsid w:val="005D653B"/>
    <w:rsid w:val="005E153A"/>
    <w:rsid w:val="005E2833"/>
    <w:rsid w:val="005E355D"/>
    <w:rsid w:val="005E54AE"/>
    <w:rsid w:val="005E6EE2"/>
    <w:rsid w:val="005F02A0"/>
    <w:rsid w:val="005F040F"/>
    <w:rsid w:val="005F1985"/>
    <w:rsid w:val="005F1E08"/>
    <w:rsid w:val="005F23B7"/>
    <w:rsid w:val="005F297B"/>
    <w:rsid w:val="005F3FFA"/>
    <w:rsid w:val="005F4592"/>
    <w:rsid w:val="005F657E"/>
    <w:rsid w:val="005F7B8C"/>
    <w:rsid w:val="006005AE"/>
    <w:rsid w:val="00601CF2"/>
    <w:rsid w:val="00601F47"/>
    <w:rsid w:val="00602434"/>
    <w:rsid w:val="006065B8"/>
    <w:rsid w:val="0060762D"/>
    <w:rsid w:val="00607D43"/>
    <w:rsid w:val="00607D50"/>
    <w:rsid w:val="00610034"/>
    <w:rsid w:val="006102D9"/>
    <w:rsid w:val="006114C7"/>
    <w:rsid w:val="00611CCE"/>
    <w:rsid w:val="00614826"/>
    <w:rsid w:val="00615426"/>
    <w:rsid w:val="00615877"/>
    <w:rsid w:val="006177D2"/>
    <w:rsid w:val="006234E5"/>
    <w:rsid w:val="00623AC1"/>
    <w:rsid w:val="00624CA8"/>
    <w:rsid w:val="006263C7"/>
    <w:rsid w:val="006273DC"/>
    <w:rsid w:val="00630974"/>
    <w:rsid w:val="00631285"/>
    <w:rsid w:val="00633EF8"/>
    <w:rsid w:val="00634757"/>
    <w:rsid w:val="006348CC"/>
    <w:rsid w:val="006354A8"/>
    <w:rsid w:val="00635853"/>
    <w:rsid w:val="0063641F"/>
    <w:rsid w:val="006370CC"/>
    <w:rsid w:val="0063763A"/>
    <w:rsid w:val="00640F62"/>
    <w:rsid w:val="00641BCC"/>
    <w:rsid w:val="00642935"/>
    <w:rsid w:val="00642B40"/>
    <w:rsid w:val="0064301D"/>
    <w:rsid w:val="00643092"/>
    <w:rsid w:val="00643665"/>
    <w:rsid w:val="00643B2B"/>
    <w:rsid w:val="00643B94"/>
    <w:rsid w:val="00645302"/>
    <w:rsid w:val="00646414"/>
    <w:rsid w:val="0064680D"/>
    <w:rsid w:val="0064691B"/>
    <w:rsid w:val="00650819"/>
    <w:rsid w:val="006521FF"/>
    <w:rsid w:val="006528B1"/>
    <w:rsid w:val="00653234"/>
    <w:rsid w:val="00653AB8"/>
    <w:rsid w:val="00653D08"/>
    <w:rsid w:val="00657023"/>
    <w:rsid w:val="00657624"/>
    <w:rsid w:val="00662F02"/>
    <w:rsid w:val="00663133"/>
    <w:rsid w:val="0066327A"/>
    <w:rsid w:val="00666032"/>
    <w:rsid w:val="00667550"/>
    <w:rsid w:val="00667AC8"/>
    <w:rsid w:val="00670859"/>
    <w:rsid w:val="00670F6B"/>
    <w:rsid w:val="006717CA"/>
    <w:rsid w:val="006718E5"/>
    <w:rsid w:val="006719F5"/>
    <w:rsid w:val="00672C8C"/>
    <w:rsid w:val="00675D56"/>
    <w:rsid w:val="0068039F"/>
    <w:rsid w:val="006806F6"/>
    <w:rsid w:val="006809BA"/>
    <w:rsid w:val="0068143E"/>
    <w:rsid w:val="00681997"/>
    <w:rsid w:val="00682923"/>
    <w:rsid w:val="00684C5A"/>
    <w:rsid w:val="006851F0"/>
    <w:rsid w:val="006875E2"/>
    <w:rsid w:val="00690F69"/>
    <w:rsid w:val="00690FB1"/>
    <w:rsid w:val="0069204B"/>
    <w:rsid w:val="00693A41"/>
    <w:rsid w:val="00696F92"/>
    <w:rsid w:val="006A03C4"/>
    <w:rsid w:val="006A094C"/>
    <w:rsid w:val="006A09A8"/>
    <w:rsid w:val="006A0B3B"/>
    <w:rsid w:val="006A0FBA"/>
    <w:rsid w:val="006A11BF"/>
    <w:rsid w:val="006A11ED"/>
    <w:rsid w:val="006A152A"/>
    <w:rsid w:val="006A214E"/>
    <w:rsid w:val="006A21A5"/>
    <w:rsid w:val="006A2C34"/>
    <w:rsid w:val="006A2EE7"/>
    <w:rsid w:val="006A2FEB"/>
    <w:rsid w:val="006A528E"/>
    <w:rsid w:val="006A56DC"/>
    <w:rsid w:val="006A65E2"/>
    <w:rsid w:val="006A6FD7"/>
    <w:rsid w:val="006B06FC"/>
    <w:rsid w:val="006B09DD"/>
    <w:rsid w:val="006B433F"/>
    <w:rsid w:val="006B652D"/>
    <w:rsid w:val="006B67D7"/>
    <w:rsid w:val="006B73D3"/>
    <w:rsid w:val="006B76AD"/>
    <w:rsid w:val="006C030D"/>
    <w:rsid w:val="006C2091"/>
    <w:rsid w:val="006C20DE"/>
    <w:rsid w:val="006C3062"/>
    <w:rsid w:val="006C525A"/>
    <w:rsid w:val="006C5874"/>
    <w:rsid w:val="006D0344"/>
    <w:rsid w:val="006D1336"/>
    <w:rsid w:val="006D1961"/>
    <w:rsid w:val="006D219C"/>
    <w:rsid w:val="006D66DE"/>
    <w:rsid w:val="006E013F"/>
    <w:rsid w:val="006E0B1B"/>
    <w:rsid w:val="006E0C5B"/>
    <w:rsid w:val="006E2359"/>
    <w:rsid w:val="006E45A0"/>
    <w:rsid w:val="006E4767"/>
    <w:rsid w:val="006E4914"/>
    <w:rsid w:val="006E53DB"/>
    <w:rsid w:val="006E5C62"/>
    <w:rsid w:val="006E5D09"/>
    <w:rsid w:val="006E6CE1"/>
    <w:rsid w:val="006E7760"/>
    <w:rsid w:val="006E7FBC"/>
    <w:rsid w:val="006F0BF8"/>
    <w:rsid w:val="006F155A"/>
    <w:rsid w:val="006F15ED"/>
    <w:rsid w:val="006F2A87"/>
    <w:rsid w:val="006F335F"/>
    <w:rsid w:val="006F3C35"/>
    <w:rsid w:val="006F5923"/>
    <w:rsid w:val="006F5D73"/>
    <w:rsid w:val="006F665E"/>
    <w:rsid w:val="006F7046"/>
    <w:rsid w:val="006F722B"/>
    <w:rsid w:val="0070015E"/>
    <w:rsid w:val="00701062"/>
    <w:rsid w:val="0070327F"/>
    <w:rsid w:val="007032F2"/>
    <w:rsid w:val="00703C09"/>
    <w:rsid w:val="00703F18"/>
    <w:rsid w:val="0070424E"/>
    <w:rsid w:val="00704513"/>
    <w:rsid w:val="00705625"/>
    <w:rsid w:val="007060C2"/>
    <w:rsid w:val="00706518"/>
    <w:rsid w:val="00707445"/>
    <w:rsid w:val="0071002B"/>
    <w:rsid w:val="007101E8"/>
    <w:rsid w:val="00710B8B"/>
    <w:rsid w:val="007112A0"/>
    <w:rsid w:val="0071144B"/>
    <w:rsid w:val="00711CE9"/>
    <w:rsid w:val="00713382"/>
    <w:rsid w:val="007136CE"/>
    <w:rsid w:val="007137B1"/>
    <w:rsid w:val="00714935"/>
    <w:rsid w:val="007150F2"/>
    <w:rsid w:val="0071665C"/>
    <w:rsid w:val="007168C6"/>
    <w:rsid w:val="00717C10"/>
    <w:rsid w:val="00720768"/>
    <w:rsid w:val="00720D7A"/>
    <w:rsid w:val="00721CBB"/>
    <w:rsid w:val="00722D81"/>
    <w:rsid w:val="00723E9E"/>
    <w:rsid w:val="00724C5B"/>
    <w:rsid w:val="00724D0A"/>
    <w:rsid w:val="007271AB"/>
    <w:rsid w:val="007276BE"/>
    <w:rsid w:val="00730A9D"/>
    <w:rsid w:val="00732DF6"/>
    <w:rsid w:val="00733754"/>
    <w:rsid w:val="00734350"/>
    <w:rsid w:val="00737CA4"/>
    <w:rsid w:val="00740B0B"/>
    <w:rsid w:val="00741B0B"/>
    <w:rsid w:val="00741EEB"/>
    <w:rsid w:val="007420CF"/>
    <w:rsid w:val="007428FA"/>
    <w:rsid w:val="0074351F"/>
    <w:rsid w:val="00744FCA"/>
    <w:rsid w:val="007450C5"/>
    <w:rsid w:val="00746637"/>
    <w:rsid w:val="00751AA8"/>
    <w:rsid w:val="00753A9B"/>
    <w:rsid w:val="00754AA2"/>
    <w:rsid w:val="00754B3D"/>
    <w:rsid w:val="007552D5"/>
    <w:rsid w:val="00755B1C"/>
    <w:rsid w:val="00756863"/>
    <w:rsid w:val="00756BD1"/>
    <w:rsid w:val="00756F1D"/>
    <w:rsid w:val="00757140"/>
    <w:rsid w:val="007604FB"/>
    <w:rsid w:val="00760B73"/>
    <w:rsid w:val="00760B9B"/>
    <w:rsid w:val="00761550"/>
    <w:rsid w:val="00761807"/>
    <w:rsid w:val="007620D2"/>
    <w:rsid w:val="007623B4"/>
    <w:rsid w:val="0076249D"/>
    <w:rsid w:val="00763619"/>
    <w:rsid w:val="00763A16"/>
    <w:rsid w:val="00770068"/>
    <w:rsid w:val="007710BE"/>
    <w:rsid w:val="007725CD"/>
    <w:rsid w:val="00773604"/>
    <w:rsid w:val="00775975"/>
    <w:rsid w:val="00782964"/>
    <w:rsid w:val="007841B3"/>
    <w:rsid w:val="00784A1A"/>
    <w:rsid w:val="0078507B"/>
    <w:rsid w:val="00786E80"/>
    <w:rsid w:val="007873BB"/>
    <w:rsid w:val="00787CCD"/>
    <w:rsid w:val="00790261"/>
    <w:rsid w:val="00790FA6"/>
    <w:rsid w:val="00790FED"/>
    <w:rsid w:val="00792158"/>
    <w:rsid w:val="007929DB"/>
    <w:rsid w:val="007932B3"/>
    <w:rsid w:val="007957C4"/>
    <w:rsid w:val="007970BE"/>
    <w:rsid w:val="007A2FF9"/>
    <w:rsid w:val="007A31F5"/>
    <w:rsid w:val="007A32A9"/>
    <w:rsid w:val="007A3FDB"/>
    <w:rsid w:val="007A4F15"/>
    <w:rsid w:val="007A550C"/>
    <w:rsid w:val="007A571C"/>
    <w:rsid w:val="007A6FB3"/>
    <w:rsid w:val="007A72D0"/>
    <w:rsid w:val="007A7F3B"/>
    <w:rsid w:val="007B1827"/>
    <w:rsid w:val="007B21B0"/>
    <w:rsid w:val="007B37FA"/>
    <w:rsid w:val="007B3C18"/>
    <w:rsid w:val="007B3C87"/>
    <w:rsid w:val="007B6891"/>
    <w:rsid w:val="007C02D7"/>
    <w:rsid w:val="007C0829"/>
    <w:rsid w:val="007C14E1"/>
    <w:rsid w:val="007C1636"/>
    <w:rsid w:val="007C3394"/>
    <w:rsid w:val="007C3953"/>
    <w:rsid w:val="007C7CA6"/>
    <w:rsid w:val="007D1112"/>
    <w:rsid w:val="007D2E72"/>
    <w:rsid w:val="007D3246"/>
    <w:rsid w:val="007D5165"/>
    <w:rsid w:val="007D5E49"/>
    <w:rsid w:val="007D61EE"/>
    <w:rsid w:val="007D6CD7"/>
    <w:rsid w:val="007E0166"/>
    <w:rsid w:val="007E0C07"/>
    <w:rsid w:val="007E3040"/>
    <w:rsid w:val="007E3674"/>
    <w:rsid w:val="007E3D30"/>
    <w:rsid w:val="007E4BA7"/>
    <w:rsid w:val="007E6124"/>
    <w:rsid w:val="007E6A8F"/>
    <w:rsid w:val="007E6FE3"/>
    <w:rsid w:val="007F0344"/>
    <w:rsid w:val="007F1681"/>
    <w:rsid w:val="007F2A43"/>
    <w:rsid w:val="007F2D6E"/>
    <w:rsid w:val="007F2FAF"/>
    <w:rsid w:val="007F3134"/>
    <w:rsid w:val="007F3D0D"/>
    <w:rsid w:val="007F5C70"/>
    <w:rsid w:val="007F5E6D"/>
    <w:rsid w:val="007F7F99"/>
    <w:rsid w:val="00800BA7"/>
    <w:rsid w:val="008015BA"/>
    <w:rsid w:val="00801AAF"/>
    <w:rsid w:val="00802FE1"/>
    <w:rsid w:val="0080470D"/>
    <w:rsid w:val="00806E84"/>
    <w:rsid w:val="00807E38"/>
    <w:rsid w:val="008104F2"/>
    <w:rsid w:val="00810EDB"/>
    <w:rsid w:val="0081283D"/>
    <w:rsid w:val="00812A4C"/>
    <w:rsid w:val="00813169"/>
    <w:rsid w:val="0081318E"/>
    <w:rsid w:val="008134C8"/>
    <w:rsid w:val="00815901"/>
    <w:rsid w:val="00816906"/>
    <w:rsid w:val="00817DBB"/>
    <w:rsid w:val="00820011"/>
    <w:rsid w:val="00825775"/>
    <w:rsid w:val="008272F6"/>
    <w:rsid w:val="00827BB1"/>
    <w:rsid w:val="0083046B"/>
    <w:rsid w:val="00830D06"/>
    <w:rsid w:val="00832B39"/>
    <w:rsid w:val="00833075"/>
    <w:rsid w:val="00835444"/>
    <w:rsid w:val="008421BA"/>
    <w:rsid w:val="00845223"/>
    <w:rsid w:val="00845457"/>
    <w:rsid w:val="00846012"/>
    <w:rsid w:val="00846789"/>
    <w:rsid w:val="00846FE4"/>
    <w:rsid w:val="00847D59"/>
    <w:rsid w:val="00850DD7"/>
    <w:rsid w:val="0085200A"/>
    <w:rsid w:val="00852B52"/>
    <w:rsid w:val="00855F7B"/>
    <w:rsid w:val="00860096"/>
    <w:rsid w:val="008603C2"/>
    <w:rsid w:val="0086077A"/>
    <w:rsid w:val="008607BB"/>
    <w:rsid w:val="0086223F"/>
    <w:rsid w:val="00862F99"/>
    <w:rsid w:val="00863857"/>
    <w:rsid w:val="0086404D"/>
    <w:rsid w:val="00864B3E"/>
    <w:rsid w:val="00865259"/>
    <w:rsid w:val="008669AD"/>
    <w:rsid w:val="008669EE"/>
    <w:rsid w:val="0087208D"/>
    <w:rsid w:val="0087291F"/>
    <w:rsid w:val="00874901"/>
    <w:rsid w:val="00874C49"/>
    <w:rsid w:val="00875A0F"/>
    <w:rsid w:val="0087711C"/>
    <w:rsid w:val="00877A06"/>
    <w:rsid w:val="00880594"/>
    <w:rsid w:val="008809C7"/>
    <w:rsid w:val="00881828"/>
    <w:rsid w:val="008828C2"/>
    <w:rsid w:val="00883118"/>
    <w:rsid w:val="00883F1F"/>
    <w:rsid w:val="00884283"/>
    <w:rsid w:val="00884CBE"/>
    <w:rsid w:val="0088599E"/>
    <w:rsid w:val="00885DBE"/>
    <w:rsid w:val="00892978"/>
    <w:rsid w:val="008933CD"/>
    <w:rsid w:val="00893886"/>
    <w:rsid w:val="008941AE"/>
    <w:rsid w:val="00894A5A"/>
    <w:rsid w:val="00895247"/>
    <w:rsid w:val="00897F20"/>
    <w:rsid w:val="008A0BCC"/>
    <w:rsid w:val="008A0CF1"/>
    <w:rsid w:val="008A16CD"/>
    <w:rsid w:val="008A1BAD"/>
    <w:rsid w:val="008A2B82"/>
    <w:rsid w:val="008A3A5F"/>
    <w:rsid w:val="008A4344"/>
    <w:rsid w:val="008A65E5"/>
    <w:rsid w:val="008B0DC5"/>
    <w:rsid w:val="008B2423"/>
    <w:rsid w:val="008B2989"/>
    <w:rsid w:val="008B40B3"/>
    <w:rsid w:val="008B7A31"/>
    <w:rsid w:val="008C0DDA"/>
    <w:rsid w:val="008C18B9"/>
    <w:rsid w:val="008C2761"/>
    <w:rsid w:val="008C6EEE"/>
    <w:rsid w:val="008C7358"/>
    <w:rsid w:val="008C75FD"/>
    <w:rsid w:val="008D1361"/>
    <w:rsid w:val="008D158C"/>
    <w:rsid w:val="008D2C5B"/>
    <w:rsid w:val="008D4221"/>
    <w:rsid w:val="008D5AEC"/>
    <w:rsid w:val="008D5F63"/>
    <w:rsid w:val="008D7136"/>
    <w:rsid w:val="008E12B0"/>
    <w:rsid w:val="008E23EF"/>
    <w:rsid w:val="008E27DC"/>
    <w:rsid w:val="008E2FBD"/>
    <w:rsid w:val="008E3B47"/>
    <w:rsid w:val="008E4EBD"/>
    <w:rsid w:val="008E725C"/>
    <w:rsid w:val="008E7EED"/>
    <w:rsid w:val="008F0910"/>
    <w:rsid w:val="008F100A"/>
    <w:rsid w:val="008F12F6"/>
    <w:rsid w:val="008F41C1"/>
    <w:rsid w:val="008F5BCC"/>
    <w:rsid w:val="008F6E09"/>
    <w:rsid w:val="008F70AA"/>
    <w:rsid w:val="009010E2"/>
    <w:rsid w:val="00901B33"/>
    <w:rsid w:val="00901FB7"/>
    <w:rsid w:val="00903B2E"/>
    <w:rsid w:val="00905BF3"/>
    <w:rsid w:val="00906202"/>
    <w:rsid w:val="009062E9"/>
    <w:rsid w:val="009065A6"/>
    <w:rsid w:val="009071BE"/>
    <w:rsid w:val="009076C4"/>
    <w:rsid w:val="00907733"/>
    <w:rsid w:val="00910538"/>
    <w:rsid w:val="009113B7"/>
    <w:rsid w:val="00912932"/>
    <w:rsid w:val="00912E99"/>
    <w:rsid w:val="009139DB"/>
    <w:rsid w:val="0091475B"/>
    <w:rsid w:val="00915811"/>
    <w:rsid w:val="009167BA"/>
    <w:rsid w:val="00916B55"/>
    <w:rsid w:val="009173CA"/>
    <w:rsid w:val="00920328"/>
    <w:rsid w:val="0092161A"/>
    <w:rsid w:val="00921929"/>
    <w:rsid w:val="00922340"/>
    <w:rsid w:val="00923122"/>
    <w:rsid w:val="009239FC"/>
    <w:rsid w:val="0092435A"/>
    <w:rsid w:val="009258E9"/>
    <w:rsid w:val="00925F30"/>
    <w:rsid w:val="00927503"/>
    <w:rsid w:val="0093005F"/>
    <w:rsid w:val="0093096F"/>
    <w:rsid w:val="00930FE9"/>
    <w:rsid w:val="00933939"/>
    <w:rsid w:val="00933942"/>
    <w:rsid w:val="00933F01"/>
    <w:rsid w:val="009340D0"/>
    <w:rsid w:val="00935D5E"/>
    <w:rsid w:val="00937F0B"/>
    <w:rsid w:val="00940CF9"/>
    <w:rsid w:val="00940D68"/>
    <w:rsid w:val="00941C9A"/>
    <w:rsid w:val="00942CD1"/>
    <w:rsid w:val="00942FCD"/>
    <w:rsid w:val="009437FD"/>
    <w:rsid w:val="00943ABC"/>
    <w:rsid w:val="00943B98"/>
    <w:rsid w:val="00943D03"/>
    <w:rsid w:val="009466FD"/>
    <w:rsid w:val="00946729"/>
    <w:rsid w:val="00947B8D"/>
    <w:rsid w:val="00950AE7"/>
    <w:rsid w:val="00950CD8"/>
    <w:rsid w:val="00953CA0"/>
    <w:rsid w:val="00955907"/>
    <w:rsid w:val="009565F8"/>
    <w:rsid w:val="00956EEA"/>
    <w:rsid w:val="00957826"/>
    <w:rsid w:val="009578C0"/>
    <w:rsid w:val="0096189B"/>
    <w:rsid w:val="00962C82"/>
    <w:rsid w:val="0096405F"/>
    <w:rsid w:val="009644CD"/>
    <w:rsid w:val="00964678"/>
    <w:rsid w:val="009647BF"/>
    <w:rsid w:val="0096587F"/>
    <w:rsid w:val="009679CC"/>
    <w:rsid w:val="00970D1C"/>
    <w:rsid w:val="0097338B"/>
    <w:rsid w:val="00973CEB"/>
    <w:rsid w:val="00973D53"/>
    <w:rsid w:val="00974341"/>
    <w:rsid w:val="0097679A"/>
    <w:rsid w:val="00980C3F"/>
    <w:rsid w:val="009829D1"/>
    <w:rsid w:val="00985460"/>
    <w:rsid w:val="0099166C"/>
    <w:rsid w:val="00993577"/>
    <w:rsid w:val="00993808"/>
    <w:rsid w:val="00994036"/>
    <w:rsid w:val="00994FBE"/>
    <w:rsid w:val="00997D2E"/>
    <w:rsid w:val="009A1E27"/>
    <w:rsid w:val="009A27E4"/>
    <w:rsid w:val="009A3136"/>
    <w:rsid w:val="009A4610"/>
    <w:rsid w:val="009A478A"/>
    <w:rsid w:val="009A4F1F"/>
    <w:rsid w:val="009A5110"/>
    <w:rsid w:val="009A70B0"/>
    <w:rsid w:val="009A717F"/>
    <w:rsid w:val="009A729D"/>
    <w:rsid w:val="009B00B9"/>
    <w:rsid w:val="009B0404"/>
    <w:rsid w:val="009B0528"/>
    <w:rsid w:val="009B059A"/>
    <w:rsid w:val="009B2638"/>
    <w:rsid w:val="009B3B62"/>
    <w:rsid w:val="009B4704"/>
    <w:rsid w:val="009B4FAA"/>
    <w:rsid w:val="009B520E"/>
    <w:rsid w:val="009B52B6"/>
    <w:rsid w:val="009B55DB"/>
    <w:rsid w:val="009B56D0"/>
    <w:rsid w:val="009B78CA"/>
    <w:rsid w:val="009C0210"/>
    <w:rsid w:val="009C115C"/>
    <w:rsid w:val="009C1244"/>
    <w:rsid w:val="009C1E4C"/>
    <w:rsid w:val="009C2875"/>
    <w:rsid w:val="009C523E"/>
    <w:rsid w:val="009C59A3"/>
    <w:rsid w:val="009C743F"/>
    <w:rsid w:val="009D1FF4"/>
    <w:rsid w:val="009D2942"/>
    <w:rsid w:val="009D350D"/>
    <w:rsid w:val="009D41F8"/>
    <w:rsid w:val="009D4615"/>
    <w:rsid w:val="009D50EB"/>
    <w:rsid w:val="009D538B"/>
    <w:rsid w:val="009D6A1C"/>
    <w:rsid w:val="009D72AE"/>
    <w:rsid w:val="009E00A3"/>
    <w:rsid w:val="009E0686"/>
    <w:rsid w:val="009E78E9"/>
    <w:rsid w:val="009E7BFC"/>
    <w:rsid w:val="009F01BC"/>
    <w:rsid w:val="009F06A7"/>
    <w:rsid w:val="009F1296"/>
    <w:rsid w:val="009F1C83"/>
    <w:rsid w:val="009F1CBB"/>
    <w:rsid w:val="009F2B9D"/>
    <w:rsid w:val="009F31B0"/>
    <w:rsid w:val="009F3C47"/>
    <w:rsid w:val="009F3D27"/>
    <w:rsid w:val="009F6F99"/>
    <w:rsid w:val="009F71EA"/>
    <w:rsid w:val="00A00BA1"/>
    <w:rsid w:val="00A028E6"/>
    <w:rsid w:val="00A036BD"/>
    <w:rsid w:val="00A044CC"/>
    <w:rsid w:val="00A0476A"/>
    <w:rsid w:val="00A04B78"/>
    <w:rsid w:val="00A05A77"/>
    <w:rsid w:val="00A05AA3"/>
    <w:rsid w:val="00A0634E"/>
    <w:rsid w:val="00A06C68"/>
    <w:rsid w:val="00A07706"/>
    <w:rsid w:val="00A0770B"/>
    <w:rsid w:val="00A07A04"/>
    <w:rsid w:val="00A07A15"/>
    <w:rsid w:val="00A109D1"/>
    <w:rsid w:val="00A11D25"/>
    <w:rsid w:val="00A12029"/>
    <w:rsid w:val="00A12BAA"/>
    <w:rsid w:val="00A12D29"/>
    <w:rsid w:val="00A14271"/>
    <w:rsid w:val="00A14326"/>
    <w:rsid w:val="00A15DC9"/>
    <w:rsid w:val="00A211AC"/>
    <w:rsid w:val="00A22472"/>
    <w:rsid w:val="00A2532B"/>
    <w:rsid w:val="00A25876"/>
    <w:rsid w:val="00A274E9"/>
    <w:rsid w:val="00A27A1E"/>
    <w:rsid w:val="00A30907"/>
    <w:rsid w:val="00A32238"/>
    <w:rsid w:val="00A32A57"/>
    <w:rsid w:val="00A338C9"/>
    <w:rsid w:val="00A33E85"/>
    <w:rsid w:val="00A35342"/>
    <w:rsid w:val="00A367EA"/>
    <w:rsid w:val="00A4022D"/>
    <w:rsid w:val="00A40C4A"/>
    <w:rsid w:val="00A421D3"/>
    <w:rsid w:val="00A45671"/>
    <w:rsid w:val="00A471B9"/>
    <w:rsid w:val="00A519E5"/>
    <w:rsid w:val="00A51F8C"/>
    <w:rsid w:val="00A52745"/>
    <w:rsid w:val="00A52BEB"/>
    <w:rsid w:val="00A54367"/>
    <w:rsid w:val="00A54E1F"/>
    <w:rsid w:val="00A57C1C"/>
    <w:rsid w:val="00A57CFD"/>
    <w:rsid w:val="00A609A1"/>
    <w:rsid w:val="00A6308A"/>
    <w:rsid w:val="00A6370C"/>
    <w:rsid w:val="00A63C47"/>
    <w:rsid w:val="00A643B0"/>
    <w:rsid w:val="00A6455D"/>
    <w:rsid w:val="00A647AD"/>
    <w:rsid w:val="00A64CC7"/>
    <w:rsid w:val="00A67B5D"/>
    <w:rsid w:val="00A67C0A"/>
    <w:rsid w:val="00A700A0"/>
    <w:rsid w:val="00A73735"/>
    <w:rsid w:val="00A76A2A"/>
    <w:rsid w:val="00A76E29"/>
    <w:rsid w:val="00A771B7"/>
    <w:rsid w:val="00A771B9"/>
    <w:rsid w:val="00A776CF"/>
    <w:rsid w:val="00A807ED"/>
    <w:rsid w:val="00A80D5A"/>
    <w:rsid w:val="00A811AD"/>
    <w:rsid w:val="00A815C5"/>
    <w:rsid w:val="00A8310C"/>
    <w:rsid w:val="00A83352"/>
    <w:rsid w:val="00A838CA"/>
    <w:rsid w:val="00A83CD1"/>
    <w:rsid w:val="00A83EC8"/>
    <w:rsid w:val="00A858C5"/>
    <w:rsid w:val="00A85D09"/>
    <w:rsid w:val="00A85D7A"/>
    <w:rsid w:val="00A86651"/>
    <w:rsid w:val="00A87504"/>
    <w:rsid w:val="00A87A8D"/>
    <w:rsid w:val="00A90B5D"/>
    <w:rsid w:val="00A92755"/>
    <w:rsid w:val="00A937C3"/>
    <w:rsid w:val="00A938FE"/>
    <w:rsid w:val="00A93E19"/>
    <w:rsid w:val="00A94727"/>
    <w:rsid w:val="00A9714A"/>
    <w:rsid w:val="00AA23A9"/>
    <w:rsid w:val="00AA2ADC"/>
    <w:rsid w:val="00AA342B"/>
    <w:rsid w:val="00AA38DB"/>
    <w:rsid w:val="00AA4366"/>
    <w:rsid w:val="00AA4C88"/>
    <w:rsid w:val="00AA5343"/>
    <w:rsid w:val="00AA540E"/>
    <w:rsid w:val="00AA6C38"/>
    <w:rsid w:val="00AB141D"/>
    <w:rsid w:val="00AB239B"/>
    <w:rsid w:val="00AB2F8E"/>
    <w:rsid w:val="00AB3103"/>
    <w:rsid w:val="00AB322D"/>
    <w:rsid w:val="00AB49F7"/>
    <w:rsid w:val="00AB685E"/>
    <w:rsid w:val="00AB6AE5"/>
    <w:rsid w:val="00AB7163"/>
    <w:rsid w:val="00AC03E0"/>
    <w:rsid w:val="00AC188F"/>
    <w:rsid w:val="00AC4046"/>
    <w:rsid w:val="00AC642B"/>
    <w:rsid w:val="00AC6D3D"/>
    <w:rsid w:val="00AD15BE"/>
    <w:rsid w:val="00AD3532"/>
    <w:rsid w:val="00AD3F40"/>
    <w:rsid w:val="00AD554D"/>
    <w:rsid w:val="00AD7095"/>
    <w:rsid w:val="00AE0674"/>
    <w:rsid w:val="00AE1080"/>
    <w:rsid w:val="00AE3DBE"/>
    <w:rsid w:val="00AE4123"/>
    <w:rsid w:val="00AE5714"/>
    <w:rsid w:val="00AE59AE"/>
    <w:rsid w:val="00AE6E73"/>
    <w:rsid w:val="00AF1E97"/>
    <w:rsid w:val="00AF3652"/>
    <w:rsid w:val="00AF46D4"/>
    <w:rsid w:val="00AF47C6"/>
    <w:rsid w:val="00AF620B"/>
    <w:rsid w:val="00AF70BB"/>
    <w:rsid w:val="00AF794A"/>
    <w:rsid w:val="00B00894"/>
    <w:rsid w:val="00B009AD"/>
    <w:rsid w:val="00B029E9"/>
    <w:rsid w:val="00B02B09"/>
    <w:rsid w:val="00B02F56"/>
    <w:rsid w:val="00B03146"/>
    <w:rsid w:val="00B06670"/>
    <w:rsid w:val="00B066BB"/>
    <w:rsid w:val="00B07295"/>
    <w:rsid w:val="00B10344"/>
    <w:rsid w:val="00B14C4F"/>
    <w:rsid w:val="00B158CC"/>
    <w:rsid w:val="00B17BF4"/>
    <w:rsid w:val="00B17E00"/>
    <w:rsid w:val="00B20550"/>
    <w:rsid w:val="00B20DB9"/>
    <w:rsid w:val="00B21579"/>
    <w:rsid w:val="00B218E3"/>
    <w:rsid w:val="00B224AC"/>
    <w:rsid w:val="00B22A81"/>
    <w:rsid w:val="00B23EFA"/>
    <w:rsid w:val="00B24B79"/>
    <w:rsid w:val="00B25024"/>
    <w:rsid w:val="00B25348"/>
    <w:rsid w:val="00B258AF"/>
    <w:rsid w:val="00B2709E"/>
    <w:rsid w:val="00B30DAF"/>
    <w:rsid w:val="00B345EC"/>
    <w:rsid w:val="00B367B9"/>
    <w:rsid w:val="00B36A1F"/>
    <w:rsid w:val="00B36C0B"/>
    <w:rsid w:val="00B37C61"/>
    <w:rsid w:val="00B37D81"/>
    <w:rsid w:val="00B42CB5"/>
    <w:rsid w:val="00B443B4"/>
    <w:rsid w:val="00B44A5B"/>
    <w:rsid w:val="00B47B63"/>
    <w:rsid w:val="00B51ABE"/>
    <w:rsid w:val="00B51BDE"/>
    <w:rsid w:val="00B5233F"/>
    <w:rsid w:val="00B52BCD"/>
    <w:rsid w:val="00B54E03"/>
    <w:rsid w:val="00B55138"/>
    <w:rsid w:val="00B563A8"/>
    <w:rsid w:val="00B605D0"/>
    <w:rsid w:val="00B60E28"/>
    <w:rsid w:val="00B60F0A"/>
    <w:rsid w:val="00B61785"/>
    <w:rsid w:val="00B61876"/>
    <w:rsid w:val="00B630E1"/>
    <w:rsid w:val="00B63B2B"/>
    <w:rsid w:val="00B64790"/>
    <w:rsid w:val="00B647E6"/>
    <w:rsid w:val="00B65882"/>
    <w:rsid w:val="00B678A2"/>
    <w:rsid w:val="00B67EFE"/>
    <w:rsid w:val="00B71273"/>
    <w:rsid w:val="00B71890"/>
    <w:rsid w:val="00B72090"/>
    <w:rsid w:val="00B7289D"/>
    <w:rsid w:val="00B75401"/>
    <w:rsid w:val="00B757D4"/>
    <w:rsid w:val="00B76FF9"/>
    <w:rsid w:val="00B77A63"/>
    <w:rsid w:val="00B82D5D"/>
    <w:rsid w:val="00B8348E"/>
    <w:rsid w:val="00B8398C"/>
    <w:rsid w:val="00B859A5"/>
    <w:rsid w:val="00B85AB4"/>
    <w:rsid w:val="00B8672C"/>
    <w:rsid w:val="00B91F40"/>
    <w:rsid w:val="00B92357"/>
    <w:rsid w:val="00B9653D"/>
    <w:rsid w:val="00B96806"/>
    <w:rsid w:val="00B9743E"/>
    <w:rsid w:val="00BA1530"/>
    <w:rsid w:val="00BA17F5"/>
    <w:rsid w:val="00BA24E6"/>
    <w:rsid w:val="00BA2D8A"/>
    <w:rsid w:val="00BA2F65"/>
    <w:rsid w:val="00BA5918"/>
    <w:rsid w:val="00BA5C31"/>
    <w:rsid w:val="00BB0604"/>
    <w:rsid w:val="00BB1168"/>
    <w:rsid w:val="00BB11CD"/>
    <w:rsid w:val="00BB1490"/>
    <w:rsid w:val="00BB162F"/>
    <w:rsid w:val="00BB1A48"/>
    <w:rsid w:val="00BB4DB2"/>
    <w:rsid w:val="00BB501D"/>
    <w:rsid w:val="00BB52C0"/>
    <w:rsid w:val="00BB7CF3"/>
    <w:rsid w:val="00BC0824"/>
    <w:rsid w:val="00BC3E81"/>
    <w:rsid w:val="00BC5DC3"/>
    <w:rsid w:val="00BC7D48"/>
    <w:rsid w:val="00BD02CF"/>
    <w:rsid w:val="00BD03DB"/>
    <w:rsid w:val="00BD048F"/>
    <w:rsid w:val="00BD04AA"/>
    <w:rsid w:val="00BD12CE"/>
    <w:rsid w:val="00BD28A9"/>
    <w:rsid w:val="00BD3BCA"/>
    <w:rsid w:val="00BD541B"/>
    <w:rsid w:val="00BD542C"/>
    <w:rsid w:val="00BE1BFD"/>
    <w:rsid w:val="00BE50F8"/>
    <w:rsid w:val="00BE5CA2"/>
    <w:rsid w:val="00BE63AF"/>
    <w:rsid w:val="00BE7776"/>
    <w:rsid w:val="00BF0374"/>
    <w:rsid w:val="00BF3D8E"/>
    <w:rsid w:val="00BF5BBA"/>
    <w:rsid w:val="00BF5FA4"/>
    <w:rsid w:val="00C022FD"/>
    <w:rsid w:val="00C029D5"/>
    <w:rsid w:val="00C0315B"/>
    <w:rsid w:val="00C050D5"/>
    <w:rsid w:val="00C07AFD"/>
    <w:rsid w:val="00C07F03"/>
    <w:rsid w:val="00C1007F"/>
    <w:rsid w:val="00C1096C"/>
    <w:rsid w:val="00C10A9A"/>
    <w:rsid w:val="00C10B6E"/>
    <w:rsid w:val="00C11C54"/>
    <w:rsid w:val="00C11E45"/>
    <w:rsid w:val="00C15190"/>
    <w:rsid w:val="00C164A8"/>
    <w:rsid w:val="00C16A7B"/>
    <w:rsid w:val="00C17488"/>
    <w:rsid w:val="00C2074E"/>
    <w:rsid w:val="00C224A4"/>
    <w:rsid w:val="00C25DD8"/>
    <w:rsid w:val="00C301E8"/>
    <w:rsid w:val="00C32455"/>
    <w:rsid w:val="00C326C1"/>
    <w:rsid w:val="00C35962"/>
    <w:rsid w:val="00C37687"/>
    <w:rsid w:val="00C429B4"/>
    <w:rsid w:val="00C43A38"/>
    <w:rsid w:val="00C43DFA"/>
    <w:rsid w:val="00C44168"/>
    <w:rsid w:val="00C450DF"/>
    <w:rsid w:val="00C452F3"/>
    <w:rsid w:val="00C46D47"/>
    <w:rsid w:val="00C47847"/>
    <w:rsid w:val="00C506FE"/>
    <w:rsid w:val="00C50AB2"/>
    <w:rsid w:val="00C5139A"/>
    <w:rsid w:val="00C54029"/>
    <w:rsid w:val="00C554F6"/>
    <w:rsid w:val="00C60140"/>
    <w:rsid w:val="00C6101B"/>
    <w:rsid w:val="00C623B8"/>
    <w:rsid w:val="00C62D65"/>
    <w:rsid w:val="00C632A5"/>
    <w:rsid w:val="00C635A1"/>
    <w:rsid w:val="00C636B0"/>
    <w:rsid w:val="00C65661"/>
    <w:rsid w:val="00C667BF"/>
    <w:rsid w:val="00C670D3"/>
    <w:rsid w:val="00C67442"/>
    <w:rsid w:val="00C67B93"/>
    <w:rsid w:val="00C70777"/>
    <w:rsid w:val="00C727E1"/>
    <w:rsid w:val="00C72815"/>
    <w:rsid w:val="00C7305B"/>
    <w:rsid w:val="00C73FFA"/>
    <w:rsid w:val="00C74361"/>
    <w:rsid w:val="00C74998"/>
    <w:rsid w:val="00C74ABC"/>
    <w:rsid w:val="00C7617C"/>
    <w:rsid w:val="00C76551"/>
    <w:rsid w:val="00C76561"/>
    <w:rsid w:val="00C766B9"/>
    <w:rsid w:val="00C771C7"/>
    <w:rsid w:val="00C8064B"/>
    <w:rsid w:val="00C80DC0"/>
    <w:rsid w:val="00C80F19"/>
    <w:rsid w:val="00C81427"/>
    <w:rsid w:val="00C81B94"/>
    <w:rsid w:val="00C82C01"/>
    <w:rsid w:val="00C83C68"/>
    <w:rsid w:val="00C8440B"/>
    <w:rsid w:val="00C84F2D"/>
    <w:rsid w:val="00C87EA7"/>
    <w:rsid w:val="00C908FD"/>
    <w:rsid w:val="00C90E96"/>
    <w:rsid w:val="00C90ECE"/>
    <w:rsid w:val="00C913D0"/>
    <w:rsid w:val="00C91573"/>
    <w:rsid w:val="00C91EDE"/>
    <w:rsid w:val="00C91FC6"/>
    <w:rsid w:val="00C92986"/>
    <w:rsid w:val="00C92DED"/>
    <w:rsid w:val="00C9446A"/>
    <w:rsid w:val="00C948CE"/>
    <w:rsid w:val="00C95C2F"/>
    <w:rsid w:val="00CA350B"/>
    <w:rsid w:val="00CA5F64"/>
    <w:rsid w:val="00CA7D81"/>
    <w:rsid w:val="00CB1513"/>
    <w:rsid w:val="00CB36AC"/>
    <w:rsid w:val="00CB3C23"/>
    <w:rsid w:val="00CB3D51"/>
    <w:rsid w:val="00CB48C1"/>
    <w:rsid w:val="00CB4B5B"/>
    <w:rsid w:val="00CB4C18"/>
    <w:rsid w:val="00CB6F0B"/>
    <w:rsid w:val="00CB78A0"/>
    <w:rsid w:val="00CB7B76"/>
    <w:rsid w:val="00CC0B87"/>
    <w:rsid w:val="00CC16E8"/>
    <w:rsid w:val="00CC21A2"/>
    <w:rsid w:val="00CC3D49"/>
    <w:rsid w:val="00CC3FEA"/>
    <w:rsid w:val="00CC558A"/>
    <w:rsid w:val="00CC622F"/>
    <w:rsid w:val="00CD13CD"/>
    <w:rsid w:val="00CD20C9"/>
    <w:rsid w:val="00CD4F9C"/>
    <w:rsid w:val="00CD7D42"/>
    <w:rsid w:val="00CD7DC1"/>
    <w:rsid w:val="00CE1F44"/>
    <w:rsid w:val="00CE4023"/>
    <w:rsid w:val="00CE4F75"/>
    <w:rsid w:val="00CE5959"/>
    <w:rsid w:val="00CE7084"/>
    <w:rsid w:val="00CE781E"/>
    <w:rsid w:val="00CF0497"/>
    <w:rsid w:val="00CF0B5E"/>
    <w:rsid w:val="00CF5A95"/>
    <w:rsid w:val="00CF6EA7"/>
    <w:rsid w:val="00CF7E59"/>
    <w:rsid w:val="00CF7F49"/>
    <w:rsid w:val="00D00177"/>
    <w:rsid w:val="00D011C2"/>
    <w:rsid w:val="00D0187F"/>
    <w:rsid w:val="00D0195E"/>
    <w:rsid w:val="00D027E3"/>
    <w:rsid w:val="00D02892"/>
    <w:rsid w:val="00D03744"/>
    <w:rsid w:val="00D03EED"/>
    <w:rsid w:val="00D048EB"/>
    <w:rsid w:val="00D04DC4"/>
    <w:rsid w:val="00D0533C"/>
    <w:rsid w:val="00D0557F"/>
    <w:rsid w:val="00D06704"/>
    <w:rsid w:val="00D079DC"/>
    <w:rsid w:val="00D118D8"/>
    <w:rsid w:val="00D11D71"/>
    <w:rsid w:val="00D11E79"/>
    <w:rsid w:val="00D1204B"/>
    <w:rsid w:val="00D132BA"/>
    <w:rsid w:val="00D13644"/>
    <w:rsid w:val="00D14D85"/>
    <w:rsid w:val="00D156B8"/>
    <w:rsid w:val="00D160AF"/>
    <w:rsid w:val="00D2095B"/>
    <w:rsid w:val="00D20B38"/>
    <w:rsid w:val="00D2146D"/>
    <w:rsid w:val="00D248B4"/>
    <w:rsid w:val="00D27B0D"/>
    <w:rsid w:val="00D30608"/>
    <w:rsid w:val="00D30E0B"/>
    <w:rsid w:val="00D32C28"/>
    <w:rsid w:val="00D33A65"/>
    <w:rsid w:val="00D33B7A"/>
    <w:rsid w:val="00D33F9C"/>
    <w:rsid w:val="00D34C9C"/>
    <w:rsid w:val="00D35C78"/>
    <w:rsid w:val="00D37071"/>
    <w:rsid w:val="00D40AE2"/>
    <w:rsid w:val="00D42593"/>
    <w:rsid w:val="00D43BA1"/>
    <w:rsid w:val="00D45851"/>
    <w:rsid w:val="00D468F2"/>
    <w:rsid w:val="00D478DE"/>
    <w:rsid w:val="00D50A9D"/>
    <w:rsid w:val="00D532AD"/>
    <w:rsid w:val="00D53567"/>
    <w:rsid w:val="00D535DE"/>
    <w:rsid w:val="00D53F82"/>
    <w:rsid w:val="00D54E34"/>
    <w:rsid w:val="00D555C4"/>
    <w:rsid w:val="00D56195"/>
    <w:rsid w:val="00D602FA"/>
    <w:rsid w:val="00D60989"/>
    <w:rsid w:val="00D61BFF"/>
    <w:rsid w:val="00D61F80"/>
    <w:rsid w:val="00D6519C"/>
    <w:rsid w:val="00D677D9"/>
    <w:rsid w:val="00D679F2"/>
    <w:rsid w:val="00D70691"/>
    <w:rsid w:val="00D72064"/>
    <w:rsid w:val="00D73244"/>
    <w:rsid w:val="00D750FC"/>
    <w:rsid w:val="00D758B1"/>
    <w:rsid w:val="00D75E0A"/>
    <w:rsid w:val="00D7626D"/>
    <w:rsid w:val="00D773D2"/>
    <w:rsid w:val="00D7758C"/>
    <w:rsid w:val="00D807E6"/>
    <w:rsid w:val="00D81741"/>
    <w:rsid w:val="00D8214F"/>
    <w:rsid w:val="00D82D8E"/>
    <w:rsid w:val="00D870C9"/>
    <w:rsid w:val="00D91AC4"/>
    <w:rsid w:val="00D921CB"/>
    <w:rsid w:val="00D93A42"/>
    <w:rsid w:val="00D96FD3"/>
    <w:rsid w:val="00DA0A5F"/>
    <w:rsid w:val="00DA128F"/>
    <w:rsid w:val="00DA2C0D"/>
    <w:rsid w:val="00DA406F"/>
    <w:rsid w:val="00DA487D"/>
    <w:rsid w:val="00DA615C"/>
    <w:rsid w:val="00DA61B7"/>
    <w:rsid w:val="00DA6ABB"/>
    <w:rsid w:val="00DA751E"/>
    <w:rsid w:val="00DA7AB5"/>
    <w:rsid w:val="00DB07D8"/>
    <w:rsid w:val="00DB7018"/>
    <w:rsid w:val="00DC0AFC"/>
    <w:rsid w:val="00DC510F"/>
    <w:rsid w:val="00DC55C9"/>
    <w:rsid w:val="00DC6D92"/>
    <w:rsid w:val="00DC7D3F"/>
    <w:rsid w:val="00DD22D7"/>
    <w:rsid w:val="00DD2D3F"/>
    <w:rsid w:val="00DD2D91"/>
    <w:rsid w:val="00DD33F3"/>
    <w:rsid w:val="00DD47D9"/>
    <w:rsid w:val="00DD548B"/>
    <w:rsid w:val="00DD6166"/>
    <w:rsid w:val="00DE35D0"/>
    <w:rsid w:val="00DE4D40"/>
    <w:rsid w:val="00DE5C26"/>
    <w:rsid w:val="00DE5EAF"/>
    <w:rsid w:val="00DE7158"/>
    <w:rsid w:val="00DE7913"/>
    <w:rsid w:val="00DF0215"/>
    <w:rsid w:val="00DF0467"/>
    <w:rsid w:val="00DF2A1F"/>
    <w:rsid w:val="00DF30D2"/>
    <w:rsid w:val="00DF43A8"/>
    <w:rsid w:val="00DF50AE"/>
    <w:rsid w:val="00DF575D"/>
    <w:rsid w:val="00DF58D3"/>
    <w:rsid w:val="00DF62FB"/>
    <w:rsid w:val="00DF7545"/>
    <w:rsid w:val="00E002DD"/>
    <w:rsid w:val="00E00998"/>
    <w:rsid w:val="00E00D5C"/>
    <w:rsid w:val="00E019EC"/>
    <w:rsid w:val="00E01F67"/>
    <w:rsid w:val="00E0271B"/>
    <w:rsid w:val="00E03AAF"/>
    <w:rsid w:val="00E05D15"/>
    <w:rsid w:val="00E06FC9"/>
    <w:rsid w:val="00E11A7A"/>
    <w:rsid w:val="00E155D8"/>
    <w:rsid w:val="00E15A05"/>
    <w:rsid w:val="00E16374"/>
    <w:rsid w:val="00E167F4"/>
    <w:rsid w:val="00E16B00"/>
    <w:rsid w:val="00E171F2"/>
    <w:rsid w:val="00E179D4"/>
    <w:rsid w:val="00E204AB"/>
    <w:rsid w:val="00E20759"/>
    <w:rsid w:val="00E210F0"/>
    <w:rsid w:val="00E21369"/>
    <w:rsid w:val="00E216F3"/>
    <w:rsid w:val="00E22034"/>
    <w:rsid w:val="00E220CF"/>
    <w:rsid w:val="00E23677"/>
    <w:rsid w:val="00E2419E"/>
    <w:rsid w:val="00E2477C"/>
    <w:rsid w:val="00E2484B"/>
    <w:rsid w:val="00E278D0"/>
    <w:rsid w:val="00E31E03"/>
    <w:rsid w:val="00E32079"/>
    <w:rsid w:val="00E32896"/>
    <w:rsid w:val="00E35066"/>
    <w:rsid w:val="00E361D0"/>
    <w:rsid w:val="00E3757D"/>
    <w:rsid w:val="00E40543"/>
    <w:rsid w:val="00E406B8"/>
    <w:rsid w:val="00E41560"/>
    <w:rsid w:val="00E41B46"/>
    <w:rsid w:val="00E42A2A"/>
    <w:rsid w:val="00E44867"/>
    <w:rsid w:val="00E471D0"/>
    <w:rsid w:val="00E47944"/>
    <w:rsid w:val="00E512D6"/>
    <w:rsid w:val="00E5189E"/>
    <w:rsid w:val="00E519F6"/>
    <w:rsid w:val="00E51AE5"/>
    <w:rsid w:val="00E539F1"/>
    <w:rsid w:val="00E54738"/>
    <w:rsid w:val="00E54C09"/>
    <w:rsid w:val="00E55E25"/>
    <w:rsid w:val="00E55F02"/>
    <w:rsid w:val="00E60AE7"/>
    <w:rsid w:val="00E63A38"/>
    <w:rsid w:val="00E705BA"/>
    <w:rsid w:val="00E707F8"/>
    <w:rsid w:val="00E715B0"/>
    <w:rsid w:val="00E71FE5"/>
    <w:rsid w:val="00E72160"/>
    <w:rsid w:val="00E721C4"/>
    <w:rsid w:val="00E726F6"/>
    <w:rsid w:val="00E72F2A"/>
    <w:rsid w:val="00E762DA"/>
    <w:rsid w:val="00E814E7"/>
    <w:rsid w:val="00E82C68"/>
    <w:rsid w:val="00E84375"/>
    <w:rsid w:val="00E86392"/>
    <w:rsid w:val="00E86729"/>
    <w:rsid w:val="00E8678D"/>
    <w:rsid w:val="00E867FB"/>
    <w:rsid w:val="00E87836"/>
    <w:rsid w:val="00E9049D"/>
    <w:rsid w:val="00E91DE3"/>
    <w:rsid w:val="00E9352B"/>
    <w:rsid w:val="00E93949"/>
    <w:rsid w:val="00E9508F"/>
    <w:rsid w:val="00E9515C"/>
    <w:rsid w:val="00E9762B"/>
    <w:rsid w:val="00EA1154"/>
    <w:rsid w:val="00EA46D6"/>
    <w:rsid w:val="00EA4BC0"/>
    <w:rsid w:val="00EA5936"/>
    <w:rsid w:val="00EA602C"/>
    <w:rsid w:val="00EB1240"/>
    <w:rsid w:val="00EB1574"/>
    <w:rsid w:val="00EB287A"/>
    <w:rsid w:val="00EB2F06"/>
    <w:rsid w:val="00EB39C2"/>
    <w:rsid w:val="00EB4474"/>
    <w:rsid w:val="00EB4D50"/>
    <w:rsid w:val="00EB4EE4"/>
    <w:rsid w:val="00EB5D11"/>
    <w:rsid w:val="00EB5F83"/>
    <w:rsid w:val="00EB6B76"/>
    <w:rsid w:val="00EC03B3"/>
    <w:rsid w:val="00EC1C94"/>
    <w:rsid w:val="00EC2F05"/>
    <w:rsid w:val="00EC31F6"/>
    <w:rsid w:val="00EC35FD"/>
    <w:rsid w:val="00EC3D2D"/>
    <w:rsid w:val="00EC5ABB"/>
    <w:rsid w:val="00EC6F22"/>
    <w:rsid w:val="00EC6F54"/>
    <w:rsid w:val="00EC7353"/>
    <w:rsid w:val="00EC7401"/>
    <w:rsid w:val="00EC7518"/>
    <w:rsid w:val="00ED0631"/>
    <w:rsid w:val="00ED0AAC"/>
    <w:rsid w:val="00ED1D00"/>
    <w:rsid w:val="00ED1DC8"/>
    <w:rsid w:val="00ED3E28"/>
    <w:rsid w:val="00ED48FF"/>
    <w:rsid w:val="00ED4BC1"/>
    <w:rsid w:val="00ED6225"/>
    <w:rsid w:val="00ED64BB"/>
    <w:rsid w:val="00ED7EAA"/>
    <w:rsid w:val="00EE0817"/>
    <w:rsid w:val="00EE16A7"/>
    <w:rsid w:val="00EE1FA9"/>
    <w:rsid w:val="00EE21BE"/>
    <w:rsid w:val="00EE3AAA"/>
    <w:rsid w:val="00EE4D6C"/>
    <w:rsid w:val="00EE516F"/>
    <w:rsid w:val="00EE68AC"/>
    <w:rsid w:val="00EE751B"/>
    <w:rsid w:val="00EF011C"/>
    <w:rsid w:val="00EF0561"/>
    <w:rsid w:val="00EF513F"/>
    <w:rsid w:val="00EF5C15"/>
    <w:rsid w:val="00EF61C7"/>
    <w:rsid w:val="00EF62AE"/>
    <w:rsid w:val="00EF72D1"/>
    <w:rsid w:val="00EF748A"/>
    <w:rsid w:val="00EF7F51"/>
    <w:rsid w:val="00F007BE"/>
    <w:rsid w:val="00F00BF6"/>
    <w:rsid w:val="00F01F3C"/>
    <w:rsid w:val="00F02C91"/>
    <w:rsid w:val="00F0606B"/>
    <w:rsid w:val="00F06AFF"/>
    <w:rsid w:val="00F06B98"/>
    <w:rsid w:val="00F07919"/>
    <w:rsid w:val="00F10130"/>
    <w:rsid w:val="00F1057C"/>
    <w:rsid w:val="00F1191C"/>
    <w:rsid w:val="00F12B7D"/>
    <w:rsid w:val="00F14D18"/>
    <w:rsid w:val="00F153D2"/>
    <w:rsid w:val="00F157D6"/>
    <w:rsid w:val="00F15FAB"/>
    <w:rsid w:val="00F17E2B"/>
    <w:rsid w:val="00F20374"/>
    <w:rsid w:val="00F20B82"/>
    <w:rsid w:val="00F2262C"/>
    <w:rsid w:val="00F240E1"/>
    <w:rsid w:val="00F24105"/>
    <w:rsid w:val="00F25981"/>
    <w:rsid w:val="00F2609D"/>
    <w:rsid w:val="00F262B9"/>
    <w:rsid w:val="00F26599"/>
    <w:rsid w:val="00F27D44"/>
    <w:rsid w:val="00F32376"/>
    <w:rsid w:val="00F33575"/>
    <w:rsid w:val="00F33718"/>
    <w:rsid w:val="00F34C94"/>
    <w:rsid w:val="00F35501"/>
    <w:rsid w:val="00F377EC"/>
    <w:rsid w:val="00F41259"/>
    <w:rsid w:val="00F4236D"/>
    <w:rsid w:val="00F42523"/>
    <w:rsid w:val="00F42582"/>
    <w:rsid w:val="00F4449D"/>
    <w:rsid w:val="00F447B3"/>
    <w:rsid w:val="00F44B64"/>
    <w:rsid w:val="00F50310"/>
    <w:rsid w:val="00F50B52"/>
    <w:rsid w:val="00F50F28"/>
    <w:rsid w:val="00F52BDB"/>
    <w:rsid w:val="00F537C4"/>
    <w:rsid w:val="00F542E7"/>
    <w:rsid w:val="00F54C8E"/>
    <w:rsid w:val="00F5577A"/>
    <w:rsid w:val="00F557E3"/>
    <w:rsid w:val="00F56CEF"/>
    <w:rsid w:val="00F6050A"/>
    <w:rsid w:val="00F605E7"/>
    <w:rsid w:val="00F606A5"/>
    <w:rsid w:val="00F63D8A"/>
    <w:rsid w:val="00F64E90"/>
    <w:rsid w:val="00F6645E"/>
    <w:rsid w:val="00F670B7"/>
    <w:rsid w:val="00F6725C"/>
    <w:rsid w:val="00F67EE2"/>
    <w:rsid w:val="00F67F81"/>
    <w:rsid w:val="00F722E6"/>
    <w:rsid w:val="00F73415"/>
    <w:rsid w:val="00F73AEC"/>
    <w:rsid w:val="00F80028"/>
    <w:rsid w:val="00F800C8"/>
    <w:rsid w:val="00F80473"/>
    <w:rsid w:val="00F80D3C"/>
    <w:rsid w:val="00F8130C"/>
    <w:rsid w:val="00F82524"/>
    <w:rsid w:val="00F83B4F"/>
    <w:rsid w:val="00F83D11"/>
    <w:rsid w:val="00F86DC1"/>
    <w:rsid w:val="00F870F0"/>
    <w:rsid w:val="00F87A9F"/>
    <w:rsid w:val="00F87C44"/>
    <w:rsid w:val="00F90183"/>
    <w:rsid w:val="00F906FD"/>
    <w:rsid w:val="00F917FB"/>
    <w:rsid w:val="00F91BEB"/>
    <w:rsid w:val="00F944E4"/>
    <w:rsid w:val="00F96781"/>
    <w:rsid w:val="00F96B33"/>
    <w:rsid w:val="00F97129"/>
    <w:rsid w:val="00F971FC"/>
    <w:rsid w:val="00FA3FFF"/>
    <w:rsid w:val="00FA49D1"/>
    <w:rsid w:val="00FA51C3"/>
    <w:rsid w:val="00FA5548"/>
    <w:rsid w:val="00FB070D"/>
    <w:rsid w:val="00FB0766"/>
    <w:rsid w:val="00FB2709"/>
    <w:rsid w:val="00FB415C"/>
    <w:rsid w:val="00FB53A5"/>
    <w:rsid w:val="00FB5408"/>
    <w:rsid w:val="00FB5DBC"/>
    <w:rsid w:val="00FB619E"/>
    <w:rsid w:val="00FB61F0"/>
    <w:rsid w:val="00FB6944"/>
    <w:rsid w:val="00FB6AB8"/>
    <w:rsid w:val="00FB7750"/>
    <w:rsid w:val="00FC15C0"/>
    <w:rsid w:val="00FC1FB4"/>
    <w:rsid w:val="00FC2274"/>
    <w:rsid w:val="00FC28F9"/>
    <w:rsid w:val="00FC34E3"/>
    <w:rsid w:val="00FC56DC"/>
    <w:rsid w:val="00FC5C16"/>
    <w:rsid w:val="00FC62E8"/>
    <w:rsid w:val="00FC6B08"/>
    <w:rsid w:val="00FC6E7D"/>
    <w:rsid w:val="00FD0346"/>
    <w:rsid w:val="00FD0788"/>
    <w:rsid w:val="00FD114C"/>
    <w:rsid w:val="00FD13E8"/>
    <w:rsid w:val="00FD1838"/>
    <w:rsid w:val="00FD3A47"/>
    <w:rsid w:val="00FD3B88"/>
    <w:rsid w:val="00FD44AF"/>
    <w:rsid w:val="00FD4768"/>
    <w:rsid w:val="00FD55CC"/>
    <w:rsid w:val="00FE204C"/>
    <w:rsid w:val="00FE21B4"/>
    <w:rsid w:val="00FE2417"/>
    <w:rsid w:val="00FE5171"/>
    <w:rsid w:val="00FE5588"/>
    <w:rsid w:val="00FE5824"/>
    <w:rsid w:val="00FE5D34"/>
    <w:rsid w:val="00FE66BB"/>
    <w:rsid w:val="00FF0B1F"/>
    <w:rsid w:val="00FF167C"/>
    <w:rsid w:val="00FF415F"/>
    <w:rsid w:val="00FF50EA"/>
    <w:rsid w:val="00FF625F"/>
    <w:rsid w:val="00FF67BF"/>
    <w:rsid w:val="00FF72C8"/>
    <w:rsid w:val="00FF7FA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027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uiPriority="29" w:semiHidden="1" w:unhideWhenUsed="1" w:qFormat="1"/>
    <w:lsdException w:name="heading 4" w:uiPriority="29" w:semiHidden="1" w:unhideWhenUsed="1" w:qFormat="1"/>
    <w:lsdException w:name="heading 5" w:uiPriority="29" w:semiHidden="1" w:unhideWhenUsed="1" w:qFormat="1"/>
    <w:lsdException w:name="heading 6" w:uiPriority="29" w:semiHidden="1" w:unhideWhenUsed="1" w:qFormat="1"/>
    <w:lsdException w:name="heading 7" w:uiPriority="29" w:semiHidden="1" w:unhideWhenUsed="1" w:qFormat="1"/>
    <w:lsdException w:name="heading 8" w:uiPriority="29" w:semiHidden="1" w:unhideWhenUsed="1" w:qFormat="1"/>
    <w:lsdException w:name="heading 9" w:uiPriority="2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uiPriority="29" w:semiHidden="1" w:unhideWhenUsed="1"/>
    <w:lsdException w:name="footer" w:semiHidden="1" w:unhideWhenUsed="1" w:qFormat="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uiPriority="1" w:semiHidden="1" w:unhideWhenUsed="1"/>
    <w:lsdException w:name="Body Text" w:uiPriority="19"/>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
    <w:lsdException w:name="Body Text 3" w:uiPriority="9"/>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3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2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2417"/>
    <w:pPr>
      <w:spacing w:line="276" w:lineRule="auto"/>
      <w:jc w:val="both"/>
    </w:pPr>
    <w:rPr>
      <w:rFonts w:ascii="Times New Roman" w:hAnsi="Times New Roman"/>
      <w:sz w:val="22"/>
    </w:rPr>
  </w:style>
  <w:style w:type="paragraph" w:styleId="Heading1">
    <w:name w:val="heading 1"/>
    <w:basedOn w:val="Normal"/>
    <w:next w:val="Normal"/>
    <w:link w:val="Heading1Char"/>
    <w:uiPriority w:val="99"/>
    <w:semiHidden/>
    <w:qFormat/>
    <w:rsid w:val="00FE2417"/>
    <w:pPr>
      <w:keepNext/>
      <w:keepLines/>
      <w:numPr>
        <w:numId w:val="3"/>
      </w:numPr>
      <w:spacing w:before="240"/>
      <w:outlineLvl w:val="0"/>
    </w:pPr>
    <w:rPr>
      <w:rFonts w:cs="Arial" w:eastAsiaTheme="majorEastAsia"/>
      <w:b/>
      <w:caps/>
      <w:szCs w:val="32"/>
    </w:rPr>
  </w:style>
  <w:style w:type="paragraph" w:styleId="Heading2">
    <w:name w:val="heading 2"/>
    <w:basedOn w:val="Normal"/>
    <w:next w:val="Normal"/>
    <w:link w:val="Heading2Char"/>
    <w:uiPriority w:val="99"/>
    <w:semiHidden/>
    <w:qFormat/>
    <w:rsid w:val="00FE2417"/>
    <w:pPr>
      <w:keepNext/>
      <w:keepLines/>
      <w:numPr>
        <w:ilvl w:val="1"/>
        <w:numId w:val="3"/>
      </w:numPr>
      <w:spacing w:before="240"/>
      <w:outlineLvl w:val="1"/>
    </w:pPr>
    <w:rPr>
      <w:rFonts w:cs="Arial" w:eastAsiaTheme="majorEastAsia"/>
      <w:b/>
      <w:bCs/>
      <w:szCs w:val="26"/>
    </w:rPr>
  </w:style>
  <w:style w:type="paragraph" w:styleId="Heading3">
    <w:name w:val="heading 3"/>
    <w:basedOn w:val="Normal"/>
    <w:next w:val="Normal"/>
    <w:link w:val="Heading3Char"/>
    <w:uiPriority w:val="29"/>
    <w:semiHidden/>
    <w:qFormat/>
    <w:rsid w:val="00FE2417"/>
    <w:pPr>
      <w:keepNext/>
      <w:keepLines/>
      <w:numPr>
        <w:ilvl w:val="2"/>
        <w:numId w:val="3"/>
      </w:numPr>
      <w:spacing w:before="240"/>
      <w:outlineLvl w:val="2"/>
    </w:pPr>
    <w:rPr>
      <w:rFonts w:cs="Arial" w:eastAsiaTheme="majorEastAsia"/>
      <w:b/>
      <w:bCs/>
      <w:i/>
    </w:rPr>
  </w:style>
  <w:style w:type="paragraph" w:styleId="Heading4">
    <w:name w:val="heading 4"/>
    <w:basedOn w:val="Normal"/>
    <w:next w:val="Normal"/>
    <w:link w:val="Heading4Char"/>
    <w:uiPriority w:val="29"/>
    <w:semiHidden/>
    <w:qFormat/>
    <w:rsid w:val="00FE2417"/>
    <w:pPr>
      <w:keepNext/>
      <w:keepLines/>
      <w:numPr>
        <w:ilvl w:val="3"/>
        <w:numId w:val="3"/>
      </w:numPr>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FE2417"/>
    <w:pPr>
      <w:keepNext/>
      <w:keepLines/>
      <w:numPr>
        <w:ilvl w:val="4"/>
        <w:numId w:val="3"/>
      </w:numPr>
      <w:spacing w:before="240"/>
      <w:outlineLvl w:val="4"/>
    </w:pPr>
    <w:rPr>
      <w:rFonts w:cs="Arial" w:eastAsiaTheme="majorEastAsia"/>
      <w:b/>
    </w:rPr>
  </w:style>
  <w:style w:type="paragraph" w:styleId="Heading6">
    <w:name w:val="heading 6"/>
    <w:basedOn w:val="Normal"/>
    <w:next w:val="Normal"/>
    <w:link w:val="Heading6Char"/>
    <w:uiPriority w:val="29"/>
    <w:semiHidden/>
    <w:qFormat/>
    <w:rsid w:val="00FE2417"/>
    <w:pPr>
      <w:keepNext/>
      <w:keepLines/>
      <w:numPr>
        <w:ilvl w:val="5"/>
        <w:numId w:val="3"/>
      </w:numPr>
      <w:spacing w:before="240"/>
      <w:outlineLvl w:val="5"/>
    </w:pPr>
    <w:rPr>
      <w:rFonts w:cs="Arial" w:eastAsiaTheme="majorEastAsia"/>
      <w:b/>
      <w:iCs/>
    </w:rPr>
  </w:style>
  <w:style w:type="paragraph" w:styleId="Heading7">
    <w:name w:val="heading 7"/>
    <w:basedOn w:val="Normal"/>
    <w:next w:val="Normal"/>
    <w:link w:val="Heading7Char"/>
    <w:uiPriority w:val="29"/>
    <w:semiHidden/>
    <w:qFormat/>
    <w:rsid w:val="00FE2417"/>
    <w:pPr>
      <w:keepNext/>
      <w:keepLines/>
      <w:numPr>
        <w:ilvl w:val="6"/>
        <w:numId w:val="3"/>
      </w:numPr>
      <w:spacing w:before="240"/>
      <w:outlineLvl w:val="6"/>
    </w:pPr>
    <w:rPr>
      <w:rFonts w:cs="Arial" w:eastAsiaTheme="majorEastAsia"/>
      <w:b/>
      <w:iCs/>
    </w:rPr>
  </w:style>
  <w:style w:type="paragraph" w:styleId="Heading8">
    <w:name w:val="heading 8"/>
    <w:basedOn w:val="Normal"/>
    <w:next w:val="Normal"/>
    <w:link w:val="Heading8Char"/>
    <w:uiPriority w:val="29"/>
    <w:semiHidden/>
    <w:qFormat/>
    <w:rsid w:val="00FE2417"/>
    <w:pPr>
      <w:keepNext/>
      <w:keepLines/>
      <w:numPr>
        <w:ilvl w:val="7"/>
        <w:numId w:val="3"/>
      </w:numPr>
      <w:spacing w:before="240"/>
      <w:outlineLvl w:val="7"/>
    </w:pPr>
    <w:rPr>
      <w:rFonts w:cs="Arial" w:eastAsiaTheme="majorEastAsia"/>
      <w:b/>
    </w:rPr>
  </w:style>
  <w:style w:type="paragraph" w:styleId="Heading9">
    <w:name w:val="heading 9"/>
    <w:basedOn w:val="Normal"/>
    <w:next w:val="Normal"/>
    <w:link w:val="Heading9Char"/>
    <w:uiPriority w:val="29"/>
    <w:semiHidden/>
    <w:qFormat/>
    <w:rsid w:val="00FE2417"/>
    <w:pPr>
      <w:keepNext/>
      <w:keepLines/>
      <w:numPr>
        <w:ilvl w:val="8"/>
        <w:numId w:val="3"/>
      </w:numPr>
      <w:spacing w:before="240"/>
      <w:outlineLvl w:val="8"/>
    </w:pPr>
    <w:rPr>
      <w:rFonts w:cs="Arial" w:eastAsiaTheme="majorEastAsia"/>
      <w:b/>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verDocumentTitle" w:customStyle="1">
    <w:name w:val="Cover Document Title"/>
    <w:basedOn w:val="CoverDocumentType"/>
    <w:link w:val="CoverDocumentTitleChar"/>
    <w:uiPriority w:val="24"/>
    <w:semiHidden/>
    <w:qFormat/>
    <w:rsid w:val="00FE2417"/>
    <w:pPr>
      <w:spacing w:before="120" w:after="0"/>
    </w:pPr>
  </w:style>
  <w:style w:type="paragraph" w:styleId="CoverDate" w:customStyle="1">
    <w:name w:val="Cover Date"/>
    <w:basedOn w:val="Normal"/>
    <w:link w:val="CoverDateChar"/>
    <w:uiPriority w:val="25"/>
    <w:semiHidden/>
    <w:qFormat/>
    <w:rsid w:val="00FE2417"/>
    <w:pPr>
      <w:spacing w:after="480"/>
    </w:pPr>
    <w:rPr>
      <w:sz w:val="28"/>
    </w:rPr>
  </w:style>
  <w:style w:type="character" w:styleId="CoverDocumentTitleChar" w:customStyle="1">
    <w:name w:val="Cover Document Title Char"/>
    <w:basedOn w:val="DefaultParagraphFont"/>
    <w:link w:val="CoverDocumentTitle"/>
    <w:uiPriority w:val="24"/>
    <w:semiHidden/>
    <w:rsid w:val="00FE2417"/>
    <w:rPr>
      <w:rFonts w:ascii="Times New Roman" w:hAnsi="Times New Roman"/>
      <w:b/>
      <w:sz w:val="28"/>
    </w:rPr>
  </w:style>
  <w:style w:type="character" w:styleId="CoverDateChar" w:customStyle="1">
    <w:name w:val="Cover Date Char"/>
    <w:basedOn w:val="DefaultParagraphFont"/>
    <w:link w:val="CoverDate"/>
    <w:uiPriority w:val="25"/>
    <w:semiHidden/>
    <w:rsid w:val="00FE2417"/>
    <w:rPr>
      <w:rFonts w:ascii="Times New Roman" w:hAnsi="Times New Roman"/>
      <w:sz w:val="28"/>
    </w:rPr>
  </w:style>
  <w:style w:type="paragraph" w:styleId="CoverText" w:customStyle="1">
    <w:name w:val="Cover Text"/>
    <w:basedOn w:val="Normal"/>
    <w:uiPriority w:val="27"/>
    <w:semiHidden/>
    <w:qFormat/>
    <w:rsid w:val="00FE2417"/>
    <w:pPr>
      <w:spacing w:before="120" w:after="120"/>
      <w:jc w:val="center"/>
    </w:pPr>
  </w:style>
  <w:style w:type="paragraph" w:styleId="CoverDocumentDescription" w:customStyle="1">
    <w:name w:val="Cover Document Description"/>
    <w:basedOn w:val="Normal"/>
    <w:uiPriority w:val="28"/>
    <w:semiHidden/>
    <w:qFormat/>
    <w:rsid w:val="00FE2417"/>
  </w:style>
  <w:style w:type="character" w:styleId="Heading1Char" w:customStyle="1">
    <w:name w:val="Heading 1 Char"/>
    <w:basedOn w:val="DefaultParagraphFont"/>
    <w:link w:val="Heading1"/>
    <w:uiPriority w:val="99"/>
    <w:semiHidden/>
    <w:rsid w:val="00FE2417"/>
    <w:rPr>
      <w:rFonts w:ascii="Times New Roman" w:hAnsi="Times New Roman" w:cs="Arial" w:eastAsiaTheme="majorEastAsia"/>
      <w:b/>
      <w:caps/>
      <w:sz w:val="22"/>
      <w:szCs w:val="32"/>
    </w:rPr>
  </w:style>
  <w:style w:type="paragraph" w:styleId="TOCHeading">
    <w:name w:val="TOC Heading"/>
    <w:basedOn w:val="Normal"/>
    <w:next w:val="Normal"/>
    <w:uiPriority w:val="28"/>
    <w:semiHidden/>
    <w:qFormat/>
    <w:rsid w:val="00FE2417"/>
    <w:pPr>
      <w:jc w:val="center"/>
    </w:pPr>
    <w:rPr>
      <w:b/>
      <w:bCs/>
      <w:caps/>
      <w:szCs w:val="28"/>
    </w:rPr>
  </w:style>
  <w:style w:type="paragraph" w:styleId="EnvelopeAddress">
    <w:name w:val="envelope address"/>
    <w:basedOn w:val="Normal"/>
    <w:uiPriority w:val="99"/>
    <w:semiHidden/>
    <w:unhideWhenUsed/>
    <w:rsid w:val="00FE2417"/>
    <w:pPr>
      <w:framePr w:w="7920" w:h="1980" w:hSpace="180" w:wrap="auto" w:hAnchor="page" w:xAlign="center" w:yAlign="bottom" w:hRule="exact"/>
      <w:spacing w:after="0"/>
    </w:pPr>
    <w:rPr>
      <w:rFonts w:eastAsiaTheme="majorEastAsia" w:cstheme="majorBidi"/>
      <w:szCs w:val="24"/>
    </w:rPr>
  </w:style>
  <w:style w:type="paragraph" w:styleId="IntroHeading" w:customStyle="1">
    <w:name w:val="Intro Heading"/>
    <w:basedOn w:val="Normal"/>
    <w:next w:val="Level1Heading"/>
    <w:uiPriority w:val="2"/>
    <w:qFormat/>
    <w:rsid w:val="00FE2417"/>
    <w:pPr>
      <w:keepNext/>
      <w:keepLines/>
      <w:numPr>
        <w:numId w:val="27"/>
      </w:numPr>
      <w:jc w:val="left"/>
      <w:outlineLvl w:val="0"/>
    </w:pPr>
    <w:rPr>
      <w:rFonts w:cs="Arial"/>
      <w:b/>
      <w:caps/>
    </w:rPr>
  </w:style>
  <w:style w:type="paragraph" w:styleId="CoverPartyRole" w:customStyle="1">
    <w:name w:val="Cover Party Role"/>
    <w:basedOn w:val="Normal"/>
    <w:uiPriority w:val="26"/>
    <w:semiHidden/>
    <w:qFormat/>
    <w:rsid w:val="00FE2417"/>
  </w:style>
  <w:style w:type="paragraph" w:styleId="Level1Heading" w:customStyle="1">
    <w:name w:val="Level 1 Heading"/>
    <w:basedOn w:val="Normal"/>
    <w:next w:val="Level2Number"/>
    <w:uiPriority w:val="6"/>
    <w:qFormat/>
    <w:rsid w:val="00FE2417"/>
    <w:pPr>
      <w:keepNext/>
      <w:keepLines/>
      <w:numPr>
        <w:numId w:val="6"/>
      </w:numPr>
      <w:pBdr>
        <w:top w:val="single" w:color="auto" w:sz="4" w:space="6"/>
      </w:pBdr>
      <w:spacing w:before="360"/>
      <w:jc w:val="left"/>
      <w:outlineLvl w:val="0"/>
    </w:pPr>
    <w:rPr>
      <w:rFonts w:cs="Arial"/>
      <w:b/>
      <w:caps/>
    </w:rPr>
  </w:style>
  <w:style w:type="paragraph" w:styleId="Level1Number" w:customStyle="1">
    <w:name w:val="Level 1 Number"/>
    <w:basedOn w:val="Level1Heading"/>
    <w:uiPriority w:val="8"/>
    <w:qFormat/>
    <w:rsid w:val="00FE2417"/>
    <w:rPr>
      <w:b w:val="0"/>
      <w:caps w:val="0"/>
    </w:rPr>
  </w:style>
  <w:style w:type="paragraph" w:styleId="Level2Heading" w:customStyle="1">
    <w:name w:val="Level 2 Heading"/>
    <w:basedOn w:val="Level2Number"/>
    <w:next w:val="Level3Number"/>
    <w:uiPriority w:val="6"/>
    <w:qFormat/>
    <w:rsid w:val="00FE2417"/>
    <w:pPr>
      <w:keepNext/>
      <w:spacing w:before="240"/>
      <w:jc w:val="left"/>
      <w:outlineLvl w:val="1"/>
    </w:pPr>
    <w:rPr>
      <w:rFonts w:cs="Arial"/>
      <w:b/>
    </w:rPr>
  </w:style>
  <w:style w:type="paragraph" w:styleId="Level4Heading" w:customStyle="1">
    <w:name w:val="Level 4 Heading"/>
    <w:basedOn w:val="Level4Number"/>
    <w:next w:val="Level5Number"/>
    <w:uiPriority w:val="6"/>
    <w:qFormat/>
    <w:rsid w:val="00FE2417"/>
    <w:pPr>
      <w:keepNext/>
      <w:spacing w:before="240"/>
      <w:ind w:left="2042" w:hanging="454"/>
      <w:jc w:val="left"/>
      <w:outlineLvl w:val="3"/>
    </w:pPr>
    <w:rPr>
      <w:rFonts w:cs="Arial"/>
      <w:b/>
    </w:rPr>
  </w:style>
  <w:style w:type="paragraph" w:styleId="Level3Heading" w:customStyle="1">
    <w:name w:val="Level 3 Heading"/>
    <w:basedOn w:val="Level3Number"/>
    <w:next w:val="Level4Number"/>
    <w:uiPriority w:val="6"/>
    <w:qFormat/>
    <w:rsid w:val="00FE2417"/>
    <w:pPr>
      <w:keepNext/>
      <w:spacing w:before="240"/>
      <w:ind w:left="1587" w:hanging="907"/>
      <w:jc w:val="left"/>
      <w:outlineLvl w:val="2"/>
    </w:pPr>
    <w:rPr>
      <w:b/>
    </w:rPr>
  </w:style>
  <w:style w:type="paragraph" w:styleId="Level2Number" w:customStyle="1">
    <w:name w:val="Level 2 Number"/>
    <w:basedOn w:val="Normal"/>
    <w:uiPriority w:val="8"/>
    <w:qFormat/>
    <w:rsid w:val="00FE2417"/>
    <w:pPr>
      <w:numPr>
        <w:ilvl w:val="1"/>
        <w:numId w:val="6"/>
      </w:numPr>
    </w:pPr>
  </w:style>
  <w:style w:type="paragraph" w:styleId="Level3Number" w:customStyle="1">
    <w:name w:val="Level 3 Number"/>
    <w:basedOn w:val="Normal"/>
    <w:uiPriority w:val="8"/>
    <w:qFormat/>
    <w:rsid w:val="00FE2417"/>
    <w:pPr>
      <w:numPr>
        <w:ilvl w:val="2"/>
        <w:numId w:val="6"/>
      </w:numPr>
    </w:pPr>
  </w:style>
  <w:style w:type="paragraph" w:styleId="Level4Number" w:customStyle="1">
    <w:name w:val="Level 4 Number"/>
    <w:basedOn w:val="Normal"/>
    <w:uiPriority w:val="8"/>
    <w:qFormat/>
    <w:rsid w:val="00FE2417"/>
    <w:pPr>
      <w:numPr>
        <w:ilvl w:val="3"/>
        <w:numId w:val="6"/>
      </w:numPr>
    </w:pPr>
  </w:style>
  <w:style w:type="paragraph" w:styleId="Level5Number" w:customStyle="1">
    <w:name w:val="Level 5 Number"/>
    <w:basedOn w:val="Normal"/>
    <w:uiPriority w:val="8"/>
    <w:qFormat/>
    <w:rsid w:val="00FE2417"/>
    <w:pPr>
      <w:numPr>
        <w:ilvl w:val="4"/>
        <w:numId w:val="6"/>
      </w:numPr>
    </w:pPr>
  </w:style>
  <w:style w:type="paragraph" w:styleId="Level6Number" w:customStyle="1">
    <w:name w:val="Level 6 Number"/>
    <w:basedOn w:val="Normal"/>
    <w:uiPriority w:val="8"/>
    <w:qFormat/>
    <w:rsid w:val="00FE2417"/>
    <w:pPr>
      <w:numPr>
        <w:ilvl w:val="5"/>
        <w:numId w:val="6"/>
      </w:numPr>
    </w:pPr>
  </w:style>
  <w:style w:type="numbering" w:styleId="NumbListLegal" w:customStyle="1">
    <w:name w:val="NumbList Legal"/>
    <w:uiPriority w:val="99"/>
    <w:rsid w:val="00FE2417"/>
    <w:pPr>
      <w:numPr>
        <w:numId w:val="16"/>
      </w:numPr>
    </w:pPr>
  </w:style>
  <w:style w:type="numbering" w:styleId="NumbListIntro" w:customStyle="1">
    <w:name w:val="NumbListIntro"/>
    <w:uiPriority w:val="99"/>
    <w:rsid w:val="00FE2417"/>
    <w:pPr>
      <w:numPr>
        <w:numId w:val="9"/>
      </w:numPr>
    </w:pPr>
  </w:style>
  <w:style w:type="paragraph" w:styleId="ListParagraph">
    <w:name w:val="List Paragraph"/>
    <w:basedOn w:val="Normal"/>
    <w:uiPriority w:val="34"/>
    <w:qFormat/>
    <w:rsid w:val="00FE2417"/>
    <w:pPr>
      <w:ind w:left="720"/>
      <w:contextualSpacing/>
    </w:pPr>
  </w:style>
  <w:style w:type="paragraph" w:styleId="Parties1" w:customStyle="1">
    <w:name w:val="Parties 1"/>
    <w:basedOn w:val="Normal"/>
    <w:uiPriority w:val="2"/>
    <w:qFormat/>
    <w:rsid w:val="00FE2417"/>
    <w:pPr>
      <w:numPr>
        <w:ilvl w:val="1"/>
        <w:numId w:val="27"/>
      </w:numPr>
    </w:pPr>
  </w:style>
  <w:style w:type="paragraph" w:styleId="Parties2" w:customStyle="1">
    <w:name w:val="Parties 2"/>
    <w:basedOn w:val="Normal"/>
    <w:uiPriority w:val="32"/>
    <w:semiHidden/>
    <w:qFormat/>
    <w:rsid w:val="00FE2417"/>
    <w:pPr>
      <w:keepNext/>
      <w:numPr>
        <w:ilvl w:val="2"/>
        <w:numId w:val="27"/>
      </w:numPr>
    </w:pPr>
  </w:style>
  <w:style w:type="paragraph" w:styleId="Background1" w:customStyle="1">
    <w:name w:val="Background 1"/>
    <w:basedOn w:val="Normal"/>
    <w:uiPriority w:val="3"/>
    <w:qFormat/>
    <w:rsid w:val="00FE2417"/>
    <w:pPr>
      <w:numPr>
        <w:ilvl w:val="3"/>
        <w:numId w:val="27"/>
      </w:numPr>
    </w:pPr>
  </w:style>
  <w:style w:type="paragraph" w:styleId="Background2" w:customStyle="1">
    <w:name w:val="Background 2"/>
    <w:basedOn w:val="Normal"/>
    <w:uiPriority w:val="32"/>
    <w:semiHidden/>
    <w:qFormat/>
    <w:rsid w:val="00FE2417"/>
    <w:pPr>
      <w:keepNext/>
      <w:numPr>
        <w:ilvl w:val="4"/>
        <w:numId w:val="27"/>
      </w:numPr>
    </w:pPr>
  </w:style>
  <w:style w:type="numbering" w:styleId="NumbListBodyText" w:customStyle="1">
    <w:name w:val="NumbList Body Text"/>
    <w:uiPriority w:val="99"/>
    <w:rsid w:val="00FE2417"/>
    <w:pPr>
      <w:numPr>
        <w:numId w:val="4"/>
      </w:numPr>
    </w:pPr>
  </w:style>
  <w:style w:type="paragraph" w:styleId="DefinitionTerm" w:customStyle="1">
    <w:name w:val="Definition Term"/>
    <w:basedOn w:val="Normal"/>
    <w:uiPriority w:val="3"/>
    <w:qFormat/>
    <w:rsid w:val="00FE2417"/>
    <w:pPr>
      <w:ind w:right="57"/>
      <w:jc w:val="left"/>
    </w:pPr>
    <w:rPr>
      <w:b/>
    </w:rPr>
  </w:style>
  <w:style w:type="paragraph" w:styleId="BodyText1" w:customStyle="1">
    <w:name w:val="Body Text 1"/>
    <w:basedOn w:val="Normal"/>
    <w:uiPriority w:val="9"/>
    <w:rsid w:val="00FE2417"/>
    <w:pPr>
      <w:numPr>
        <w:numId w:val="13"/>
      </w:numPr>
    </w:pPr>
  </w:style>
  <w:style w:type="paragraph" w:styleId="BodyText2">
    <w:name w:val="Body Text 2"/>
    <w:basedOn w:val="BodyText3"/>
    <w:link w:val="BodyText2Char"/>
    <w:uiPriority w:val="9"/>
    <w:rsid w:val="00FE2417"/>
    <w:pPr>
      <w:numPr>
        <w:ilvl w:val="1"/>
      </w:numPr>
    </w:pPr>
  </w:style>
  <w:style w:type="character" w:styleId="BodyText2Char" w:customStyle="1">
    <w:name w:val="Body Text 2 Char"/>
    <w:basedOn w:val="DefaultParagraphFont"/>
    <w:link w:val="BodyText2"/>
    <w:uiPriority w:val="9"/>
    <w:rsid w:val="00FE2417"/>
    <w:rPr>
      <w:rFonts w:ascii="Times New Roman" w:hAnsi="Times New Roman"/>
      <w:sz w:val="22"/>
    </w:rPr>
  </w:style>
  <w:style w:type="paragraph" w:styleId="BodyText3">
    <w:name w:val="Body Text 3"/>
    <w:basedOn w:val="BodyText1"/>
    <w:link w:val="BodyText3Char"/>
    <w:uiPriority w:val="9"/>
    <w:rsid w:val="00FE2417"/>
    <w:pPr>
      <w:numPr>
        <w:ilvl w:val="2"/>
      </w:numPr>
    </w:pPr>
  </w:style>
  <w:style w:type="character" w:styleId="BodyText3Char" w:customStyle="1">
    <w:name w:val="Body Text 3 Char"/>
    <w:basedOn w:val="DefaultParagraphFont"/>
    <w:link w:val="BodyText3"/>
    <w:uiPriority w:val="9"/>
    <w:rsid w:val="00FE2417"/>
    <w:rPr>
      <w:rFonts w:ascii="Times New Roman" w:hAnsi="Times New Roman"/>
      <w:sz w:val="22"/>
    </w:rPr>
  </w:style>
  <w:style w:type="paragraph" w:styleId="BodyText4" w:customStyle="1">
    <w:name w:val="Body Text 4"/>
    <w:basedOn w:val="Normal"/>
    <w:uiPriority w:val="9"/>
    <w:rsid w:val="00FE2417"/>
    <w:pPr>
      <w:numPr>
        <w:ilvl w:val="3"/>
        <w:numId w:val="13"/>
      </w:numPr>
    </w:pPr>
  </w:style>
  <w:style w:type="paragraph" w:styleId="BodyText5" w:customStyle="1">
    <w:name w:val="Body Text 5"/>
    <w:basedOn w:val="Normal"/>
    <w:uiPriority w:val="9"/>
    <w:rsid w:val="00FE2417"/>
    <w:pPr>
      <w:numPr>
        <w:ilvl w:val="4"/>
        <w:numId w:val="13"/>
      </w:numPr>
    </w:pPr>
  </w:style>
  <w:style w:type="paragraph" w:styleId="BodyText6" w:customStyle="1">
    <w:name w:val="Body Text 6"/>
    <w:basedOn w:val="Normal"/>
    <w:uiPriority w:val="9"/>
    <w:rsid w:val="00FE2417"/>
    <w:pPr>
      <w:numPr>
        <w:ilvl w:val="5"/>
        <w:numId w:val="13"/>
      </w:numPr>
    </w:pPr>
  </w:style>
  <w:style w:type="paragraph" w:styleId="BodyText7" w:customStyle="1">
    <w:name w:val="Body Text 7"/>
    <w:basedOn w:val="Normal"/>
    <w:uiPriority w:val="29"/>
    <w:semiHidden/>
    <w:rsid w:val="00FE2417"/>
    <w:pPr>
      <w:numPr>
        <w:ilvl w:val="6"/>
        <w:numId w:val="13"/>
      </w:numPr>
    </w:pPr>
  </w:style>
  <w:style w:type="paragraph" w:styleId="BodyText8" w:customStyle="1">
    <w:name w:val="Body Text 8"/>
    <w:basedOn w:val="Normal"/>
    <w:uiPriority w:val="29"/>
    <w:semiHidden/>
    <w:rsid w:val="00FE2417"/>
    <w:pPr>
      <w:numPr>
        <w:ilvl w:val="7"/>
        <w:numId w:val="13"/>
      </w:numPr>
    </w:pPr>
  </w:style>
  <w:style w:type="paragraph" w:styleId="BodyText9" w:customStyle="1">
    <w:name w:val="Body Text 9"/>
    <w:basedOn w:val="Normal"/>
    <w:uiPriority w:val="29"/>
    <w:semiHidden/>
    <w:rsid w:val="00FE2417"/>
    <w:pPr>
      <w:numPr>
        <w:ilvl w:val="8"/>
        <w:numId w:val="13"/>
      </w:numPr>
    </w:pPr>
  </w:style>
  <w:style w:type="paragraph" w:styleId="Definition1" w:customStyle="1">
    <w:name w:val="Definition 1"/>
    <w:basedOn w:val="Normal"/>
    <w:uiPriority w:val="3"/>
    <w:qFormat/>
    <w:rsid w:val="00FE2417"/>
    <w:pPr>
      <w:numPr>
        <w:ilvl w:val="1"/>
        <w:numId w:val="5"/>
      </w:numPr>
    </w:pPr>
  </w:style>
  <w:style w:type="paragraph" w:styleId="Definition2" w:customStyle="1">
    <w:name w:val="Definition 2"/>
    <w:basedOn w:val="Normal"/>
    <w:uiPriority w:val="3"/>
    <w:qFormat/>
    <w:rsid w:val="00FE2417"/>
    <w:pPr>
      <w:numPr>
        <w:ilvl w:val="2"/>
        <w:numId w:val="5"/>
      </w:numPr>
    </w:pPr>
  </w:style>
  <w:style w:type="paragraph" w:styleId="Definition3" w:customStyle="1">
    <w:name w:val="Definition 3"/>
    <w:basedOn w:val="Normal"/>
    <w:uiPriority w:val="3"/>
    <w:unhideWhenUsed/>
    <w:qFormat/>
    <w:rsid w:val="00FE2417"/>
    <w:pPr>
      <w:numPr>
        <w:ilvl w:val="3"/>
        <w:numId w:val="5"/>
      </w:numPr>
    </w:pPr>
  </w:style>
  <w:style w:type="paragraph" w:styleId="Definition4" w:customStyle="1">
    <w:name w:val="Definition 4"/>
    <w:basedOn w:val="Normal"/>
    <w:uiPriority w:val="3"/>
    <w:unhideWhenUsed/>
    <w:qFormat/>
    <w:rsid w:val="00FE2417"/>
    <w:pPr>
      <w:numPr>
        <w:ilvl w:val="4"/>
        <w:numId w:val="5"/>
      </w:numPr>
    </w:pPr>
  </w:style>
  <w:style w:type="paragraph" w:styleId="Definition" w:customStyle="1">
    <w:name w:val="Definition"/>
    <w:basedOn w:val="Normal"/>
    <w:uiPriority w:val="3"/>
    <w:qFormat/>
    <w:rsid w:val="00FE2417"/>
    <w:pPr>
      <w:numPr>
        <w:numId w:val="5"/>
      </w:numPr>
    </w:pPr>
  </w:style>
  <w:style w:type="numbering" w:styleId="NumbListDefinitions" w:customStyle="1">
    <w:name w:val="NumbList Definitions"/>
    <w:uiPriority w:val="99"/>
    <w:rsid w:val="00FE2417"/>
    <w:pPr>
      <w:numPr>
        <w:numId w:val="15"/>
      </w:numPr>
    </w:pPr>
  </w:style>
  <w:style w:type="paragraph" w:styleId="Notes" w:customStyle="1">
    <w:name w:val="Notes"/>
    <w:basedOn w:val="Normal"/>
    <w:next w:val="Normal"/>
    <w:uiPriority w:val="39"/>
    <w:qFormat/>
    <w:rsid w:val="00FE2417"/>
    <w:pPr>
      <w:pBdr>
        <w:top w:val="single" w:color="D9D9D9" w:themeColor="background1" w:themeShade="D9" w:sz="4" w:space="1"/>
        <w:left w:val="single" w:color="D9D9D9" w:themeColor="background1" w:themeShade="D9" w:sz="4" w:space="4"/>
        <w:bottom w:val="single" w:color="D9D9D9" w:themeColor="background1" w:themeShade="D9" w:sz="4" w:space="1"/>
        <w:right w:val="single" w:color="D9D9D9" w:themeColor="background1" w:themeShade="D9" w:sz="4" w:space="4"/>
      </w:pBdr>
      <w:shd w:val="clear" w:color="auto" w:fill="D9D9D9" w:themeFill="background1" w:themeFillShade="D9"/>
      <w:ind w:left="113" w:right="113"/>
    </w:pPr>
  </w:style>
  <w:style w:type="paragraph" w:styleId="Schedule" w:customStyle="1">
    <w:name w:val="Schedule"/>
    <w:basedOn w:val="Normal"/>
    <w:next w:val="Sch1Number"/>
    <w:uiPriority w:val="11"/>
    <w:qFormat/>
    <w:rsid w:val="00FE2417"/>
    <w:pPr>
      <w:keepNext/>
      <w:pageBreakBefore/>
      <w:numPr>
        <w:numId w:val="28"/>
      </w:numPr>
      <w:tabs>
        <w:tab w:val="left" w:pos="567"/>
        <w:tab w:val="left" w:pos="1389"/>
        <w:tab w:val="left" w:pos="1503"/>
      </w:tabs>
      <w:jc w:val="center"/>
      <w:outlineLvl w:val="0"/>
    </w:pPr>
    <w:rPr>
      <w:rFonts w:cs="Arial"/>
      <w:b/>
    </w:rPr>
  </w:style>
  <w:style w:type="paragraph" w:styleId="SubSchedule" w:customStyle="1">
    <w:name w:val="Sub Schedule"/>
    <w:basedOn w:val="Schedule"/>
    <w:uiPriority w:val="15"/>
    <w:semiHidden/>
    <w:qFormat/>
    <w:rsid w:val="00FE2417"/>
    <w:pPr>
      <w:numPr>
        <w:numId w:val="0"/>
      </w:numPr>
      <w:jc w:val="left"/>
    </w:pPr>
    <w:rPr>
      <w:b w:val="0"/>
    </w:rPr>
  </w:style>
  <w:style w:type="paragraph" w:styleId="Part" w:customStyle="1">
    <w:name w:val="Part"/>
    <w:basedOn w:val="Normal"/>
    <w:next w:val="Sch1Number"/>
    <w:uiPriority w:val="12"/>
    <w:qFormat/>
    <w:rsid w:val="00FE2417"/>
    <w:pPr>
      <w:keepNext/>
      <w:numPr>
        <w:ilvl w:val="1"/>
        <w:numId w:val="28"/>
      </w:numPr>
      <w:tabs>
        <w:tab w:val="left" w:pos="567"/>
        <w:tab w:val="left" w:pos="595"/>
      </w:tabs>
      <w:jc w:val="center"/>
      <w:outlineLvl w:val="1"/>
    </w:pPr>
    <w:rPr>
      <w:b/>
    </w:rPr>
  </w:style>
  <w:style w:type="paragraph" w:styleId="Sch1Heading" w:customStyle="1">
    <w:name w:val="Sch 1 Heading"/>
    <w:basedOn w:val="Sch1Number"/>
    <w:next w:val="Sch2Number"/>
    <w:uiPriority w:val="13"/>
    <w:qFormat/>
    <w:rsid w:val="00FE2417"/>
    <w:pPr>
      <w:keepNext/>
      <w:keepLines/>
      <w:tabs>
        <w:tab w:val="left" w:pos="1276"/>
        <w:tab w:val="left" w:pos="1389"/>
      </w:tabs>
      <w:spacing w:before="240"/>
      <w:jc w:val="left"/>
      <w:outlineLvl w:val="2"/>
    </w:pPr>
    <w:rPr>
      <w:b/>
    </w:rPr>
  </w:style>
  <w:style w:type="paragraph" w:styleId="Sch2Heading" w:customStyle="1">
    <w:name w:val="Sch 2 Heading"/>
    <w:basedOn w:val="Sch2Number"/>
    <w:next w:val="Sch3Number"/>
    <w:uiPriority w:val="13"/>
    <w:qFormat/>
    <w:rsid w:val="00FE2417"/>
    <w:pPr>
      <w:keepNext/>
      <w:keepLines/>
      <w:spacing w:before="240"/>
      <w:jc w:val="left"/>
      <w:outlineLvl w:val="3"/>
    </w:pPr>
    <w:rPr>
      <w:rFonts w:cs="Arial"/>
      <w:b/>
    </w:rPr>
  </w:style>
  <w:style w:type="paragraph" w:styleId="Sch3Heading" w:customStyle="1">
    <w:name w:val="Sch 3 Heading"/>
    <w:basedOn w:val="Sch3Number"/>
    <w:next w:val="Sch4Number"/>
    <w:uiPriority w:val="13"/>
    <w:qFormat/>
    <w:rsid w:val="00FE2417"/>
    <w:pPr>
      <w:keepNext/>
      <w:keepLines/>
      <w:spacing w:before="240"/>
      <w:ind w:left="1587" w:hanging="907"/>
      <w:jc w:val="left"/>
      <w:outlineLvl w:val="4"/>
    </w:pPr>
    <w:rPr>
      <w:rFonts w:cs="Arial"/>
      <w:b/>
    </w:rPr>
  </w:style>
  <w:style w:type="paragraph" w:styleId="Sch4Heading" w:customStyle="1">
    <w:name w:val="Sch 4 Heading"/>
    <w:basedOn w:val="Sch4Number"/>
    <w:uiPriority w:val="31"/>
    <w:semiHidden/>
    <w:qFormat/>
    <w:rsid w:val="00FE2417"/>
    <w:pPr>
      <w:keepNext/>
      <w:keepLines/>
      <w:numPr>
        <w:ilvl w:val="0"/>
        <w:numId w:val="0"/>
      </w:numPr>
    </w:pPr>
    <w:rPr>
      <w:rFonts w:cs="Arial"/>
      <w:b/>
    </w:rPr>
  </w:style>
  <w:style w:type="paragraph" w:styleId="Sch5Number" w:customStyle="1">
    <w:name w:val="Sch 5 Number"/>
    <w:basedOn w:val="Normal"/>
    <w:uiPriority w:val="14"/>
    <w:qFormat/>
    <w:rsid w:val="00FE2417"/>
    <w:pPr>
      <w:numPr>
        <w:ilvl w:val="6"/>
        <w:numId w:val="28"/>
      </w:numPr>
    </w:pPr>
  </w:style>
  <w:style w:type="paragraph" w:styleId="Sch6Number" w:customStyle="1">
    <w:name w:val="Sch 6 Number"/>
    <w:basedOn w:val="Normal"/>
    <w:uiPriority w:val="14"/>
    <w:qFormat/>
    <w:rsid w:val="00FE2417"/>
    <w:pPr>
      <w:numPr>
        <w:ilvl w:val="7"/>
        <w:numId w:val="28"/>
      </w:numPr>
    </w:pPr>
  </w:style>
  <w:style w:type="paragraph" w:styleId="TOC6">
    <w:name w:val="toc 6"/>
    <w:basedOn w:val="Normal"/>
    <w:next w:val="Normal"/>
    <w:uiPriority w:val="39"/>
    <w:rsid w:val="00FE2417"/>
    <w:pPr>
      <w:spacing w:before="120" w:after="0"/>
      <w:ind w:left="1474" w:right="340" w:hanging="1474"/>
      <w:jc w:val="left"/>
    </w:pPr>
  </w:style>
  <w:style w:type="numbering" w:styleId="NumbListSchedules" w:customStyle="1">
    <w:name w:val="NumbList Schedules"/>
    <w:uiPriority w:val="99"/>
    <w:rsid w:val="00FE2417"/>
    <w:pPr>
      <w:numPr>
        <w:numId w:val="7"/>
      </w:numPr>
    </w:pPr>
  </w:style>
  <w:style w:type="paragraph" w:styleId="Appendix" w:customStyle="1">
    <w:name w:val="Appendix"/>
    <w:basedOn w:val="Normal"/>
    <w:next w:val="Normal"/>
    <w:uiPriority w:val="23"/>
    <w:qFormat/>
    <w:rsid w:val="00FE2417"/>
    <w:pPr>
      <w:pageBreakBefore/>
      <w:numPr>
        <w:numId w:val="10"/>
      </w:numPr>
      <w:jc w:val="center"/>
      <w:outlineLvl w:val="0"/>
    </w:pPr>
    <w:rPr>
      <w:rFonts w:cs="Arial"/>
      <w:b/>
      <w:caps/>
    </w:rPr>
  </w:style>
  <w:style w:type="paragraph" w:styleId="Sch1Number" w:customStyle="1">
    <w:name w:val="Sch 1 Number"/>
    <w:basedOn w:val="Normal"/>
    <w:uiPriority w:val="14"/>
    <w:qFormat/>
    <w:rsid w:val="00FE2417"/>
    <w:pPr>
      <w:numPr>
        <w:ilvl w:val="2"/>
        <w:numId w:val="28"/>
      </w:numPr>
    </w:pPr>
  </w:style>
  <w:style w:type="paragraph" w:styleId="Sch2Number" w:customStyle="1">
    <w:name w:val="Sch 2 Number"/>
    <w:basedOn w:val="Normal"/>
    <w:uiPriority w:val="14"/>
    <w:qFormat/>
    <w:rsid w:val="00FE2417"/>
    <w:pPr>
      <w:numPr>
        <w:ilvl w:val="3"/>
        <w:numId w:val="28"/>
      </w:numPr>
    </w:pPr>
  </w:style>
  <w:style w:type="paragraph" w:styleId="Sch3Number" w:customStyle="1">
    <w:name w:val="Sch 3 Number"/>
    <w:basedOn w:val="Normal"/>
    <w:uiPriority w:val="14"/>
    <w:qFormat/>
    <w:rsid w:val="00FE2417"/>
    <w:pPr>
      <w:numPr>
        <w:ilvl w:val="4"/>
        <w:numId w:val="28"/>
      </w:numPr>
    </w:pPr>
  </w:style>
  <w:style w:type="paragraph" w:styleId="Sch4Number" w:customStyle="1">
    <w:name w:val="Sch 4 Number"/>
    <w:basedOn w:val="Normal"/>
    <w:uiPriority w:val="14"/>
    <w:qFormat/>
    <w:rsid w:val="00FE2417"/>
    <w:pPr>
      <w:numPr>
        <w:ilvl w:val="5"/>
        <w:numId w:val="28"/>
      </w:numPr>
    </w:pPr>
  </w:style>
  <w:style w:type="paragraph" w:styleId="Execution" w:customStyle="1">
    <w:name w:val="Execution"/>
    <w:basedOn w:val="Normal"/>
    <w:uiPriority w:val="31"/>
    <w:semiHidden/>
    <w:qFormat/>
    <w:rsid w:val="00FE2417"/>
  </w:style>
  <w:style w:type="paragraph" w:styleId="BodyText">
    <w:name w:val="Body Text"/>
    <w:basedOn w:val="Normal"/>
    <w:link w:val="BodyTextChar"/>
    <w:uiPriority w:val="19"/>
    <w:semiHidden/>
    <w:rsid w:val="00FE2417"/>
    <w:pPr>
      <w:spacing w:after="120"/>
    </w:pPr>
  </w:style>
  <w:style w:type="character" w:styleId="BodyTextChar" w:customStyle="1">
    <w:name w:val="Body Text Char"/>
    <w:basedOn w:val="DefaultParagraphFont"/>
    <w:link w:val="BodyText"/>
    <w:uiPriority w:val="19"/>
    <w:semiHidden/>
    <w:rsid w:val="00FE2417"/>
    <w:rPr>
      <w:rFonts w:ascii="Times New Roman" w:hAnsi="Times New Roman"/>
      <w:sz w:val="22"/>
    </w:rPr>
  </w:style>
  <w:style w:type="character" w:styleId="SubtleEmphasis">
    <w:name w:val="Subtle Emphasis"/>
    <w:basedOn w:val="DefaultParagraphFont"/>
    <w:uiPriority w:val="30"/>
    <w:semiHidden/>
    <w:qFormat/>
    <w:rsid w:val="00FE2417"/>
    <w:rPr>
      <w:i/>
      <w:iCs/>
      <w:color w:val="auto"/>
    </w:rPr>
  </w:style>
  <w:style w:type="paragraph" w:styleId="Header">
    <w:name w:val="header"/>
    <w:basedOn w:val="Normal"/>
    <w:link w:val="HeaderChar"/>
    <w:uiPriority w:val="29"/>
    <w:semiHidden/>
    <w:rsid w:val="00FE2417"/>
    <w:pPr>
      <w:tabs>
        <w:tab w:val="center" w:pos="4649"/>
        <w:tab w:val="right" w:pos="9299"/>
      </w:tabs>
      <w:spacing w:after="0"/>
    </w:pPr>
  </w:style>
  <w:style w:type="character" w:styleId="HeaderChar" w:customStyle="1">
    <w:name w:val="Header Char"/>
    <w:basedOn w:val="DefaultParagraphFont"/>
    <w:link w:val="Header"/>
    <w:uiPriority w:val="29"/>
    <w:semiHidden/>
    <w:rsid w:val="00FE2417"/>
    <w:rPr>
      <w:rFonts w:ascii="Times New Roman" w:hAnsi="Times New Roman"/>
      <w:sz w:val="22"/>
    </w:rPr>
  </w:style>
  <w:style w:type="paragraph" w:styleId="Footer">
    <w:name w:val="footer"/>
    <w:basedOn w:val="Normal"/>
    <w:link w:val="FooterChar"/>
    <w:uiPriority w:val="99"/>
    <w:qFormat/>
    <w:rsid w:val="00FE2417"/>
    <w:pPr>
      <w:tabs>
        <w:tab w:val="right" w:pos="9299"/>
      </w:tabs>
      <w:spacing w:after="0"/>
    </w:pPr>
  </w:style>
  <w:style w:type="character" w:styleId="FooterChar" w:customStyle="1">
    <w:name w:val="Footer Char"/>
    <w:basedOn w:val="DefaultParagraphFont"/>
    <w:link w:val="Footer"/>
    <w:uiPriority w:val="99"/>
    <w:rsid w:val="00FE2417"/>
    <w:rPr>
      <w:rFonts w:ascii="Times New Roman" w:hAnsi="Times New Roman"/>
      <w:sz w:val="22"/>
    </w:rPr>
  </w:style>
  <w:style w:type="paragraph" w:styleId="FooterContLandscape" w:customStyle="1">
    <w:name w:val="FooterContLandscape"/>
    <w:basedOn w:val="FooterCont"/>
    <w:uiPriority w:val="29"/>
    <w:semiHidden/>
    <w:qFormat/>
    <w:rsid w:val="00FE2417"/>
    <w:pPr>
      <w:tabs>
        <w:tab w:val="clear" w:pos="9299"/>
        <w:tab w:val="right" w:pos="14175"/>
      </w:tabs>
    </w:pPr>
  </w:style>
  <w:style w:type="table" w:styleId="TableGrid">
    <w:name w:val="Table Grid"/>
    <w:basedOn w:val="TableNormal"/>
    <w:uiPriority w:val="39"/>
    <w:rsid w:val="00FE24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semiHidden/>
    <w:rsid w:val="00FE2417"/>
    <w:pPr>
      <w:numPr>
        <w:numId w:val="17"/>
      </w:numPr>
      <w:contextualSpacing/>
    </w:pPr>
  </w:style>
  <w:style w:type="paragraph" w:styleId="FooterCont" w:customStyle="1">
    <w:name w:val="FooterCont"/>
    <w:basedOn w:val="Footer"/>
    <w:uiPriority w:val="39"/>
    <w:qFormat/>
    <w:rsid w:val="00FE2417"/>
    <w:pPr>
      <w:tabs>
        <w:tab w:val="center" w:pos="4649"/>
      </w:tabs>
    </w:pPr>
    <w:rPr>
      <w:sz w:val="14"/>
    </w:rPr>
  </w:style>
  <w:style w:type="paragraph" w:styleId="EnvelopeReturn">
    <w:name w:val="envelope return"/>
    <w:basedOn w:val="Normal"/>
    <w:uiPriority w:val="99"/>
    <w:semiHidden/>
    <w:unhideWhenUsed/>
    <w:rsid w:val="00FE2417"/>
    <w:pPr>
      <w:spacing w:after="0"/>
    </w:pPr>
    <w:rPr>
      <w:rFonts w:eastAsiaTheme="majorEastAsia" w:cstheme="majorBidi"/>
    </w:rPr>
  </w:style>
  <w:style w:type="paragraph" w:styleId="TOCSubHeading" w:customStyle="1">
    <w:name w:val="TOC Sub Heading"/>
    <w:basedOn w:val="Normal"/>
    <w:uiPriority w:val="28"/>
    <w:semiHidden/>
    <w:qFormat/>
    <w:rsid w:val="00FE2417"/>
    <w:pPr>
      <w:tabs>
        <w:tab w:val="right" w:pos="9299"/>
      </w:tabs>
    </w:pPr>
    <w:rPr>
      <w:b/>
    </w:rPr>
  </w:style>
  <w:style w:type="paragraph" w:styleId="TOC1">
    <w:name w:val="toc 1"/>
    <w:basedOn w:val="Normal"/>
    <w:next w:val="Normal"/>
    <w:uiPriority w:val="39"/>
    <w:rsid w:val="00FE2417"/>
    <w:pPr>
      <w:tabs>
        <w:tab w:val="right" w:leader="dot" w:pos="9287"/>
      </w:tabs>
      <w:spacing w:before="60" w:after="60"/>
      <w:ind w:left="1474" w:right="340" w:hanging="1474"/>
      <w:jc w:val="left"/>
    </w:pPr>
    <w:rPr>
      <w:caps/>
    </w:rPr>
  </w:style>
  <w:style w:type="paragraph" w:styleId="TOC2">
    <w:name w:val="toc 2"/>
    <w:basedOn w:val="Normal"/>
    <w:next w:val="Normal"/>
    <w:uiPriority w:val="39"/>
    <w:rsid w:val="00FE2417"/>
    <w:pPr>
      <w:spacing w:before="60" w:after="0"/>
      <w:ind w:left="720" w:right="340" w:hanging="720"/>
      <w:jc w:val="left"/>
    </w:pPr>
    <w:rPr>
      <w:caps/>
    </w:rPr>
  </w:style>
  <w:style w:type="character" w:styleId="Heading2Char" w:customStyle="1">
    <w:name w:val="Heading 2 Char"/>
    <w:basedOn w:val="DefaultParagraphFont"/>
    <w:link w:val="Heading2"/>
    <w:uiPriority w:val="99"/>
    <w:semiHidden/>
    <w:rsid w:val="00FE2417"/>
    <w:rPr>
      <w:rFonts w:ascii="Times New Roman" w:hAnsi="Times New Roman" w:cs="Arial" w:eastAsiaTheme="majorEastAsia"/>
      <w:b/>
      <w:bCs/>
      <w:sz w:val="22"/>
      <w:szCs w:val="26"/>
    </w:rPr>
  </w:style>
  <w:style w:type="character" w:styleId="Heading3Char" w:customStyle="1">
    <w:name w:val="Heading 3 Char"/>
    <w:basedOn w:val="DefaultParagraphFont"/>
    <w:link w:val="Heading3"/>
    <w:uiPriority w:val="29"/>
    <w:semiHidden/>
    <w:rsid w:val="00FE2417"/>
    <w:rPr>
      <w:rFonts w:ascii="Times New Roman" w:hAnsi="Times New Roman" w:cs="Arial" w:eastAsiaTheme="majorEastAsia"/>
      <w:b/>
      <w:bCs/>
      <w:i/>
      <w:sz w:val="22"/>
    </w:rPr>
  </w:style>
  <w:style w:type="character" w:styleId="Heading4Char" w:customStyle="1">
    <w:name w:val="Heading 4 Char"/>
    <w:basedOn w:val="DefaultParagraphFont"/>
    <w:link w:val="Heading4"/>
    <w:uiPriority w:val="29"/>
    <w:semiHidden/>
    <w:rsid w:val="00FE2417"/>
    <w:rPr>
      <w:rFonts w:ascii="Times New Roman" w:hAnsi="Times New Roman" w:eastAsiaTheme="majorEastAsia" w:cstheme="majorBidi"/>
      <w:bCs/>
      <w:i/>
      <w:iCs/>
      <w:sz w:val="22"/>
    </w:rPr>
  </w:style>
  <w:style w:type="character" w:styleId="Heading5Char" w:customStyle="1">
    <w:name w:val="Heading 5 Char"/>
    <w:basedOn w:val="DefaultParagraphFont"/>
    <w:link w:val="Heading5"/>
    <w:uiPriority w:val="29"/>
    <w:semiHidden/>
    <w:rsid w:val="00FE2417"/>
    <w:rPr>
      <w:rFonts w:ascii="Times New Roman" w:hAnsi="Times New Roman" w:cs="Arial" w:eastAsiaTheme="majorEastAsia"/>
      <w:b/>
      <w:sz w:val="22"/>
    </w:rPr>
  </w:style>
  <w:style w:type="character" w:styleId="Heading6Char" w:customStyle="1">
    <w:name w:val="Heading 6 Char"/>
    <w:basedOn w:val="DefaultParagraphFont"/>
    <w:link w:val="Heading6"/>
    <w:uiPriority w:val="29"/>
    <w:semiHidden/>
    <w:rsid w:val="00FE2417"/>
    <w:rPr>
      <w:rFonts w:ascii="Times New Roman" w:hAnsi="Times New Roman" w:cs="Arial" w:eastAsiaTheme="majorEastAsia"/>
      <w:b/>
      <w:iCs/>
      <w:sz w:val="22"/>
    </w:rPr>
  </w:style>
  <w:style w:type="character" w:styleId="Heading7Char" w:customStyle="1">
    <w:name w:val="Heading 7 Char"/>
    <w:basedOn w:val="DefaultParagraphFont"/>
    <w:link w:val="Heading7"/>
    <w:uiPriority w:val="29"/>
    <w:semiHidden/>
    <w:rsid w:val="00FE2417"/>
    <w:rPr>
      <w:rFonts w:ascii="Times New Roman" w:hAnsi="Times New Roman" w:cs="Arial" w:eastAsiaTheme="majorEastAsia"/>
      <w:b/>
      <w:iCs/>
      <w:sz w:val="22"/>
    </w:rPr>
  </w:style>
  <w:style w:type="character" w:styleId="Heading8Char" w:customStyle="1">
    <w:name w:val="Heading 8 Char"/>
    <w:basedOn w:val="DefaultParagraphFont"/>
    <w:link w:val="Heading8"/>
    <w:uiPriority w:val="29"/>
    <w:semiHidden/>
    <w:rsid w:val="00FE2417"/>
    <w:rPr>
      <w:rFonts w:ascii="Times New Roman" w:hAnsi="Times New Roman" w:cs="Arial" w:eastAsiaTheme="majorEastAsia"/>
      <w:b/>
      <w:sz w:val="22"/>
    </w:rPr>
  </w:style>
  <w:style w:type="character" w:styleId="Heading9Char" w:customStyle="1">
    <w:name w:val="Heading 9 Char"/>
    <w:basedOn w:val="DefaultParagraphFont"/>
    <w:link w:val="Heading9"/>
    <w:uiPriority w:val="29"/>
    <w:semiHidden/>
    <w:rsid w:val="00FE2417"/>
    <w:rPr>
      <w:rFonts w:ascii="Times New Roman" w:hAnsi="Times New Roman" w:cs="Arial" w:eastAsiaTheme="majorEastAsia"/>
      <w:b/>
      <w:iCs/>
      <w:sz w:val="22"/>
    </w:rPr>
  </w:style>
  <w:style w:type="numbering" w:styleId="NumbLstAppendix" w:customStyle="1">
    <w:name w:val="NumbLstAppendix"/>
    <w:uiPriority w:val="99"/>
    <w:rsid w:val="00FE2417"/>
    <w:pPr>
      <w:numPr>
        <w:numId w:val="10"/>
      </w:numPr>
    </w:pPr>
  </w:style>
  <w:style w:type="paragraph" w:styleId="Caption">
    <w:name w:val="caption"/>
    <w:basedOn w:val="Normal"/>
    <w:next w:val="Normal"/>
    <w:uiPriority w:val="35"/>
    <w:semiHidden/>
    <w:qFormat/>
    <w:rsid w:val="00FE2417"/>
    <w:rPr>
      <w:rFonts w:cs="Arial"/>
      <w:b/>
      <w:bCs/>
      <w:szCs w:val="18"/>
    </w:rPr>
  </w:style>
  <w:style w:type="paragraph" w:styleId="TOC3">
    <w:name w:val="toc 3"/>
    <w:basedOn w:val="Normal"/>
    <w:next w:val="Normal"/>
    <w:uiPriority w:val="39"/>
    <w:rsid w:val="00FE2417"/>
    <w:pPr>
      <w:spacing w:before="60" w:after="0"/>
      <w:ind w:left="1474" w:right="340" w:hanging="754"/>
      <w:jc w:val="left"/>
    </w:pPr>
  </w:style>
  <w:style w:type="paragraph" w:styleId="TOC4">
    <w:name w:val="toc 4"/>
    <w:basedOn w:val="Normal"/>
    <w:next w:val="Normal"/>
    <w:uiPriority w:val="39"/>
    <w:semiHidden/>
    <w:rsid w:val="00FE2417"/>
    <w:pPr>
      <w:tabs>
        <w:tab w:val="right" w:leader="dot" w:pos="9288"/>
      </w:tabs>
      <w:spacing w:after="0"/>
      <w:ind w:left="720"/>
    </w:pPr>
  </w:style>
  <w:style w:type="character" w:styleId="Hyperlink">
    <w:name w:val="Hyperlink"/>
    <w:basedOn w:val="DefaultParagraphFont"/>
    <w:uiPriority w:val="99"/>
    <w:semiHidden/>
    <w:rsid w:val="00FE2417"/>
    <w:rPr>
      <w:color w:val="0000FF" w:themeColor="hyperlink"/>
      <w:u w:val="single"/>
    </w:rPr>
  </w:style>
  <w:style w:type="paragraph" w:styleId="Index1">
    <w:name w:val="index 1"/>
    <w:basedOn w:val="Normal"/>
    <w:next w:val="Normal"/>
    <w:autoRedefine/>
    <w:uiPriority w:val="99"/>
    <w:semiHidden/>
    <w:unhideWhenUsed/>
    <w:rsid w:val="00FE2417"/>
    <w:pPr>
      <w:spacing w:after="0"/>
      <w:ind w:left="200" w:hanging="200"/>
    </w:pPr>
  </w:style>
  <w:style w:type="paragraph" w:styleId="ScheduleTitle" w:customStyle="1">
    <w:name w:val="ScheduleTitle"/>
    <w:basedOn w:val="Normal"/>
    <w:next w:val="Sch1Number"/>
    <w:uiPriority w:val="39"/>
    <w:qFormat/>
    <w:rsid w:val="00FE2417"/>
    <w:pPr>
      <w:keepNext/>
      <w:jc w:val="center"/>
    </w:pPr>
    <w:rPr>
      <w:b/>
    </w:rPr>
  </w:style>
  <w:style w:type="paragraph" w:styleId="PartTitle" w:customStyle="1">
    <w:name w:val="PartTitle"/>
    <w:basedOn w:val="Normal"/>
    <w:next w:val="Sch1Number"/>
    <w:uiPriority w:val="39"/>
    <w:semiHidden/>
    <w:qFormat/>
    <w:rsid w:val="00FE2417"/>
    <w:pPr>
      <w:keepNext/>
      <w:jc w:val="center"/>
    </w:pPr>
    <w:rPr>
      <w:b/>
    </w:rPr>
  </w:style>
  <w:style w:type="paragraph" w:styleId="ScheduleTitleNoTOC" w:customStyle="1">
    <w:name w:val="ScheduleTitleNoTOC"/>
    <w:basedOn w:val="ScheduleTitle"/>
    <w:uiPriority w:val="39"/>
    <w:qFormat/>
    <w:rsid w:val="00FE2417"/>
  </w:style>
  <w:style w:type="paragraph" w:styleId="TOC5">
    <w:name w:val="toc 5"/>
    <w:basedOn w:val="Normal"/>
    <w:next w:val="Normal"/>
    <w:uiPriority w:val="39"/>
    <w:rsid w:val="00FE2417"/>
    <w:pPr>
      <w:tabs>
        <w:tab w:val="left" w:pos="1474"/>
        <w:tab w:val="right" w:leader="dot" w:pos="9288"/>
      </w:tabs>
      <w:spacing w:before="60" w:after="0"/>
      <w:ind w:left="1474" w:right="340" w:hanging="754"/>
      <w:jc w:val="left"/>
    </w:pPr>
  </w:style>
  <w:style w:type="paragraph" w:styleId="IndexHeading">
    <w:name w:val="index heading"/>
    <w:basedOn w:val="Normal"/>
    <w:next w:val="Index1"/>
    <w:uiPriority w:val="99"/>
    <w:semiHidden/>
    <w:unhideWhenUsed/>
    <w:rsid w:val="00FE2417"/>
    <w:rPr>
      <w:rFonts w:eastAsiaTheme="majorEastAsia" w:cstheme="majorBidi"/>
      <w:b/>
      <w:bCs/>
    </w:rPr>
  </w:style>
  <w:style w:type="paragraph" w:styleId="Subtitle">
    <w:name w:val="Subtitle"/>
    <w:basedOn w:val="Normal"/>
    <w:next w:val="Normal"/>
    <w:link w:val="SubtitleChar"/>
    <w:uiPriority w:val="30"/>
    <w:semiHidden/>
    <w:qFormat/>
    <w:rsid w:val="00FE2417"/>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FE241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FE2417"/>
    <w:rPr>
      <w:rFonts w:ascii="Tahoma" w:hAnsi="Tahoma" w:cs="Tahoma"/>
      <w:sz w:val="16"/>
      <w:szCs w:val="16"/>
    </w:rPr>
  </w:style>
  <w:style w:type="paragraph" w:styleId="CoverPartyName" w:customStyle="1">
    <w:name w:val="Cover Party Name"/>
    <w:basedOn w:val="Normal"/>
    <w:uiPriority w:val="24"/>
    <w:semiHidden/>
    <w:qFormat/>
    <w:rsid w:val="00FE2417"/>
    <w:pPr>
      <w:spacing w:after="0"/>
      <w:jc w:val="center"/>
    </w:pPr>
    <w:rPr>
      <w:b/>
      <w:caps/>
      <w:sz w:val="28"/>
    </w:rPr>
  </w:style>
  <w:style w:type="character" w:styleId="CoverPartyNumber" w:customStyle="1">
    <w:name w:val="Cover Party Number"/>
    <w:basedOn w:val="DefaultParagraphFont"/>
    <w:uiPriority w:val="24"/>
    <w:semiHidden/>
    <w:qFormat/>
    <w:rsid w:val="00FE2417"/>
    <w:rPr>
      <w:sz w:val="24"/>
      <w:vertAlign w:val="superscript"/>
    </w:rPr>
  </w:style>
  <w:style w:type="paragraph" w:styleId="FooterAddress" w:customStyle="1">
    <w:name w:val="FooterAddress"/>
    <w:basedOn w:val="Footer"/>
    <w:uiPriority w:val="29"/>
    <w:semiHidden/>
    <w:qFormat/>
    <w:rsid w:val="00FE2417"/>
    <w:rPr>
      <w:sz w:val="14"/>
    </w:rPr>
  </w:style>
  <w:style w:type="paragraph" w:styleId="FooterAddressBold" w:customStyle="1">
    <w:name w:val="FooterAddressBold"/>
    <w:basedOn w:val="FooterAddress"/>
    <w:next w:val="FooterAddress"/>
    <w:uiPriority w:val="29"/>
    <w:semiHidden/>
    <w:qFormat/>
    <w:rsid w:val="00FE2417"/>
    <w:pPr>
      <w:spacing w:before="240"/>
    </w:pPr>
    <w:rPr>
      <w:rFonts w:cs="Arial"/>
      <w:b/>
    </w:rPr>
  </w:style>
  <w:style w:type="character" w:styleId="FollowedHyperlink">
    <w:name w:val="FollowedHyperlink"/>
    <w:basedOn w:val="DefaultParagraphFont"/>
    <w:uiPriority w:val="99"/>
    <w:semiHidden/>
    <w:rsid w:val="00FE2417"/>
    <w:rPr>
      <w:color w:val="800080" w:themeColor="followedHyperlink"/>
      <w:u w:val="single"/>
    </w:rPr>
  </w:style>
  <w:style w:type="paragraph" w:styleId="Closing">
    <w:name w:val="Closing"/>
    <w:basedOn w:val="Normal"/>
    <w:link w:val="ClosingChar"/>
    <w:uiPriority w:val="99"/>
    <w:semiHidden/>
    <w:unhideWhenUsed/>
    <w:rsid w:val="00FE2417"/>
    <w:pPr>
      <w:spacing w:after="0"/>
    </w:pPr>
  </w:style>
  <w:style w:type="character" w:styleId="ClosingChar" w:customStyle="1">
    <w:name w:val="Closing Char"/>
    <w:basedOn w:val="DefaultParagraphFont"/>
    <w:link w:val="Closing"/>
    <w:uiPriority w:val="99"/>
    <w:semiHidden/>
    <w:rsid w:val="00FE2417"/>
    <w:rPr>
      <w:rFonts w:ascii="Times New Roman" w:hAnsi="Times New Roman"/>
      <w:sz w:val="22"/>
    </w:rPr>
  </w:style>
  <w:style w:type="character" w:styleId="SubtitleChar" w:customStyle="1">
    <w:name w:val="Subtitle Char"/>
    <w:basedOn w:val="DefaultParagraphFont"/>
    <w:link w:val="Subtitle"/>
    <w:uiPriority w:val="30"/>
    <w:semiHidden/>
    <w:rsid w:val="00FE2417"/>
    <w:rPr>
      <w:rFonts w:ascii="Times New Roman" w:hAnsi="Times New Roman" w:eastAsiaTheme="majorEastAsia" w:cstheme="majorBidi"/>
      <w:i/>
      <w:iCs/>
      <w:spacing w:val="15"/>
      <w:sz w:val="22"/>
      <w:szCs w:val="24"/>
    </w:rPr>
  </w:style>
  <w:style w:type="paragraph" w:styleId="TOAHeading">
    <w:name w:val="toa heading"/>
    <w:basedOn w:val="Normal"/>
    <w:next w:val="Normal"/>
    <w:uiPriority w:val="99"/>
    <w:semiHidden/>
    <w:unhideWhenUsed/>
    <w:rsid w:val="00FE2417"/>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FE2417"/>
    <w:rPr>
      <w:smallCaps/>
      <w:color w:val="C0504D" w:themeColor="accent2"/>
      <w:u w:val="single"/>
    </w:rPr>
  </w:style>
  <w:style w:type="paragraph" w:styleId="CommentText">
    <w:name w:val="annotation text"/>
    <w:basedOn w:val="Normal"/>
    <w:link w:val="CommentTextChar"/>
    <w:uiPriority w:val="99"/>
    <w:semiHidden/>
    <w:unhideWhenUsed/>
    <w:rsid w:val="00FE2417"/>
  </w:style>
  <w:style w:type="character" w:styleId="CommentTextChar" w:customStyle="1">
    <w:name w:val="Comment Text Char"/>
    <w:basedOn w:val="DefaultParagraphFont"/>
    <w:link w:val="CommentText"/>
    <w:uiPriority w:val="99"/>
    <w:semiHidden/>
    <w:rsid w:val="00FE2417"/>
    <w:rPr>
      <w:rFonts w:ascii="Times New Roman" w:hAnsi="Times New Roman"/>
      <w:sz w:val="22"/>
    </w:rPr>
  </w:style>
  <w:style w:type="character" w:styleId="CommentReference">
    <w:name w:val="annotation reference"/>
    <w:basedOn w:val="DefaultParagraphFont"/>
    <w:uiPriority w:val="99"/>
    <w:semiHidden/>
    <w:unhideWhenUsed/>
    <w:rsid w:val="00FE2417"/>
    <w:rPr>
      <w:sz w:val="16"/>
      <w:szCs w:val="16"/>
    </w:rPr>
  </w:style>
  <w:style w:type="paragraph" w:styleId="TOC7">
    <w:name w:val="toc 7"/>
    <w:basedOn w:val="Normal"/>
    <w:next w:val="Normal"/>
    <w:uiPriority w:val="39"/>
    <w:rsid w:val="00FE2417"/>
    <w:pPr>
      <w:spacing w:before="120" w:after="60"/>
      <w:ind w:right="340"/>
      <w:jc w:val="left"/>
    </w:pPr>
    <w:rPr>
      <w:rFonts w:cs="Arial"/>
      <w:b/>
    </w:rPr>
  </w:style>
  <w:style w:type="paragraph" w:styleId="TOC8">
    <w:name w:val="toc 8"/>
    <w:basedOn w:val="Normal"/>
    <w:next w:val="Normal"/>
    <w:uiPriority w:val="39"/>
    <w:semiHidden/>
    <w:rsid w:val="00FE2417"/>
    <w:pPr>
      <w:spacing w:after="100"/>
      <w:ind w:left="1400"/>
    </w:pPr>
  </w:style>
  <w:style w:type="paragraph" w:styleId="TOC9">
    <w:name w:val="toc 9"/>
    <w:basedOn w:val="Normal"/>
    <w:next w:val="Normal"/>
    <w:uiPriority w:val="39"/>
    <w:semiHidden/>
    <w:rsid w:val="00FE2417"/>
    <w:pPr>
      <w:spacing w:after="100"/>
      <w:ind w:left="1600"/>
    </w:pPr>
  </w:style>
  <w:style w:type="paragraph" w:styleId="TableText" w:customStyle="1">
    <w:name w:val="TableText"/>
    <w:basedOn w:val="Normal"/>
    <w:uiPriority w:val="34"/>
    <w:qFormat/>
    <w:rsid w:val="00FE2417"/>
    <w:pPr>
      <w:spacing w:before="120" w:after="120"/>
      <w:ind w:left="113" w:right="57"/>
      <w:jc w:val="left"/>
    </w:pPr>
  </w:style>
  <w:style w:type="paragraph" w:styleId="TableHeading" w:customStyle="1">
    <w:name w:val="TableHeading"/>
    <w:basedOn w:val="TableText"/>
    <w:uiPriority w:val="34"/>
    <w:qFormat/>
    <w:rsid w:val="00FE2417"/>
    <w:rPr>
      <w:b/>
    </w:rPr>
  </w:style>
  <w:style w:type="paragraph" w:styleId="TableNumber1" w:customStyle="1">
    <w:name w:val="TableNumber 1"/>
    <w:basedOn w:val="TableText"/>
    <w:uiPriority w:val="35"/>
    <w:qFormat/>
    <w:rsid w:val="00FE2417"/>
    <w:pPr>
      <w:numPr>
        <w:ilvl w:val="1"/>
        <w:numId w:val="29"/>
      </w:numPr>
    </w:pPr>
  </w:style>
  <w:style w:type="numbering" w:styleId="NumbLstTables" w:customStyle="1">
    <w:name w:val="NumbLstTables"/>
    <w:uiPriority w:val="99"/>
    <w:rsid w:val="00FE2417"/>
    <w:pPr>
      <w:numPr>
        <w:numId w:val="11"/>
      </w:numPr>
    </w:pPr>
  </w:style>
  <w:style w:type="paragraph" w:styleId="NormalNoSpace" w:customStyle="1">
    <w:name w:val="NormalNoSpace"/>
    <w:basedOn w:val="Normal"/>
    <w:next w:val="Normal"/>
    <w:qFormat/>
    <w:rsid w:val="00FE2417"/>
    <w:pPr>
      <w:spacing w:after="0"/>
    </w:pPr>
  </w:style>
  <w:style w:type="paragraph" w:styleId="AlphaList1" w:customStyle="1">
    <w:name w:val="AlphaList 1"/>
    <w:basedOn w:val="Normal"/>
    <w:uiPriority w:val="30"/>
    <w:qFormat/>
    <w:rsid w:val="00FE2417"/>
    <w:pPr>
      <w:numPr>
        <w:numId w:val="8"/>
      </w:numPr>
    </w:pPr>
  </w:style>
  <w:style w:type="paragraph" w:styleId="AlphaList2" w:customStyle="1">
    <w:name w:val="AlphaList 2"/>
    <w:basedOn w:val="Normal"/>
    <w:uiPriority w:val="30"/>
    <w:qFormat/>
    <w:rsid w:val="00FE2417"/>
    <w:pPr>
      <w:numPr>
        <w:ilvl w:val="1"/>
        <w:numId w:val="8"/>
      </w:numPr>
    </w:pPr>
  </w:style>
  <w:style w:type="paragraph" w:styleId="Bullet1" w:customStyle="1">
    <w:name w:val="Bullet 1"/>
    <w:basedOn w:val="Normal"/>
    <w:uiPriority w:val="30"/>
    <w:qFormat/>
    <w:rsid w:val="00FE2417"/>
    <w:pPr>
      <w:numPr>
        <w:numId w:val="14"/>
      </w:numPr>
    </w:pPr>
  </w:style>
  <w:style w:type="paragraph" w:styleId="Bullet2" w:customStyle="1">
    <w:name w:val="Bullet 2"/>
    <w:basedOn w:val="Normal"/>
    <w:uiPriority w:val="30"/>
    <w:qFormat/>
    <w:rsid w:val="00FE2417"/>
    <w:pPr>
      <w:numPr>
        <w:ilvl w:val="1"/>
        <w:numId w:val="14"/>
      </w:numPr>
    </w:pPr>
  </w:style>
  <w:style w:type="paragraph" w:styleId="AppendixTitle" w:customStyle="1">
    <w:name w:val="AppendixTitle"/>
    <w:basedOn w:val="Normal"/>
    <w:next w:val="Normal"/>
    <w:uiPriority w:val="33"/>
    <w:qFormat/>
    <w:rsid w:val="00FE2417"/>
    <w:pPr>
      <w:keepNext/>
      <w:jc w:val="center"/>
    </w:pPr>
    <w:rPr>
      <w:rFonts w:cs="Arial"/>
      <w:b/>
    </w:rPr>
  </w:style>
  <w:style w:type="paragraph" w:styleId="Signature">
    <w:name w:val="Signature"/>
    <w:basedOn w:val="Normal"/>
    <w:link w:val="SignatureChar"/>
    <w:uiPriority w:val="99"/>
    <w:semiHidden/>
    <w:rsid w:val="00FE2417"/>
    <w:pPr>
      <w:tabs>
        <w:tab w:val="right" w:leader="underscore" w:pos="4423"/>
      </w:tabs>
      <w:spacing w:before="240" w:after="120"/>
    </w:pPr>
  </w:style>
  <w:style w:type="character" w:styleId="SignatureChar" w:customStyle="1">
    <w:name w:val="Signature Char"/>
    <w:basedOn w:val="DefaultParagraphFont"/>
    <w:link w:val="Signature"/>
    <w:uiPriority w:val="99"/>
    <w:semiHidden/>
    <w:rsid w:val="00FE2417"/>
    <w:rPr>
      <w:rFonts w:ascii="Times New Roman" w:hAnsi="Times New Roman"/>
      <w:sz w:val="22"/>
    </w:rPr>
  </w:style>
  <w:style w:type="paragraph" w:styleId="EndnoteText">
    <w:name w:val="endnote text"/>
    <w:basedOn w:val="Normal"/>
    <w:link w:val="EndnoteTextChar"/>
    <w:uiPriority w:val="99"/>
    <w:semiHidden/>
    <w:unhideWhenUsed/>
    <w:rsid w:val="00FE2417"/>
    <w:pPr>
      <w:spacing w:after="120"/>
    </w:pPr>
    <w:rPr>
      <w:i/>
      <w:sz w:val="16"/>
    </w:rPr>
  </w:style>
  <w:style w:type="character" w:styleId="EndnoteTextChar" w:customStyle="1">
    <w:name w:val="Endnote Text Char"/>
    <w:basedOn w:val="DefaultParagraphFont"/>
    <w:link w:val="EndnoteText"/>
    <w:uiPriority w:val="99"/>
    <w:semiHidden/>
    <w:rsid w:val="00FE2417"/>
    <w:rPr>
      <w:rFonts w:ascii="Times New Roman" w:hAnsi="Times New Roman"/>
      <w:i/>
      <w:sz w:val="16"/>
    </w:rPr>
  </w:style>
  <w:style w:type="paragraph" w:styleId="FootnoteText">
    <w:name w:val="footnote text"/>
    <w:basedOn w:val="Normal"/>
    <w:link w:val="FootnoteTextChar"/>
    <w:uiPriority w:val="99"/>
    <w:unhideWhenUsed/>
    <w:rsid w:val="00FE2417"/>
    <w:pPr>
      <w:spacing w:after="0"/>
    </w:pPr>
    <w:rPr>
      <w:i/>
      <w:sz w:val="16"/>
    </w:rPr>
  </w:style>
  <w:style w:type="character" w:styleId="FootnoteTextChar" w:customStyle="1">
    <w:name w:val="Footnote Text Char"/>
    <w:basedOn w:val="DefaultParagraphFont"/>
    <w:link w:val="FootnoteText"/>
    <w:uiPriority w:val="99"/>
    <w:rsid w:val="00FE2417"/>
    <w:rPr>
      <w:rFonts w:ascii="Times New Roman" w:hAnsi="Times New Roman"/>
      <w:i/>
      <w:sz w:val="16"/>
    </w:rPr>
  </w:style>
  <w:style w:type="paragraph" w:styleId="FtrTitlePgCoName" w:customStyle="1">
    <w:name w:val="FtrTitlePgCoName"/>
    <w:basedOn w:val="Normal"/>
    <w:uiPriority w:val="39"/>
    <w:semiHidden/>
    <w:qFormat/>
    <w:rsid w:val="00FE2417"/>
    <w:pPr>
      <w:spacing w:after="0"/>
      <w:jc w:val="center"/>
    </w:pPr>
    <w:rPr>
      <w:rFonts w:cs="Arial"/>
      <w:b/>
      <w:color w:val="4D4D4D"/>
      <w:sz w:val="18"/>
    </w:rPr>
  </w:style>
  <w:style w:type="paragraph" w:styleId="FtrTitlePgAddress" w:customStyle="1">
    <w:name w:val="FtrTitlePgAddress"/>
    <w:basedOn w:val="Normal"/>
    <w:uiPriority w:val="39"/>
    <w:semiHidden/>
    <w:rsid w:val="00FE2417"/>
    <w:pPr>
      <w:spacing w:after="120"/>
      <w:jc w:val="center"/>
    </w:pPr>
    <w:rPr>
      <w:color w:val="4D4D4D"/>
      <w:sz w:val="18"/>
    </w:rPr>
  </w:style>
  <w:style w:type="paragraph" w:styleId="FtrTitlePgWebAddress" w:customStyle="1">
    <w:name w:val="FtrTitlePgWebAddress"/>
    <w:basedOn w:val="Normal"/>
    <w:uiPriority w:val="39"/>
    <w:semiHidden/>
    <w:qFormat/>
    <w:rsid w:val="00FE2417"/>
    <w:pPr>
      <w:spacing w:after="0"/>
      <w:jc w:val="center"/>
    </w:pPr>
    <w:rPr>
      <w:color w:val="4D4D4D"/>
      <w:sz w:val="18"/>
    </w:rPr>
  </w:style>
  <w:style w:type="paragraph" w:styleId="Title">
    <w:name w:val="Title"/>
    <w:basedOn w:val="Normal"/>
    <w:next w:val="Normal"/>
    <w:link w:val="TitleChar"/>
    <w:uiPriority w:val="30"/>
    <w:semiHidden/>
    <w:qFormat/>
    <w:rsid w:val="00FE2417"/>
    <w:pPr>
      <w:spacing w:after="300"/>
      <w:contextualSpacing/>
    </w:pPr>
    <w:rPr>
      <w:rFonts w:cs="Arial" w:eastAsiaTheme="majorEastAsia"/>
      <w:b/>
      <w:caps/>
      <w:spacing w:val="5"/>
      <w:kern w:val="28"/>
      <w:sz w:val="24"/>
      <w:szCs w:val="52"/>
    </w:rPr>
  </w:style>
  <w:style w:type="character" w:styleId="TitleChar" w:customStyle="1">
    <w:name w:val="Title Char"/>
    <w:basedOn w:val="DefaultParagraphFont"/>
    <w:link w:val="Title"/>
    <w:uiPriority w:val="30"/>
    <w:semiHidden/>
    <w:rsid w:val="00FE2417"/>
    <w:rPr>
      <w:rFonts w:ascii="Times New Roman" w:hAnsi="Times New Roman" w:cs="Arial" w:eastAsiaTheme="majorEastAsia"/>
      <w:b/>
      <w:caps/>
      <w:spacing w:val="5"/>
      <w:kern w:val="28"/>
      <w:sz w:val="24"/>
      <w:szCs w:val="52"/>
    </w:rPr>
  </w:style>
  <w:style w:type="paragraph" w:styleId="CoverDocumentType" w:customStyle="1">
    <w:name w:val="Cover Document Type"/>
    <w:basedOn w:val="Normal"/>
    <w:link w:val="CoverDocumentTypeChar"/>
    <w:uiPriority w:val="24"/>
    <w:semiHidden/>
    <w:qFormat/>
    <w:rsid w:val="00FE2417"/>
    <w:pPr>
      <w:spacing w:after="120"/>
      <w:contextualSpacing/>
      <w:jc w:val="center"/>
    </w:pPr>
    <w:rPr>
      <w:b/>
      <w:sz w:val="28"/>
    </w:rPr>
  </w:style>
  <w:style w:type="character" w:styleId="CoverDocumentTypeChar" w:customStyle="1">
    <w:name w:val="Cover Document Type Char"/>
    <w:basedOn w:val="DefaultParagraphFont"/>
    <w:link w:val="CoverDocumentType"/>
    <w:uiPriority w:val="24"/>
    <w:semiHidden/>
    <w:rsid w:val="00FE2417"/>
    <w:rPr>
      <w:rFonts w:ascii="Times New Roman" w:hAnsi="Times New Roman"/>
      <w:b/>
      <w:sz w:val="28"/>
    </w:rPr>
  </w:style>
  <w:style w:type="paragraph" w:styleId="Section" w:customStyle="1">
    <w:name w:val="Section"/>
    <w:basedOn w:val="Normal"/>
    <w:next w:val="Level2Number"/>
    <w:uiPriority w:val="29"/>
    <w:semiHidden/>
    <w:qFormat/>
    <w:rsid w:val="00FE2417"/>
    <w:pPr>
      <w:keepNext/>
      <w:jc w:val="left"/>
      <w:outlineLvl w:val="0"/>
    </w:pPr>
    <w:rPr>
      <w:rFonts w:cs="Arial"/>
      <w:b/>
      <w:caps/>
    </w:rPr>
  </w:style>
  <w:style w:type="paragraph" w:styleId="SubSection" w:customStyle="1">
    <w:name w:val="Sub Section"/>
    <w:basedOn w:val="Section"/>
    <w:next w:val="Level2Number"/>
    <w:uiPriority w:val="29"/>
    <w:semiHidden/>
    <w:qFormat/>
    <w:rsid w:val="00FE2417"/>
    <w:pPr>
      <w:ind w:left="680"/>
      <w:outlineLvl w:val="1"/>
    </w:pPr>
    <w:rPr>
      <w:caps w:val="0"/>
    </w:rPr>
  </w:style>
  <w:style w:type="paragraph" w:styleId="CoverDocumentRelating" w:customStyle="1">
    <w:name w:val="Cover Document Relating"/>
    <w:basedOn w:val="CoverDocumentType"/>
    <w:uiPriority w:val="24"/>
    <w:semiHidden/>
    <w:qFormat/>
    <w:rsid w:val="00FE2417"/>
    <w:pPr>
      <w:spacing w:before="120"/>
    </w:pPr>
    <w:rPr>
      <w:b w:val="0"/>
      <w:sz w:val="24"/>
    </w:rPr>
  </w:style>
  <w:style w:type="paragraph" w:styleId="FtrTitlePgReference" w:customStyle="1">
    <w:name w:val="FtrTitlePgReference"/>
    <w:basedOn w:val="Normal"/>
    <w:uiPriority w:val="39"/>
    <w:rsid w:val="00FE2417"/>
    <w:pPr>
      <w:spacing w:before="60" w:after="0" w:line="240" w:lineRule="auto"/>
      <w:jc w:val="center"/>
    </w:pPr>
    <w:rPr>
      <w:color w:val="4D4D4D"/>
      <w:sz w:val="16"/>
    </w:rPr>
  </w:style>
  <w:style w:type="paragraph" w:styleId="ScheduleScottishText" w:customStyle="1">
    <w:name w:val="Schedule Scottish Text"/>
    <w:basedOn w:val="Normal"/>
    <w:next w:val="Schedule"/>
    <w:uiPriority w:val="10"/>
    <w:semiHidden/>
    <w:qFormat/>
    <w:rsid w:val="00FE2417"/>
    <w:pPr>
      <w:keepNext/>
      <w:keepLines/>
      <w:pageBreakBefore/>
    </w:pPr>
  </w:style>
  <w:style w:type="paragraph" w:styleId="FtrTitlePgLogo" w:customStyle="1">
    <w:name w:val="FtrTitlePgLogo"/>
    <w:basedOn w:val="Normal"/>
    <w:uiPriority w:val="39"/>
    <w:semiHidden/>
    <w:rsid w:val="00FE2417"/>
    <w:pPr>
      <w:spacing w:after="0"/>
      <w:jc w:val="center"/>
    </w:pPr>
  </w:style>
  <w:style w:type="paragraph" w:styleId="Bullet3" w:customStyle="1">
    <w:name w:val="Bullet 3"/>
    <w:basedOn w:val="Normal"/>
    <w:uiPriority w:val="30"/>
    <w:qFormat/>
    <w:rsid w:val="00FE2417"/>
    <w:pPr>
      <w:numPr>
        <w:ilvl w:val="2"/>
        <w:numId w:val="14"/>
      </w:numPr>
    </w:pPr>
  </w:style>
  <w:style w:type="numbering" w:styleId="NumbListAlpha" w:customStyle="1">
    <w:name w:val="NumbListAlpha"/>
    <w:uiPriority w:val="99"/>
    <w:rsid w:val="00FE2417"/>
    <w:pPr>
      <w:numPr>
        <w:numId w:val="8"/>
      </w:numPr>
    </w:pPr>
  </w:style>
  <w:style w:type="paragraph" w:styleId="TableSource" w:customStyle="1">
    <w:name w:val="TableSource"/>
    <w:basedOn w:val="Normal"/>
    <w:next w:val="Normal"/>
    <w:uiPriority w:val="36"/>
    <w:qFormat/>
    <w:rsid w:val="00FE2417"/>
    <w:rPr>
      <w:i/>
    </w:rPr>
  </w:style>
  <w:style w:type="paragraph" w:styleId="TableTitle" w:customStyle="1">
    <w:name w:val="TableTitle"/>
    <w:basedOn w:val="Normal"/>
    <w:next w:val="Normal"/>
    <w:uiPriority w:val="33"/>
    <w:qFormat/>
    <w:rsid w:val="00FE2417"/>
    <w:pPr>
      <w:numPr>
        <w:numId w:val="29"/>
      </w:numPr>
      <w:spacing w:before="240"/>
    </w:pPr>
    <w:rPr>
      <w:rFonts w:cs="Arial"/>
      <w:b/>
    </w:rPr>
  </w:style>
  <w:style w:type="paragraph" w:styleId="TableBullet1" w:customStyle="1">
    <w:name w:val="TableBullet 1"/>
    <w:basedOn w:val="Normal"/>
    <w:uiPriority w:val="35"/>
    <w:qFormat/>
    <w:rsid w:val="00FE2417"/>
    <w:pPr>
      <w:numPr>
        <w:ilvl w:val="2"/>
        <w:numId w:val="29"/>
      </w:numPr>
      <w:spacing w:before="120" w:after="120"/>
      <w:ind w:right="57"/>
    </w:pPr>
  </w:style>
  <w:style w:type="paragraph" w:styleId="IntroHeadingSub" w:customStyle="1">
    <w:name w:val="Intro Heading Sub"/>
    <w:basedOn w:val="IntroHeading"/>
    <w:next w:val="Normal"/>
    <w:uiPriority w:val="2"/>
    <w:qFormat/>
    <w:rsid w:val="00FE2417"/>
    <w:pPr>
      <w:numPr>
        <w:numId w:val="0"/>
      </w:numPr>
      <w:outlineLvl w:val="1"/>
    </w:pPr>
    <w:rPr>
      <w:caps w:val="0"/>
    </w:rPr>
  </w:style>
  <w:style w:type="numbering" w:styleId="NumLstBullets" w:customStyle="1">
    <w:name w:val="NumLstBullets"/>
    <w:uiPriority w:val="99"/>
    <w:rsid w:val="00FE2417"/>
    <w:pPr>
      <w:numPr>
        <w:numId w:val="12"/>
      </w:numPr>
    </w:pPr>
  </w:style>
  <w:style w:type="numbering" w:styleId="111111">
    <w:name w:val="Outline List 2"/>
    <w:basedOn w:val="NoList"/>
    <w:uiPriority w:val="99"/>
    <w:semiHidden/>
    <w:unhideWhenUsed/>
    <w:rsid w:val="00FE2417"/>
    <w:pPr>
      <w:numPr>
        <w:numId w:val="1"/>
      </w:numPr>
    </w:pPr>
  </w:style>
  <w:style w:type="numbering" w:styleId="1ai">
    <w:name w:val="Outline List 1"/>
    <w:basedOn w:val="NoList"/>
    <w:uiPriority w:val="99"/>
    <w:semiHidden/>
    <w:unhideWhenUsed/>
    <w:rsid w:val="00FE2417"/>
    <w:pPr>
      <w:numPr>
        <w:numId w:val="2"/>
      </w:numPr>
    </w:pPr>
  </w:style>
  <w:style w:type="numbering" w:styleId="ArticleSection">
    <w:name w:val="Outline List 3"/>
    <w:basedOn w:val="NoList"/>
    <w:semiHidden/>
    <w:unhideWhenUsed/>
    <w:rsid w:val="00FE2417"/>
    <w:pPr>
      <w:numPr>
        <w:numId w:val="3"/>
      </w:numPr>
    </w:pPr>
  </w:style>
  <w:style w:type="paragraph" w:styleId="Bibliography">
    <w:name w:val="Bibliography"/>
    <w:basedOn w:val="Normal"/>
    <w:next w:val="Normal"/>
    <w:uiPriority w:val="37"/>
    <w:semiHidden/>
    <w:unhideWhenUsed/>
    <w:rsid w:val="00FE2417"/>
  </w:style>
  <w:style w:type="paragraph" w:styleId="BlockText">
    <w:name w:val="Block Text"/>
    <w:basedOn w:val="Normal"/>
    <w:uiPriority w:val="99"/>
    <w:semiHidden/>
    <w:unhideWhenUsed/>
    <w:rsid w:val="00FE2417"/>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i/>
      <w:iCs/>
      <w:color w:val="4F81BD" w:themeColor="accent1"/>
    </w:rPr>
  </w:style>
  <w:style w:type="paragraph" w:styleId="BodyTextFirstIndent">
    <w:name w:val="Body Text First Indent"/>
    <w:basedOn w:val="BodyText"/>
    <w:link w:val="BodyTextFirstIndentChar"/>
    <w:uiPriority w:val="99"/>
    <w:semiHidden/>
    <w:unhideWhenUsed/>
    <w:rsid w:val="00FE2417"/>
    <w:pPr>
      <w:spacing w:after="240"/>
      <w:ind w:firstLine="360"/>
    </w:pPr>
  </w:style>
  <w:style w:type="character" w:styleId="BodyTextFirstIndentChar" w:customStyle="1">
    <w:name w:val="Body Text First Indent Char"/>
    <w:basedOn w:val="BodyTextChar"/>
    <w:link w:val="BodyTextFirstIndent"/>
    <w:uiPriority w:val="99"/>
    <w:semiHidden/>
    <w:rsid w:val="00FE2417"/>
    <w:rPr>
      <w:rFonts w:ascii="Times New Roman" w:hAnsi="Times New Roman"/>
      <w:sz w:val="22"/>
    </w:rPr>
  </w:style>
  <w:style w:type="paragraph" w:styleId="BodyTextIndent">
    <w:name w:val="Body Text Indent"/>
    <w:basedOn w:val="Normal"/>
    <w:link w:val="BodyTextIndentChar"/>
    <w:uiPriority w:val="99"/>
    <w:semiHidden/>
    <w:unhideWhenUsed/>
    <w:rsid w:val="00FE2417"/>
    <w:pPr>
      <w:spacing w:after="120"/>
      <w:ind w:left="283"/>
    </w:pPr>
  </w:style>
  <w:style w:type="character" w:styleId="BodyTextIndentChar" w:customStyle="1">
    <w:name w:val="Body Text Indent Char"/>
    <w:basedOn w:val="DefaultParagraphFont"/>
    <w:link w:val="BodyTextIndent"/>
    <w:uiPriority w:val="99"/>
    <w:semiHidden/>
    <w:rsid w:val="00FE2417"/>
    <w:rPr>
      <w:rFonts w:ascii="Times New Roman" w:hAnsi="Times New Roman"/>
      <w:sz w:val="22"/>
    </w:rPr>
  </w:style>
  <w:style w:type="paragraph" w:styleId="BodyTextFirstIndent2">
    <w:name w:val="Body Text First Indent 2"/>
    <w:basedOn w:val="BodyTextIndent"/>
    <w:link w:val="BodyTextFirstIndent2Char"/>
    <w:uiPriority w:val="99"/>
    <w:semiHidden/>
    <w:unhideWhenUsed/>
    <w:rsid w:val="00FE2417"/>
    <w:pPr>
      <w:spacing w:after="240"/>
      <w:ind w:left="360" w:firstLine="360"/>
    </w:pPr>
  </w:style>
  <w:style w:type="character" w:styleId="BodyTextFirstIndent2Char" w:customStyle="1">
    <w:name w:val="Body Text First Indent 2 Char"/>
    <w:basedOn w:val="BodyTextIndentChar"/>
    <w:link w:val="BodyTextFirstIndent2"/>
    <w:uiPriority w:val="99"/>
    <w:semiHidden/>
    <w:rsid w:val="00FE2417"/>
    <w:rPr>
      <w:rFonts w:ascii="Times New Roman" w:hAnsi="Times New Roman"/>
      <w:sz w:val="22"/>
    </w:rPr>
  </w:style>
  <w:style w:type="paragraph" w:styleId="BodyTextIndent2">
    <w:name w:val="Body Text Indent 2"/>
    <w:basedOn w:val="Normal"/>
    <w:link w:val="BodyTextIndent2Char"/>
    <w:uiPriority w:val="99"/>
    <w:semiHidden/>
    <w:unhideWhenUsed/>
    <w:rsid w:val="00FE2417"/>
    <w:pPr>
      <w:spacing w:after="120" w:line="480" w:lineRule="auto"/>
      <w:ind w:left="283"/>
    </w:pPr>
  </w:style>
  <w:style w:type="character" w:styleId="BodyTextIndent2Char" w:customStyle="1">
    <w:name w:val="Body Text Indent 2 Char"/>
    <w:basedOn w:val="DefaultParagraphFont"/>
    <w:link w:val="BodyTextIndent2"/>
    <w:uiPriority w:val="99"/>
    <w:semiHidden/>
    <w:rsid w:val="00FE2417"/>
    <w:rPr>
      <w:rFonts w:ascii="Times New Roman" w:hAnsi="Times New Roman"/>
      <w:sz w:val="22"/>
    </w:rPr>
  </w:style>
  <w:style w:type="paragraph" w:styleId="BodyTextIndent3">
    <w:name w:val="Body Text Indent 3"/>
    <w:basedOn w:val="Normal"/>
    <w:link w:val="BodyTextIndent3Char"/>
    <w:uiPriority w:val="99"/>
    <w:semiHidden/>
    <w:unhideWhenUsed/>
    <w:rsid w:val="00FE241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E2417"/>
    <w:rPr>
      <w:rFonts w:ascii="Times New Roman" w:hAnsi="Times New Roman"/>
      <w:sz w:val="16"/>
      <w:szCs w:val="16"/>
    </w:rPr>
  </w:style>
  <w:style w:type="character" w:styleId="BookTitle">
    <w:name w:val="Book Title"/>
    <w:basedOn w:val="DefaultParagraphFont"/>
    <w:uiPriority w:val="33"/>
    <w:qFormat/>
    <w:rsid w:val="00FE2417"/>
    <w:rPr>
      <w:b/>
      <w:bCs/>
      <w:i/>
      <w:iCs/>
      <w:spacing w:val="5"/>
    </w:rPr>
  </w:style>
  <w:style w:type="table" w:styleId="ColorfulGrid">
    <w:name w:val="Colorful Grid"/>
    <w:basedOn w:val="TableNormal"/>
    <w:uiPriority w:val="73"/>
    <w:semiHidden/>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FE2417"/>
    <w:pPr>
      <w:spacing w:after="0"/>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4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417"/>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417"/>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417"/>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417"/>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417"/>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unhideWhenUsed/>
    <w:rsid w:val="00FE2417"/>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417"/>
    <w:pPr>
      <w:spacing w:after="0"/>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417"/>
    <w:pPr>
      <w:spacing w:after="0"/>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417"/>
    <w:pPr>
      <w:spacing w:after="0"/>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417"/>
    <w:pPr>
      <w:spacing w:after="0"/>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417"/>
    <w:pPr>
      <w:spacing w:after="0"/>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417"/>
    <w:pPr>
      <w:spacing w:after="0"/>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FE2417"/>
    <w:pPr>
      <w:spacing w:after="0"/>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FE2417"/>
    <w:pPr>
      <w:spacing w:line="240" w:lineRule="auto"/>
    </w:pPr>
    <w:rPr>
      <w:b/>
      <w:bCs/>
    </w:rPr>
  </w:style>
  <w:style w:type="character" w:styleId="CommentSubjectChar" w:customStyle="1">
    <w:name w:val="Comment Subject Char"/>
    <w:basedOn w:val="CommentTextChar"/>
    <w:link w:val="CommentSubject"/>
    <w:uiPriority w:val="99"/>
    <w:semiHidden/>
    <w:rsid w:val="00FE2417"/>
    <w:rPr>
      <w:rFonts w:ascii="Times New Roman" w:hAnsi="Times New Roman"/>
      <w:b/>
      <w:bCs/>
      <w:sz w:val="22"/>
    </w:rPr>
  </w:style>
  <w:style w:type="table" w:styleId="DarkList">
    <w:name w:val="Dark List"/>
    <w:basedOn w:val="TableNormal"/>
    <w:uiPriority w:val="70"/>
    <w:semiHidden/>
    <w:unhideWhenUsed/>
    <w:rsid w:val="00FE24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417"/>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417"/>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417"/>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417"/>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417"/>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unhideWhenUsed/>
    <w:rsid w:val="00FE2417"/>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E2417"/>
  </w:style>
  <w:style w:type="character" w:styleId="DateChar" w:customStyle="1">
    <w:name w:val="Date Char"/>
    <w:basedOn w:val="DefaultParagraphFont"/>
    <w:link w:val="Date"/>
    <w:uiPriority w:val="99"/>
    <w:semiHidden/>
    <w:rsid w:val="00FE2417"/>
    <w:rPr>
      <w:rFonts w:ascii="Times New Roman" w:hAnsi="Times New Roman"/>
      <w:sz w:val="22"/>
    </w:rPr>
  </w:style>
  <w:style w:type="paragraph" w:styleId="DocumentMap">
    <w:name w:val="Document Map"/>
    <w:basedOn w:val="Normal"/>
    <w:link w:val="DocumentMapChar"/>
    <w:uiPriority w:val="99"/>
    <w:semiHidden/>
    <w:unhideWhenUsed/>
    <w:rsid w:val="00FE241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E2417"/>
    <w:rPr>
      <w:rFonts w:ascii="Segoe UI" w:hAnsi="Segoe UI" w:cs="Segoe UI"/>
      <w:sz w:val="16"/>
      <w:szCs w:val="16"/>
    </w:rPr>
  </w:style>
  <w:style w:type="paragraph" w:styleId="E-mailSignature">
    <w:name w:val="E-mail Signature"/>
    <w:basedOn w:val="Normal"/>
    <w:link w:val="E-mailSignatureChar"/>
    <w:uiPriority w:val="99"/>
    <w:semiHidden/>
    <w:unhideWhenUsed/>
    <w:rsid w:val="00FE2417"/>
    <w:pPr>
      <w:spacing w:after="0" w:line="240" w:lineRule="auto"/>
    </w:pPr>
  </w:style>
  <w:style w:type="character" w:styleId="E-mailSignatureChar" w:customStyle="1">
    <w:name w:val="E-mail Signature Char"/>
    <w:basedOn w:val="DefaultParagraphFont"/>
    <w:link w:val="E-mailSignature"/>
    <w:uiPriority w:val="99"/>
    <w:semiHidden/>
    <w:rsid w:val="00FE2417"/>
    <w:rPr>
      <w:rFonts w:ascii="Times New Roman" w:hAnsi="Times New Roman"/>
      <w:sz w:val="22"/>
    </w:rPr>
  </w:style>
  <w:style w:type="character" w:styleId="Emphasis">
    <w:name w:val="Emphasis"/>
    <w:basedOn w:val="DefaultParagraphFont"/>
    <w:uiPriority w:val="32"/>
    <w:qFormat/>
    <w:rsid w:val="00FE2417"/>
    <w:rPr>
      <w:i/>
      <w:iCs/>
    </w:rPr>
  </w:style>
  <w:style w:type="character" w:styleId="EndnoteReference">
    <w:name w:val="endnote reference"/>
    <w:basedOn w:val="DefaultParagraphFont"/>
    <w:uiPriority w:val="99"/>
    <w:semiHidden/>
    <w:unhideWhenUsed/>
    <w:rsid w:val="00FE2417"/>
    <w:rPr>
      <w:vertAlign w:val="superscript"/>
    </w:rPr>
  </w:style>
  <w:style w:type="character" w:styleId="FootnoteReference">
    <w:name w:val="footnote reference"/>
    <w:basedOn w:val="DefaultParagraphFont"/>
    <w:unhideWhenUsed/>
    <w:rsid w:val="00FE2417"/>
    <w:rPr>
      <w:vertAlign w:val="superscript"/>
    </w:rPr>
  </w:style>
  <w:style w:type="table" w:styleId="GridTable1Light">
    <w:name w:val="Grid Table 1 Light"/>
    <w:basedOn w:val="TableNormal"/>
    <w:uiPriority w:val="46"/>
    <w:rsid w:val="00FE2417"/>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417"/>
    <w:pPr>
      <w:spacing w:after="0"/>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417"/>
    <w:pPr>
      <w:spacing w:after="0"/>
    </w:pPr>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417"/>
    <w:pPr>
      <w:spacing w:after="0"/>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417"/>
    <w:pPr>
      <w:spacing w:after="0"/>
    </w:pPr>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417"/>
    <w:pPr>
      <w:spacing w:after="0"/>
    </w:p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417"/>
    <w:pPr>
      <w:spacing w:after="0"/>
    </w:pPr>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FE2417"/>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417"/>
    <w:pPr>
      <w:spacing w:after="0"/>
    </w:p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417"/>
    <w:pPr>
      <w:spacing w:after="0"/>
    </w:pPr>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417"/>
    <w:pPr>
      <w:spacing w:after="0"/>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417"/>
    <w:pPr>
      <w:spacing w:after="0"/>
    </w:pPr>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417"/>
    <w:pPr>
      <w:spacing w:after="0"/>
    </w:pPr>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417"/>
    <w:pPr>
      <w:spacing w:after="0"/>
    </w:pPr>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417"/>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FE2417"/>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FE2417"/>
    <w:pPr>
      <w:spacing w:after="0"/>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FE2417"/>
    <w:pPr>
      <w:spacing w:after="0"/>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FE2417"/>
    <w:pPr>
      <w:spacing w:after="0"/>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FE2417"/>
    <w:pPr>
      <w:spacing w:after="0"/>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FE2417"/>
    <w:pPr>
      <w:spacing w:after="0"/>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FE2417"/>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417"/>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417"/>
    <w:pPr>
      <w:spacing w:after="0"/>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417"/>
    <w:pPr>
      <w:spacing w:after="0"/>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417"/>
    <w:pPr>
      <w:spacing w:after="0"/>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417"/>
    <w:pPr>
      <w:spacing w:after="0"/>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417"/>
    <w:pPr>
      <w:spacing w:after="0"/>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4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417"/>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417"/>
    <w:pPr>
      <w:spacing w:after="0"/>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417"/>
    <w:pPr>
      <w:spacing w:after="0"/>
    </w:pPr>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417"/>
    <w:pPr>
      <w:spacing w:after="0"/>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417"/>
    <w:pPr>
      <w:spacing w:after="0"/>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417"/>
    <w:pPr>
      <w:spacing w:after="0"/>
    </w:pPr>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417"/>
    <w:pPr>
      <w:spacing w:after="0"/>
    </w:pPr>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417"/>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FE2417"/>
    <w:pPr>
      <w:spacing w:after="0"/>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52"/>
    <w:rsid w:val="00FE2417"/>
    <w:pPr>
      <w:spacing w:after="0"/>
    </w:pPr>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52"/>
    <w:rsid w:val="00FE2417"/>
    <w:pPr>
      <w:spacing w:after="0"/>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FE2417"/>
    <w:pPr>
      <w:spacing w:after="0"/>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52"/>
    <w:rsid w:val="00FE2417"/>
    <w:pPr>
      <w:spacing w:after="0"/>
    </w:pPr>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52"/>
    <w:rsid w:val="00FE2417"/>
    <w:pPr>
      <w:spacing w:after="0"/>
    </w:pPr>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1" w:customStyle="1">
    <w:name w:val="Hashtag1"/>
    <w:basedOn w:val="DefaultParagraphFont"/>
    <w:uiPriority w:val="99"/>
    <w:semiHidden/>
    <w:unhideWhenUsed/>
    <w:rsid w:val="00FE2417"/>
    <w:rPr>
      <w:color w:val="2B579A"/>
      <w:shd w:val="clear" w:color="auto" w:fill="E6E6E6"/>
    </w:rPr>
  </w:style>
  <w:style w:type="character" w:styleId="HTMLAcronym">
    <w:name w:val="HTML Acronym"/>
    <w:basedOn w:val="DefaultParagraphFont"/>
    <w:uiPriority w:val="99"/>
    <w:semiHidden/>
    <w:unhideWhenUsed/>
    <w:rsid w:val="00FE2417"/>
  </w:style>
  <w:style w:type="paragraph" w:styleId="HTMLAddress">
    <w:name w:val="HTML Address"/>
    <w:basedOn w:val="Normal"/>
    <w:link w:val="HTMLAddressChar"/>
    <w:uiPriority w:val="99"/>
    <w:semiHidden/>
    <w:unhideWhenUsed/>
    <w:rsid w:val="00FE2417"/>
    <w:pPr>
      <w:spacing w:after="0" w:line="240" w:lineRule="auto"/>
    </w:pPr>
    <w:rPr>
      <w:i/>
      <w:iCs/>
    </w:rPr>
  </w:style>
  <w:style w:type="character" w:styleId="HTMLAddressChar" w:customStyle="1">
    <w:name w:val="HTML Address Char"/>
    <w:basedOn w:val="DefaultParagraphFont"/>
    <w:link w:val="HTMLAddress"/>
    <w:uiPriority w:val="99"/>
    <w:semiHidden/>
    <w:rsid w:val="00FE2417"/>
    <w:rPr>
      <w:rFonts w:ascii="Times New Roman" w:hAnsi="Times New Roman"/>
      <w:i/>
      <w:iCs/>
      <w:sz w:val="22"/>
    </w:rPr>
  </w:style>
  <w:style w:type="character" w:styleId="HTMLCite">
    <w:name w:val="HTML Cite"/>
    <w:basedOn w:val="DefaultParagraphFont"/>
    <w:uiPriority w:val="99"/>
    <w:semiHidden/>
    <w:unhideWhenUsed/>
    <w:rsid w:val="00FE2417"/>
    <w:rPr>
      <w:i/>
      <w:iCs/>
    </w:rPr>
  </w:style>
  <w:style w:type="character" w:styleId="HTMLCode">
    <w:name w:val="HTML Code"/>
    <w:basedOn w:val="DefaultParagraphFont"/>
    <w:uiPriority w:val="99"/>
    <w:semiHidden/>
    <w:unhideWhenUsed/>
    <w:rsid w:val="00FE2417"/>
    <w:rPr>
      <w:rFonts w:ascii="Consolas" w:hAnsi="Consolas"/>
      <w:sz w:val="20"/>
      <w:szCs w:val="20"/>
    </w:rPr>
  </w:style>
  <w:style w:type="character" w:styleId="HTMLDefinition">
    <w:name w:val="HTML Definition"/>
    <w:basedOn w:val="DefaultParagraphFont"/>
    <w:uiPriority w:val="99"/>
    <w:semiHidden/>
    <w:unhideWhenUsed/>
    <w:rsid w:val="00FE2417"/>
    <w:rPr>
      <w:i/>
      <w:iCs/>
    </w:rPr>
  </w:style>
  <w:style w:type="character" w:styleId="HTMLKeyboard">
    <w:name w:val="HTML Keyboard"/>
    <w:basedOn w:val="DefaultParagraphFont"/>
    <w:uiPriority w:val="99"/>
    <w:semiHidden/>
    <w:unhideWhenUsed/>
    <w:rsid w:val="00FE2417"/>
    <w:rPr>
      <w:rFonts w:ascii="Consolas" w:hAnsi="Consolas"/>
      <w:sz w:val="20"/>
      <w:szCs w:val="20"/>
    </w:rPr>
  </w:style>
  <w:style w:type="paragraph" w:styleId="HTMLPreformatted">
    <w:name w:val="HTML Preformatted"/>
    <w:basedOn w:val="Normal"/>
    <w:link w:val="HTMLPreformattedChar"/>
    <w:uiPriority w:val="99"/>
    <w:semiHidden/>
    <w:unhideWhenUsed/>
    <w:rsid w:val="00FE2417"/>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FE2417"/>
    <w:rPr>
      <w:rFonts w:ascii="Consolas" w:hAnsi="Consolas"/>
      <w:sz w:val="22"/>
    </w:rPr>
  </w:style>
  <w:style w:type="character" w:styleId="HTMLSample">
    <w:name w:val="HTML Sample"/>
    <w:basedOn w:val="DefaultParagraphFont"/>
    <w:uiPriority w:val="99"/>
    <w:semiHidden/>
    <w:unhideWhenUsed/>
    <w:rsid w:val="00FE2417"/>
    <w:rPr>
      <w:rFonts w:ascii="Consolas" w:hAnsi="Consolas"/>
      <w:sz w:val="24"/>
      <w:szCs w:val="24"/>
    </w:rPr>
  </w:style>
  <w:style w:type="character" w:styleId="HTMLTypewriter">
    <w:name w:val="HTML Typewriter"/>
    <w:basedOn w:val="DefaultParagraphFont"/>
    <w:uiPriority w:val="99"/>
    <w:semiHidden/>
    <w:unhideWhenUsed/>
    <w:rsid w:val="00FE2417"/>
    <w:rPr>
      <w:rFonts w:ascii="Consolas" w:hAnsi="Consolas"/>
      <w:sz w:val="20"/>
      <w:szCs w:val="20"/>
    </w:rPr>
  </w:style>
  <w:style w:type="character" w:styleId="HTMLVariable">
    <w:name w:val="HTML Variable"/>
    <w:basedOn w:val="DefaultParagraphFont"/>
    <w:uiPriority w:val="99"/>
    <w:semiHidden/>
    <w:unhideWhenUsed/>
    <w:rsid w:val="00FE2417"/>
    <w:rPr>
      <w:i/>
      <w:iCs/>
    </w:rPr>
  </w:style>
  <w:style w:type="paragraph" w:styleId="Index2">
    <w:name w:val="index 2"/>
    <w:basedOn w:val="Normal"/>
    <w:next w:val="Normal"/>
    <w:autoRedefine/>
    <w:uiPriority w:val="99"/>
    <w:semiHidden/>
    <w:unhideWhenUsed/>
    <w:rsid w:val="00FE2417"/>
    <w:pPr>
      <w:spacing w:after="0" w:line="240" w:lineRule="auto"/>
      <w:ind w:left="400" w:hanging="200"/>
    </w:pPr>
  </w:style>
  <w:style w:type="paragraph" w:styleId="Index3">
    <w:name w:val="index 3"/>
    <w:basedOn w:val="Normal"/>
    <w:next w:val="Normal"/>
    <w:autoRedefine/>
    <w:uiPriority w:val="99"/>
    <w:semiHidden/>
    <w:unhideWhenUsed/>
    <w:rsid w:val="00FE2417"/>
    <w:pPr>
      <w:spacing w:after="0" w:line="240" w:lineRule="auto"/>
      <w:ind w:left="600" w:hanging="200"/>
    </w:pPr>
  </w:style>
  <w:style w:type="paragraph" w:styleId="Index4">
    <w:name w:val="index 4"/>
    <w:basedOn w:val="Normal"/>
    <w:next w:val="Normal"/>
    <w:autoRedefine/>
    <w:uiPriority w:val="99"/>
    <w:semiHidden/>
    <w:unhideWhenUsed/>
    <w:rsid w:val="00FE2417"/>
    <w:pPr>
      <w:spacing w:after="0" w:line="240" w:lineRule="auto"/>
      <w:ind w:left="800" w:hanging="200"/>
    </w:pPr>
  </w:style>
  <w:style w:type="paragraph" w:styleId="Index5">
    <w:name w:val="index 5"/>
    <w:basedOn w:val="Normal"/>
    <w:next w:val="Normal"/>
    <w:autoRedefine/>
    <w:uiPriority w:val="99"/>
    <w:semiHidden/>
    <w:unhideWhenUsed/>
    <w:rsid w:val="00FE2417"/>
    <w:pPr>
      <w:spacing w:after="0" w:line="240" w:lineRule="auto"/>
      <w:ind w:left="1000" w:hanging="200"/>
    </w:pPr>
  </w:style>
  <w:style w:type="paragraph" w:styleId="Index6">
    <w:name w:val="index 6"/>
    <w:basedOn w:val="Normal"/>
    <w:next w:val="Normal"/>
    <w:autoRedefine/>
    <w:uiPriority w:val="99"/>
    <w:semiHidden/>
    <w:unhideWhenUsed/>
    <w:rsid w:val="00FE2417"/>
    <w:pPr>
      <w:spacing w:after="0" w:line="240" w:lineRule="auto"/>
      <w:ind w:left="1200" w:hanging="200"/>
    </w:pPr>
  </w:style>
  <w:style w:type="paragraph" w:styleId="Index7">
    <w:name w:val="index 7"/>
    <w:basedOn w:val="Normal"/>
    <w:next w:val="Normal"/>
    <w:autoRedefine/>
    <w:uiPriority w:val="99"/>
    <w:semiHidden/>
    <w:unhideWhenUsed/>
    <w:rsid w:val="00FE2417"/>
    <w:pPr>
      <w:spacing w:after="0" w:line="240" w:lineRule="auto"/>
      <w:ind w:left="1400" w:hanging="200"/>
    </w:pPr>
  </w:style>
  <w:style w:type="paragraph" w:styleId="Index8">
    <w:name w:val="index 8"/>
    <w:basedOn w:val="Normal"/>
    <w:next w:val="Normal"/>
    <w:autoRedefine/>
    <w:uiPriority w:val="99"/>
    <w:semiHidden/>
    <w:unhideWhenUsed/>
    <w:rsid w:val="00FE2417"/>
    <w:pPr>
      <w:spacing w:after="0" w:line="240" w:lineRule="auto"/>
      <w:ind w:left="1600" w:hanging="200"/>
    </w:pPr>
  </w:style>
  <w:style w:type="paragraph" w:styleId="Index9">
    <w:name w:val="index 9"/>
    <w:basedOn w:val="Normal"/>
    <w:next w:val="Normal"/>
    <w:autoRedefine/>
    <w:uiPriority w:val="99"/>
    <w:semiHidden/>
    <w:unhideWhenUsed/>
    <w:rsid w:val="00FE2417"/>
    <w:pPr>
      <w:spacing w:after="0" w:line="240" w:lineRule="auto"/>
      <w:ind w:left="1800" w:hanging="200"/>
    </w:pPr>
  </w:style>
  <w:style w:type="character" w:styleId="IntenseEmphasis">
    <w:name w:val="Intense Emphasis"/>
    <w:basedOn w:val="DefaultParagraphFont"/>
    <w:uiPriority w:val="32"/>
    <w:qFormat/>
    <w:rsid w:val="00FE2417"/>
    <w:rPr>
      <w:i/>
      <w:iCs/>
      <w:color w:val="4F81BD" w:themeColor="accent1"/>
    </w:rPr>
  </w:style>
  <w:style w:type="paragraph" w:styleId="IntenseQuote">
    <w:name w:val="Intense Quote"/>
    <w:basedOn w:val="Normal"/>
    <w:next w:val="Normal"/>
    <w:link w:val="IntenseQuoteChar"/>
    <w:uiPriority w:val="30"/>
    <w:qFormat/>
    <w:rsid w:val="00FE2417"/>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FE2417"/>
    <w:rPr>
      <w:rFonts w:ascii="Times New Roman" w:hAnsi="Times New Roman"/>
      <w:i/>
      <w:iCs/>
      <w:color w:val="4F81BD" w:themeColor="accent1"/>
      <w:sz w:val="22"/>
    </w:rPr>
  </w:style>
  <w:style w:type="character" w:styleId="IntenseReference">
    <w:name w:val="Intense Reference"/>
    <w:basedOn w:val="DefaultParagraphFont"/>
    <w:uiPriority w:val="32"/>
    <w:qFormat/>
    <w:rsid w:val="00FE2417"/>
    <w:rPr>
      <w:b/>
      <w:bCs/>
      <w:smallCaps/>
      <w:color w:val="4F81BD" w:themeColor="accent1"/>
      <w:spacing w:val="5"/>
    </w:rPr>
  </w:style>
  <w:style w:type="table" w:styleId="LightGrid">
    <w:name w:val="Light Grid"/>
    <w:basedOn w:val="TableNormal"/>
    <w:uiPriority w:val="62"/>
    <w:semiHidden/>
    <w:unhideWhenUsed/>
    <w:rsid w:val="00FE2417"/>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FE2417"/>
    <w:pPr>
      <w:spacing w:after="0"/>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semiHidden/>
    <w:unhideWhenUsed/>
    <w:rsid w:val="00FE2417"/>
    <w:pPr>
      <w:spacing w:after="0"/>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semiHidden/>
    <w:unhideWhenUsed/>
    <w:rsid w:val="00FE2417"/>
    <w:pPr>
      <w:spacing w:after="0"/>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semiHidden/>
    <w:unhideWhenUsed/>
    <w:rsid w:val="00FE2417"/>
    <w:pPr>
      <w:spacing w:after="0"/>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semiHidden/>
    <w:unhideWhenUsed/>
    <w:rsid w:val="00FE2417"/>
    <w:pPr>
      <w:spacing w:after="0"/>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semiHidden/>
    <w:unhideWhenUsed/>
    <w:rsid w:val="00FE2417"/>
    <w:pPr>
      <w:spacing w:after="0"/>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semiHidden/>
    <w:unhideWhenUsed/>
    <w:rsid w:val="00FE2417"/>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FE2417"/>
    <w:pPr>
      <w:spacing w:after="0"/>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semiHidden/>
    <w:unhideWhenUsed/>
    <w:rsid w:val="00FE2417"/>
    <w:pPr>
      <w:spacing w:after="0"/>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semiHidden/>
    <w:unhideWhenUsed/>
    <w:rsid w:val="00FE2417"/>
    <w:pPr>
      <w:spacing w:after="0"/>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semiHidden/>
    <w:unhideWhenUsed/>
    <w:rsid w:val="00FE2417"/>
    <w:pPr>
      <w:spacing w:after="0"/>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semiHidden/>
    <w:unhideWhenUsed/>
    <w:rsid w:val="00FE2417"/>
    <w:pPr>
      <w:spacing w:after="0"/>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semiHidden/>
    <w:unhideWhenUsed/>
    <w:rsid w:val="00FE2417"/>
    <w:pPr>
      <w:spacing w:after="0"/>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semiHidden/>
    <w:unhideWhenUsed/>
    <w:rsid w:val="00FE2417"/>
    <w:pPr>
      <w:spacing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417"/>
    <w:pPr>
      <w:spacing w:after="0"/>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417"/>
    <w:pPr>
      <w:spacing w:after="0"/>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417"/>
    <w:pPr>
      <w:spacing w:after="0"/>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417"/>
    <w:pPr>
      <w:spacing w:after="0"/>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417"/>
    <w:pPr>
      <w:spacing w:after="0"/>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417"/>
    <w:pPr>
      <w:spacing w:after="0"/>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417"/>
  </w:style>
  <w:style w:type="paragraph" w:styleId="List">
    <w:name w:val="List"/>
    <w:basedOn w:val="Normal"/>
    <w:uiPriority w:val="99"/>
    <w:semiHidden/>
    <w:unhideWhenUsed/>
    <w:rsid w:val="00FE2417"/>
    <w:pPr>
      <w:ind w:left="283" w:hanging="283"/>
      <w:contextualSpacing/>
    </w:pPr>
  </w:style>
  <w:style w:type="paragraph" w:styleId="List2">
    <w:name w:val="List 2"/>
    <w:basedOn w:val="Normal"/>
    <w:uiPriority w:val="99"/>
    <w:semiHidden/>
    <w:unhideWhenUsed/>
    <w:rsid w:val="00FE2417"/>
    <w:pPr>
      <w:ind w:left="566" w:hanging="283"/>
      <w:contextualSpacing/>
    </w:pPr>
  </w:style>
  <w:style w:type="paragraph" w:styleId="List3">
    <w:name w:val="List 3"/>
    <w:basedOn w:val="Normal"/>
    <w:uiPriority w:val="99"/>
    <w:semiHidden/>
    <w:unhideWhenUsed/>
    <w:rsid w:val="00FE2417"/>
    <w:pPr>
      <w:ind w:left="849" w:hanging="283"/>
      <w:contextualSpacing/>
    </w:pPr>
  </w:style>
  <w:style w:type="paragraph" w:styleId="List4">
    <w:name w:val="List 4"/>
    <w:basedOn w:val="Normal"/>
    <w:uiPriority w:val="99"/>
    <w:semiHidden/>
    <w:unhideWhenUsed/>
    <w:rsid w:val="00FE2417"/>
    <w:pPr>
      <w:ind w:left="1132" w:hanging="283"/>
      <w:contextualSpacing/>
    </w:pPr>
  </w:style>
  <w:style w:type="paragraph" w:styleId="List5">
    <w:name w:val="List 5"/>
    <w:basedOn w:val="Normal"/>
    <w:uiPriority w:val="99"/>
    <w:semiHidden/>
    <w:unhideWhenUsed/>
    <w:rsid w:val="00FE2417"/>
    <w:pPr>
      <w:ind w:left="1415" w:hanging="283"/>
      <w:contextualSpacing/>
    </w:pPr>
  </w:style>
  <w:style w:type="paragraph" w:styleId="ListBullet2">
    <w:name w:val="List Bullet 2"/>
    <w:basedOn w:val="Normal"/>
    <w:uiPriority w:val="99"/>
    <w:semiHidden/>
    <w:unhideWhenUsed/>
    <w:rsid w:val="00FE2417"/>
    <w:pPr>
      <w:numPr>
        <w:numId w:val="18"/>
      </w:numPr>
      <w:contextualSpacing/>
    </w:pPr>
  </w:style>
  <w:style w:type="paragraph" w:styleId="ListBullet3">
    <w:name w:val="List Bullet 3"/>
    <w:basedOn w:val="Normal"/>
    <w:uiPriority w:val="99"/>
    <w:semiHidden/>
    <w:unhideWhenUsed/>
    <w:rsid w:val="00FE2417"/>
    <w:pPr>
      <w:numPr>
        <w:numId w:val="19"/>
      </w:numPr>
      <w:contextualSpacing/>
    </w:pPr>
  </w:style>
  <w:style w:type="paragraph" w:styleId="ListBullet4">
    <w:name w:val="List Bullet 4"/>
    <w:basedOn w:val="Normal"/>
    <w:uiPriority w:val="99"/>
    <w:semiHidden/>
    <w:unhideWhenUsed/>
    <w:rsid w:val="00FE2417"/>
    <w:pPr>
      <w:numPr>
        <w:numId w:val="20"/>
      </w:numPr>
      <w:contextualSpacing/>
    </w:pPr>
  </w:style>
  <w:style w:type="paragraph" w:styleId="ListBullet5">
    <w:name w:val="List Bullet 5"/>
    <w:basedOn w:val="Normal"/>
    <w:uiPriority w:val="99"/>
    <w:semiHidden/>
    <w:unhideWhenUsed/>
    <w:rsid w:val="00FE2417"/>
    <w:pPr>
      <w:numPr>
        <w:numId w:val="21"/>
      </w:numPr>
      <w:contextualSpacing/>
    </w:pPr>
  </w:style>
  <w:style w:type="paragraph" w:styleId="ListContinue">
    <w:name w:val="List Continue"/>
    <w:basedOn w:val="Normal"/>
    <w:uiPriority w:val="99"/>
    <w:semiHidden/>
    <w:unhideWhenUsed/>
    <w:rsid w:val="00FE2417"/>
    <w:pPr>
      <w:spacing w:after="120"/>
      <w:ind w:left="283"/>
      <w:contextualSpacing/>
    </w:pPr>
  </w:style>
  <w:style w:type="paragraph" w:styleId="ListContinue2">
    <w:name w:val="List Continue 2"/>
    <w:basedOn w:val="Normal"/>
    <w:uiPriority w:val="99"/>
    <w:semiHidden/>
    <w:unhideWhenUsed/>
    <w:rsid w:val="00FE2417"/>
    <w:pPr>
      <w:spacing w:after="120"/>
      <w:ind w:left="566"/>
      <w:contextualSpacing/>
    </w:pPr>
  </w:style>
  <w:style w:type="paragraph" w:styleId="ListContinue3">
    <w:name w:val="List Continue 3"/>
    <w:basedOn w:val="Normal"/>
    <w:uiPriority w:val="99"/>
    <w:semiHidden/>
    <w:unhideWhenUsed/>
    <w:rsid w:val="00FE2417"/>
    <w:pPr>
      <w:spacing w:after="120"/>
      <w:ind w:left="849"/>
      <w:contextualSpacing/>
    </w:pPr>
  </w:style>
  <w:style w:type="paragraph" w:styleId="ListContinue4">
    <w:name w:val="List Continue 4"/>
    <w:basedOn w:val="Normal"/>
    <w:uiPriority w:val="99"/>
    <w:semiHidden/>
    <w:unhideWhenUsed/>
    <w:rsid w:val="00FE2417"/>
    <w:pPr>
      <w:spacing w:after="120"/>
      <w:ind w:left="1132"/>
      <w:contextualSpacing/>
    </w:pPr>
  </w:style>
  <w:style w:type="paragraph" w:styleId="ListContinue5">
    <w:name w:val="List Continue 5"/>
    <w:basedOn w:val="Normal"/>
    <w:uiPriority w:val="99"/>
    <w:semiHidden/>
    <w:unhideWhenUsed/>
    <w:rsid w:val="00FE2417"/>
    <w:pPr>
      <w:spacing w:after="120"/>
      <w:ind w:left="1415"/>
      <w:contextualSpacing/>
    </w:pPr>
  </w:style>
  <w:style w:type="paragraph" w:styleId="ListNumber">
    <w:name w:val="List Number"/>
    <w:basedOn w:val="Normal"/>
    <w:uiPriority w:val="99"/>
    <w:semiHidden/>
    <w:unhideWhenUsed/>
    <w:rsid w:val="00FE2417"/>
    <w:pPr>
      <w:numPr>
        <w:numId w:val="22"/>
      </w:numPr>
      <w:contextualSpacing/>
    </w:pPr>
  </w:style>
  <w:style w:type="paragraph" w:styleId="ListNumber2">
    <w:name w:val="List Number 2"/>
    <w:basedOn w:val="Normal"/>
    <w:uiPriority w:val="99"/>
    <w:semiHidden/>
    <w:unhideWhenUsed/>
    <w:rsid w:val="00FE2417"/>
    <w:pPr>
      <w:numPr>
        <w:numId w:val="23"/>
      </w:numPr>
      <w:contextualSpacing/>
    </w:pPr>
  </w:style>
  <w:style w:type="paragraph" w:styleId="ListNumber3">
    <w:name w:val="List Number 3"/>
    <w:basedOn w:val="Normal"/>
    <w:uiPriority w:val="99"/>
    <w:semiHidden/>
    <w:unhideWhenUsed/>
    <w:rsid w:val="00FE2417"/>
    <w:pPr>
      <w:numPr>
        <w:numId w:val="24"/>
      </w:numPr>
      <w:contextualSpacing/>
    </w:pPr>
  </w:style>
  <w:style w:type="paragraph" w:styleId="ListNumber4">
    <w:name w:val="List Number 4"/>
    <w:basedOn w:val="Normal"/>
    <w:uiPriority w:val="99"/>
    <w:semiHidden/>
    <w:unhideWhenUsed/>
    <w:rsid w:val="00FE2417"/>
    <w:pPr>
      <w:numPr>
        <w:numId w:val="25"/>
      </w:numPr>
      <w:contextualSpacing/>
    </w:pPr>
  </w:style>
  <w:style w:type="paragraph" w:styleId="ListNumber5">
    <w:name w:val="List Number 5"/>
    <w:basedOn w:val="Normal"/>
    <w:uiPriority w:val="99"/>
    <w:semiHidden/>
    <w:unhideWhenUsed/>
    <w:rsid w:val="00FE2417"/>
    <w:pPr>
      <w:numPr>
        <w:numId w:val="26"/>
      </w:numPr>
      <w:contextualSpacing/>
    </w:pPr>
  </w:style>
  <w:style w:type="table" w:styleId="ListTable1Light">
    <w:name w:val="List Table 1 Light"/>
    <w:basedOn w:val="TableNormal"/>
    <w:uiPriority w:val="46"/>
    <w:rsid w:val="00FE2417"/>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417"/>
    <w:pPr>
      <w:spacing w:after="0"/>
    </w:pPr>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417"/>
    <w:pPr>
      <w:spacing w:after="0"/>
    </w:pPr>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417"/>
    <w:pPr>
      <w:spacing w:after="0"/>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417"/>
    <w:pPr>
      <w:spacing w:after="0"/>
    </w:pPr>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417"/>
    <w:pPr>
      <w:spacing w:after="0"/>
    </w:pPr>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417"/>
    <w:pPr>
      <w:spacing w:after="0"/>
    </w:pPr>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417"/>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417"/>
    <w:pPr>
      <w:spacing w:after="0"/>
    </w:pPr>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417"/>
    <w:pPr>
      <w:spacing w:after="0"/>
    </w:pPr>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417"/>
    <w:pPr>
      <w:spacing w:after="0"/>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417"/>
    <w:pPr>
      <w:spacing w:after="0"/>
    </w:pPr>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417"/>
    <w:pPr>
      <w:spacing w:after="0"/>
    </w:pPr>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417"/>
    <w:pPr>
      <w:spacing w:after="0"/>
    </w:pPr>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417"/>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FE2417"/>
    <w:pPr>
      <w:spacing w:after="0"/>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FE2417"/>
    <w:pPr>
      <w:spacing w:after="0"/>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FE2417"/>
    <w:pPr>
      <w:spacing w:after="0"/>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FE2417"/>
    <w:pPr>
      <w:spacing w:after="0"/>
    </w:p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FE2417"/>
    <w:pPr>
      <w:spacing w:after="0"/>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FE2417"/>
    <w:pPr>
      <w:spacing w:after="0"/>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FE2417"/>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417"/>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417"/>
    <w:pPr>
      <w:spacing w:after="0"/>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417"/>
    <w:pPr>
      <w:spacing w:after="0"/>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417"/>
    <w:pPr>
      <w:spacing w:after="0"/>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417"/>
    <w:pPr>
      <w:spacing w:after="0"/>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417"/>
    <w:pPr>
      <w:spacing w:after="0"/>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417"/>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417"/>
    <w:pPr>
      <w:spacing w:after="0"/>
    </w:pPr>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417"/>
    <w:pPr>
      <w:spacing w:after="0"/>
    </w:pPr>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417"/>
    <w:pPr>
      <w:spacing w:after="0"/>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417"/>
    <w:pPr>
      <w:spacing w:after="0"/>
    </w:pPr>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417"/>
    <w:pPr>
      <w:spacing w:after="0"/>
    </w:pPr>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417"/>
    <w:pPr>
      <w:spacing w:after="0"/>
    </w:pPr>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417"/>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417"/>
    <w:pPr>
      <w:spacing w:after="0"/>
    </w:pPr>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417"/>
    <w:pPr>
      <w:spacing w:after="0"/>
    </w:pPr>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417"/>
    <w:pPr>
      <w:spacing w:after="0"/>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417"/>
    <w:pPr>
      <w:spacing w:after="0"/>
    </w:pPr>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417"/>
    <w:pPr>
      <w:spacing w:after="0"/>
    </w:pPr>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417"/>
    <w:pPr>
      <w:spacing w:after="0"/>
    </w:pPr>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417"/>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417"/>
    <w:pPr>
      <w:spacing w:after="0"/>
    </w:pPr>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417"/>
    <w:pPr>
      <w:spacing w:after="0"/>
    </w:pPr>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417"/>
    <w:pPr>
      <w:spacing w:after="0"/>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417"/>
    <w:pPr>
      <w:spacing w:after="0"/>
    </w:pPr>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417"/>
    <w:pPr>
      <w:spacing w:after="0"/>
    </w:pPr>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417"/>
    <w:pPr>
      <w:spacing w:after="0"/>
    </w:pPr>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417"/>
    <w:pPr>
      <w:tabs>
        <w:tab w:val="left" w:pos="480"/>
        <w:tab w:val="left" w:pos="960"/>
        <w:tab w:val="left" w:pos="1440"/>
        <w:tab w:val="left" w:pos="1920"/>
        <w:tab w:val="left" w:pos="2400"/>
        <w:tab w:val="left" w:pos="2880"/>
        <w:tab w:val="left" w:pos="3360"/>
        <w:tab w:val="left" w:pos="3840"/>
        <w:tab w:val="left" w:pos="4320"/>
      </w:tabs>
      <w:spacing w:after="0" w:line="276" w:lineRule="auto"/>
      <w:jc w:val="both"/>
    </w:pPr>
    <w:rPr>
      <w:rFonts w:ascii="Consolas" w:hAnsi="Consolas"/>
    </w:rPr>
  </w:style>
  <w:style w:type="character" w:styleId="MacroTextChar" w:customStyle="1">
    <w:name w:val="Macro Text Char"/>
    <w:basedOn w:val="DefaultParagraphFont"/>
    <w:link w:val="MacroText"/>
    <w:uiPriority w:val="99"/>
    <w:semiHidden/>
    <w:rsid w:val="00FE2417"/>
    <w:rPr>
      <w:rFonts w:ascii="Consolas" w:hAnsi="Consolas"/>
    </w:rPr>
  </w:style>
  <w:style w:type="table" w:styleId="MediumGrid1">
    <w:name w:val="Medium Grid 1"/>
    <w:basedOn w:val="TableNormal"/>
    <w:uiPriority w:val="67"/>
    <w:semiHidden/>
    <w:unhideWhenUsed/>
    <w:rsid w:val="00FE2417"/>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417"/>
    <w:pPr>
      <w:spacing w:after="0"/>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417"/>
    <w:pPr>
      <w:spacing w:after="0"/>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417"/>
    <w:pPr>
      <w:spacing w:after="0"/>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417"/>
    <w:pPr>
      <w:spacing w:after="0"/>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417"/>
    <w:pPr>
      <w:spacing w:after="0"/>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417"/>
    <w:pPr>
      <w:spacing w:after="0"/>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semiHidden/>
    <w:unhideWhenUsed/>
    <w:rsid w:val="00FE24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semiHidden/>
    <w:unhideWhenUsed/>
    <w:rsid w:val="00FE2417"/>
    <w:pPr>
      <w:spacing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FE2417"/>
    <w:pPr>
      <w:spacing w:after="0"/>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417"/>
    <w:pPr>
      <w:spacing w:after="0"/>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417"/>
    <w:pPr>
      <w:spacing w:after="0"/>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417"/>
    <w:pPr>
      <w:spacing w:after="0"/>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417"/>
    <w:pPr>
      <w:spacing w:after="0"/>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417"/>
    <w:pPr>
      <w:spacing w:after="0"/>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417"/>
    <w:pPr>
      <w:spacing w:after="0"/>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417"/>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FE2417"/>
    <w:pPr>
      <w:spacing w:after="0"/>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417"/>
    <w:pPr>
      <w:spacing w:after="0"/>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417"/>
    <w:pPr>
      <w:spacing w:after="0"/>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417"/>
    <w:pPr>
      <w:spacing w:after="0"/>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417"/>
    <w:pPr>
      <w:spacing w:after="0"/>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417"/>
    <w:pPr>
      <w:spacing w:after="0"/>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4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unhideWhenUsed/>
    <w:rsid w:val="00FE2417"/>
    <w:rPr>
      <w:color w:val="2B579A"/>
      <w:shd w:val="clear" w:color="auto" w:fill="E6E6E6"/>
    </w:rPr>
  </w:style>
  <w:style w:type="paragraph" w:styleId="MessageHeader">
    <w:name w:val="Message Header"/>
    <w:basedOn w:val="Normal"/>
    <w:link w:val="MessageHeaderChar"/>
    <w:uiPriority w:val="99"/>
    <w:semiHidden/>
    <w:unhideWhenUsed/>
    <w:rsid w:val="00FE2417"/>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E2417"/>
    <w:rPr>
      <w:rFonts w:asciiTheme="majorHAnsi" w:hAnsiTheme="majorHAnsi" w:eastAsiaTheme="majorEastAsia" w:cstheme="majorBidi"/>
      <w:sz w:val="24"/>
      <w:szCs w:val="24"/>
      <w:shd w:val="pct20" w:color="auto" w:fill="auto"/>
    </w:rPr>
  </w:style>
  <w:style w:type="paragraph" w:styleId="NoSpacing">
    <w:name w:val="No Spacing"/>
    <w:uiPriority w:val="29"/>
    <w:semiHidden/>
    <w:qFormat/>
    <w:rsid w:val="00FE2417"/>
    <w:pPr>
      <w:spacing w:after="0"/>
      <w:jc w:val="both"/>
    </w:pPr>
  </w:style>
  <w:style w:type="paragraph" w:styleId="NormalWeb">
    <w:name w:val="Normal (Web)"/>
    <w:basedOn w:val="Normal"/>
    <w:uiPriority w:val="99"/>
    <w:semiHidden/>
    <w:unhideWhenUsed/>
    <w:rsid w:val="00FE2417"/>
    <w:rPr>
      <w:rFonts w:cs="Times New Roman"/>
      <w:sz w:val="24"/>
      <w:szCs w:val="24"/>
    </w:rPr>
  </w:style>
  <w:style w:type="paragraph" w:styleId="NormalIndent">
    <w:name w:val="Normal Indent"/>
    <w:basedOn w:val="Normal"/>
    <w:uiPriority w:val="99"/>
    <w:semiHidden/>
    <w:unhideWhenUsed/>
    <w:rsid w:val="00FE2417"/>
    <w:pPr>
      <w:ind w:left="720"/>
    </w:pPr>
  </w:style>
  <w:style w:type="paragraph" w:styleId="NoteHeading">
    <w:name w:val="Note Heading"/>
    <w:basedOn w:val="Normal"/>
    <w:next w:val="Normal"/>
    <w:link w:val="NoteHeadingChar"/>
    <w:uiPriority w:val="99"/>
    <w:semiHidden/>
    <w:unhideWhenUsed/>
    <w:rsid w:val="00FE2417"/>
    <w:pPr>
      <w:spacing w:after="0" w:line="240" w:lineRule="auto"/>
    </w:pPr>
  </w:style>
  <w:style w:type="character" w:styleId="NoteHeadingChar" w:customStyle="1">
    <w:name w:val="Note Heading Char"/>
    <w:basedOn w:val="DefaultParagraphFont"/>
    <w:link w:val="NoteHeading"/>
    <w:uiPriority w:val="99"/>
    <w:semiHidden/>
    <w:rsid w:val="00FE2417"/>
    <w:rPr>
      <w:rFonts w:ascii="Times New Roman" w:hAnsi="Times New Roman"/>
      <w:sz w:val="22"/>
    </w:rPr>
  </w:style>
  <w:style w:type="character" w:styleId="PageNumber">
    <w:name w:val="page number"/>
    <w:basedOn w:val="DefaultParagraphFont"/>
    <w:uiPriority w:val="99"/>
    <w:semiHidden/>
    <w:unhideWhenUsed/>
    <w:rsid w:val="00FE2417"/>
  </w:style>
  <w:style w:type="character" w:styleId="PlaceholderText">
    <w:name w:val="Placeholder Text"/>
    <w:basedOn w:val="DefaultParagraphFont"/>
    <w:uiPriority w:val="99"/>
    <w:semiHidden/>
    <w:rsid w:val="00FE2417"/>
    <w:rPr>
      <w:color w:val="808080"/>
    </w:rPr>
  </w:style>
  <w:style w:type="table" w:styleId="PlainTable1">
    <w:name w:val="Plain Table 1"/>
    <w:basedOn w:val="TableNormal"/>
    <w:uiPriority w:val="41"/>
    <w:rsid w:val="00FE2417"/>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417"/>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FE2417"/>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4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417"/>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41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FE2417"/>
    <w:rPr>
      <w:rFonts w:ascii="Consolas" w:hAnsi="Consolas"/>
      <w:sz w:val="21"/>
      <w:szCs w:val="21"/>
    </w:rPr>
  </w:style>
  <w:style w:type="paragraph" w:styleId="Quote">
    <w:name w:val="Quote"/>
    <w:basedOn w:val="Normal"/>
    <w:next w:val="Normal"/>
    <w:link w:val="QuoteChar"/>
    <w:uiPriority w:val="29"/>
    <w:qFormat/>
    <w:rsid w:val="00FE241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FE2417"/>
    <w:rPr>
      <w:rFonts w:ascii="Times New Roman" w:hAnsi="Times New Roman"/>
      <w:i/>
      <w:iCs/>
      <w:color w:val="404040" w:themeColor="text1" w:themeTint="BF"/>
      <w:sz w:val="22"/>
    </w:rPr>
  </w:style>
  <w:style w:type="paragraph" w:styleId="Salutation">
    <w:name w:val="Salutation"/>
    <w:basedOn w:val="Normal"/>
    <w:next w:val="Normal"/>
    <w:link w:val="SalutationChar"/>
    <w:uiPriority w:val="99"/>
    <w:semiHidden/>
    <w:unhideWhenUsed/>
    <w:rsid w:val="00FE2417"/>
  </w:style>
  <w:style w:type="character" w:styleId="SalutationChar" w:customStyle="1">
    <w:name w:val="Salutation Char"/>
    <w:basedOn w:val="DefaultParagraphFont"/>
    <w:link w:val="Salutation"/>
    <w:uiPriority w:val="99"/>
    <w:semiHidden/>
    <w:rsid w:val="00FE2417"/>
    <w:rPr>
      <w:rFonts w:ascii="Times New Roman" w:hAnsi="Times New Roman"/>
      <w:sz w:val="22"/>
    </w:rPr>
  </w:style>
  <w:style w:type="character" w:styleId="SmartHyperlink1" w:customStyle="1">
    <w:name w:val="Smart Hyperlink1"/>
    <w:basedOn w:val="DefaultParagraphFont"/>
    <w:uiPriority w:val="99"/>
    <w:semiHidden/>
    <w:unhideWhenUsed/>
    <w:rsid w:val="00FE2417"/>
    <w:rPr>
      <w:u w:val="dotted"/>
    </w:rPr>
  </w:style>
  <w:style w:type="character" w:styleId="Strong">
    <w:name w:val="Strong"/>
    <w:basedOn w:val="DefaultParagraphFont"/>
    <w:uiPriority w:val="32"/>
    <w:qFormat/>
    <w:rsid w:val="00FE2417"/>
    <w:rPr>
      <w:b/>
      <w:bCs/>
    </w:rPr>
  </w:style>
  <w:style w:type="table" w:styleId="Table3Deffects1">
    <w:name w:val="Table 3D effects 1"/>
    <w:basedOn w:val="TableNormal"/>
    <w:uiPriority w:val="99"/>
    <w:semiHidden/>
    <w:unhideWhenUsed/>
    <w:rsid w:val="00FE2417"/>
    <w:pPr>
      <w:spacing w:line="276"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FE2417"/>
    <w:pPr>
      <w:spacing w:line="276"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FE2417"/>
    <w:pPr>
      <w:spacing w:line="276"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FE2417"/>
    <w:pPr>
      <w:spacing w:line="276"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FE2417"/>
    <w:pPr>
      <w:spacing w:line="276"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FE2417"/>
    <w:pPr>
      <w:spacing w:line="276"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FE2417"/>
    <w:pPr>
      <w:spacing w:line="276"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FE2417"/>
    <w:pPr>
      <w:spacing w:line="276"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FE2417"/>
    <w:pPr>
      <w:spacing w:line="276"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FE2417"/>
    <w:pPr>
      <w:spacing w:line="276"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FE2417"/>
    <w:pPr>
      <w:spacing w:line="276"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FE2417"/>
    <w:pPr>
      <w:spacing w:line="276"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FE2417"/>
    <w:pPr>
      <w:spacing w:line="276"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FE2417"/>
    <w:pPr>
      <w:spacing w:line="276"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417"/>
    <w:pPr>
      <w:spacing w:line="276"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417"/>
    <w:pPr>
      <w:spacing w:line="276"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FE2417"/>
    <w:pPr>
      <w:spacing w:line="276"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FE2417"/>
    <w:pPr>
      <w:spacing w:line="276"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FE2417"/>
    <w:pPr>
      <w:spacing w:line="276"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FE2417"/>
    <w:pPr>
      <w:spacing w:line="276"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FE2417"/>
    <w:pPr>
      <w:spacing w:line="276"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FE2417"/>
    <w:pPr>
      <w:spacing w:line="276"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FE2417"/>
    <w:pPr>
      <w:spacing w:line="276"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FE2417"/>
    <w:pPr>
      <w:spacing w:line="276"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FE2417"/>
    <w:pPr>
      <w:spacing w:line="276"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FE241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FE2417"/>
    <w:pPr>
      <w:spacing w:line="276"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FE2417"/>
    <w:pPr>
      <w:spacing w:line="276"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FE2417"/>
    <w:pPr>
      <w:spacing w:line="276"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FE2417"/>
    <w:pPr>
      <w:spacing w:line="276"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FE2417"/>
    <w:pPr>
      <w:spacing w:line="276"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FE2417"/>
    <w:pPr>
      <w:spacing w:line="276"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FE2417"/>
    <w:pPr>
      <w:spacing w:line="276"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FE2417"/>
    <w:pPr>
      <w:spacing w:line="276"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FE2417"/>
    <w:pPr>
      <w:spacing w:after="0"/>
      <w:ind w:left="200" w:hanging="200"/>
    </w:pPr>
  </w:style>
  <w:style w:type="paragraph" w:styleId="TableofFigures">
    <w:name w:val="table of figures"/>
    <w:basedOn w:val="Normal"/>
    <w:next w:val="Normal"/>
    <w:uiPriority w:val="99"/>
    <w:semiHidden/>
    <w:unhideWhenUsed/>
    <w:rsid w:val="00FE2417"/>
    <w:pPr>
      <w:spacing w:after="0"/>
    </w:pPr>
  </w:style>
  <w:style w:type="table" w:styleId="TableProfessional">
    <w:name w:val="Table Professional"/>
    <w:basedOn w:val="TableNormal"/>
    <w:uiPriority w:val="99"/>
    <w:semiHidden/>
    <w:unhideWhenUsed/>
    <w:rsid w:val="00FE2417"/>
    <w:pPr>
      <w:spacing w:line="276"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FE2417"/>
    <w:pPr>
      <w:spacing w:line="276"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FE2417"/>
    <w:pPr>
      <w:spacing w:line="276"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FE2417"/>
    <w:pPr>
      <w:spacing w:line="276"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FE2417"/>
    <w:pPr>
      <w:spacing w:line="276"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FE2417"/>
    <w:pPr>
      <w:spacing w:line="276"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FE2417"/>
    <w:pPr>
      <w:spacing w:line="276"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FE2417"/>
    <w:pPr>
      <w:spacing w:line="276"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FE2417"/>
    <w:pPr>
      <w:spacing w:line="276"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FE2417"/>
    <w:pPr>
      <w:spacing w:line="276"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UnresolvedMention1" w:customStyle="1">
    <w:name w:val="Unresolved Mention1"/>
    <w:basedOn w:val="DefaultParagraphFont"/>
    <w:uiPriority w:val="99"/>
    <w:semiHidden/>
    <w:unhideWhenUsed/>
    <w:rsid w:val="00FE2417"/>
    <w:rPr>
      <w:color w:val="808080"/>
      <w:shd w:val="clear" w:color="auto" w:fill="E6E6E6"/>
    </w:rPr>
  </w:style>
  <w:style w:type="paragraph" w:styleId="Default" w:customStyle="1">
    <w:name w:val="Default"/>
    <w:rsid w:val="00FE2417"/>
    <w:pPr>
      <w:autoSpaceDE w:val="0"/>
      <w:autoSpaceDN w:val="0"/>
      <w:adjustRightInd w:val="0"/>
      <w:spacing w:after="0"/>
    </w:pPr>
    <w:rPr>
      <w:rFonts w:ascii="Times New Roman" w:hAnsi="Times New Roman" w:cs="Times New Roman"/>
      <w:color w:val="000000"/>
      <w:sz w:val="24"/>
      <w:szCs w:val="24"/>
    </w:rPr>
  </w:style>
  <w:style w:type="character" w:styleId="MACbodytextCharChar" w:customStyle="1">
    <w:name w:val="MAC body text Char Char"/>
    <w:basedOn w:val="DefaultParagraphFont"/>
    <w:link w:val="MACbodytext"/>
    <w:locked/>
    <w:rsid w:val="00FE2417"/>
    <w:rPr>
      <w:rFonts w:cs="Arial"/>
      <w:color w:val="000000" w:themeColor="text1"/>
      <w:szCs w:val="24"/>
    </w:rPr>
  </w:style>
  <w:style w:type="paragraph" w:styleId="MACbodytext" w:customStyle="1">
    <w:name w:val="MAC body text"/>
    <w:basedOn w:val="Normal"/>
    <w:link w:val="MACbodytextCharChar"/>
    <w:qFormat/>
    <w:rsid w:val="00FE2417"/>
    <w:pPr>
      <w:spacing w:before="120" w:after="60" w:line="240" w:lineRule="atLeast"/>
    </w:pPr>
    <w:rPr>
      <w:rFonts w:ascii="Arial" w:hAnsi="Arial" w:cs="Arial"/>
      <w:color w:val="000000" w:themeColor="text1"/>
      <w:sz w:val="20"/>
      <w:szCs w:val="24"/>
    </w:rPr>
  </w:style>
  <w:style w:type="character" w:styleId="UnresolvedMention2" w:customStyle="1">
    <w:name w:val="Unresolved Mention2"/>
    <w:basedOn w:val="DefaultParagraphFont"/>
    <w:uiPriority w:val="99"/>
    <w:semiHidden/>
    <w:unhideWhenUsed/>
    <w:rsid w:val="003236BD"/>
    <w:rPr>
      <w:color w:val="605E5C"/>
      <w:shd w:val="clear" w:color="auto" w:fill="E1DFDD"/>
    </w:rPr>
  </w:style>
  <w:style w:type="paragraph" w:styleId="ExhibitL1" w:customStyle="1">
    <w:name w:val="Exhibit_L1"/>
    <w:basedOn w:val="Normal"/>
    <w:next w:val="ExhibitL2"/>
    <w:rsid w:val="00276C62"/>
    <w:pPr>
      <w:keepNext/>
      <w:numPr>
        <w:numId w:val="31"/>
      </w:numPr>
      <w:spacing w:line="240" w:lineRule="auto"/>
      <w:jc w:val="center"/>
      <w:outlineLvl w:val="0"/>
    </w:pPr>
    <w:rPr>
      <w:rFonts w:eastAsia="Times New Roman" w:cs="Times New Roman"/>
      <w:b/>
      <w:sz w:val="24"/>
      <w:lang w:val="en-US"/>
    </w:rPr>
  </w:style>
  <w:style w:type="paragraph" w:styleId="ExhibitL2" w:customStyle="1">
    <w:name w:val="Exhibit_L2"/>
    <w:basedOn w:val="ExhibitL1"/>
    <w:rsid w:val="00276C62"/>
    <w:pPr>
      <w:keepNext w:val="0"/>
      <w:numPr>
        <w:ilvl w:val="1"/>
      </w:numPr>
      <w:spacing w:line="360" w:lineRule="auto"/>
      <w:jc w:val="both"/>
      <w:outlineLvl w:val="1"/>
    </w:pPr>
    <w:rPr>
      <w:b w:val="0"/>
    </w:rPr>
  </w:style>
  <w:style w:type="paragraph" w:styleId="ExhibitL3" w:customStyle="1">
    <w:name w:val="Exhibit_L3"/>
    <w:basedOn w:val="ExhibitL2"/>
    <w:rsid w:val="00276C62"/>
    <w:pPr>
      <w:numPr>
        <w:ilvl w:val="2"/>
      </w:numPr>
      <w:outlineLvl w:val="2"/>
    </w:pPr>
  </w:style>
  <w:style w:type="paragraph" w:styleId="ExhibitL4" w:customStyle="1">
    <w:name w:val="Exhibit_L4"/>
    <w:basedOn w:val="ExhibitL3"/>
    <w:rsid w:val="00276C62"/>
    <w:pPr>
      <w:numPr>
        <w:ilvl w:val="3"/>
      </w:numPr>
      <w:outlineLvl w:val="3"/>
    </w:pPr>
  </w:style>
  <w:style w:type="paragraph" w:styleId="ExhibitL5" w:customStyle="1">
    <w:name w:val="Exhibit_L5"/>
    <w:basedOn w:val="ExhibitL4"/>
    <w:rsid w:val="00276C62"/>
    <w:pPr>
      <w:numPr>
        <w:ilvl w:val="4"/>
      </w:numPr>
      <w:outlineLvl w:val="4"/>
    </w:pPr>
  </w:style>
  <w:style w:type="paragraph" w:styleId="Disclaimer" w:customStyle="1">
    <w:name w:val="Disclaimer"/>
    <w:basedOn w:val="Normal"/>
    <w:uiPriority w:val="1"/>
    <w:qFormat/>
    <w:rsid w:val="00276C62"/>
    <w:pPr>
      <w:pBdr>
        <w:top w:val="single" w:color="auto" w:sz="4" w:space="1"/>
        <w:left w:val="single" w:color="auto" w:sz="4" w:space="4"/>
        <w:bottom w:val="single" w:color="auto" w:sz="4" w:space="1"/>
        <w:right w:val="single" w:color="auto" w:sz="4" w:space="4"/>
      </w:pBdr>
      <w:spacing w:after="0" w:line="240" w:lineRule="auto"/>
    </w:pPr>
    <w:rPr>
      <w:rFonts w:eastAsia="Calibri" w:cs="Arial"/>
      <w:i/>
      <w:sz w:val="24"/>
      <w:szCs w:val="24"/>
      <w:lang w:val="en-US"/>
    </w:rPr>
  </w:style>
  <w:style w:type="paragraph" w:styleId="BodyTextItalics" w:customStyle="1">
    <w:name w:val="Body Text_Italics"/>
    <w:basedOn w:val="BodyTextFirstIndent"/>
    <w:link w:val="BodyTextItalicsChar"/>
    <w:uiPriority w:val="1"/>
    <w:qFormat/>
    <w:rsid w:val="00276C62"/>
    <w:pPr>
      <w:spacing w:line="240" w:lineRule="auto"/>
      <w:ind w:firstLine="720"/>
    </w:pPr>
    <w:rPr>
      <w:rFonts w:eastAsia="Times New Roman" w:cs="Times New Roman"/>
      <w:i/>
      <w:sz w:val="24"/>
      <w:szCs w:val="24"/>
      <w:lang w:val="en-US"/>
    </w:rPr>
  </w:style>
  <w:style w:type="character" w:styleId="BodyTextItalicsChar" w:customStyle="1">
    <w:name w:val="Body Text_Italics Char"/>
    <w:link w:val="BodyTextItalics"/>
    <w:uiPriority w:val="1"/>
    <w:rsid w:val="00276C62"/>
    <w:rPr>
      <w:rFonts w:ascii="Times New Roman" w:hAnsi="Times New Roman" w:eastAsia="Times New Roman" w:cs="Times New Roman"/>
      <w:i/>
      <w:sz w:val="24"/>
      <w:szCs w:val="24"/>
      <w:lang w:val="en-US"/>
    </w:rPr>
  </w:style>
  <w:style w:type="paragraph" w:styleId="MacPacTrailer" w:customStyle="1">
    <w:name w:val="MacPac Trailer"/>
    <w:rsid w:val="00580419"/>
    <w:pPr>
      <w:widowControl w:val="0"/>
      <w:spacing w:after="0" w:line="200" w:lineRule="exact"/>
    </w:pPr>
    <w:rPr>
      <w:rFonts w:ascii="Times New Roman" w:hAnsi="Times New Roman" w:eastAsia="Times New Roman" w:cs="Times New Roman"/>
      <w:sz w:val="16"/>
      <w:szCs w:val="22"/>
      <w:lang w:val="en-US"/>
    </w:rPr>
  </w:style>
  <w:style w:type="paragraph" w:styleId="ArtBJStyCont2" w:customStyle="1">
    <w:name w:val="ArtBJSty Cont 2"/>
    <w:basedOn w:val="Normal"/>
    <w:link w:val="ArtBJStyCont2Char"/>
    <w:rsid w:val="001E4C42"/>
    <w:pPr>
      <w:spacing w:line="240" w:lineRule="auto"/>
    </w:pPr>
    <w:rPr>
      <w:rFonts w:eastAsia="Times New Roman" w:cs="Times New Roman"/>
      <w:lang w:val="en-US"/>
    </w:rPr>
  </w:style>
  <w:style w:type="character" w:styleId="ArtBJStyCont2Char" w:customStyle="1">
    <w:name w:val="ArtBJSty Cont 2 Char"/>
    <w:basedOn w:val="DefaultParagraphFont"/>
    <w:link w:val="ArtBJStyCont2"/>
    <w:rsid w:val="001E4C42"/>
    <w:rPr>
      <w:rFonts w:ascii="Times New Roman" w:hAnsi="Times New Roman" w:eastAsia="Times New Roman" w:cs="Times New Roman"/>
      <w:sz w:val="22"/>
      <w:lang w:val="en-US"/>
    </w:rPr>
  </w:style>
  <w:style w:type="paragraph" w:styleId="MTBody" w:customStyle="1">
    <w:name w:val="MTBody"/>
    <w:basedOn w:val="Normal"/>
    <w:qFormat/>
    <w:rsid w:val="0057585E"/>
    <w:pPr>
      <w:spacing w:line="240" w:lineRule="auto"/>
    </w:pPr>
    <w:rPr>
      <w:rFonts w:ascii="Arial" w:hAnsi="Arial" w:eastAsia="Arial" w:cs="Times New Roman"/>
      <w:sz w:val="20"/>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acicm@bennettjon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 M T D O C S ! 4 1 3 3 0 4 3 8 . 6 < / d o c u m e n t i d >  
     < s e n d e r i d > I P L A P O I N T E < / s e n d e r i d >  
     < s e n d e r e m a i l > I P L A P O I N T E @ M C C A R T H Y . C A < / s e n d e r e m a i l >  
     < l a s t m o d i f i e d > 2 0 2 3 - 0 1 - 3 0 T 2 1 : 5 5 : 0 0 . 0 0 0 0 0 0 0 - 0 5 : 0 0 < / l a s t m o d i f i e d >  
     < d a t a b a s e > M T D O C S 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1801-8E7C-447B-A79C-B4A3702A9427}">
  <ds:schemaRefs>
    <ds:schemaRef ds:uri="http://www.imanage.com/work/xmlschema"/>
  </ds:schemaRefs>
</ds:datastoreItem>
</file>

<file path=customXml/itemProps2.xml><?xml version="1.0" encoding="utf-8"?>
<ds:datastoreItem xmlns:ds="http://schemas.openxmlformats.org/officeDocument/2006/customXml" ds:itemID="{8BCB04E7-1709-47D5-B85C-480B7DDDB44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