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2329" w:rsidP="000E2329" w:rsidRDefault="0081798A" w14:paraId="023C796F" w14:textId="77777777">
      <w:pPr>
        <w:spacing w:after="120"/>
        <w:rPr>
          <w:b/>
        </w:rPr>
      </w:pPr>
      <w:r w:rsidRPr="006400F9">
        <w:rPr>
          <w:noProof/>
        </w:rPr>
        <w:drawing>
          <wp:inline distT="0" distB="0" distL="0" distR="0" wp14:anchorId="21467AEF" wp14:editId="21BDB832">
            <wp:extent cx="2138758" cy="1030077"/>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269" name=""/>
                    <pic:cNvPicPr/>
                  </pic:nvPicPr>
                  <pic:blipFill>
                    <a:blip r:embed="rId7"/>
                    <a:stretch>
                      <a:fillRect/>
                    </a:stretch>
                  </pic:blipFill>
                  <pic:spPr>
                    <a:xfrm>
                      <a:off x="0" y="0"/>
                      <a:ext cx="2138758" cy="1030077"/>
                    </a:xfrm>
                    <a:prstGeom prst="rect">
                      <a:avLst/>
                    </a:prstGeom>
                  </pic:spPr>
                </pic:pic>
              </a:graphicData>
            </a:graphic>
          </wp:inline>
        </w:drawing>
      </w:r>
    </w:p>
    <w:p w:rsidR="0000160C" w:rsidP="000E2329" w:rsidRDefault="00F94B84" w14:paraId="576B54D6" w14:textId="173C6006">
      <w:pPr>
        <w:jc w:val="center"/>
        <w:rPr>
          <w:b/>
        </w:rPr>
      </w:pPr>
      <w:r>
        <w:rPr>
          <w:b/>
        </w:rPr>
        <w:t>Convention de société en commandite</w:t>
      </w:r>
    </w:p>
    <w:p w:rsidR="0000160C" w:rsidP="000E2329" w:rsidRDefault="00C517ED" w14:paraId="4BA27B0B" w14:textId="77777777">
      <w:pPr>
        <w:pStyle w:val="BodyText"/>
        <w:spacing w:after="0"/>
        <w:jc w:val="center"/>
        <w:rPr>
          <w:b/>
        </w:rPr>
      </w:pPr>
      <w:r>
        <w:rPr>
          <w:b/>
        </w:rPr>
        <w:t>15 décembre 2022</w:t>
      </w:r>
    </w:p>
    <w:p w:rsidR="007B48D0" w:rsidP="000E2329" w:rsidRDefault="007B48D0" w14:paraId="61065B9D" w14:textId="77777777">
      <w:pPr>
        <w:pStyle w:val="BodyText"/>
        <w:spacing w:after="0"/>
        <w:jc w:val="center"/>
        <w:rPr>
          <w:b/>
        </w:rPr>
      </w:pPr>
    </w:p>
    <w:p w:rsidR="00152FB4" w:rsidRDefault="00F94B84" w14:paraId="451AD2F9" w14:textId="434EAA5A">
      <w:pPr>
        <w:rPr>
          <w:szCs w:val="22"/>
        </w:rPr>
      </w:pPr>
      <w:r>
        <w:rPr>
          <w:szCs w:val="22"/>
        </w:rPr>
        <w:t>Le présent document de la CVCA</w:t>
      </w:r>
      <w:r w:rsidR="00C517ED">
        <w:rPr>
          <w:szCs w:val="22"/>
        </w:rPr>
        <w:t xml:space="preserve"> est une version modifiée du document intitulé « The ILPA Model Limited Partnership Agreement (</w:t>
      </w:r>
      <w:proofErr w:type="spellStart"/>
      <w:r w:rsidR="00C517ED">
        <w:rPr>
          <w:szCs w:val="22"/>
        </w:rPr>
        <w:t>Whole</w:t>
      </w:r>
      <w:proofErr w:type="spellEnd"/>
      <w:r w:rsidR="00C517ED">
        <w:rPr>
          <w:szCs w:val="22"/>
        </w:rPr>
        <w:t>-of-</w:t>
      </w:r>
      <w:proofErr w:type="spellStart"/>
      <w:r w:rsidR="00C517ED">
        <w:rPr>
          <w:szCs w:val="22"/>
        </w:rPr>
        <w:t>Fund</w:t>
      </w:r>
      <w:proofErr w:type="spellEnd"/>
      <w:r w:rsidR="00C517ED">
        <w:rPr>
          <w:szCs w:val="22"/>
        </w:rPr>
        <w:t xml:space="preserve"> </w:t>
      </w:r>
      <w:proofErr w:type="spellStart"/>
      <w:r w:rsidR="00C517ED">
        <w:rPr>
          <w:szCs w:val="22"/>
        </w:rPr>
        <w:t>Waterfall</w:t>
      </w:r>
      <w:proofErr w:type="spellEnd"/>
      <w:r w:rsidR="00C517ED">
        <w:rPr>
          <w:szCs w:val="22"/>
        </w:rPr>
        <w:t>) » (v. juillet 2020) préparé au nom des commanditaires institutionnels qui sont membres de l</w:t>
      </w:r>
      <w:r w:rsidR="00E27310">
        <w:rPr>
          <w:szCs w:val="22"/>
        </w:rPr>
        <w:t>’</w:t>
      </w:r>
      <w:proofErr w:type="spellStart"/>
      <w:r w:rsidR="00C517ED">
        <w:rPr>
          <w:szCs w:val="22"/>
        </w:rPr>
        <w:t>Institutional</w:t>
      </w:r>
      <w:proofErr w:type="spellEnd"/>
      <w:r w:rsidR="00C517ED">
        <w:rPr>
          <w:szCs w:val="22"/>
        </w:rPr>
        <w:t xml:space="preserve"> Limited </w:t>
      </w:r>
      <w:proofErr w:type="spellStart"/>
      <w:r w:rsidR="00C517ED">
        <w:rPr>
          <w:szCs w:val="22"/>
        </w:rPr>
        <w:t>Partners</w:t>
      </w:r>
      <w:proofErr w:type="spellEnd"/>
      <w:r w:rsidR="00C517ED">
        <w:rPr>
          <w:szCs w:val="22"/>
        </w:rPr>
        <w:t xml:space="preserve"> Association (l</w:t>
      </w:r>
      <w:proofErr w:type="gramStart"/>
      <w:r w:rsidR="00E27310">
        <w:rPr>
          <w:szCs w:val="22"/>
        </w:rPr>
        <w:t>’</w:t>
      </w:r>
      <w:r w:rsidR="00C517ED">
        <w:rPr>
          <w:szCs w:val="22"/>
        </w:rPr>
        <w:t>«</w:t>
      </w:r>
      <w:proofErr w:type="gramEnd"/>
      <w:r w:rsidR="00C517ED">
        <w:rPr>
          <w:szCs w:val="22"/>
        </w:rPr>
        <w:t xml:space="preserve"> </w:t>
      </w:r>
      <w:r w:rsidR="00C517ED">
        <w:rPr>
          <w:b/>
          <w:szCs w:val="22"/>
        </w:rPr>
        <w:t>ILPA</w:t>
      </w:r>
      <w:r w:rsidR="00C517ED">
        <w:rPr>
          <w:szCs w:val="22"/>
        </w:rPr>
        <w:t xml:space="preserve"> »). </w:t>
      </w:r>
      <w:r w:rsidR="00E27310">
        <w:rPr>
          <w:szCs w:val="22"/>
        </w:rPr>
        <w:t>La CVCA</w:t>
      </w:r>
      <w:r w:rsidR="00C517ED">
        <w:rPr>
          <w:szCs w:val="22"/>
        </w:rPr>
        <w:t xml:space="preserve"> tient à remercier l</w:t>
      </w:r>
      <w:r w:rsidR="00E27310">
        <w:rPr>
          <w:szCs w:val="22"/>
        </w:rPr>
        <w:t>’</w:t>
      </w:r>
      <w:r w:rsidR="00C517ED">
        <w:rPr>
          <w:szCs w:val="22"/>
        </w:rPr>
        <w:t xml:space="preserve">ILPA </w:t>
      </w:r>
      <w:r w:rsidR="00E27310">
        <w:rPr>
          <w:szCs w:val="22"/>
        </w:rPr>
        <w:t>de l’avoir</w:t>
      </w:r>
      <w:r w:rsidR="00C517ED">
        <w:rPr>
          <w:szCs w:val="22"/>
        </w:rPr>
        <w:t xml:space="preserve"> autorisé</w:t>
      </w:r>
      <w:r w:rsidR="00E27310">
        <w:rPr>
          <w:szCs w:val="22"/>
        </w:rPr>
        <w:t>e</w:t>
      </w:r>
      <w:r w:rsidR="00C517ED">
        <w:rPr>
          <w:szCs w:val="22"/>
        </w:rPr>
        <w:t xml:space="preserve"> </w:t>
      </w:r>
      <w:r w:rsidR="00E27310">
        <w:rPr>
          <w:szCs w:val="22"/>
        </w:rPr>
        <w:t>à utiliser</w:t>
      </w:r>
      <w:r w:rsidR="00C517ED">
        <w:rPr>
          <w:szCs w:val="22"/>
        </w:rPr>
        <w:t xml:space="preserve"> </w:t>
      </w:r>
      <w:r w:rsidR="00E27310">
        <w:rPr>
          <w:szCs w:val="22"/>
        </w:rPr>
        <w:t>le</w:t>
      </w:r>
      <w:r w:rsidR="00C517ED">
        <w:rPr>
          <w:szCs w:val="22"/>
        </w:rPr>
        <w:t xml:space="preserve"> document de l</w:t>
      </w:r>
      <w:r w:rsidR="00E27310">
        <w:rPr>
          <w:szCs w:val="22"/>
        </w:rPr>
        <w:t>’</w:t>
      </w:r>
      <w:r w:rsidR="00C517ED">
        <w:rPr>
          <w:szCs w:val="22"/>
        </w:rPr>
        <w:t xml:space="preserve">ILPA au Canada. </w:t>
      </w:r>
      <w:r w:rsidR="00E27310">
        <w:rPr>
          <w:szCs w:val="22"/>
        </w:rPr>
        <w:t>L’ILPA</w:t>
      </w:r>
      <w:r w:rsidR="00C517ED">
        <w:rPr>
          <w:szCs w:val="22"/>
        </w:rPr>
        <w:t xml:space="preserve"> n</w:t>
      </w:r>
      <w:r w:rsidR="00E27310">
        <w:rPr>
          <w:szCs w:val="22"/>
        </w:rPr>
        <w:t>’</w:t>
      </w:r>
      <w:r w:rsidR="00C517ED">
        <w:rPr>
          <w:szCs w:val="22"/>
        </w:rPr>
        <w:t xml:space="preserve">a pas </w:t>
      </w:r>
      <w:r w:rsidR="00E27310">
        <w:rPr>
          <w:szCs w:val="22"/>
        </w:rPr>
        <w:t>révisé ou</w:t>
      </w:r>
      <w:r w:rsidR="00C517ED">
        <w:rPr>
          <w:szCs w:val="22"/>
        </w:rPr>
        <w:t xml:space="preserve"> approuvé </w:t>
      </w:r>
      <w:r w:rsidR="00152FB4">
        <w:rPr>
          <w:szCs w:val="22"/>
        </w:rPr>
        <w:t>le présent</w:t>
      </w:r>
      <w:r w:rsidR="00C517ED">
        <w:rPr>
          <w:szCs w:val="22"/>
        </w:rPr>
        <w:t xml:space="preserve"> document. </w:t>
      </w:r>
      <w:r w:rsidR="00152FB4">
        <w:rPr>
          <w:szCs w:val="22"/>
        </w:rPr>
        <w:t>Le site web de la CVCA contient une comparaison entre le présent document de la CVCA et celui de l’ILPA.</w:t>
      </w:r>
    </w:p>
    <w:p w:rsidR="00152FB4" w:rsidRDefault="00152FB4" w14:paraId="197A4FBB" w14:textId="77777777">
      <w:pPr>
        <w:rPr>
          <w:szCs w:val="22"/>
        </w:rPr>
      </w:pPr>
    </w:p>
    <w:p w:rsidR="0000160C" w:rsidRDefault="00152FB4" w14:paraId="23F0C089" w14:textId="79E2A190">
      <w:pPr>
        <w:rPr>
          <w:szCs w:val="22"/>
        </w:rPr>
      </w:pPr>
      <w:r>
        <w:rPr>
          <w:szCs w:val="22"/>
        </w:rPr>
        <w:t>Le présent document de la CVCA</w:t>
      </w:r>
      <w:r w:rsidR="00C517ED">
        <w:rPr>
          <w:szCs w:val="22"/>
        </w:rPr>
        <w:t xml:space="preserve"> comprend les modifications apportées au document de </w:t>
      </w:r>
      <w:r>
        <w:rPr>
          <w:szCs w:val="22"/>
        </w:rPr>
        <w:t>L’ILPA</w:t>
      </w:r>
      <w:r w:rsidR="00C517ED">
        <w:rPr>
          <w:szCs w:val="22"/>
        </w:rPr>
        <w:t xml:space="preserve"> nécessaires pour refléter le droit canadien applicable, y compris le droit fiscal canadien et le droit de</w:t>
      </w:r>
      <w:r>
        <w:rPr>
          <w:szCs w:val="22"/>
        </w:rPr>
        <w:t>s sociétés en commandite de</w:t>
      </w:r>
      <w:r w:rsidR="00C517ED">
        <w:rPr>
          <w:szCs w:val="22"/>
        </w:rPr>
        <w:t xml:space="preserve"> l</w:t>
      </w:r>
      <w:r w:rsidR="00E27310">
        <w:rPr>
          <w:szCs w:val="22"/>
        </w:rPr>
        <w:t>’</w:t>
      </w:r>
      <w:r w:rsidR="00C517ED">
        <w:rPr>
          <w:szCs w:val="22"/>
        </w:rPr>
        <w:t xml:space="preserve">Ontario et du Québec. En outre, </w:t>
      </w:r>
      <w:r>
        <w:rPr>
          <w:szCs w:val="22"/>
        </w:rPr>
        <w:t>le présent document</w:t>
      </w:r>
      <w:r w:rsidR="00C517ED">
        <w:rPr>
          <w:szCs w:val="22"/>
        </w:rPr>
        <w:t xml:space="preserve"> est annoté pour aider les lecteurs </w:t>
      </w:r>
      <w:r>
        <w:rPr>
          <w:szCs w:val="22"/>
        </w:rPr>
        <w:t>à comprendre</w:t>
      </w:r>
      <w:r w:rsidR="00C517ED">
        <w:rPr>
          <w:szCs w:val="22"/>
        </w:rPr>
        <w:t xml:space="preserve"> certains termes importants pour les fonds de capital-investissement et de capital de risque utilisés au Canada. Bien </w:t>
      </w:r>
      <w:r>
        <w:rPr>
          <w:szCs w:val="22"/>
        </w:rPr>
        <w:t>que le présent document</w:t>
      </w:r>
      <w:r w:rsidR="00C517ED">
        <w:rPr>
          <w:szCs w:val="22"/>
        </w:rPr>
        <w:t xml:space="preserve"> ait été modifié pour être utilisé au Canada et qu</w:t>
      </w:r>
      <w:r w:rsidR="00E27310">
        <w:rPr>
          <w:szCs w:val="22"/>
        </w:rPr>
        <w:t>’</w:t>
      </w:r>
      <w:r w:rsidR="00C517ED">
        <w:rPr>
          <w:szCs w:val="22"/>
        </w:rPr>
        <w:t>il contienne certaines modifications et annotations pour refléter la pratique canadienne, il ne s</w:t>
      </w:r>
      <w:r w:rsidR="00E27310">
        <w:rPr>
          <w:szCs w:val="22"/>
        </w:rPr>
        <w:t>’</w:t>
      </w:r>
      <w:r w:rsidR="00C517ED">
        <w:rPr>
          <w:szCs w:val="22"/>
        </w:rPr>
        <w:t xml:space="preserve">agit </w:t>
      </w:r>
      <w:r w:rsidR="00C517ED">
        <w:rPr>
          <w:b/>
          <w:szCs w:val="22"/>
        </w:rPr>
        <w:t xml:space="preserve">pas </w:t>
      </w:r>
      <w:r w:rsidRPr="00152FB4" w:rsidR="00C517ED">
        <w:rPr>
          <w:bCs/>
          <w:szCs w:val="22"/>
        </w:rPr>
        <w:t>d</w:t>
      </w:r>
      <w:r w:rsidRPr="00152FB4" w:rsidR="00E27310">
        <w:rPr>
          <w:bCs/>
          <w:szCs w:val="22"/>
        </w:rPr>
        <w:t>’</w:t>
      </w:r>
      <w:r w:rsidR="00C517ED">
        <w:rPr>
          <w:szCs w:val="22"/>
        </w:rPr>
        <w:t xml:space="preserve">un document « modèle » de </w:t>
      </w:r>
      <w:r>
        <w:rPr>
          <w:szCs w:val="22"/>
        </w:rPr>
        <w:t>la CVCA</w:t>
      </w:r>
      <w:r w:rsidR="00C517ED">
        <w:rPr>
          <w:szCs w:val="22"/>
        </w:rPr>
        <w:t xml:space="preserve">.  Étant donné </w:t>
      </w:r>
      <w:r>
        <w:rPr>
          <w:szCs w:val="22"/>
        </w:rPr>
        <w:t>que le présent document</w:t>
      </w:r>
      <w:r w:rsidR="00C517ED">
        <w:rPr>
          <w:szCs w:val="22"/>
        </w:rPr>
        <w:t xml:space="preserve"> est dérivé de la version de l</w:t>
      </w:r>
      <w:r w:rsidR="00E27310">
        <w:rPr>
          <w:szCs w:val="22"/>
        </w:rPr>
        <w:t>’</w:t>
      </w:r>
      <w:r w:rsidR="00C517ED">
        <w:rPr>
          <w:szCs w:val="22"/>
        </w:rPr>
        <w:t>ILPA, il ne s</w:t>
      </w:r>
      <w:r w:rsidR="00E27310">
        <w:rPr>
          <w:szCs w:val="22"/>
        </w:rPr>
        <w:t>’</w:t>
      </w:r>
      <w:r w:rsidR="00C517ED">
        <w:rPr>
          <w:szCs w:val="22"/>
        </w:rPr>
        <w:t>agit pas d</w:t>
      </w:r>
      <w:r w:rsidR="00E27310">
        <w:rPr>
          <w:szCs w:val="22"/>
        </w:rPr>
        <w:t>’</w:t>
      </w:r>
      <w:r w:rsidR="00C517ED">
        <w:rPr>
          <w:szCs w:val="22"/>
        </w:rPr>
        <w:t xml:space="preserve">une </w:t>
      </w:r>
      <w:r>
        <w:rPr>
          <w:szCs w:val="22"/>
        </w:rPr>
        <w:t>convention</w:t>
      </w:r>
      <w:r w:rsidR="00C517ED">
        <w:rPr>
          <w:szCs w:val="22"/>
        </w:rPr>
        <w:t xml:space="preserve"> qui reflète le point de vue d</w:t>
      </w:r>
      <w:r w:rsidR="00E27310">
        <w:rPr>
          <w:szCs w:val="22"/>
        </w:rPr>
        <w:t>’</w:t>
      </w:r>
      <w:r w:rsidR="00C517ED">
        <w:rPr>
          <w:szCs w:val="22"/>
        </w:rPr>
        <w:t xml:space="preserve">un </w:t>
      </w:r>
      <w:r>
        <w:rPr>
          <w:szCs w:val="22"/>
        </w:rPr>
        <w:t>commandité</w:t>
      </w:r>
      <w:r w:rsidR="00C517ED">
        <w:rPr>
          <w:szCs w:val="22"/>
        </w:rPr>
        <w:t xml:space="preserve"> sur chaque question. De plus, il ne vise pas à fournir toutes les modalités ou les </w:t>
      </w:r>
      <w:r>
        <w:rPr>
          <w:szCs w:val="22"/>
        </w:rPr>
        <w:t>variantes de toute modalité</w:t>
      </w:r>
      <w:r w:rsidR="00C517ED">
        <w:rPr>
          <w:szCs w:val="22"/>
        </w:rPr>
        <w:t xml:space="preserve"> qui pourraient être incluses dans une </w:t>
      </w:r>
      <w:r>
        <w:rPr>
          <w:szCs w:val="22"/>
        </w:rPr>
        <w:t>convention</w:t>
      </w:r>
      <w:r w:rsidR="00C517ED">
        <w:rPr>
          <w:szCs w:val="22"/>
        </w:rPr>
        <w:t xml:space="preserve"> de société en commandite pour un fonds de capital-investissement ou de capital de risque. De telles </w:t>
      </w:r>
      <w:r>
        <w:rPr>
          <w:szCs w:val="22"/>
        </w:rPr>
        <w:t>conventions</w:t>
      </w:r>
      <w:r w:rsidR="00C517ED">
        <w:rPr>
          <w:szCs w:val="22"/>
        </w:rPr>
        <w:t xml:space="preserve"> de société en commandite sont souvent fortement négociées et varient aussi considérablement selon le contexte factuel (p. ex., un </w:t>
      </w:r>
      <w:r>
        <w:rPr>
          <w:szCs w:val="22"/>
        </w:rPr>
        <w:t xml:space="preserve">premier </w:t>
      </w:r>
      <w:r w:rsidR="00C517ED">
        <w:rPr>
          <w:szCs w:val="22"/>
        </w:rPr>
        <w:t>fonds aura des modalités différentes de celles d</w:t>
      </w:r>
      <w:r w:rsidR="00E27310">
        <w:rPr>
          <w:szCs w:val="22"/>
        </w:rPr>
        <w:t>’</w:t>
      </w:r>
      <w:r w:rsidR="00C517ED">
        <w:rPr>
          <w:szCs w:val="22"/>
        </w:rPr>
        <w:t>un gestionnaire ou d</w:t>
      </w:r>
      <w:r w:rsidR="00E27310">
        <w:rPr>
          <w:szCs w:val="22"/>
        </w:rPr>
        <w:t>’</w:t>
      </w:r>
      <w:r w:rsidR="00C517ED">
        <w:rPr>
          <w:szCs w:val="22"/>
        </w:rPr>
        <w:t xml:space="preserve">un </w:t>
      </w:r>
      <w:r>
        <w:rPr>
          <w:szCs w:val="22"/>
        </w:rPr>
        <w:t>sponsor</w:t>
      </w:r>
      <w:r w:rsidR="00C517ED">
        <w:rPr>
          <w:szCs w:val="22"/>
        </w:rPr>
        <w:t xml:space="preserve"> établi).  </w:t>
      </w:r>
    </w:p>
    <w:p w:rsidR="00A13B0A" w:rsidP="00015A3E" w:rsidRDefault="00A13B0A" w14:paraId="661711CC" w14:textId="77777777">
      <w:pPr>
        <w:rPr>
          <w:szCs w:val="22"/>
        </w:rPr>
      </w:pPr>
    </w:p>
    <w:p w:rsidR="0000160C" w:rsidRDefault="00C517ED" w14:paraId="1E12AAA2" w14:textId="643780A4">
      <w:pPr>
        <w:rPr>
          <w:szCs w:val="22"/>
        </w:rPr>
      </w:pPr>
      <w:r>
        <w:rPr>
          <w:szCs w:val="22"/>
        </w:rPr>
        <w:t xml:space="preserve">Le présent document de </w:t>
      </w:r>
      <w:r w:rsidR="00152FB4">
        <w:rPr>
          <w:szCs w:val="22"/>
        </w:rPr>
        <w:t>la CVCA</w:t>
      </w:r>
      <w:r>
        <w:rPr>
          <w:szCs w:val="22"/>
        </w:rPr>
        <w:t xml:space="preserve"> a été préparé par les avocats suivants : Mia Bacic (à titre de </w:t>
      </w:r>
      <w:r w:rsidR="00152FB4">
        <w:rPr>
          <w:szCs w:val="22"/>
        </w:rPr>
        <w:t>responsable</w:t>
      </w:r>
      <w:r>
        <w:rPr>
          <w:szCs w:val="22"/>
        </w:rPr>
        <w:t>), Gary Solway, Elizabeth Dylke</w:t>
      </w:r>
      <w:r w:rsidR="00C80829">
        <w:rPr>
          <w:szCs w:val="22"/>
        </w:rPr>
        <w:t>,</w:t>
      </w:r>
      <w:r>
        <w:rPr>
          <w:szCs w:val="22"/>
        </w:rPr>
        <w:t xml:space="preserve"> Philip Ward (fiscalité), </w:t>
      </w:r>
      <w:r w:rsidR="006C79D4">
        <w:rPr>
          <w:szCs w:val="22"/>
        </w:rPr>
        <w:t xml:space="preserve">et </w:t>
      </w:r>
      <w:r w:rsidR="00C80829">
        <w:rPr>
          <w:szCs w:val="22"/>
        </w:rPr>
        <w:t xml:space="preserve">Julia Wang (fiscalité), </w:t>
      </w:r>
      <w:r>
        <w:rPr>
          <w:szCs w:val="22"/>
        </w:rPr>
        <w:t xml:space="preserve">chacun du cabinet Bennett Jones; Samantha Horn et Jonathan Wilson (fiscalité), chacun du cabinet Stikeman Elliott; Pascal de Guise et Anthony </w:t>
      </w:r>
      <w:proofErr w:type="spellStart"/>
      <w:r>
        <w:rPr>
          <w:szCs w:val="22"/>
        </w:rPr>
        <w:t>Lanouette</w:t>
      </w:r>
      <w:proofErr w:type="spellEnd"/>
      <w:r>
        <w:rPr>
          <w:szCs w:val="22"/>
        </w:rPr>
        <w:t xml:space="preserve">-Marier, chacun du cabinet Blake, </w:t>
      </w:r>
      <w:proofErr w:type="spellStart"/>
      <w:r>
        <w:rPr>
          <w:szCs w:val="22"/>
        </w:rPr>
        <w:t>Cassels</w:t>
      </w:r>
      <w:proofErr w:type="spellEnd"/>
      <w:r>
        <w:rPr>
          <w:szCs w:val="22"/>
        </w:rPr>
        <w:t xml:space="preserve"> &amp; </w:t>
      </w:r>
      <w:proofErr w:type="spellStart"/>
      <w:r>
        <w:rPr>
          <w:szCs w:val="22"/>
        </w:rPr>
        <w:t>Graydon</w:t>
      </w:r>
      <w:proofErr w:type="spellEnd"/>
      <w:r>
        <w:rPr>
          <w:szCs w:val="22"/>
        </w:rPr>
        <w:t xml:space="preserve">; Mathieu Laflamme et Isabelle Pépin-Lapointe, chacun du cabinet McCarthy </w:t>
      </w:r>
      <w:proofErr w:type="spellStart"/>
      <w:r>
        <w:rPr>
          <w:szCs w:val="22"/>
        </w:rPr>
        <w:t>Tétrault</w:t>
      </w:r>
      <w:proofErr w:type="spellEnd"/>
      <w:r>
        <w:rPr>
          <w:szCs w:val="22"/>
        </w:rPr>
        <w:t xml:space="preserve">; et Wendy Del </w:t>
      </w:r>
      <w:proofErr w:type="spellStart"/>
      <w:r>
        <w:rPr>
          <w:szCs w:val="22"/>
        </w:rPr>
        <w:t>Mul</w:t>
      </w:r>
      <w:proofErr w:type="spellEnd"/>
      <w:r>
        <w:rPr>
          <w:szCs w:val="22"/>
        </w:rPr>
        <w:t xml:space="preserve">, Dentons Canada LLP. </w:t>
      </w:r>
    </w:p>
    <w:p w:rsidR="00A3730D" w:rsidP="00926DA4" w:rsidRDefault="00A3730D" w14:paraId="4D28D56E" w14:textId="77777777">
      <w:pPr>
        <w:rPr>
          <w:szCs w:val="22"/>
        </w:rPr>
      </w:pPr>
    </w:p>
    <w:p w:rsidR="0000160C" w:rsidRDefault="00C517ED" w14:paraId="3290A8DD" w14:textId="79FB1DE1">
      <w:pPr>
        <w:rPr>
          <w:szCs w:val="22"/>
        </w:rPr>
      </w:pPr>
      <w:r>
        <w:rPr>
          <w:szCs w:val="22"/>
        </w:rPr>
        <w:t xml:space="preserve">Dion Madsen, Amplitude Ventures </w:t>
      </w:r>
      <w:proofErr w:type="gramStart"/>
      <w:r>
        <w:rPr>
          <w:szCs w:val="22"/>
        </w:rPr>
        <w:t>Inc.</w:t>
      </w:r>
      <w:r w:rsidR="004F7389">
        <w:rPr>
          <w:szCs w:val="22"/>
        </w:rPr>
        <w:t>;</w:t>
      </w:r>
      <w:proofErr w:type="gramEnd"/>
      <w:r>
        <w:rPr>
          <w:szCs w:val="22"/>
        </w:rPr>
        <w:t xml:space="preserve"> Robert </w:t>
      </w:r>
      <w:proofErr w:type="spellStart"/>
      <w:r>
        <w:rPr>
          <w:szCs w:val="22"/>
        </w:rPr>
        <w:t>Connoly</w:t>
      </w:r>
      <w:proofErr w:type="spellEnd"/>
      <w:r>
        <w:rPr>
          <w:szCs w:val="22"/>
        </w:rPr>
        <w:t xml:space="preserve">, </w:t>
      </w:r>
      <w:proofErr w:type="spellStart"/>
      <w:r>
        <w:rPr>
          <w:szCs w:val="22"/>
        </w:rPr>
        <w:t>Westcap</w:t>
      </w:r>
      <w:proofErr w:type="spellEnd"/>
      <w:r>
        <w:rPr>
          <w:szCs w:val="22"/>
        </w:rPr>
        <w:t xml:space="preserve"> </w:t>
      </w:r>
      <w:proofErr w:type="spellStart"/>
      <w:r>
        <w:rPr>
          <w:szCs w:val="22"/>
        </w:rPr>
        <w:t>Mgt</w:t>
      </w:r>
      <w:proofErr w:type="spellEnd"/>
      <w:r>
        <w:rPr>
          <w:szCs w:val="22"/>
        </w:rPr>
        <w:t>.</w:t>
      </w:r>
      <w:r w:rsidR="004F7389">
        <w:rPr>
          <w:szCs w:val="22"/>
        </w:rPr>
        <w:t xml:space="preserve"> Ltd</w:t>
      </w:r>
      <w:proofErr w:type="gramStart"/>
      <w:r w:rsidR="004F7389">
        <w:rPr>
          <w:szCs w:val="22"/>
        </w:rPr>
        <w:t>.;</w:t>
      </w:r>
      <w:proofErr w:type="gramEnd"/>
      <w:r w:rsidR="004F7389">
        <w:rPr>
          <w:szCs w:val="22"/>
        </w:rPr>
        <w:t xml:space="preserve"> David </w:t>
      </w:r>
      <w:proofErr w:type="spellStart"/>
      <w:r w:rsidR="004F7389">
        <w:rPr>
          <w:szCs w:val="22"/>
        </w:rPr>
        <w:t>Unsworth</w:t>
      </w:r>
      <w:proofErr w:type="spellEnd"/>
      <w:r w:rsidR="004F7389">
        <w:rPr>
          <w:szCs w:val="22"/>
        </w:rPr>
        <w:t xml:space="preserve">, Information Venture </w:t>
      </w:r>
      <w:proofErr w:type="spellStart"/>
      <w:r w:rsidR="004F7389">
        <w:rPr>
          <w:szCs w:val="22"/>
        </w:rPr>
        <w:t>Partners</w:t>
      </w:r>
      <w:proofErr w:type="spellEnd"/>
      <w:r w:rsidR="004F7389">
        <w:rPr>
          <w:szCs w:val="22"/>
        </w:rPr>
        <w:t xml:space="preserve">; et Lauren Robinson, </w:t>
      </w:r>
      <w:proofErr w:type="spellStart"/>
      <w:r w:rsidR="004F7389">
        <w:rPr>
          <w:szCs w:val="22"/>
        </w:rPr>
        <w:t>Highline</w:t>
      </w:r>
      <w:proofErr w:type="spellEnd"/>
      <w:r w:rsidR="004F7389">
        <w:rPr>
          <w:szCs w:val="22"/>
        </w:rPr>
        <w:t xml:space="preserve"> Beta</w:t>
      </w:r>
      <w:r>
        <w:rPr>
          <w:szCs w:val="22"/>
        </w:rPr>
        <w:t xml:space="preserve"> ont également fait part de leurs commentaires.</w:t>
      </w:r>
    </w:p>
    <w:p w:rsidR="00F337D8" w:rsidRDefault="00F337D8" w14:paraId="7C867669" w14:textId="77777777">
      <w:pPr>
        <w:rPr>
          <w:szCs w:val="22"/>
        </w:rPr>
      </w:pPr>
    </w:p>
    <w:p w:rsidRPr="00B25E07" w:rsidR="00F337D8" w:rsidRDefault="00B25E07" w14:paraId="4C2EC525" w14:textId="5FA5AAF6">
      <w:pPr>
        <w:rPr>
          <w:szCs w:val="22"/>
          <w:lang w:val="fr-CA"/>
        </w:rPr>
      </w:pPr>
      <w:r w:rsidRPr="00B25E07">
        <w:rPr>
          <w:szCs w:val="22"/>
          <w:lang w:val="fr-CA"/>
        </w:rPr>
        <w:t xml:space="preserve">La traduction de ce document a été préparée par les avocats suivants : Ryan Tomicic (à titre de responsable), Guillaume B. Laplante, Claudie Fournier-Turmel et Emma Carbonneau, du cabinet Borden </w:t>
      </w:r>
      <w:proofErr w:type="spellStart"/>
      <w:r w:rsidRPr="00B25E07">
        <w:rPr>
          <w:szCs w:val="22"/>
          <w:lang w:val="fr-CA"/>
        </w:rPr>
        <w:t>Ladner</w:t>
      </w:r>
      <w:proofErr w:type="spellEnd"/>
      <w:r w:rsidRPr="00B25E07">
        <w:rPr>
          <w:szCs w:val="22"/>
          <w:lang w:val="fr-CA"/>
        </w:rPr>
        <w:t xml:space="preserve"> Gervais LLP.</w:t>
      </w:r>
    </w:p>
    <w:p w:rsidRPr="00B25E07" w:rsidR="0032258C" w:rsidP="0032258C" w:rsidRDefault="0032258C" w14:paraId="72AB0032" w14:textId="77777777">
      <w:pPr>
        <w:rPr>
          <w:szCs w:val="22"/>
          <w:lang w:val="fr-CA"/>
        </w:rPr>
      </w:pPr>
    </w:p>
    <w:p w:rsidR="004F7389" w:rsidP="004F7389" w:rsidRDefault="004F7389" w14:paraId="257D3DB3" w14:textId="77777777">
      <w:pPr>
        <w:pStyle w:val="Disclaimer"/>
        <w:rPr>
          <w:rFonts w:cs="Times New Roman"/>
          <w:sz w:val="22"/>
          <w:szCs w:val="22"/>
        </w:rPr>
      </w:pPr>
      <w:r>
        <w:rPr>
          <w:rFonts w:cs="Times New Roman"/>
          <w:sz w:val="22"/>
          <w:szCs w:val="22"/>
        </w:rPr>
        <w:t>Avis de non-responsabilité : Ce document est fourni à titre informatif uniquement et ne doit pas être interprété comme un avis juridique pour des faits ou des circonstances particuliers. Ce document est fourni « tel quel », sans aucune garantie, expresse ou implicite, et sans responsabilité. Ce document est destiné à servir d’outil pédagogique uniquement et n’est pas destiné à être utilisé « tel quel ». Ce document doit être adapté pour répondre à des faits et exigences spécifiques. Il convient d’obtenir un avis juridique approprié.</w:t>
      </w:r>
    </w:p>
    <w:p w:rsidR="00FC765A" w:rsidP="00AE45E2" w:rsidRDefault="00FC765A" w14:paraId="4355AFF7" w14:textId="77777777">
      <w:pPr>
        <w:pStyle w:val="BodyText"/>
        <w:rPr>
          <w:b/>
          <w:u w:val="double"/>
        </w:rPr>
      </w:pPr>
    </w:p>
    <w:p w:rsidRPr="004F7389" w:rsidR="00AE45E2" w:rsidP="004F7389" w:rsidRDefault="004F7389" w14:paraId="13E38A16" w14:textId="7AAD755D">
      <w:pPr>
        <w:tabs>
          <w:tab w:val="left" w:pos="8556"/>
        </w:tabs>
        <w:rPr>
          <w:rFonts w:cs="Times New Roman"/>
          <w:szCs w:val="22"/>
        </w:rPr>
        <w:sectPr w:rsidRPr="004F7389" w:rsidR="00AE45E2" w:rsidSect="000E2329">
          <w:footerReference w:type="even" r:id="rId8"/>
          <w:footerReference w:type="default" r:id="rId9"/>
          <w:footerReference w:type="first" r:id="rId10"/>
          <w:pgSz w:w="12240" w:h="15840" w:code="1"/>
          <w:pgMar w:top="720" w:right="720" w:bottom="720" w:left="720" w:header="720" w:footer="720" w:gutter="0"/>
          <w:pgNumType w:start="1"/>
          <w:cols w:space="720"/>
          <w:noEndnote/>
          <w:titlePg/>
          <w:docGrid w:linePitch="299"/>
        </w:sectPr>
      </w:pPr>
      <w:r>
        <w:rPr>
          <w:rFonts w:cs="Times New Roman"/>
          <w:szCs w:val="22"/>
        </w:rPr>
        <w:t>Les commentaires des commandités, des gestionnaires et des commanditaires sont les bienvenus. Veuillez envoyer vos commentaires à Mia Bacic à l’adresse bacicm@bennettjones.com.</w:t>
      </w:r>
    </w:p>
    <w:p w:rsidRPr="006400F9" w:rsidR="00AE45E2" w:rsidP="00AE45E2" w:rsidRDefault="00AE45E2" w14:paraId="1B3525BE" w14:textId="77777777">
      <w:pPr>
        <w:pStyle w:val="BodyText"/>
        <w:rPr>
          <w:b/>
          <w:u w:val="double"/>
        </w:rPr>
      </w:pPr>
    </w:p>
    <w:p w:rsidRPr="006400F9" w:rsidR="00AE45E2" w:rsidP="00AE45E2" w:rsidRDefault="00AE45E2" w14:paraId="60F5A2E4" w14:textId="77777777">
      <w:pPr>
        <w:spacing w:after="480"/>
        <w:jc w:val="right"/>
        <w:rPr>
          <w:u w:val="double"/>
        </w:rPr>
      </w:pPr>
    </w:p>
    <w:p w:rsidR="0000160C" w:rsidRDefault="00C517ED" w14:paraId="4A76FFDC" w14:textId="194D55D8">
      <w:pPr>
        <w:pStyle w:val="BodyText"/>
        <w:jc w:val="center"/>
        <w:rPr>
          <w:b/>
        </w:rPr>
      </w:pPr>
      <w:r>
        <w:rPr>
          <w:b/>
          <w:highlight w:val="yellow"/>
        </w:rPr>
        <w:t>[</w:t>
      </w:r>
      <w:r w:rsidR="004C0B11">
        <w:rPr>
          <w:b/>
          <w:highlight w:val="yellow"/>
        </w:rPr>
        <w:t>MODIFIÉE ET MISE À JOUR</w:t>
      </w:r>
      <w:r>
        <w:rPr>
          <w:b/>
          <w:highlight w:val="yellow"/>
        </w:rPr>
        <w:t>]</w:t>
      </w:r>
      <w:bookmarkStart w:name="_Ref113892750" w:id="1"/>
      <w:r>
        <w:rPr>
          <w:rStyle w:val="FootnoteReference"/>
        </w:rPr>
        <w:footnoteReference w:id="2"/>
      </w:r>
      <w:bookmarkEnd w:id="1"/>
    </w:p>
    <w:p w:rsidR="0000160C" w:rsidRDefault="000D62FC" w14:paraId="52427E80" w14:textId="4D2B8617">
      <w:pPr>
        <w:pStyle w:val="BodyText"/>
        <w:jc w:val="center"/>
        <w:rPr>
          <w:b/>
        </w:rPr>
      </w:pPr>
      <w:r>
        <w:rPr>
          <w:b/>
        </w:rPr>
        <w:t>CONVENTION</w:t>
      </w:r>
      <w:r w:rsidR="00C517ED">
        <w:rPr>
          <w:b/>
        </w:rPr>
        <w:t xml:space="preserve"> DE SOCIÉTÉ EN COMMANDITE</w:t>
      </w:r>
    </w:p>
    <w:p w:rsidR="0000160C" w:rsidRDefault="00C517ED" w14:paraId="5BFBDDB3" w14:textId="77777777">
      <w:pPr>
        <w:pStyle w:val="BodyText"/>
        <w:jc w:val="center"/>
        <w:rPr>
          <w:b/>
        </w:rPr>
      </w:pPr>
      <w:r>
        <w:rPr>
          <w:b/>
        </w:rPr>
        <w:t>DE</w:t>
      </w:r>
    </w:p>
    <w:p w:rsidR="0000160C" w:rsidRDefault="00C517ED" w14:paraId="6874F6C3" w14:textId="77777777">
      <w:pPr>
        <w:pStyle w:val="BodyText"/>
        <w:jc w:val="center"/>
        <w:rPr>
          <w:b/>
        </w:rPr>
      </w:pPr>
      <w:r>
        <w:rPr>
          <w:b/>
        </w:rPr>
        <w:t>_______________________________________</w:t>
      </w:r>
    </w:p>
    <w:p w:rsidR="0000160C" w:rsidRDefault="00C517ED" w14:paraId="6A2B95C4" w14:textId="52CC6F71">
      <w:pPr>
        <w:pStyle w:val="BodyText"/>
        <w:jc w:val="center"/>
        <w:rPr>
          <w:b/>
        </w:rPr>
      </w:pPr>
      <w:r>
        <w:rPr>
          <w:b/>
        </w:rPr>
        <w:t>(</w:t>
      </w:r>
      <w:proofErr w:type="gramStart"/>
      <w:r w:rsidRPr="0082726A">
        <w:rPr>
          <w:b/>
        </w:rPr>
        <w:t>une</w:t>
      </w:r>
      <w:proofErr w:type="gramEnd"/>
      <w:r w:rsidRPr="0082726A">
        <w:rPr>
          <w:b/>
        </w:rPr>
        <w:t xml:space="preserve"> société en</w:t>
      </w:r>
      <w:r>
        <w:rPr>
          <w:b/>
        </w:rPr>
        <w:t xml:space="preserve"> commandite</w:t>
      </w:r>
      <w:r w:rsidRPr="0082726A" w:rsidR="0082726A">
        <w:rPr>
          <w:b/>
        </w:rPr>
        <w:t xml:space="preserve"> </w:t>
      </w:r>
      <w:r w:rsidR="0082726A">
        <w:rPr>
          <w:b/>
          <w:highlight w:val="yellow"/>
        </w:rPr>
        <w:t>[de l’</w:t>
      </w:r>
      <w:r>
        <w:rPr>
          <w:b/>
          <w:highlight w:val="yellow"/>
        </w:rPr>
        <w:t>Ontario/</w:t>
      </w:r>
      <w:r w:rsidR="0082726A">
        <w:rPr>
          <w:b/>
          <w:highlight w:val="yellow"/>
        </w:rPr>
        <w:t xml:space="preserve">du </w:t>
      </w:r>
      <w:r>
        <w:rPr>
          <w:b/>
          <w:highlight w:val="yellow"/>
        </w:rPr>
        <w:t>Québec]</w:t>
      </w:r>
      <w:r>
        <w:rPr>
          <w:b/>
        </w:rPr>
        <w:t>)</w:t>
      </w:r>
    </w:p>
    <w:p w:rsidR="0000160C" w:rsidRDefault="004C0B11" w14:paraId="251D74DE" w14:textId="3C9DD17E">
      <w:pPr>
        <w:pStyle w:val="BodyText"/>
        <w:jc w:val="center"/>
      </w:pPr>
      <w:r>
        <w:rPr>
          <w:b/>
        </w:rPr>
        <w:t>EN DATE</w:t>
      </w:r>
      <w:r w:rsidR="000D62FC">
        <w:rPr>
          <w:b/>
        </w:rPr>
        <w:t xml:space="preserve"> DU</w:t>
      </w:r>
      <w:r w:rsidR="00C517ED">
        <w:rPr>
          <w:b/>
        </w:rPr>
        <w:t xml:space="preserve"> [</w:t>
      </w:r>
      <w:r w:rsidR="00C517ED">
        <w:rPr>
          <w:b/>
          <w:highlight w:val="yellow"/>
        </w:rPr>
        <w:t>__</w:t>
      </w:r>
      <w:r w:rsidR="00C517ED">
        <w:rPr>
          <w:b/>
        </w:rPr>
        <w:t>] 20[</w:t>
      </w:r>
      <w:r w:rsidR="00C517ED">
        <w:rPr>
          <w:b/>
          <w:highlight w:val="yellow"/>
        </w:rPr>
        <w:t>__</w:t>
      </w:r>
      <w:r w:rsidR="00C517ED">
        <w:rPr>
          <w:b/>
        </w:rPr>
        <w:t>]</w:t>
      </w:r>
    </w:p>
    <w:p w:rsidRPr="006400F9" w:rsidR="00D83427" w:rsidP="00AE45E2" w:rsidRDefault="00D83427" w14:paraId="76193B5E" w14:textId="77777777">
      <w:pPr>
        <w:pStyle w:val="BodyText"/>
      </w:pPr>
    </w:p>
    <w:p w:rsidRPr="006400F9" w:rsidR="00AE45E2" w:rsidP="00AE45E2" w:rsidRDefault="00AE45E2" w14:paraId="4107735E" w14:textId="77777777">
      <w:pPr>
        <w:pStyle w:val="BodyText"/>
        <w:sectPr w:rsidRPr="006400F9" w:rsidR="00AE45E2">
          <w:headerReference w:type="first" r:id="rId11"/>
          <w:pgSz w:w="12240" w:h="15840" w:code="1"/>
          <w:pgMar w:top="1440" w:right="1440" w:bottom="1440" w:left="1440" w:header="720" w:footer="720" w:gutter="0"/>
          <w:pgNumType w:start="1"/>
          <w:cols w:space="720"/>
          <w:noEndnote/>
          <w:titlePg/>
        </w:sectPr>
      </w:pPr>
    </w:p>
    <w:p w:rsidR="0000160C" w:rsidRDefault="00C517ED" w14:paraId="55E1BE7B" w14:textId="77777777">
      <w:pPr>
        <w:pStyle w:val="BodyText"/>
        <w:jc w:val="center"/>
        <w:rPr>
          <w:b/>
        </w:rPr>
      </w:pPr>
      <w:r>
        <w:rPr>
          <w:b/>
        </w:rPr>
        <w:lastRenderedPageBreak/>
        <w:t>Table des matières</w:t>
      </w:r>
    </w:p>
    <w:p w:rsidR="00003DCA" w:rsidRDefault="0081798A" w14:paraId="77E53ECC" w14:textId="7D7A9524">
      <w:pPr>
        <w:pStyle w:val="TOC1"/>
        <w:rPr>
          <w:rFonts w:asciiTheme="minorHAnsi" w:hAnsiTheme="minorHAnsi" w:eastAsiaTheme="minorEastAsia"/>
          <w:b w:val="0"/>
          <w:caps w:val="0"/>
          <w:noProof/>
          <w:kern w:val="2"/>
          <w:szCs w:val="22"/>
          <w:lang w:val="en-CA" w:eastAsia="en-CA"/>
          <w14:ligatures w14:val="standardContextual"/>
        </w:rPr>
      </w:pPr>
      <w:r w:rsidRPr="006400F9">
        <w:fldChar w:fldCharType="begin"/>
      </w:r>
      <w:r w:rsidRPr="006400F9">
        <w:instrText xml:space="preserve"> TOC \h \z \t "Heading 9,3,ArtBJSty_L1,1,ArtBJSty_L2,2" </w:instrText>
      </w:r>
      <w:r w:rsidRPr="006400F9">
        <w:fldChar w:fldCharType="separate"/>
      </w:r>
      <w:hyperlink w:history="1" w:anchor="_Toc161762305">
        <w:r w:rsidRPr="00EC7249" w:rsidR="00003DCA">
          <w:rPr>
            <w:rStyle w:val="Hyperlink"/>
            <w:noProof/>
          </w:rPr>
          <w:t>Article 1 DÉfinitions et interprÉtation</w:t>
        </w:r>
        <w:r w:rsidR="00003DCA">
          <w:rPr>
            <w:noProof/>
            <w:webHidden/>
          </w:rPr>
          <w:tab/>
        </w:r>
        <w:r w:rsidR="00003DCA">
          <w:rPr>
            <w:noProof/>
            <w:webHidden/>
          </w:rPr>
          <w:fldChar w:fldCharType="begin"/>
        </w:r>
        <w:r w:rsidR="00003DCA">
          <w:rPr>
            <w:noProof/>
            <w:webHidden/>
          </w:rPr>
          <w:instrText xml:space="preserve"> PAGEREF _Toc161762305 \h </w:instrText>
        </w:r>
        <w:r w:rsidR="00003DCA">
          <w:rPr>
            <w:noProof/>
            <w:webHidden/>
          </w:rPr>
        </w:r>
        <w:r w:rsidR="00003DCA">
          <w:rPr>
            <w:noProof/>
            <w:webHidden/>
          </w:rPr>
          <w:fldChar w:fldCharType="separate"/>
        </w:r>
        <w:r w:rsidR="00B50BE2">
          <w:rPr>
            <w:noProof/>
            <w:webHidden/>
          </w:rPr>
          <w:t>2</w:t>
        </w:r>
        <w:r w:rsidR="00003DCA">
          <w:rPr>
            <w:noProof/>
            <w:webHidden/>
          </w:rPr>
          <w:fldChar w:fldCharType="end"/>
        </w:r>
      </w:hyperlink>
    </w:p>
    <w:p w:rsidR="00003DCA" w:rsidRDefault="00000000" w14:paraId="30A707D4" w14:textId="3BAD49F0">
      <w:pPr>
        <w:pStyle w:val="TOC2"/>
        <w:rPr>
          <w:rFonts w:asciiTheme="minorHAnsi" w:hAnsiTheme="minorHAnsi" w:eastAsiaTheme="minorEastAsia"/>
          <w:noProof/>
          <w:kern w:val="2"/>
          <w:szCs w:val="22"/>
          <w:lang w:val="en-CA" w:eastAsia="en-CA"/>
          <w14:ligatures w14:val="standardContextual"/>
        </w:rPr>
      </w:pPr>
      <w:hyperlink w:history="1" w:anchor="_Toc161762306">
        <w:r w:rsidRPr="00EC7249" w:rsidR="00003DCA">
          <w:rPr>
            <w:rStyle w:val="Hyperlink"/>
            <w:noProof/>
          </w:rPr>
          <w:t>1.1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Dispositions applicables.</w:t>
        </w:r>
        <w:r w:rsidR="00003DCA">
          <w:rPr>
            <w:noProof/>
            <w:webHidden/>
          </w:rPr>
          <w:tab/>
        </w:r>
        <w:r w:rsidR="00003DCA">
          <w:rPr>
            <w:noProof/>
            <w:webHidden/>
          </w:rPr>
          <w:fldChar w:fldCharType="begin"/>
        </w:r>
        <w:r w:rsidR="00003DCA">
          <w:rPr>
            <w:noProof/>
            <w:webHidden/>
          </w:rPr>
          <w:instrText xml:space="preserve"> PAGEREF _Toc161762306 \h </w:instrText>
        </w:r>
        <w:r w:rsidR="00003DCA">
          <w:rPr>
            <w:noProof/>
            <w:webHidden/>
          </w:rPr>
        </w:r>
        <w:r w:rsidR="00003DCA">
          <w:rPr>
            <w:noProof/>
            <w:webHidden/>
          </w:rPr>
          <w:fldChar w:fldCharType="separate"/>
        </w:r>
        <w:r w:rsidR="00B50BE2">
          <w:rPr>
            <w:noProof/>
            <w:webHidden/>
          </w:rPr>
          <w:t>2</w:t>
        </w:r>
        <w:r w:rsidR="00003DCA">
          <w:rPr>
            <w:noProof/>
            <w:webHidden/>
          </w:rPr>
          <w:fldChar w:fldCharType="end"/>
        </w:r>
      </w:hyperlink>
    </w:p>
    <w:p w:rsidR="00003DCA" w:rsidRDefault="00000000" w14:paraId="12E42344" w14:textId="7D8947C7">
      <w:pPr>
        <w:pStyle w:val="TOC2"/>
        <w:rPr>
          <w:rFonts w:asciiTheme="minorHAnsi" w:hAnsiTheme="minorHAnsi" w:eastAsiaTheme="minorEastAsia"/>
          <w:noProof/>
          <w:kern w:val="2"/>
          <w:szCs w:val="22"/>
          <w:lang w:val="en-CA" w:eastAsia="en-CA"/>
          <w14:ligatures w14:val="standardContextual"/>
        </w:rPr>
      </w:pPr>
      <w:hyperlink w:history="1" w:anchor="_Toc161762307">
        <w:r w:rsidRPr="00EC7249" w:rsidR="00003DCA">
          <w:rPr>
            <w:rStyle w:val="Hyperlink"/>
            <w:noProof/>
          </w:rPr>
          <w:t>1.2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Interprétation.</w:t>
        </w:r>
        <w:r w:rsidR="00003DCA">
          <w:rPr>
            <w:noProof/>
            <w:webHidden/>
          </w:rPr>
          <w:tab/>
        </w:r>
        <w:r w:rsidR="00003DCA">
          <w:rPr>
            <w:noProof/>
            <w:webHidden/>
          </w:rPr>
          <w:fldChar w:fldCharType="begin"/>
        </w:r>
        <w:r w:rsidR="00003DCA">
          <w:rPr>
            <w:noProof/>
            <w:webHidden/>
          </w:rPr>
          <w:instrText xml:space="preserve"> PAGEREF _Toc161762307 \h </w:instrText>
        </w:r>
        <w:r w:rsidR="00003DCA">
          <w:rPr>
            <w:noProof/>
            <w:webHidden/>
          </w:rPr>
        </w:r>
        <w:r w:rsidR="00003DCA">
          <w:rPr>
            <w:noProof/>
            <w:webHidden/>
          </w:rPr>
          <w:fldChar w:fldCharType="separate"/>
        </w:r>
        <w:r w:rsidR="00B50BE2">
          <w:rPr>
            <w:noProof/>
            <w:webHidden/>
          </w:rPr>
          <w:t>15</w:t>
        </w:r>
        <w:r w:rsidR="00003DCA">
          <w:rPr>
            <w:noProof/>
            <w:webHidden/>
          </w:rPr>
          <w:fldChar w:fldCharType="end"/>
        </w:r>
      </w:hyperlink>
    </w:p>
    <w:p w:rsidR="00003DCA" w:rsidRDefault="00000000" w14:paraId="5529939C" w14:textId="3824F8C7">
      <w:pPr>
        <w:pStyle w:val="TOC1"/>
        <w:rPr>
          <w:rFonts w:asciiTheme="minorHAnsi" w:hAnsiTheme="minorHAnsi" w:eastAsiaTheme="minorEastAsia"/>
          <w:b w:val="0"/>
          <w:caps w:val="0"/>
          <w:noProof/>
          <w:kern w:val="2"/>
          <w:szCs w:val="22"/>
          <w:lang w:val="en-CA" w:eastAsia="en-CA"/>
          <w14:ligatures w14:val="standardContextual"/>
        </w:rPr>
      </w:pPr>
      <w:hyperlink w:history="1" w:anchor="_Toc161762308">
        <w:r w:rsidRPr="00EC7249" w:rsidR="00003DCA">
          <w:rPr>
            <w:rStyle w:val="Hyperlink"/>
            <w:noProof/>
          </w:rPr>
          <w:t>Article 2 DISPOSITIONS GÉNÉRALES</w:t>
        </w:r>
        <w:r w:rsidR="00003DCA">
          <w:rPr>
            <w:noProof/>
            <w:webHidden/>
          </w:rPr>
          <w:tab/>
        </w:r>
        <w:r w:rsidR="00003DCA">
          <w:rPr>
            <w:noProof/>
            <w:webHidden/>
          </w:rPr>
          <w:fldChar w:fldCharType="begin"/>
        </w:r>
        <w:r w:rsidR="00003DCA">
          <w:rPr>
            <w:noProof/>
            <w:webHidden/>
          </w:rPr>
          <w:instrText xml:space="preserve"> PAGEREF _Toc161762308 \h </w:instrText>
        </w:r>
        <w:r w:rsidR="00003DCA">
          <w:rPr>
            <w:noProof/>
            <w:webHidden/>
          </w:rPr>
        </w:r>
        <w:r w:rsidR="00003DCA">
          <w:rPr>
            <w:noProof/>
            <w:webHidden/>
          </w:rPr>
          <w:fldChar w:fldCharType="separate"/>
        </w:r>
        <w:r w:rsidR="00B50BE2">
          <w:rPr>
            <w:noProof/>
            <w:webHidden/>
          </w:rPr>
          <w:t>15</w:t>
        </w:r>
        <w:r w:rsidR="00003DCA">
          <w:rPr>
            <w:noProof/>
            <w:webHidden/>
          </w:rPr>
          <w:fldChar w:fldCharType="end"/>
        </w:r>
      </w:hyperlink>
    </w:p>
    <w:p w:rsidR="00003DCA" w:rsidRDefault="00000000" w14:paraId="3710B272" w14:textId="369B0523">
      <w:pPr>
        <w:pStyle w:val="TOC2"/>
        <w:rPr>
          <w:rFonts w:asciiTheme="minorHAnsi" w:hAnsiTheme="minorHAnsi" w:eastAsiaTheme="minorEastAsia"/>
          <w:noProof/>
          <w:kern w:val="2"/>
          <w:szCs w:val="22"/>
          <w:lang w:val="en-CA" w:eastAsia="en-CA"/>
          <w14:ligatures w14:val="standardContextual"/>
        </w:rPr>
      </w:pPr>
      <w:hyperlink w:history="1" w:anchor="_Toc161762309">
        <w:r w:rsidRPr="00EC7249" w:rsidR="00003DCA">
          <w:rPr>
            <w:rStyle w:val="Hyperlink"/>
            <w:noProof/>
          </w:rPr>
          <w:t>2.1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Nom; siège social.</w:t>
        </w:r>
        <w:r w:rsidR="00003DCA">
          <w:rPr>
            <w:noProof/>
            <w:webHidden/>
          </w:rPr>
          <w:tab/>
        </w:r>
        <w:r w:rsidR="00003DCA">
          <w:rPr>
            <w:noProof/>
            <w:webHidden/>
          </w:rPr>
          <w:fldChar w:fldCharType="begin"/>
        </w:r>
        <w:r w:rsidR="00003DCA">
          <w:rPr>
            <w:noProof/>
            <w:webHidden/>
          </w:rPr>
          <w:instrText xml:space="preserve"> PAGEREF _Toc161762309 \h </w:instrText>
        </w:r>
        <w:r w:rsidR="00003DCA">
          <w:rPr>
            <w:noProof/>
            <w:webHidden/>
          </w:rPr>
        </w:r>
        <w:r w:rsidR="00003DCA">
          <w:rPr>
            <w:noProof/>
            <w:webHidden/>
          </w:rPr>
          <w:fldChar w:fldCharType="separate"/>
        </w:r>
        <w:r w:rsidR="00B50BE2">
          <w:rPr>
            <w:noProof/>
            <w:webHidden/>
          </w:rPr>
          <w:t>15</w:t>
        </w:r>
        <w:r w:rsidR="00003DCA">
          <w:rPr>
            <w:noProof/>
            <w:webHidden/>
          </w:rPr>
          <w:fldChar w:fldCharType="end"/>
        </w:r>
      </w:hyperlink>
    </w:p>
    <w:p w:rsidR="00003DCA" w:rsidRDefault="00000000" w14:paraId="169A9309" w14:textId="2D1744FC">
      <w:pPr>
        <w:pStyle w:val="TOC2"/>
        <w:rPr>
          <w:rFonts w:asciiTheme="minorHAnsi" w:hAnsiTheme="minorHAnsi" w:eastAsiaTheme="minorEastAsia"/>
          <w:noProof/>
          <w:kern w:val="2"/>
          <w:szCs w:val="22"/>
          <w:lang w:val="en-CA" w:eastAsia="en-CA"/>
          <w14:ligatures w14:val="standardContextual"/>
        </w:rPr>
      </w:pPr>
      <w:hyperlink w:history="1" w:anchor="_Toc161762310">
        <w:r w:rsidRPr="00EC7249" w:rsidR="00003DCA">
          <w:rPr>
            <w:rStyle w:val="Hyperlink"/>
            <w:noProof/>
          </w:rPr>
          <w:t>2.2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Objectifs.</w:t>
        </w:r>
        <w:r w:rsidR="00003DCA">
          <w:rPr>
            <w:noProof/>
            <w:webHidden/>
          </w:rPr>
          <w:tab/>
        </w:r>
        <w:r w:rsidR="00003DCA">
          <w:rPr>
            <w:noProof/>
            <w:webHidden/>
          </w:rPr>
          <w:fldChar w:fldCharType="begin"/>
        </w:r>
        <w:r w:rsidR="00003DCA">
          <w:rPr>
            <w:noProof/>
            <w:webHidden/>
          </w:rPr>
          <w:instrText xml:space="preserve"> PAGEREF _Toc161762310 \h </w:instrText>
        </w:r>
        <w:r w:rsidR="00003DCA">
          <w:rPr>
            <w:noProof/>
            <w:webHidden/>
          </w:rPr>
        </w:r>
        <w:r w:rsidR="00003DCA">
          <w:rPr>
            <w:noProof/>
            <w:webHidden/>
          </w:rPr>
          <w:fldChar w:fldCharType="separate"/>
        </w:r>
        <w:r w:rsidR="00B50BE2">
          <w:rPr>
            <w:noProof/>
            <w:webHidden/>
          </w:rPr>
          <w:t>16</w:t>
        </w:r>
        <w:r w:rsidR="00003DCA">
          <w:rPr>
            <w:noProof/>
            <w:webHidden/>
          </w:rPr>
          <w:fldChar w:fldCharType="end"/>
        </w:r>
      </w:hyperlink>
    </w:p>
    <w:p w:rsidR="00003DCA" w:rsidRDefault="00000000" w14:paraId="43078F05" w14:textId="4DD83092">
      <w:pPr>
        <w:pStyle w:val="TOC2"/>
        <w:rPr>
          <w:rFonts w:asciiTheme="minorHAnsi" w:hAnsiTheme="minorHAnsi" w:eastAsiaTheme="minorEastAsia"/>
          <w:noProof/>
          <w:kern w:val="2"/>
          <w:szCs w:val="22"/>
          <w:lang w:val="en-CA" w:eastAsia="en-CA"/>
          <w14:ligatures w14:val="standardContextual"/>
        </w:rPr>
      </w:pPr>
      <w:hyperlink w:history="1" w:anchor="_Toc161762311">
        <w:r w:rsidRPr="00EC7249" w:rsidR="00003DCA">
          <w:rPr>
            <w:rStyle w:val="Hyperlink"/>
            <w:noProof/>
          </w:rPr>
          <w:t>2.3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Exercice financier.</w:t>
        </w:r>
        <w:r w:rsidR="00003DCA">
          <w:rPr>
            <w:noProof/>
            <w:webHidden/>
          </w:rPr>
          <w:tab/>
        </w:r>
        <w:r w:rsidR="00003DCA">
          <w:rPr>
            <w:noProof/>
            <w:webHidden/>
          </w:rPr>
          <w:fldChar w:fldCharType="begin"/>
        </w:r>
        <w:r w:rsidR="00003DCA">
          <w:rPr>
            <w:noProof/>
            <w:webHidden/>
          </w:rPr>
          <w:instrText xml:space="preserve"> PAGEREF _Toc161762311 \h </w:instrText>
        </w:r>
        <w:r w:rsidR="00003DCA">
          <w:rPr>
            <w:noProof/>
            <w:webHidden/>
          </w:rPr>
        </w:r>
        <w:r w:rsidR="00003DCA">
          <w:rPr>
            <w:noProof/>
            <w:webHidden/>
          </w:rPr>
          <w:fldChar w:fldCharType="separate"/>
        </w:r>
        <w:r w:rsidR="00B50BE2">
          <w:rPr>
            <w:noProof/>
            <w:webHidden/>
          </w:rPr>
          <w:t>16</w:t>
        </w:r>
        <w:r w:rsidR="00003DCA">
          <w:rPr>
            <w:noProof/>
            <w:webHidden/>
          </w:rPr>
          <w:fldChar w:fldCharType="end"/>
        </w:r>
      </w:hyperlink>
    </w:p>
    <w:p w:rsidR="00003DCA" w:rsidRDefault="00000000" w14:paraId="140688FD" w14:textId="29B53E7B">
      <w:pPr>
        <w:pStyle w:val="TOC2"/>
        <w:rPr>
          <w:rFonts w:asciiTheme="minorHAnsi" w:hAnsiTheme="minorHAnsi" w:eastAsiaTheme="minorEastAsia"/>
          <w:noProof/>
          <w:kern w:val="2"/>
          <w:szCs w:val="22"/>
          <w:lang w:val="en-CA" w:eastAsia="en-CA"/>
          <w14:ligatures w14:val="standardContextual"/>
        </w:rPr>
      </w:pPr>
      <w:hyperlink w:history="1" w:anchor="_Toc161762312">
        <w:r w:rsidRPr="00EC7249" w:rsidR="00003DCA">
          <w:rPr>
            <w:rStyle w:val="Hyperlink"/>
            <w:noProof/>
          </w:rPr>
          <w:t>2.4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Dépenses du Fonds.</w:t>
        </w:r>
        <w:r w:rsidR="00003DCA">
          <w:rPr>
            <w:noProof/>
            <w:webHidden/>
          </w:rPr>
          <w:tab/>
        </w:r>
        <w:r w:rsidR="00003DCA">
          <w:rPr>
            <w:noProof/>
            <w:webHidden/>
          </w:rPr>
          <w:fldChar w:fldCharType="begin"/>
        </w:r>
        <w:r w:rsidR="00003DCA">
          <w:rPr>
            <w:noProof/>
            <w:webHidden/>
          </w:rPr>
          <w:instrText xml:space="preserve"> PAGEREF _Toc161762312 \h </w:instrText>
        </w:r>
        <w:r w:rsidR="00003DCA">
          <w:rPr>
            <w:noProof/>
            <w:webHidden/>
          </w:rPr>
        </w:r>
        <w:r w:rsidR="00003DCA">
          <w:rPr>
            <w:noProof/>
            <w:webHidden/>
          </w:rPr>
          <w:fldChar w:fldCharType="separate"/>
        </w:r>
        <w:r w:rsidR="00B50BE2">
          <w:rPr>
            <w:noProof/>
            <w:webHidden/>
          </w:rPr>
          <w:t>16</w:t>
        </w:r>
        <w:r w:rsidR="00003DCA">
          <w:rPr>
            <w:noProof/>
            <w:webHidden/>
          </w:rPr>
          <w:fldChar w:fldCharType="end"/>
        </w:r>
      </w:hyperlink>
    </w:p>
    <w:p w:rsidR="00003DCA" w:rsidRDefault="00000000" w14:paraId="59C2010A" w14:textId="65F1EE03">
      <w:pPr>
        <w:pStyle w:val="TOC2"/>
        <w:rPr>
          <w:rFonts w:asciiTheme="minorHAnsi" w:hAnsiTheme="minorHAnsi" w:eastAsiaTheme="minorEastAsia"/>
          <w:noProof/>
          <w:kern w:val="2"/>
          <w:szCs w:val="22"/>
          <w:lang w:val="en-CA" w:eastAsia="en-CA"/>
          <w14:ligatures w14:val="standardContextual"/>
        </w:rPr>
      </w:pPr>
      <w:hyperlink w:history="1" w:anchor="_Toc161762313">
        <w:r w:rsidRPr="00EC7249" w:rsidR="00003DCA">
          <w:rPr>
            <w:rStyle w:val="Hyperlink"/>
            <w:noProof/>
          </w:rPr>
          <w:t>2.5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Dépenses du Commandité.</w:t>
        </w:r>
        <w:r w:rsidR="00003DCA">
          <w:rPr>
            <w:noProof/>
            <w:webHidden/>
          </w:rPr>
          <w:tab/>
        </w:r>
        <w:r w:rsidR="00003DCA">
          <w:rPr>
            <w:noProof/>
            <w:webHidden/>
          </w:rPr>
          <w:fldChar w:fldCharType="begin"/>
        </w:r>
        <w:r w:rsidR="00003DCA">
          <w:rPr>
            <w:noProof/>
            <w:webHidden/>
          </w:rPr>
          <w:instrText xml:space="preserve"> PAGEREF _Toc161762313 \h </w:instrText>
        </w:r>
        <w:r w:rsidR="00003DCA">
          <w:rPr>
            <w:noProof/>
            <w:webHidden/>
          </w:rPr>
        </w:r>
        <w:r w:rsidR="00003DCA">
          <w:rPr>
            <w:noProof/>
            <w:webHidden/>
          </w:rPr>
          <w:fldChar w:fldCharType="separate"/>
        </w:r>
        <w:r w:rsidR="00B50BE2">
          <w:rPr>
            <w:noProof/>
            <w:webHidden/>
          </w:rPr>
          <w:t>19</w:t>
        </w:r>
        <w:r w:rsidR="00003DCA">
          <w:rPr>
            <w:noProof/>
            <w:webHidden/>
          </w:rPr>
          <w:fldChar w:fldCharType="end"/>
        </w:r>
      </w:hyperlink>
    </w:p>
    <w:p w:rsidR="00003DCA" w:rsidRDefault="00000000" w14:paraId="02AEC024" w14:textId="2355A65B">
      <w:pPr>
        <w:pStyle w:val="TOC2"/>
        <w:rPr>
          <w:rFonts w:asciiTheme="minorHAnsi" w:hAnsiTheme="minorHAnsi" w:eastAsiaTheme="minorEastAsia"/>
          <w:noProof/>
          <w:kern w:val="2"/>
          <w:szCs w:val="22"/>
          <w:lang w:val="en-CA" w:eastAsia="en-CA"/>
          <w14:ligatures w14:val="standardContextual"/>
        </w:rPr>
      </w:pPr>
      <w:hyperlink w:history="1" w:anchor="_Toc161762314">
        <w:r w:rsidRPr="00EC7249" w:rsidR="00003DCA">
          <w:rPr>
            <w:rStyle w:val="Hyperlink"/>
            <w:noProof/>
          </w:rPr>
          <w:t>2.6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Monnaie.</w:t>
        </w:r>
        <w:r w:rsidR="00003DCA">
          <w:rPr>
            <w:noProof/>
            <w:webHidden/>
          </w:rPr>
          <w:tab/>
        </w:r>
        <w:r w:rsidR="00003DCA">
          <w:rPr>
            <w:noProof/>
            <w:webHidden/>
          </w:rPr>
          <w:fldChar w:fldCharType="begin"/>
        </w:r>
        <w:r w:rsidR="00003DCA">
          <w:rPr>
            <w:noProof/>
            <w:webHidden/>
          </w:rPr>
          <w:instrText xml:space="preserve"> PAGEREF _Toc161762314 \h </w:instrText>
        </w:r>
        <w:r w:rsidR="00003DCA">
          <w:rPr>
            <w:noProof/>
            <w:webHidden/>
          </w:rPr>
        </w:r>
        <w:r w:rsidR="00003DCA">
          <w:rPr>
            <w:noProof/>
            <w:webHidden/>
          </w:rPr>
          <w:fldChar w:fldCharType="separate"/>
        </w:r>
        <w:r w:rsidR="00B50BE2">
          <w:rPr>
            <w:noProof/>
            <w:webHidden/>
          </w:rPr>
          <w:t>20</w:t>
        </w:r>
        <w:r w:rsidR="00003DCA">
          <w:rPr>
            <w:noProof/>
            <w:webHidden/>
          </w:rPr>
          <w:fldChar w:fldCharType="end"/>
        </w:r>
      </w:hyperlink>
    </w:p>
    <w:p w:rsidR="00003DCA" w:rsidRDefault="00000000" w14:paraId="050DE0F3" w14:textId="355732FD">
      <w:pPr>
        <w:pStyle w:val="TOC2"/>
        <w:rPr>
          <w:rFonts w:asciiTheme="minorHAnsi" w:hAnsiTheme="minorHAnsi" w:eastAsiaTheme="minorEastAsia"/>
          <w:noProof/>
          <w:kern w:val="2"/>
          <w:szCs w:val="22"/>
          <w:lang w:val="en-CA" w:eastAsia="en-CA"/>
          <w14:ligatures w14:val="standardContextual"/>
        </w:rPr>
      </w:pPr>
      <w:hyperlink w:history="1" w:anchor="_Toc161762315">
        <w:r w:rsidRPr="00EC7249" w:rsidR="00003DCA">
          <w:rPr>
            <w:rStyle w:val="Hyperlink"/>
            <w:noProof/>
          </w:rPr>
          <w:t>2.7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Véhicules parallèles.</w:t>
        </w:r>
        <w:r w:rsidR="00003DCA">
          <w:rPr>
            <w:noProof/>
            <w:webHidden/>
          </w:rPr>
          <w:tab/>
        </w:r>
        <w:r w:rsidR="00003DCA">
          <w:rPr>
            <w:noProof/>
            <w:webHidden/>
          </w:rPr>
          <w:fldChar w:fldCharType="begin"/>
        </w:r>
        <w:r w:rsidR="00003DCA">
          <w:rPr>
            <w:noProof/>
            <w:webHidden/>
          </w:rPr>
          <w:instrText xml:space="preserve"> PAGEREF _Toc161762315 \h </w:instrText>
        </w:r>
        <w:r w:rsidR="00003DCA">
          <w:rPr>
            <w:noProof/>
            <w:webHidden/>
          </w:rPr>
        </w:r>
        <w:r w:rsidR="00003DCA">
          <w:rPr>
            <w:noProof/>
            <w:webHidden/>
          </w:rPr>
          <w:fldChar w:fldCharType="separate"/>
        </w:r>
        <w:r w:rsidR="00B50BE2">
          <w:rPr>
            <w:noProof/>
            <w:webHidden/>
          </w:rPr>
          <w:t>20</w:t>
        </w:r>
        <w:r w:rsidR="00003DCA">
          <w:rPr>
            <w:noProof/>
            <w:webHidden/>
          </w:rPr>
          <w:fldChar w:fldCharType="end"/>
        </w:r>
      </w:hyperlink>
    </w:p>
    <w:p w:rsidR="00003DCA" w:rsidRDefault="00000000" w14:paraId="007B82C8" w14:textId="11AB15EE">
      <w:pPr>
        <w:pStyle w:val="TOC2"/>
        <w:rPr>
          <w:rFonts w:asciiTheme="minorHAnsi" w:hAnsiTheme="minorHAnsi" w:eastAsiaTheme="minorEastAsia"/>
          <w:noProof/>
          <w:kern w:val="2"/>
          <w:szCs w:val="22"/>
          <w:lang w:val="en-CA" w:eastAsia="en-CA"/>
          <w14:ligatures w14:val="standardContextual"/>
        </w:rPr>
      </w:pPr>
      <w:hyperlink w:history="1" w:anchor="_Toc161762316">
        <w:r w:rsidRPr="00EC7249" w:rsidR="00003DCA">
          <w:rPr>
            <w:rStyle w:val="Hyperlink"/>
            <w:noProof/>
          </w:rPr>
          <w:t>2.8</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Véhicules alternatifs.</w:t>
        </w:r>
        <w:r w:rsidR="00003DCA">
          <w:rPr>
            <w:noProof/>
            <w:webHidden/>
          </w:rPr>
          <w:tab/>
        </w:r>
        <w:r w:rsidR="00003DCA">
          <w:rPr>
            <w:noProof/>
            <w:webHidden/>
          </w:rPr>
          <w:fldChar w:fldCharType="begin"/>
        </w:r>
        <w:r w:rsidR="00003DCA">
          <w:rPr>
            <w:noProof/>
            <w:webHidden/>
          </w:rPr>
          <w:instrText xml:space="preserve"> PAGEREF _Toc161762316 \h </w:instrText>
        </w:r>
        <w:r w:rsidR="00003DCA">
          <w:rPr>
            <w:noProof/>
            <w:webHidden/>
          </w:rPr>
        </w:r>
        <w:r w:rsidR="00003DCA">
          <w:rPr>
            <w:noProof/>
            <w:webHidden/>
          </w:rPr>
          <w:fldChar w:fldCharType="separate"/>
        </w:r>
        <w:r w:rsidR="00B50BE2">
          <w:rPr>
            <w:noProof/>
            <w:webHidden/>
          </w:rPr>
          <w:t>21</w:t>
        </w:r>
        <w:r w:rsidR="00003DCA">
          <w:rPr>
            <w:noProof/>
            <w:webHidden/>
          </w:rPr>
          <w:fldChar w:fldCharType="end"/>
        </w:r>
      </w:hyperlink>
    </w:p>
    <w:p w:rsidR="00003DCA" w:rsidRDefault="00000000" w14:paraId="1D54D51E" w14:textId="0334058D">
      <w:pPr>
        <w:pStyle w:val="TOC2"/>
        <w:rPr>
          <w:rFonts w:asciiTheme="minorHAnsi" w:hAnsiTheme="minorHAnsi" w:eastAsiaTheme="minorEastAsia"/>
          <w:noProof/>
          <w:kern w:val="2"/>
          <w:szCs w:val="22"/>
          <w:lang w:val="en-CA" w:eastAsia="en-CA"/>
          <w14:ligatures w14:val="standardContextual"/>
        </w:rPr>
      </w:pPr>
      <w:hyperlink w:history="1" w:anchor="_Toc161762317">
        <w:r w:rsidRPr="00EC7249" w:rsidR="00003DCA">
          <w:rPr>
            <w:rStyle w:val="Hyperlink"/>
            <w:noProof/>
          </w:rPr>
          <w:t>2.9</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Ajustements entre véhicules.</w:t>
        </w:r>
        <w:r w:rsidR="00003DCA">
          <w:rPr>
            <w:noProof/>
            <w:webHidden/>
          </w:rPr>
          <w:tab/>
        </w:r>
        <w:r w:rsidR="00003DCA">
          <w:rPr>
            <w:noProof/>
            <w:webHidden/>
          </w:rPr>
          <w:fldChar w:fldCharType="begin"/>
        </w:r>
        <w:r w:rsidR="00003DCA">
          <w:rPr>
            <w:noProof/>
            <w:webHidden/>
          </w:rPr>
          <w:instrText xml:space="preserve"> PAGEREF _Toc161762317 \h </w:instrText>
        </w:r>
        <w:r w:rsidR="00003DCA">
          <w:rPr>
            <w:noProof/>
            <w:webHidden/>
          </w:rPr>
        </w:r>
        <w:r w:rsidR="00003DCA">
          <w:rPr>
            <w:noProof/>
            <w:webHidden/>
          </w:rPr>
          <w:fldChar w:fldCharType="separate"/>
        </w:r>
        <w:r w:rsidR="00B50BE2">
          <w:rPr>
            <w:noProof/>
            <w:webHidden/>
          </w:rPr>
          <w:t>23</w:t>
        </w:r>
        <w:r w:rsidR="00003DCA">
          <w:rPr>
            <w:noProof/>
            <w:webHidden/>
          </w:rPr>
          <w:fldChar w:fldCharType="end"/>
        </w:r>
      </w:hyperlink>
    </w:p>
    <w:p w:rsidR="00003DCA" w:rsidRDefault="00000000" w14:paraId="5A809965" w14:textId="23EE04A2">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18">
        <w:r w:rsidRPr="00EC7249" w:rsidR="00003DCA">
          <w:rPr>
            <w:rStyle w:val="Hyperlink"/>
            <w:noProof/>
          </w:rPr>
          <w:t>2.10</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Vote.</w:t>
        </w:r>
        <w:r w:rsidR="00003DCA">
          <w:rPr>
            <w:noProof/>
            <w:webHidden/>
          </w:rPr>
          <w:tab/>
        </w:r>
        <w:r w:rsidR="00003DCA">
          <w:rPr>
            <w:noProof/>
            <w:webHidden/>
          </w:rPr>
          <w:fldChar w:fldCharType="begin"/>
        </w:r>
        <w:r w:rsidR="00003DCA">
          <w:rPr>
            <w:noProof/>
            <w:webHidden/>
          </w:rPr>
          <w:instrText xml:space="preserve"> PAGEREF _Toc161762318 \h </w:instrText>
        </w:r>
        <w:r w:rsidR="00003DCA">
          <w:rPr>
            <w:noProof/>
            <w:webHidden/>
          </w:rPr>
        </w:r>
        <w:r w:rsidR="00003DCA">
          <w:rPr>
            <w:noProof/>
            <w:webHidden/>
          </w:rPr>
          <w:fldChar w:fldCharType="separate"/>
        </w:r>
        <w:r w:rsidR="00B50BE2">
          <w:rPr>
            <w:noProof/>
            <w:webHidden/>
          </w:rPr>
          <w:t>23</w:t>
        </w:r>
        <w:r w:rsidR="00003DCA">
          <w:rPr>
            <w:noProof/>
            <w:webHidden/>
          </w:rPr>
          <w:fldChar w:fldCharType="end"/>
        </w:r>
      </w:hyperlink>
    </w:p>
    <w:p w:rsidR="00003DCA" w:rsidRDefault="00000000" w14:paraId="1289B0AB" w14:textId="61D50307">
      <w:pPr>
        <w:pStyle w:val="TOC1"/>
        <w:rPr>
          <w:rFonts w:asciiTheme="minorHAnsi" w:hAnsiTheme="minorHAnsi" w:eastAsiaTheme="minorEastAsia"/>
          <w:b w:val="0"/>
          <w:caps w:val="0"/>
          <w:noProof/>
          <w:kern w:val="2"/>
          <w:szCs w:val="22"/>
          <w:lang w:val="en-CA" w:eastAsia="en-CA"/>
          <w14:ligatures w14:val="standardContextual"/>
        </w:rPr>
      </w:pPr>
      <w:hyperlink w:history="1" w:anchor="_Toc161762319">
        <w:r w:rsidRPr="00EC7249" w:rsidR="00003DCA">
          <w:rPr>
            <w:rStyle w:val="Hyperlink"/>
            <w:noProof/>
          </w:rPr>
          <w:t>Article 3 Gestion; COMMANDITAIRES</w:t>
        </w:r>
        <w:r w:rsidR="00003DCA">
          <w:rPr>
            <w:noProof/>
            <w:webHidden/>
          </w:rPr>
          <w:tab/>
        </w:r>
        <w:r w:rsidR="00003DCA">
          <w:rPr>
            <w:noProof/>
            <w:webHidden/>
          </w:rPr>
          <w:fldChar w:fldCharType="begin"/>
        </w:r>
        <w:r w:rsidR="00003DCA">
          <w:rPr>
            <w:noProof/>
            <w:webHidden/>
          </w:rPr>
          <w:instrText xml:space="preserve"> PAGEREF _Toc161762319 \h </w:instrText>
        </w:r>
        <w:r w:rsidR="00003DCA">
          <w:rPr>
            <w:noProof/>
            <w:webHidden/>
          </w:rPr>
        </w:r>
        <w:r w:rsidR="00003DCA">
          <w:rPr>
            <w:noProof/>
            <w:webHidden/>
          </w:rPr>
          <w:fldChar w:fldCharType="separate"/>
        </w:r>
        <w:r w:rsidR="00B50BE2">
          <w:rPr>
            <w:noProof/>
            <w:webHidden/>
          </w:rPr>
          <w:t>23</w:t>
        </w:r>
        <w:r w:rsidR="00003DCA">
          <w:rPr>
            <w:noProof/>
            <w:webHidden/>
          </w:rPr>
          <w:fldChar w:fldCharType="end"/>
        </w:r>
      </w:hyperlink>
    </w:p>
    <w:p w:rsidR="00003DCA" w:rsidRDefault="00000000" w14:paraId="474B3A61" w14:textId="523ACDD2">
      <w:pPr>
        <w:pStyle w:val="TOC2"/>
        <w:rPr>
          <w:rFonts w:asciiTheme="minorHAnsi" w:hAnsiTheme="minorHAnsi" w:eastAsiaTheme="minorEastAsia"/>
          <w:noProof/>
          <w:kern w:val="2"/>
          <w:szCs w:val="22"/>
          <w:lang w:val="en-CA" w:eastAsia="en-CA"/>
          <w14:ligatures w14:val="standardContextual"/>
        </w:rPr>
      </w:pPr>
      <w:hyperlink w:history="1" w:anchor="_Toc161762320">
        <w:r w:rsidRPr="00EC7249" w:rsidR="00003DCA">
          <w:rPr>
            <w:rStyle w:val="Hyperlink"/>
            <w:noProof/>
          </w:rPr>
          <w:t>3.1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Commandité.</w:t>
        </w:r>
        <w:r w:rsidR="00003DCA">
          <w:rPr>
            <w:noProof/>
            <w:webHidden/>
          </w:rPr>
          <w:tab/>
        </w:r>
        <w:r w:rsidR="00003DCA">
          <w:rPr>
            <w:noProof/>
            <w:webHidden/>
          </w:rPr>
          <w:fldChar w:fldCharType="begin"/>
        </w:r>
        <w:r w:rsidR="00003DCA">
          <w:rPr>
            <w:noProof/>
            <w:webHidden/>
          </w:rPr>
          <w:instrText xml:space="preserve"> PAGEREF _Toc161762320 \h </w:instrText>
        </w:r>
        <w:r w:rsidR="00003DCA">
          <w:rPr>
            <w:noProof/>
            <w:webHidden/>
          </w:rPr>
        </w:r>
        <w:r w:rsidR="00003DCA">
          <w:rPr>
            <w:noProof/>
            <w:webHidden/>
          </w:rPr>
          <w:fldChar w:fldCharType="separate"/>
        </w:r>
        <w:r w:rsidR="00B50BE2">
          <w:rPr>
            <w:noProof/>
            <w:webHidden/>
          </w:rPr>
          <w:t>23</w:t>
        </w:r>
        <w:r w:rsidR="00003DCA">
          <w:rPr>
            <w:noProof/>
            <w:webHidden/>
          </w:rPr>
          <w:fldChar w:fldCharType="end"/>
        </w:r>
      </w:hyperlink>
    </w:p>
    <w:p w:rsidR="00003DCA" w:rsidRDefault="00000000" w14:paraId="2C0B862A" w14:textId="7CE6AB1F">
      <w:pPr>
        <w:pStyle w:val="TOC2"/>
        <w:rPr>
          <w:rFonts w:asciiTheme="minorHAnsi" w:hAnsiTheme="minorHAnsi" w:eastAsiaTheme="minorEastAsia"/>
          <w:noProof/>
          <w:kern w:val="2"/>
          <w:szCs w:val="22"/>
          <w:lang w:val="en-CA" w:eastAsia="en-CA"/>
          <w14:ligatures w14:val="standardContextual"/>
        </w:rPr>
      </w:pPr>
      <w:hyperlink w:history="1" w:anchor="_Toc161762321">
        <w:r w:rsidRPr="00EC7249" w:rsidR="00003DCA">
          <w:rPr>
            <w:rStyle w:val="Hyperlink"/>
            <w:noProof/>
          </w:rPr>
          <w:t>3.2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Commanditaires.</w:t>
        </w:r>
        <w:r w:rsidR="00003DCA">
          <w:rPr>
            <w:noProof/>
            <w:webHidden/>
          </w:rPr>
          <w:tab/>
        </w:r>
        <w:r w:rsidR="00003DCA">
          <w:rPr>
            <w:noProof/>
            <w:webHidden/>
          </w:rPr>
          <w:fldChar w:fldCharType="begin"/>
        </w:r>
        <w:r w:rsidR="00003DCA">
          <w:rPr>
            <w:noProof/>
            <w:webHidden/>
          </w:rPr>
          <w:instrText xml:space="preserve"> PAGEREF _Toc161762321 \h </w:instrText>
        </w:r>
        <w:r w:rsidR="00003DCA">
          <w:rPr>
            <w:noProof/>
            <w:webHidden/>
          </w:rPr>
        </w:r>
        <w:r w:rsidR="00003DCA">
          <w:rPr>
            <w:noProof/>
            <w:webHidden/>
          </w:rPr>
          <w:fldChar w:fldCharType="separate"/>
        </w:r>
        <w:r w:rsidR="00B50BE2">
          <w:rPr>
            <w:noProof/>
            <w:webHidden/>
          </w:rPr>
          <w:t>24</w:t>
        </w:r>
        <w:r w:rsidR="00003DCA">
          <w:rPr>
            <w:noProof/>
            <w:webHidden/>
          </w:rPr>
          <w:fldChar w:fldCharType="end"/>
        </w:r>
      </w:hyperlink>
    </w:p>
    <w:p w:rsidR="00003DCA" w:rsidRDefault="00000000" w14:paraId="5126B473" w14:textId="7E250038">
      <w:pPr>
        <w:pStyle w:val="TOC2"/>
        <w:rPr>
          <w:rFonts w:asciiTheme="minorHAnsi" w:hAnsiTheme="minorHAnsi" w:eastAsiaTheme="minorEastAsia"/>
          <w:noProof/>
          <w:kern w:val="2"/>
          <w:szCs w:val="22"/>
          <w:lang w:val="en-CA" w:eastAsia="en-CA"/>
          <w14:ligatures w14:val="standardContextual"/>
        </w:rPr>
      </w:pPr>
      <w:hyperlink w:history="1" w:anchor="_Toc161762322">
        <w:r w:rsidRPr="00EC7249" w:rsidR="00003DCA">
          <w:rPr>
            <w:rStyle w:val="Hyperlink"/>
            <w:noProof/>
          </w:rPr>
          <w:t>3.3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Préservation de la Société en commandite; qualification dans d’autres juridictions.</w:t>
        </w:r>
        <w:r w:rsidR="00003DCA">
          <w:rPr>
            <w:noProof/>
            <w:webHidden/>
          </w:rPr>
          <w:tab/>
        </w:r>
        <w:r w:rsidR="00003DCA">
          <w:rPr>
            <w:noProof/>
            <w:webHidden/>
          </w:rPr>
          <w:fldChar w:fldCharType="begin"/>
        </w:r>
        <w:r w:rsidR="00003DCA">
          <w:rPr>
            <w:noProof/>
            <w:webHidden/>
          </w:rPr>
          <w:instrText xml:space="preserve"> PAGEREF _Toc161762322 \h </w:instrText>
        </w:r>
        <w:r w:rsidR="00003DCA">
          <w:rPr>
            <w:noProof/>
            <w:webHidden/>
          </w:rPr>
        </w:r>
        <w:r w:rsidR="00003DCA">
          <w:rPr>
            <w:noProof/>
            <w:webHidden/>
          </w:rPr>
          <w:fldChar w:fldCharType="separate"/>
        </w:r>
        <w:r w:rsidR="00B50BE2">
          <w:rPr>
            <w:noProof/>
            <w:webHidden/>
          </w:rPr>
          <w:t>24</w:t>
        </w:r>
        <w:r w:rsidR="00003DCA">
          <w:rPr>
            <w:noProof/>
            <w:webHidden/>
          </w:rPr>
          <w:fldChar w:fldCharType="end"/>
        </w:r>
      </w:hyperlink>
    </w:p>
    <w:p w:rsidR="00003DCA" w:rsidRDefault="00000000" w14:paraId="54E58CA6" w14:textId="7B6A3991">
      <w:pPr>
        <w:pStyle w:val="TOC2"/>
        <w:rPr>
          <w:rFonts w:asciiTheme="minorHAnsi" w:hAnsiTheme="minorHAnsi" w:eastAsiaTheme="minorEastAsia"/>
          <w:noProof/>
          <w:kern w:val="2"/>
          <w:szCs w:val="22"/>
          <w:lang w:val="en-CA" w:eastAsia="en-CA"/>
          <w14:ligatures w14:val="standardContextual"/>
        </w:rPr>
      </w:pPr>
      <w:hyperlink w:history="1" w:anchor="_Toc161762323">
        <w:r w:rsidRPr="00EC7249" w:rsidR="00003DCA">
          <w:rPr>
            <w:rStyle w:val="Hyperlink"/>
            <w:noProof/>
          </w:rPr>
          <w:t>3.4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Statut fiscal du Fonds.</w:t>
        </w:r>
        <w:r w:rsidR="00003DCA">
          <w:rPr>
            <w:noProof/>
            <w:webHidden/>
          </w:rPr>
          <w:tab/>
        </w:r>
        <w:r w:rsidR="00003DCA">
          <w:rPr>
            <w:noProof/>
            <w:webHidden/>
          </w:rPr>
          <w:fldChar w:fldCharType="begin"/>
        </w:r>
        <w:r w:rsidR="00003DCA">
          <w:rPr>
            <w:noProof/>
            <w:webHidden/>
          </w:rPr>
          <w:instrText xml:space="preserve"> PAGEREF _Toc161762323 \h </w:instrText>
        </w:r>
        <w:r w:rsidR="00003DCA">
          <w:rPr>
            <w:noProof/>
            <w:webHidden/>
          </w:rPr>
        </w:r>
        <w:r w:rsidR="00003DCA">
          <w:rPr>
            <w:noProof/>
            <w:webHidden/>
          </w:rPr>
          <w:fldChar w:fldCharType="separate"/>
        </w:r>
        <w:r w:rsidR="00B50BE2">
          <w:rPr>
            <w:noProof/>
            <w:webHidden/>
          </w:rPr>
          <w:t>25</w:t>
        </w:r>
        <w:r w:rsidR="00003DCA">
          <w:rPr>
            <w:noProof/>
            <w:webHidden/>
          </w:rPr>
          <w:fldChar w:fldCharType="end"/>
        </w:r>
      </w:hyperlink>
    </w:p>
    <w:p w:rsidR="00003DCA" w:rsidRDefault="00000000" w14:paraId="0551933A" w14:textId="74B38136">
      <w:pPr>
        <w:pStyle w:val="TOC1"/>
        <w:rPr>
          <w:rFonts w:asciiTheme="minorHAnsi" w:hAnsiTheme="minorHAnsi" w:eastAsiaTheme="minorEastAsia"/>
          <w:b w:val="0"/>
          <w:caps w:val="0"/>
          <w:noProof/>
          <w:kern w:val="2"/>
          <w:szCs w:val="22"/>
          <w:lang w:val="en-CA" w:eastAsia="en-CA"/>
          <w14:ligatures w14:val="standardContextual"/>
        </w:rPr>
      </w:pPr>
      <w:hyperlink w:history="1" w:anchor="_Toc161762324">
        <w:r w:rsidRPr="00EC7249" w:rsidR="00003DCA">
          <w:rPr>
            <w:rStyle w:val="Hyperlink"/>
            <w:noProof/>
          </w:rPr>
          <w:t>Article 4 Engagements</w:t>
        </w:r>
        <w:r w:rsidR="00003DCA">
          <w:rPr>
            <w:noProof/>
            <w:webHidden/>
          </w:rPr>
          <w:tab/>
        </w:r>
        <w:r w:rsidR="00003DCA">
          <w:rPr>
            <w:noProof/>
            <w:webHidden/>
          </w:rPr>
          <w:fldChar w:fldCharType="begin"/>
        </w:r>
        <w:r w:rsidR="00003DCA">
          <w:rPr>
            <w:noProof/>
            <w:webHidden/>
          </w:rPr>
          <w:instrText xml:space="preserve"> PAGEREF _Toc161762324 \h </w:instrText>
        </w:r>
        <w:r w:rsidR="00003DCA">
          <w:rPr>
            <w:noProof/>
            <w:webHidden/>
          </w:rPr>
        </w:r>
        <w:r w:rsidR="00003DCA">
          <w:rPr>
            <w:noProof/>
            <w:webHidden/>
          </w:rPr>
          <w:fldChar w:fldCharType="separate"/>
        </w:r>
        <w:r w:rsidR="00B50BE2">
          <w:rPr>
            <w:noProof/>
            <w:webHidden/>
          </w:rPr>
          <w:t>25</w:t>
        </w:r>
        <w:r w:rsidR="00003DCA">
          <w:rPr>
            <w:noProof/>
            <w:webHidden/>
          </w:rPr>
          <w:fldChar w:fldCharType="end"/>
        </w:r>
      </w:hyperlink>
    </w:p>
    <w:p w:rsidR="00003DCA" w:rsidRDefault="00000000" w14:paraId="2589C029" w14:textId="7792A372">
      <w:pPr>
        <w:pStyle w:val="TOC2"/>
        <w:rPr>
          <w:rFonts w:asciiTheme="minorHAnsi" w:hAnsiTheme="minorHAnsi" w:eastAsiaTheme="minorEastAsia"/>
          <w:noProof/>
          <w:kern w:val="2"/>
          <w:szCs w:val="22"/>
          <w:lang w:val="en-CA" w:eastAsia="en-CA"/>
          <w14:ligatures w14:val="standardContextual"/>
        </w:rPr>
      </w:pPr>
      <w:hyperlink w:history="1" w:anchor="_Toc161762325">
        <w:r w:rsidRPr="00EC7249" w:rsidR="00003DCA">
          <w:rPr>
            <w:rStyle w:val="Hyperlink"/>
            <w:noProof/>
          </w:rPr>
          <w:t>4.1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Taille maximale du Fonds.</w:t>
        </w:r>
        <w:r w:rsidR="00003DCA">
          <w:rPr>
            <w:noProof/>
            <w:webHidden/>
          </w:rPr>
          <w:tab/>
        </w:r>
        <w:r w:rsidR="00003DCA">
          <w:rPr>
            <w:noProof/>
            <w:webHidden/>
          </w:rPr>
          <w:fldChar w:fldCharType="begin"/>
        </w:r>
        <w:r w:rsidR="00003DCA">
          <w:rPr>
            <w:noProof/>
            <w:webHidden/>
          </w:rPr>
          <w:instrText xml:space="preserve"> PAGEREF _Toc161762325 \h </w:instrText>
        </w:r>
        <w:r w:rsidR="00003DCA">
          <w:rPr>
            <w:noProof/>
            <w:webHidden/>
          </w:rPr>
        </w:r>
        <w:r w:rsidR="00003DCA">
          <w:rPr>
            <w:noProof/>
            <w:webHidden/>
          </w:rPr>
          <w:fldChar w:fldCharType="separate"/>
        </w:r>
        <w:r w:rsidR="00B50BE2">
          <w:rPr>
            <w:noProof/>
            <w:webHidden/>
          </w:rPr>
          <w:t>25</w:t>
        </w:r>
        <w:r w:rsidR="00003DCA">
          <w:rPr>
            <w:noProof/>
            <w:webHidden/>
          </w:rPr>
          <w:fldChar w:fldCharType="end"/>
        </w:r>
      </w:hyperlink>
    </w:p>
    <w:p w:rsidR="00003DCA" w:rsidRDefault="00000000" w14:paraId="309D9F31" w14:textId="2E19362E">
      <w:pPr>
        <w:pStyle w:val="TOC2"/>
        <w:rPr>
          <w:rFonts w:asciiTheme="minorHAnsi" w:hAnsiTheme="minorHAnsi" w:eastAsiaTheme="minorEastAsia"/>
          <w:noProof/>
          <w:kern w:val="2"/>
          <w:szCs w:val="22"/>
          <w:lang w:val="en-CA" w:eastAsia="en-CA"/>
          <w14:ligatures w14:val="standardContextual"/>
        </w:rPr>
      </w:pPr>
      <w:hyperlink w:history="1" w:anchor="_Toc161762326">
        <w:r w:rsidRPr="00EC7249" w:rsidR="00003DCA">
          <w:rPr>
            <w:rStyle w:val="Hyperlink"/>
            <w:noProof/>
          </w:rPr>
          <w:t>4.2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Engagement du Commandité.</w:t>
        </w:r>
        <w:r w:rsidR="00003DCA">
          <w:rPr>
            <w:noProof/>
            <w:webHidden/>
          </w:rPr>
          <w:tab/>
        </w:r>
        <w:r w:rsidR="00003DCA">
          <w:rPr>
            <w:noProof/>
            <w:webHidden/>
          </w:rPr>
          <w:fldChar w:fldCharType="begin"/>
        </w:r>
        <w:r w:rsidR="00003DCA">
          <w:rPr>
            <w:noProof/>
            <w:webHidden/>
          </w:rPr>
          <w:instrText xml:space="preserve"> PAGEREF _Toc161762326 \h </w:instrText>
        </w:r>
        <w:r w:rsidR="00003DCA">
          <w:rPr>
            <w:noProof/>
            <w:webHidden/>
          </w:rPr>
        </w:r>
        <w:r w:rsidR="00003DCA">
          <w:rPr>
            <w:noProof/>
            <w:webHidden/>
          </w:rPr>
          <w:fldChar w:fldCharType="separate"/>
        </w:r>
        <w:r w:rsidR="00B50BE2">
          <w:rPr>
            <w:noProof/>
            <w:webHidden/>
          </w:rPr>
          <w:t>25</w:t>
        </w:r>
        <w:r w:rsidR="00003DCA">
          <w:rPr>
            <w:noProof/>
            <w:webHidden/>
          </w:rPr>
          <w:fldChar w:fldCharType="end"/>
        </w:r>
      </w:hyperlink>
    </w:p>
    <w:p w:rsidR="00003DCA" w:rsidRDefault="00000000" w14:paraId="29F0DA6B" w14:textId="735A365F">
      <w:pPr>
        <w:pStyle w:val="TOC2"/>
        <w:rPr>
          <w:rFonts w:asciiTheme="minorHAnsi" w:hAnsiTheme="minorHAnsi" w:eastAsiaTheme="minorEastAsia"/>
          <w:noProof/>
          <w:kern w:val="2"/>
          <w:szCs w:val="22"/>
          <w:lang w:val="en-CA" w:eastAsia="en-CA"/>
          <w14:ligatures w14:val="standardContextual"/>
        </w:rPr>
      </w:pPr>
      <w:hyperlink w:history="1" w:anchor="_Toc161762327">
        <w:r w:rsidRPr="00EC7249" w:rsidR="00003DCA">
          <w:rPr>
            <w:rStyle w:val="Hyperlink"/>
            <w:noProof/>
          </w:rPr>
          <w:t>4.3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Pas de retrait de capital.</w:t>
        </w:r>
        <w:r w:rsidR="00003DCA">
          <w:rPr>
            <w:noProof/>
            <w:webHidden/>
          </w:rPr>
          <w:tab/>
        </w:r>
        <w:r w:rsidR="00003DCA">
          <w:rPr>
            <w:noProof/>
            <w:webHidden/>
          </w:rPr>
          <w:fldChar w:fldCharType="begin"/>
        </w:r>
        <w:r w:rsidR="00003DCA">
          <w:rPr>
            <w:noProof/>
            <w:webHidden/>
          </w:rPr>
          <w:instrText xml:space="preserve"> PAGEREF _Toc161762327 \h </w:instrText>
        </w:r>
        <w:r w:rsidR="00003DCA">
          <w:rPr>
            <w:noProof/>
            <w:webHidden/>
          </w:rPr>
        </w:r>
        <w:r w:rsidR="00003DCA">
          <w:rPr>
            <w:noProof/>
            <w:webHidden/>
          </w:rPr>
          <w:fldChar w:fldCharType="separate"/>
        </w:r>
        <w:r w:rsidR="00B50BE2">
          <w:rPr>
            <w:noProof/>
            <w:webHidden/>
          </w:rPr>
          <w:t>25</w:t>
        </w:r>
        <w:r w:rsidR="00003DCA">
          <w:rPr>
            <w:noProof/>
            <w:webHidden/>
          </w:rPr>
          <w:fldChar w:fldCharType="end"/>
        </w:r>
      </w:hyperlink>
    </w:p>
    <w:p w:rsidR="00003DCA" w:rsidRDefault="00000000" w14:paraId="17F7F684" w14:textId="7511CB5D">
      <w:pPr>
        <w:pStyle w:val="TOC1"/>
        <w:rPr>
          <w:rFonts w:asciiTheme="minorHAnsi" w:hAnsiTheme="minorHAnsi" w:eastAsiaTheme="minorEastAsia"/>
          <w:b w:val="0"/>
          <w:caps w:val="0"/>
          <w:noProof/>
          <w:kern w:val="2"/>
          <w:szCs w:val="22"/>
          <w:lang w:val="en-CA" w:eastAsia="en-CA"/>
          <w14:ligatures w14:val="standardContextual"/>
        </w:rPr>
      </w:pPr>
      <w:hyperlink w:history="1" w:anchor="_Toc161762328">
        <w:r w:rsidRPr="00EC7249" w:rsidR="00003DCA">
          <w:rPr>
            <w:rStyle w:val="Hyperlink"/>
            <w:noProof/>
          </w:rPr>
          <w:t>Article 5 ClÔtures</w:t>
        </w:r>
        <w:r w:rsidR="00003DCA">
          <w:rPr>
            <w:noProof/>
            <w:webHidden/>
          </w:rPr>
          <w:tab/>
        </w:r>
        <w:r w:rsidR="00003DCA">
          <w:rPr>
            <w:noProof/>
            <w:webHidden/>
          </w:rPr>
          <w:fldChar w:fldCharType="begin"/>
        </w:r>
        <w:r w:rsidR="00003DCA">
          <w:rPr>
            <w:noProof/>
            <w:webHidden/>
          </w:rPr>
          <w:instrText xml:space="preserve"> PAGEREF _Toc161762328 \h </w:instrText>
        </w:r>
        <w:r w:rsidR="00003DCA">
          <w:rPr>
            <w:noProof/>
            <w:webHidden/>
          </w:rPr>
        </w:r>
        <w:r w:rsidR="00003DCA">
          <w:rPr>
            <w:noProof/>
            <w:webHidden/>
          </w:rPr>
          <w:fldChar w:fldCharType="separate"/>
        </w:r>
        <w:r w:rsidR="00B50BE2">
          <w:rPr>
            <w:noProof/>
            <w:webHidden/>
          </w:rPr>
          <w:t>26</w:t>
        </w:r>
        <w:r w:rsidR="00003DCA">
          <w:rPr>
            <w:noProof/>
            <w:webHidden/>
          </w:rPr>
          <w:fldChar w:fldCharType="end"/>
        </w:r>
      </w:hyperlink>
    </w:p>
    <w:p w:rsidR="00003DCA" w:rsidRDefault="00000000" w14:paraId="1EB8EFE9" w14:textId="766110D3">
      <w:pPr>
        <w:pStyle w:val="TOC2"/>
        <w:rPr>
          <w:rFonts w:asciiTheme="minorHAnsi" w:hAnsiTheme="minorHAnsi" w:eastAsiaTheme="minorEastAsia"/>
          <w:noProof/>
          <w:kern w:val="2"/>
          <w:szCs w:val="22"/>
          <w:lang w:val="en-CA" w:eastAsia="en-CA"/>
          <w14:ligatures w14:val="standardContextual"/>
        </w:rPr>
      </w:pPr>
      <w:hyperlink w:history="1" w:anchor="_Toc161762329">
        <w:r w:rsidRPr="00EC7249" w:rsidR="00003DCA">
          <w:rPr>
            <w:rStyle w:val="Hyperlink"/>
            <w:noProof/>
          </w:rPr>
          <w:t>5.1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Admission en tant que Commanditaire.</w:t>
        </w:r>
        <w:r w:rsidR="00003DCA">
          <w:rPr>
            <w:noProof/>
            <w:webHidden/>
          </w:rPr>
          <w:tab/>
        </w:r>
        <w:r w:rsidR="00003DCA">
          <w:rPr>
            <w:noProof/>
            <w:webHidden/>
          </w:rPr>
          <w:fldChar w:fldCharType="begin"/>
        </w:r>
        <w:r w:rsidR="00003DCA">
          <w:rPr>
            <w:noProof/>
            <w:webHidden/>
          </w:rPr>
          <w:instrText xml:space="preserve"> PAGEREF _Toc161762329 \h </w:instrText>
        </w:r>
        <w:r w:rsidR="00003DCA">
          <w:rPr>
            <w:noProof/>
            <w:webHidden/>
          </w:rPr>
        </w:r>
        <w:r w:rsidR="00003DCA">
          <w:rPr>
            <w:noProof/>
            <w:webHidden/>
          </w:rPr>
          <w:fldChar w:fldCharType="separate"/>
        </w:r>
        <w:r w:rsidR="00B50BE2">
          <w:rPr>
            <w:noProof/>
            <w:webHidden/>
          </w:rPr>
          <w:t>26</w:t>
        </w:r>
        <w:r w:rsidR="00003DCA">
          <w:rPr>
            <w:noProof/>
            <w:webHidden/>
          </w:rPr>
          <w:fldChar w:fldCharType="end"/>
        </w:r>
      </w:hyperlink>
    </w:p>
    <w:p w:rsidR="00003DCA" w:rsidRDefault="00000000" w14:paraId="37D87BD6" w14:textId="228F53E5">
      <w:pPr>
        <w:pStyle w:val="TOC2"/>
        <w:rPr>
          <w:rFonts w:asciiTheme="minorHAnsi" w:hAnsiTheme="minorHAnsi" w:eastAsiaTheme="minorEastAsia"/>
          <w:noProof/>
          <w:kern w:val="2"/>
          <w:szCs w:val="22"/>
          <w:lang w:val="en-CA" w:eastAsia="en-CA"/>
          <w14:ligatures w14:val="standardContextual"/>
        </w:rPr>
      </w:pPr>
      <w:hyperlink w:history="1" w:anchor="_Toc161762330">
        <w:r w:rsidRPr="00EC7249" w:rsidR="00003DCA">
          <w:rPr>
            <w:rStyle w:val="Hyperlink"/>
            <w:noProof/>
          </w:rPr>
          <w:t>5.2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Qui ne peut pas souscrire.</w:t>
        </w:r>
        <w:r w:rsidR="00003DCA">
          <w:rPr>
            <w:noProof/>
            <w:webHidden/>
          </w:rPr>
          <w:tab/>
        </w:r>
        <w:r w:rsidR="00003DCA">
          <w:rPr>
            <w:noProof/>
            <w:webHidden/>
          </w:rPr>
          <w:fldChar w:fldCharType="begin"/>
        </w:r>
        <w:r w:rsidR="00003DCA">
          <w:rPr>
            <w:noProof/>
            <w:webHidden/>
          </w:rPr>
          <w:instrText xml:space="preserve"> PAGEREF _Toc161762330 \h </w:instrText>
        </w:r>
        <w:r w:rsidR="00003DCA">
          <w:rPr>
            <w:noProof/>
            <w:webHidden/>
          </w:rPr>
        </w:r>
        <w:r w:rsidR="00003DCA">
          <w:rPr>
            <w:noProof/>
            <w:webHidden/>
          </w:rPr>
          <w:fldChar w:fldCharType="separate"/>
        </w:r>
        <w:r w:rsidR="00B50BE2">
          <w:rPr>
            <w:noProof/>
            <w:webHidden/>
          </w:rPr>
          <w:t>27</w:t>
        </w:r>
        <w:r w:rsidR="00003DCA">
          <w:rPr>
            <w:noProof/>
            <w:webHidden/>
          </w:rPr>
          <w:fldChar w:fldCharType="end"/>
        </w:r>
      </w:hyperlink>
    </w:p>
    <w:p w:rsidR="00003DCA" w:rsidRDefault="00000000" w14:paraId="07139172" w14:textId="57C71817">
      <w:pPr>
        <w:pStyle w:val="TOC2"/>
        <w:rPr>
          <w:rFonts w:asciiTheme="minorHAnsi" w:hAnsiTheme="minorHAnsi" w:eastAsiaTheme="minorEastAsia"/>
          <w:noProof/>
          <w:kern w:val="2"/>
          <w:szCs w:val="22"/>
          <w:lang w:val="en-CA" w:eastAsia="en-CA"/>
          <w14:ligatures w14:val="standardContextual"/>
        </w:rPr>
      </w:pPr>
      <w:hyperlink w:history="1" w:anchor="_Toc161762331">
        <w:r w:rsidRPr="00EC7249" w:rsidR="00003DCA">
          <w:rPr>
            <w:rStyle w:val="Hyperlink"/>
            <w:noProof/>
          </w:rPr>
          <w:t>5.3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Rachat de la Participation du Commanditaire initial.</w:t>
        </w:r>
        <w:r w:rsidR="00003DCA">
          <w:rPr>
            <w:noProof/>
            <w:webHidden/>
          </w:rPr>
          <w:tab/>
        </w:r>
        <w:r w:rsidR="00003DCA">
          <w:rPr>
            <w:noProof/>
            <w:webHidden/>
          </w:rPr>
          <w:fldChar w:fldCharType="begin"/>
        </w:r>
        <w:r w:rsidR="00003DCA">
          <w:rPr>
            <w:noProof/>
            <w:webHidden/>
          </w:rPr>
          <w:instrText xml:space="preserve"> PAGEREF _Toc161762331 \h </w:instrText>
        </w:r>
        <w:r w:rsidR="00003DCA">
          <w:rPr>
            <w:noProof/>
            <w:webHidden/>
          </w:rPr>
        </w:r>
        <w:r w:rsidR="00003DCA">
          <w:rPr>
            <w:noProof/>
            <w:webHidden/>
          </w:rPr>
          <w:fldChar w:fldCharType="separate"/>
        </w:r>
        <w:r w:rsidR="00B50BE2">
          <w:rPr>
            <w:noProof/>
            <w:webHidden/>
          </w:rPr>
          <w:t>27</w:t>
        </w:r>
        <w:r w:rsidR="00003DCA">
          <w:rPr>
            <w:noProof/>
            <w:webHidden/>
          </w:rPr>
          <w:fldChar w:fldCharType="end"/>
        </w:r>
      </w:hyperlink>
    </w:p>
    <w:p w:rsidR="00003DCA" w:rsidRDefault="00000000" w14:paraId="14BF6795" w14:textId="2E09648A">
      <w:pPr>
        <w:pStyle w:val="TOC2"/>
        <w:rPr>
          <w:rFonts w:asciiTheme="minorHAnsi" w:hAnsiTheme="minorHAnsi" w:eastAsiaTheme="minorEastAsia"/>
          <w:noProof/>
          <w:kern w:val="2"/>
          <w:szCs w:val="22"/>
          <w:lang w:val="en-CA" w:eastAsia="en-CA"/>
          <w14:ligatures w14:val="standardContextual"/>
        </w:rPr>
      </w:pPr>
      <w:hyperlink w:history="1" w:anchor="_Toc161762332">
        <w:r w:rsidRPr="00EC7249" w:rsidR="00003DCA">
          <w:rPr>
            <w:rStyle w:val="Hyperlink"/>
            <w:noProof/>
          </w:rPr>
          <w:t>5.4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Clôtures subséquentes.</w:t>
        </w:r>
        <w:r w:rsidR="00003DCA">
          <w:rPr>
            <w:noProof/>
            <w:webHidden/>
          </w:rPr>
          <w:tab/>
        </w:r>
        <w:r w:rsidR="00003DCA">
          <w:rPr>
            <w:noProof/>
            <w:webHidden/>
          </w:rPr>
          <w:fldChar w:fldCharType="begin"/>
        </w:r>
        <w:r w:rsidR="00003DCA">
          <w:rPr>
            <w:noProof/>
            <w:webHidden/>
          </w:rPr>
          <w:instrText xml:space="preserve"> PAGEREF _Toc161762332 \h </w:instrText>
        </w:r>
        <w:r w:rsidR="00003DCA">
          <w:rPr>
            <w:noProof/>
            <w:webHidden/>
          </w:rPr>
        </w:r>
        <w:r w:rsidR="00003DCA">
          <w:rPr>
            <w:noProof/>
            <w:webHidden/>
          </w:rPr>
          <w:fldChar w:fldCharType="separate"/>
        </w:r>
        <w:r w:rsidR="00B50BE2">
          <w:rPr>
            <w:noProof/>
            <w:webHidden/>
          </w:rPr>
          <w:t>27</w:t>
        </w:r>
        <w:r w:rsidR="00003DCA">
          <w:rPr>
            <w:noProof/>
            <w:webHidden/>
          </w:rPr>
          <w:fldChar w:fldCharType="end"/>
        </w:r>
      </w:hyperlink>
    </w:p>
    <w:p w:rsidR="00003DCA" w:rsidRDefault="00000000" w14:paraId="0DF57634" w14:textId="209231A6">
      <w:pPr>
        <w:pStyle w:val="TOC1"/>
        <w:rPr>
          <w:rFonts w:asciiTheme="minorHAnsi" w:hAnsiTheme="minorHAnsi" w:eastAsiaTheme="minorEastAsia"/>
          <w:b w:val="0"/>
          <w:caps w:val="0"/>
          <w:noProof/>
          <w:kern w:val="2"/>
          <w:szCs w:val="22"/>
          <w:lang w:val="en-CA" w:eastAsia="en-CA"/>
          <w14:ligatures w14:val="standardContextual"/>
        </w:rPr>
      </w:pPr>
      <w:hyperlink w:history="1" w:anchor="_Toc161762333">
        <w:r w:rsidRPr="00EC7249" w:rsidR="00003DCA">
          <w:rPr>
            <w:rStyle w:val="Hyperlink"/>
            <w:noProof/>
          </w:rPr>
          <w:t>Article 6 Apports de Capital</w:t>
        </w:r>
        <w:r w:rsidR="00003DCA">
          <w:rPr>
            <w:noProof/>
            <w:webHidden/>
          </w:rPr>
          <w:tab/>
        </w:r>
        <w:r w:rsidR="00003DCA">
          <w:rPr>
            <w:noProof/>
            <w:webHidden/>
          </w:rPr>
          <w:fldChar w:fldCharType="begin"/>
        </w:r>
        <w:r w:rsidR="00003DCA">
          <w:rPr>
            <w:noProof/>
            <w:webHidden/>
          </w:rPr>
          <w:instrText xml:space="preserve"> PAGEREF _Toc161762333 \h </w:instrText>
        </w:r>
        <w:r w:rsidR="00003DCA">
          <w:rPr>
            <w:noProof/>
            <w:webHidden/>
          </w:rPr>
        </w:r>
        <w:r w:rsidR="00003DCA">
          <w:rPr>
            <w:noProof/>
            <w:webHidden/>
          </w:rPr>
          <w:fldChar w:fldCharType="separate"/>
        </w:r>
        <w:r w:rsidR="00B50BE2">
          <w:rPr>
            <w:noProof/>
            <w:webHidden/>
          </w:rPr>
          <w:t>29</w:t>
        </w:r>
        <w:r w:rsidR="00003DCA">
          <w:rPr>
            <w:noProof/>
            <w:webHidden/>
          </w:rPr>
          <w:fldChar w:fldCharType="end"/>
        </w:r>
      </w:hyperlink>
    </w:p>
    <w:p w:rsidR="00003DCA" w:rsidRDefault="00000000" w14:paraId="1CC46FC6" w14:textId="1DFFCEA8">
      <w:pPr>
        <w:pStyle w:val="TOC2"/>
        <w:rPr>
          <w:rFonts w:asciiTheme="minorHAnsi" w:hAnsiTheme="minorHAnsi" w:eastAsiaTheme="minorEastAsia"/>
          <w:noProof/>
          <w:kern w:val="2"/>
          <w:szCs w:val="22"/>
          <w:lang w:val="en-CA" w:eastAsia="en-CA"/>
          <w14:ligatures w14:val="standardContextual"/>
        </w:rPr>
      </w:pPr>
      <w:hyperlink w:history="1" w:anchor="_Toc161762334">
        <w:r w:rsidRPr="00EC7249" w:rsidR="00003DCA">
          <w:rPr>
            <w:rStyle w:val="Hyperlink"/>
            <w:noProof/>
          </w:rPr>
          <w:t>6.1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Apports de capital.</w:t>
        </w:r>
        <w:r w:rsidR="00003DCA">
          <w:rPr>
            <w:noProof/>
            <w:webHidden/>
          </w:rPr>
          <w:tab/>
        </w:r>
        <w:r w:rsidR="00003DCA">
          <w:rPr>
            <w:noProof/>
            <w:webHidden/>
          </w:rPr>
          <w:fldChar w:fldCharType="begin"/>
        </w:r>
        <w:r w:rsidR="00003DCA">
          <w:rPr>
            <w:noProof/>
            <w:webHidden/>
          </w:rPr>
          <w:instrText xml:space="preserve"> PAGEREF _Toc161762334 \h </w:instrText>
        </w:r>
        <w:r w:rsidR="00003DCA">
          <w:rPr>
            <w:noProof/>
            <w:webHidden/>
          </w:rPr>
        </w:r>
        <w:r w:rsidR="00003DCA">
          <w:rPr>
            <w:noProof/>
            <w:webHidden/>
          </w:rPr>
          <w:fldChar w:fldCharType="separate"/>
        </w:r>
        <w:r w:rsidR="00B50BE2">
          <w:rPr>
            <w:noProof/>
            <w:webHidden/>
          </w:rPr>
          <w:t>29</w:t>
        </w:r>
        <w:r w:rsidR="00003DCA">
          <w:rPr>
            <w:noProof/>
            <w:webHidden/>
          </w:rPr>
          <w:fldChar w:fldCharType="end"/>
        </w:r>
      </w:hyperlink>
    </w:p>
    <w:p w:rsidR="00003DCA" w:rsidRDefault="00000000" w14:paraId="3700D253" w14:textId="32116AE6">
      <w:pPr>
        <w:pStyle w:val="TOC2"/>
        <w:rPr>
          <w:rFonts w:asciiTheme="minorHAnsi" w:hAnsiTheme="minorHAnsi" w:eastAsiaTheme="minorEastAsia"/>
          <w:noProof/>
          <w:kern w:val="2"/>
          <w:szCs w:val="22"/>
          <w:lang w:val="en-CA" w:eastAsia="en-CA"/>
          <w14:ligatures w14:val="standardContextual"/>
        </w:rPr>
      </w:pPr>
      <w:hyperlink w:history="1" w:anchor="_Toc161762335">
        <w:r w:rsidRPr="00EC7249" w:rsidR="00003DCA">
          <w:rPr>
            <w:rStyle w:val="Hyperlink"/>
            <w:noProof/>
          </w:rPr>
          <w:t>6.2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Modalités; Apports de capital.</w:t>
        </w:r>
        <w:r w:rsidR="00003DCA">
          <w:rPr>
            <w:noProof/>
            <w:webHidden/>
          </w:rPr>
          <w:tab/>
        </w:r>
        <w:r w:rsidR="00003DCA">
          <w:rPr>
            <w:noProof/>
            <w:webHidden/>
          </w:rPr>
          <w:fldChar w:fldCharType="begin"/>
        </w:r>
        <w:r w:rsidR="00003DCA">
          <w:rPr>
            <w:noProof/>
            <w:webHidden/>
          </w:rPr>
          <w:instrText xml:space="preserve"> PAGEREF _Toc161762335 \h </w:instrText>
        </w:r>
        <w:r w:rsidR="00003DCA">
          <w:rPr>
            <w:noProof/>
            <w:webHidden/>
          </w:rPr>
        </w:r>
        <w:r w:rsidR="00003DCA">
          <w:rPr>
            <w:noProof/>
            <w:webHidden/>
          </w:rPr>
          <w:fldChar w:fldCharType="separate"/>
        </w:r>
        <w:r w:rsidR="00B50BE2">
          <w:rPr>
            <w:noProof/>
            <w:webHidden/>
          </w:rPr>
          <w:t>29</w:t>
        </w:r>
        <w:r w:rsidR="00003DCA">
          <w:rPr>
            <w:noProof/>
            <w:webHidden/>
          </w:rPr>
          <w:fldChar w:fldCharType="end"/>
        </w:r>
      </w:hyperlink>
    </w:p>
    <w:p w:rsidR="00003DCA" w:rsidRDefault="00000000" w14:paraId="35919A5C" w14:textId="42351BE1">
      <w:pPr>
        <w:pStyle w:val="TOC2"/>
        <w:rPr>
          <w:rFonts w:asciiTheme="minorHAnsi" w:hAnsiTheme="minorHAnsi" w:eastAsiaTheme="minorEastAsia"/>
          <w:noProof/>
          <w:kern w:val="2"/>
          <w:szCs w:val="22"/>
          <w:lang w:val="en-CA" w:eastAsia="en-CA"/>
          <w14:ligatures w14:val="standardContextual"/>
        </w:rPr>
      </w:pPr>
      <w:hyperlink w:history="1" w:anchor="_Toc161762336">
        <w:r w:rsidRPr="00EC7249" w:rsidR="00003DCA">
          <w:rPr>
            <w:rStyle w:val="Hyperlink"/>
            <w:noProof/>
          </w:rPr>
          <w:t>6.3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Remboursement des Apports de capital non utilisés.</w:t>
        </w:r>
        <w:r w:rsidR="00003DCA">
          <w:rPr>
            <w:noProof/>
            <w:webHidden/>
          </w:rPr>
          <w:tab/>
        </w:r>
        <w:r w:rsidR="00003DCA">
          <w:rPr>
            <w:noProof/>
            <w:webHidden/>
          </w:rPr>
          <w:fldChar w:fldCharType="begin"/>
        </w:r>
        <w:r w:rsidR="00003DCA">
          <w:rPr>
            <w:noProof/>
            <w:webHidden/>
          </w:rPr>
          <w:instrText xml:space="preserve"> PAGEREF _Toc161762336 \h </w:instrText>
        </w:r>
        <w:r w:rsidR="00003DCA">
          <w:rPr>
            <w:noProof/>
            <w:webHidden/>
          </w:rPr>
        </w:r>
        <w:r w:rsidR="00003DCA">
          <w:rPr>
            <w:noProof/>
            <w:webHidden/>
          </w:rPr>
          <w:fldChar w:fldCharType="separate"/>
        </w:r>
        <w:r w:rsidR="00B50BE2">
          <w:rPr>
            <w:noProof/>
            <w:webHidden/>
          </w:rPr>
          <w:t>30</w:t>
        </w:r>
        <w:r w:rsidR="00003DCA">
          <w:rPr>
            <w:noProof/>
            <w:webHidden/>
          </w:rPr>
          <w:fldChar w:fldCharType="end"/>
        </w:r>
      </w:hyperlink>
    </w:p>
    <w:p w:rsidR="00003DCA" w:rsidRDefault="00000000" w14:paraId="2DDB9DF4" w14:textId="3C9C03C3">
      <w:pPr>
        <w:pStyle w:val="TOC2"/>
        <w:rPr>
          <w:rFonts w:asciiTheme="minorHAnsi" w:hAnsiTheme="minorHAnsi" w:eastAsiaTheme="minorEastAsia"/>
          <w:noProof/>
          <w:kern w:val="2"/>
          <w:szCs w:val="22"/>
          <w:lang w:val="en-CA" w:eastAsia="en-CA"/>
          <w14:ligatures w14:val="standardContextual"/>
        </w:rPr>
      </w:pPr>
      <w:hyperlink w:history="1" w:anchor="_Toc161762337">
        <w:r w:rsidRPr="00EC7249" w:rsidR="00003DCA">
          <w:rPr>
            <w:rStyle w:val="Hyperlink"/>
            <w:noProof/>
          </w:rPr>
          <w:t>6.4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Réinvestissement.</w:t>
        </w:r>
        <w:r w:rsidR="00003DCA">
          <w:rPr>
            <w:noProof/>
            <w:webHidden/>
          </w:rPr>
          <w:tab/>
        </w:r>
        <w:r w:rsidR="00003DCA">
          <w:rPr>
            <w:noProof/>
            <w:webHidden/>
          </w:rPr>
          <w:fldChar w:fldCharType="begin"/>
        </w:r>
        <w:r w:rsidR="00003DCA">
          <w:rPr>
            <w:noProof/>
            <w:webHidden/>
          </w:rPr>
          <w:instrText xml:space="preserve"> PAGEREF _Toc161762337 \h </w:instrText>
        </w:r>
        <w:r w:rsidR="00003DCA">
          <w:rPr>
            <w:noProof/>
            <w:webHidden/>
          </w:rPr>
        </w:r>
        <w:r w:rsidR="00003DCA">
          <w:rPr>
            <w:noProof/>
            <w:webHidden/>
          </w:rPr>
          <w:fldChar w:fldCharType="separate"/>
        </w:r>
        <w:r w:rsidR="00B50BE2">
          <w:rPr>
            <w:noProof/>
            <w:webHidden/>
          </w:rPr>
          <w:t>31</w:t>
        </w:r>
        <w:r w:rsidR="00003DCA">
          <w:rPr>
            <w:noProof/>
            <w:webHidden/>
          </w:rPr>
          <w:fldChar w:fldCharType="end"/>
        </w:r>
      </w:hyperlink>
    </w:p>
    <w:p w:rsidR="00003DCA" w:rsidRDefault="00000000" w14:paraId="5D476E02" w14:textId="39D0C9E2">
      <w:pPr>
        <w:pStyle w:val="TOC2"/>
        <w:rPr>
          <w:rFonts w:asciiTheme="minorHAnsi" w:hAnsiTheme="minorHAnsi" w:eastAsiaTheme="minorEastAsia"/>
          <w:noProof/>
          <w:kern w:val="2"/>
          <w:szCs w:val="22"/>
          <w:lang w:val="en-CA" w:eastAsia="en-CA"/>
          <w14:ligatures w14:val="standardContextual"/>
        </w:rPr>
      </w:pPr>
      <w:hyperlink w:history="1" w:anchor="_Toc161762338">
        <w:r w:rsidRPr="00EC7249" w:rsidR="00003DCA">
          <w:rPr>
            <w:rStyle w:val="Hyperlink"/>
            <w:noProof/>
          </w:rPr>
          <w:t>6.5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Utilisation des Produits distribuables pour les Versements au Fonds.</w:t>
        </w:r>
        <w:r w:rsidR="00003DCA">
          <w:rPr>
            <w:noProof/>
            <w:webHidden/>
          </w:rPr>
          <w:tab/>
        </w:r>
        <w:r w:rsidR="00003DCA">
          <w:rPr>
            <w:noProof/>
            <w:webHidden/>
          </w:rPr>
          <w:fldChar w:fldCharType="begin"/>
        </w:r>
        <w:r w:rsidR="00003DCA">
          <w:rPr>
            <w:noProof/>
            <w:webHidden/>
          </w:rPr>
          <w:instrText xml:space="preserve"> PAGEREF _Toc161762338 \h </w:instrText>
        </w:r>
        <w:r w:rsidR="00003DCA">
          <w:rPr>
            <w:noProof/>
            <w:webHidden/>
          </w:rPr>
        </w:r>
        <w:r w:rsidR="00003DCA">
          <w:rPr>
            <w:noProof/>
            <w:webHidden/>
          </w:rPr>
          <w:fldChar w:fldCharType="separate"/>
        </w:r>
        <w:r w:rsidR="00B50BE2">
          <w:rPr>
            <w:noProof/>
            <w:webHidden/>
          </w:rPr>
          <w:t>31</w:t>
        </w:r>
        <w:r w:rsidR="00003DCA">
          <w:rPr>
            <w:noProof/>
            <w:webHidden/>
          </w:rPr>
          <w:fldChar w:fldCharType="end"/>
        </w:r>
      </w:hyperlink>
    </w:p>
    <w:p w:rsidR="00003DCA" w:rsidRDefault="00000000" w14:paraId="185430CD" w14:textId="6A94FBFF">
      <w:pPr>
        <w:pStyle w:val="TOC2"/>
        <w:rPr>
          <w:rFonts w:asciiTheme="minorHAnsi" w:hAnsiTheme="minorHAnsi" w:eastAsiaTheme="minorEastAsia"/>
          <w:noProof/>
          <w:kern w:val="2"/>
          <w:szCs w:val="22"/>
          <w:lang w:val="en-CA" w:eastAsia="en-CA"/>
          <w14:ligatures w14:val="standardContextual"/>
        </w:rPr>
      </w:pPr>
      <w:hyperlink w:history="1" w:anchor="_Toc161762339">
        <w:r w:rsidRPr="00EC7249" w:rsidR="00003DCA">
          <w:rPr>
            <w:rStyle w:val="Hyperlink"/>
            <w:noProof/>
          </w:rPr>
          <w:t>6.6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Associés défaillants.</w:t>
        </w:r>
        <w:r w:rsidR="00003DCA">
          <w:rPr>
            <w:noProof/>
            <w:webHidden/>
          </w:rPr>
          <w:tab/>
        </w:r>
        <w:r w:rsidR="00003DCA">
          <w:rPr>
            <w:noProof/>
            <w:webHidden/>
          </w:rPr>
          <w:fldChar w:fldCharType="begin"/>
        </w:r>
        <w:r w:rsidR="00003DCA">
          <w:rPr>
            <w:noProof/>
            <w:webHidden/>
          </w:rPr>
          <w:instrText xml:space="preserve"> PAGEREF _Toc161762339 \h </w:instrText>
        </w:r>
        <w:r w:rsidR="00003DCA">
          <w:rPr>
            <w:noProof/>
            <w:webHidden/>
          </w:rPr>
        </w:r>
        <w:r w:rsidR="00003DCA">
          <w:rPr>
            <w:noProof/>
            <w:webHidden/>
          </w:rPr>
          <w:fldChar w:fldCharType="separate"/>
        </w:r>
        <w:r w:rsidR="00B50BE2">
          <w:rPr>
            <w:noProof/>
            <w:webHidden/>
          </w:rPr>
          <w:t>31</w:t>
        </w:r>
        <w:r w:rsidR="00003DCA">
          <w:rPr>
            <w:noProof/>
            <w:webHidden/>
          </w:rPr>
          <w:fldChar w:fldCharType="end"/>
        </w:r>
      </w:hyperlink>
    </w:p>
    <w:p w:rsidR="00003DCA" w:rsidRDefault="00000000" w14:paraId="70E0D56D" w14:textId="05F75318">
      <w:pPr>
        <w:pStyle w:val="TOC2"/>
        <w:rPr>
          <w:rFonts w:asciiTheme="minorHAnsi" w:hAnsiTheme="minorHAnsi" w:eastAsiaTheme="minorEastAsia"/>
          <w:noProof/>
          <w:kern w:val="2"/>
          <w:szCs w:val="22"/>
          <w:lang w:val="en-CA" w:eastAsia="en-CA"/>
          <w14:ligatures w14:val="standardContextual"/>
        </w:rPr>
      </w:pPr>
      <w:hyperlink w:history="1" w:anchor="_Toc161762340">
        <w:r w:rsidRPr="00EC7249" w:rsidR="00003DCA">
          <w:rPr>
            <w:rStyle w:val="Hyperlink"/>
            <w:noProof/>
          </w:rPr>
          <w:t>6.7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Commanditaires dispensés.</w:t>
        </w:r>
        <w:r w:rsidR="00003DCA">
          <w:rPr>
            <w:noProof/>
            <w:webHidden/>
          </w:rPr>
          <w:tab/>
        </w:r>
        <w:r w:rsidR="00003DCA">
          <w:rPr>
            <w:noProof/>
            <w:webHidden/>
          </w:rPr>
          <w:fldChar w:fldCharType="begin"/>
        </w:r>
        <w:r w:rsidR="00003DCA">
          <w:rPr>
            <w:noProof/>
            <w:webHidden/>
          </w:rPr>
          <w:instrText xml:space="preserve"> PAGEREF _Toc161762340 \h </w:instrText>
        </w:r>
        <w:r w:rsidR="00003DCA">
          <w:rPr>
            <w:noProof/>
            <w:webHidden/>
          </w:rPr>
        </w:r>
        <w:r w:rsidR="00003DCA">
          <w:rPr>
            <w:noProof/>
            <w:webHidden/>
          </w:rPr>
          <w:fldChar w:fldCharType="separate"/>
        </w:r>
        <w:r w:rsidR="00B50BE2">
          <w:rPr>
            <w:noProof/>
            <w:webHidden/>
          </w:rPr>
          <w:t>34</w:t>
        </w:r>
        <w:r w:rsidR="00003DCA">
          <w:rPr>
            <w:noProof/>
            <w:webHidden/>
          </w:rPr>
          <w:fldChar w:fldCharType="end"/>
        </w:r>
      </w:hyperlink>
    </w:p>
    <w:p w:rsidR="00003DCA" w:rsidRDefault="00000000" w14:paraId="7C68B632" w14:textId="10D30A6D">
      <w:pPr>
        <w:pStyle w:val="TOC1"/>
        <w:rPr>
          <w:rFonts w:asciiTheme="minorHAnsi" w:hAnsiTheme="minorHAnsi" w:eastAsiaTheme="minorEastAsia"/>
          <w:b w:val="0"/>
          <w:caps w:val="0"/>
          <w:noProof/>
          <w:kern w:val="2"/>
          <w:szCs w:val="22"/>
          <w:lang w:val="en-CA" w:eastAsia="en-CA"/>
          <w14:ligatures w14:val="standardContextual"/>
        </w:rPr>
      </w:pPr>
      <w:hyperlink w:history="1" w:anchor="_Toc161762341">
        <w:r w:rsidRPr="00EC7249" w:rsidR="00003DCA">
          <w:rPr>
            <w:rStyle w:val="Hyperlink"/>
            <w:noProof/>
          </w:rPr>
          <w:t>Article 7 Investissements</w:t>
        </w:r>
        <w:r w:rsidR="00003DCA">
          <w:rPr>
            <w:noProof/>
            <w:webHidden/>
          </w:rPr>
          <w:tab/>
        </w:r>
        <w:r w:rsidR="00003DCA">
          <w:rPr>
            <w:noProof/>
            <w:webHidden/>
          </w:rPr>
          <w:fldChar w:fldCharType="begin"/>
        </w:r>
        <w:r w:rsidR="00003DCA">
          <w:rPr>
            <w:noProof/>
            <w:webHidden/>
          </w:rPr>
          <w:instrText xml:space="preserve"> PAGEREF _Toc161762341 \h </w:instrText>
        </w:r>
        <w:r w:rsidR="00003DCA">
          <w:rPr>
            <w:noProof/>
            <w:webHidden/>
          </w:rPr>
        </w:r>
        <w:r w:rsidR="00003DCA">
          <w:rPr>
            <w:noProof/>
            <w:webHidden/>
          </w:rPr>
          <w:fldChar w:fldCharType="separate"/>
        </w:r>
        <w:r w:rsidR="00B50BE2">
          <w:rPr>
            <w:noProof/>
            <w:webHidden/>
          </w:rPr>
          <w:t>36</w:t>
        </w:r>
        <w:r w:rsidR="00003DCA">
          <w:rPr>
            <w:noProof/>
            <w:webHidden/>
          </w:rPr>
          <w:fldChar w:fldCharType="end"/>
        </w:r>
      </w:hyperlink>
    </w:p>
    <w:p w:rsidR="00003DCA" w:rsidRDefault="00000000" w14:paraId="5822A941" w14:textId="3C2F5EC9">
      <w:pPr>
        <w:pStyle w:val="TOC2"/>
        <w:rPr>
          <w:rFonts w:asciiTheme="minorHAnsi" w:hAnsiTheme="minorHAnsi" w:eastAsiaTheme="minorEastAsia"/>
          <w:noProof/>
          <w:kern w:val="2"/>
          <w:szCs w:val="22"/>
          <w:lang w:val="en-CA" w:eastAsia="en-CA"/>
          <w14:ligatures w14:val="standardContextual"/>
        </w:rPr>
      </w:pPr>
      <w:hyperlink w:history="1" w:anchor="_Toc161762342">
        <w:r w:rsidRPr="00EC7249" w:rsidR="00003DCA">
          <w:rPr>
            <w:rStyle w:val="Hyperlink"/>
            <w:noProof/>
          </w:rPr>
          <w:t>7.1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Restrictions à l’investissement.</w:t>
        </w:r>
        <w:r w:rsidR="00003DCA">
          <w:rPr>
            <w:noProof/>
            <w:webHidden/>
          </w:rPr>
          <w:tab/>
        </w:r>
        <w:r w:rsidR="00003DCA">
          <w:rPr>
            <w:noProof/>
            <w:webHidden/>
          </w:rPr>
          <w:fldChar w:fldCharType="begin"/>
        </w:r>
        <w:r w:rsidR="00003DCA">
          <w:rPr>
            <w:noProof/>
            <w:webHidden/>
          </w:rPr>
          <w:instrText xml:space="preserve"> PAGEREF _Toc161762342 \h </w:instrText>
        </w:r>
        <w:r w:rsidR="00003DCA">
          <w:rPr>
            <w:noProof/>
            <w:webHidden/>
          </w:rPr>
        </w:r>
        <w:r w:rsidR="00003DCA">
          <w:rPr>
            <w:noProof/>
            <w:webHidden/>
          </w:rPr>
          <w:fldChar w:fldCharType="separate"/>
        </w:r>
        <w:r w:rsidR="00B50BE2">
          <w:rPr>
            <w:noProof/>
            <w:webHidden/>
          </w:rPr>
          <w:t>36</w:t>
        </w:r>
        <w:r w:rsidR="00003DCA">
          <w:rPr>
            <w:noProof/>
            <w:webHidden/>
          </w:rPr>
          <w:fldChar w:fldCharType="end"/>
        </w:r>
      </w:hyperlink>
    </w:p>
    <w:p w:rsidR="00003DCA" w:rsidRDefault="00000000" w14:paraId="44C3FDA7" w14:textId="33EC09B8">
      <w:pPr>
        <w:pStyle w:val="TOC2"/>
        <w:rPr>
          <w:rFonts w:asciiTheme="minorHAnsi" w:hAnsiTheme="minorHAnsi" w:eastAsiaTheme="minorEastAsia"/>
          <w:noProof/>
          <w:kern w:val="2"/>
          <w:szCs w:val="22"/>
          <w:lang w:val="en-CA" w:eastAsia="en-CA"/>
          <w14:ligatures w14:val="standardContextual"/>
        </w:rPr>
      </w:pPr>
      <w:hyperlink w:history="1" w:anchor="_Toc161762343">
        <w:r w:rsidRPr="00EC7249" w:rsidR="00003DCA">
          <w:rPr>
            <w:rStyle w:val="Hyperlink"/>
            <w:noProof/>
          </w:rPr>
          <w:t>7.2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Limitation de la dette.</w:t>
        </w:r>
        <w:r w:rsidR="00003DCA">
          <w:rPr>
            <w:noProof/>
            <w:webHidden/>
          </w:rPr>
          <w:tab/>
        </w:r>
        <w:r w:rsidR="00003DCA">
          <w:rPr>
            <w:noProof/>
            <w:webHidden/>
          </w:rPr>
          <w:fldChar w:fldCharType="begin"/>
        </w:r>
        <w:r w:rsidR="00003DCA">
          <w:rPr>
            <w:noProof/>
            <w:webHidden/>
          </w:rPr>
          <w:instrText xml:space="preserve"> PAGEREF _Toc161762343 \h </w:instrText>
        </w:r>
        <w:r w:rsidR="00003DCA">
          <w:rPr>
            <w:noProof/>
            <w:webHidden/>
          </w:rPr>
        </w:r>
        <w:r w:rsidR="00003DCA">
          <w:rPr>
            <w:noProof/>
            <w:webHidden/>
          </w:rPr>
          <w:fldChar w:fldCharType="separate"/>
        </w:r>
        <w:r w:rsidR="00B50BE2">
          <w:rPr>
            <w:noProof/>
            <w:webHidden/>
          </w:rPr>
          <w:t>38</w:t>
        </w:r>
        <w:r w:rsidR="00003DCA">
          <w:rPr>
            <w:noProof/>
            <w:webHidden/>
          </w:rPr>
          <w:fldChar w:fldCharType="end"/>
        </w:r>
      </w:hyperlink>
    </w:p>
    <w:p w:rsidR="00003DCA" w:rsidRDefault="00000000" w14:paraId="2DE6BDBF" w14:textId="350A7B53">
      <w:pPr>
        <w:pStyle w:val="TOC2"/>
        <w:rPr>
          <w:rFonts w:asciiTheme="minorHAnsi" w:hAnsiTheme="minorHAnsi" w:eastAsiaTheme="minorEastAsia"/>
          <w:noProof/>
          <w:kern w:val="2"/>
          <w:szCs w:val="22"/>
          <w:lang w:val="en-CA" w:eastAsia="en-CA"/>
          <w14:ligatures w14:val="standardContextual"/>
        </w:rPr>
      </w:pPr>
      <w:hyperlink w:history="1" w:anchor="_Toc161762344">
        <w:r w:rsidRPr="00EC7249" w:rsidR="00003DCA">
          <w:rPr>
            <w:rStyle w:val="Hyperlink"/>
            <w:noProof/>
          </w:rPr>
          <w:t>7.3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Investissements temporaires.</w:t>
        </w:r>
        <w:r w:rsidR="00003DCA">
          <w:rPr>
            <w:noProof/>
            <w:webHidden/>
          </w:rPr>
          <w:tab/>
        </w:r>
        <w:r w:rsidR="00003DCA">
          <w:rPr>
            <w:noProof/>
            <w:webHidden/>
          </w:rPr>
          <w:fldChar w:fldCharType="begin"/>
        </w:r>
        <w:r w:rsidR="00003DCA">
          <w:rPr>
            <w:noProof/>
            <w:webHidden/>
          </w:rPr>
          <w:instrText xml:space="preserve"> PAGEREF _Toc161762344 \h </w:instrText>
        </w:r>
        <w:r w:rsidR="00003DCA">
          <w:rPr>
            <w:noProof/>
            <w:webHidden/>
          </w:rPr>
        </w:r>
        <w:r w:rsidR="00003DCA">
          <w:rPr>
            <w:noProof/>
            <w:webHidden/>
          </w:rPr>
          <w:fldChar w:fldCharType="separate"/>
        </w:r>
        <w:r w:rsidR="00B50BE2">
          <w:rPr>
            <w:noProof/>
            <w:webHidden/>
          </w:rPr>
          <w:t>38</w:t>
        </w:r>
        <w:r w:rsidR="00003DCA">
          <w:rPr>
            <w:noProof/>
            <w:webHidden/>
          </w:rPr>
          <w:fldChar w:fldCharType="end"/>
        </w:r>
      </w:hyperlink>
    </w:p>
    <w:p w:rsidR="00003DCA" w:rsidRDefault="00000000" w14:paraId="080A0635" w14:textId="5B8CC215">
      <w:pPr>
        <w:pStyle w:val="TOC2"/>
        <w:rPr>
          <w:rFonts w:asciiTheme="minorHAnsi" w:hAnsiTheme="minorHAnsi" w:eastAsiaTheme="minorEastAsia"/>
          <w:noProof/>
          <w:kern w:val="2"/>
          <w:szCs w:val="22"/>
          <w:lang w:val="en-CA" w:eastAsia="en-CA"/>
          <w14:ligatures w14:val="standardContextual"/>
        </w:rPr>
      </w:pPr>
      <w:hyperlink w:history="1" w:anchor="_Toc161762345">
        <w:r w:rsidRPr="00EC7249" w:rsidR="00003DCA">
          <w:rPr>
            <w:rStyle w:val="Hyperlink"/>
            <w:noProof/>
          </w:rPr>
          <w:t>7.4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Investissements après la résiliation de la Période d’engagement.</w:t>
        </w:r>
        <w:r w:rsidR="00003DCA">
          <w:rPr>
            <w:noProof/>
            <w:webHidden/>
          </w:rPr>
          <w:tab/>
        </w:r>
        <w:r w:rsidR="00003DCA">
          <w:rPr>
            <w:noProof/>
            <w:webHidden/>
          </w:rPr>
          <w:fldChar w:fldCharType="begin"/>
        </w:r>
        <w:r w:rsidR="00003DCA">
          <w:rPr>
            <w:noProof/>
            <w:webHidden/>
          </w:rPr>
          <w:instrText xml:space="preserve"> PAGEREF _Toc161762345 \h </w:instrText>
        </w:r>
        <w:r w:rsidR="00003DCA">
          <w:rPr>
            <w:noProof/>
            <w:webHidden/>
          </w:rPr>
        </w:r>
        <w:r w:rsidR="00003DCA">
          <w:rPr>
            <w:noProof/>
            <w:webHidden/>
          </w:rPr>
          <w:fldChar w:fldCharType="separate"/>
        </w:r>
        <w:r w:rsidR="00B50BE2">
          <w:rPr>
            <w:noProof/>
            <w:webHidden/>
          </w:rPr>
          <w:t>38</w:t>
        </w:r>
        <w:r w:rsidR="00003DCA">
          <w:rPr>
            <w:noProof/>
            <w:webHidden/>
          </w:rPr>
          <w:fldChar w:fldCharType="end"/>
        </w:r>
      </w:hyperlink>
    </w:p>
    <w:p w:rsidR="00003DCA" w:rsidRDefault="00000000" w14:paraId="039CCD1D" w14:textId="5DD99BFC">
      <w:pPr>
        <w:pStyle w:val="TOC2"/>
        <w:rPr>
          <w:rFonts w:asciiTheme="minorHAnsi" w:hAnsiTheme="minorHAnsi" w:eastAsiaTheme="minorEastAsia"/>
          <w:noProof/>
          <w:kern w:val="2"/>
          <w:szCs w:val="22"/>
          <w:lang w:val="en-CA" w:eastAsia="en-CA"/>
          <w14:ligatures w14:val="standardContextual"/>
        </w:rPr>
      </w:pPr>
      <w:hyperlink w:history="1" w:anchor="_Toc161762346">
        <w:r w:rsidRPr="00EC7249" w:rsidR="00003DCA">
          <w:rPr>
            <w:rStyle w:val="Hyperlink"/>
            <w:noProof/>
          </w:rPr>
          <w:t>7.5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Investissements-relais.</w:t>
        </w:r>
        <w:r w:rsidR="00003DCA">
          <w:rPr>
            <w:noProof/>
            <w:webHidden/>
          </w:rPr>
          <w:tab/>
        </w:r>
        <w:r w:rsidR="00003DCA">
          <w:rPr>
            <w:noProof/>
            <w:webHidden/>
          </w:rPr>
          <w:fldChar w:fldCharType="begin"/>
        </w:r>
        <w:r w:rsidR="00003DCA">
          <w:rPr>
            <w:noProof/>
            <w:webHidden/>
          </w:rPr>
          <w:instrText xml:space="preserve"> PAGEREF _Toc161762346 \h </w:instrText>
        </w:r>
        <w:r w:rsidR="00003DCA">
          <w:rPr>
            <w:noProof/>
            <w:webHidden/>
          </w:rPr>
        </w:r>
        <w:r w:rsidR="00003DCA">
          <w:rPr>
            <w:noProof/>
            <w:webHidden/>
          </w:rPr>
          <w:fldChar w:fldCharType="separate"/>
        </w:r>
        <w:r w:rsidR="00B50BE2">
          <w:rPr>
            <w:noProof/>
            <w:webHidden/>
          </w:rPr>
          <w:t>39</w:t>
        </w:r>
        <w:r w:rsidR="00003DCA">
          <w:rPr>
            <w:noProof/>
            <w:webHidden/>
          </w:rPr>
          <w:fldChar w:fldCharType="end"/>
        </w:r>
      </w:hyperlink>
    </w:p>
    <w:p w:rsidR="00003DCA" w:rsidRDefault="00000000" w14:paraId="31758B4E" w14:textId="7D3016F6">
      <w:pPr>
        <w:pStyle w:val="TOC1"/>
        <w:rPr>
          <w:rFonts w:asciiTheme="minorHAnsi" w:hAnsiTheme="minorHAnsi" w:eastAsiaTheme="minorEastAsia"/>
          <w:b w:val="0"/>
          <w:caps w:val="0"/>
          <w:noProof/>
          <w:kern w:val="2"/>
          <w:szCs w:val="22"/>
          <w:lang w:val="en-CA" w:eastAsia="en-CA"/>
          <w14:ligatures w14:val="standardContextual"/>
        </w:rPr>
      </w:pPr>
      <w:hyperlink w:history="1" w:anchor="_Toc161762347">
        <w:r w:rsidRPr="00EC7249" w:rsidR="00003DCA">
          <w:rPr>
            <w:rStyle w:val="Hyperlink"/>
            <w:noProof/>
          </w:rPr>
          <w:t>Article 8 Gestion</w:t>
        </w:r>
        <w:r w:rsidR="00003DCA">
          <w:rPr>
            <w:noProof/>
            <w:webHidden/>
          </w:rPr>
          <w:tab/>
        </w:r>
        <w:r w:rsidR="00003DCA">
          <w:rPr>
            <w:noProof/>
            <w:webHidden/>
          </w:rPr>
          <w:fldChar w:fldCharType="begin"/>
        </w:r>
        <w:r w:rsidR="00003DCA">
          <w:rPr>
            <w:noProof/>
            <w:webHidden/>
          </w:rPr>
          <w:instrText xml:space="preserve"> PAGEREF _Toc161762347 \h </w:instrText>
        </w:r>
        <w:r w:rsidR="00003DCA">
          <w:rPr>
            <w:noProof/>
            <w:webHidden/>
          </w:rPr>
        </w:r>
        <w:r w:rsidR="00003DCA">
          <w:rPr>
            <w:noProof/>
            <w:webHidden/>
          </w:rPr>
          <w:fldChar w:fldCharType="separate"/>
        </w:r>
        <w:r w:rsidR="00B50BE2">
          <w:rPr>
            <w:noProof/>
            <w:webHidden/>
          </w:rPr>
          <w:t>39</w:t>
        </w:r>
        <w:r w:rsidR="00003DCA">
          <w:rPr>
            <w:noProof/>
            <w:webHidden/>
          </w:rPr>
          <w:fldChar w:fldCharType="end"/>
        </w:r>
      </w:hyperlink>
    </w:p>
    <w:p w:rsidR="00003DCA" w:rsidRDefault="00000000" w14:paraId="056E0AE7" w14:textId="14F3F3DE">
      <w:pPr>
        <w:pStyle w:val="TOC2"/>
        <w:rPr>
          <w:rFonts w:asciiTheme="minorHAnsi" w:hAnsiTheme="minorHAnsi" w:eastAsiaTheme="minorEastAsia"/>
          <w:noProof/>
          <w:kern w:val="2"/>
          <w:szCs w:val="22"/>
          <w:lang w:val="en-CA" w:eastAsia="en-CA"/>
          <w14:ligatures w14:val="standardContextual"/>
        </w:rPr>
      </w:pPr>
      <w:hyperlink w:history="1" w:anchor="_Toc161762348">
        <w:r w:rsidRPr="00EC7249" w:rsidR="00003DCA">
          <w:rPr>
            <w:rStyle w:val="Hyperlink"/>
            <w:noProof/>
          </w:rPr>
          <w:t>8.1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Gestion du Fonds.</w:t>
        </w:r>
        <w:r w:rsidR="00003DCA">
          <w:rPr>
            <w:noProof/>
            <w:webHidden/>
          </w:rPr>
          <w:tab/>
        </w:r>
        <w:r w:rsidR="00003DCA">
          <w:rPr>
            <w:noProof/>
            <w:webHidden/>
          </w:rPr>
          <w:fldChar w:fldCharType="begin"/>
        </w:r>
        <w:r w:rsidR="00003DCA">
          <w:rPr>
            <w:noProof/>
            <w:webHidden/>
          </w:rPr>
          <w:instrText xml:space="preserve"> PAGEREF _Toc161762348 \h </w:instrText>
        </w:r>
        <w:r w:rsidR="00003DCA">
          <w:rPr>
            <w:noProof/>
            <w:webHidden/>
          </w:rPr>
        </w:r>
        <w:r w:rsidR="00003DCA">
          <w:rPr>
            <w:noProof/>
            <w:webHidden/>
          </w:rPr>
          <w:fldChar w:fldCharType="separate"/>
        </w:r>
        <w:r w:rsidR="00B50BE2">
          <w:rPr>
            <w:noProof/>
            <w:webHidden/>
          </w:rPr>
          <w:t>39</w:t>
        </w:r>
        <w:r w:rsidR="00003DCA">
          <w:rPr>
            <w:noProof/>
            <w:webHidden/>
          </w:rPr>
          <w:fldChar w:fldCharType="end"/>
        </w:r>
      </w:hyperlink>
    </w:p>
    <w:p w:rsidR="00003DCA" w:rsidRDefault="00000000" w14:paraId="69A4F20B" w14:textId="2C81F263">
      <w:pPr>
        <w:pStyle w:val="TOC2"/>
        <w:rPr>
          <w:rFonts w:asciiTheme="minorHAnsi" w:hAnsiTheme="minorHAnsi" w:eastAsiaTheme="minorEastAsia"/>
          <w:noProof/>
          <w:kern w:val="2"/>
          <w:szCs w:val="22"/>
          <w:lang w:val="en-CA" w:eastAsia="en-CA"/>
          <w14:ligatures w14:val="standardContextual"/>
        </w:rPr>
      </w:pPr>
      <w:hyperlink w:history="1" w:anchor="_Toc161762349">
        <w:r w:rsidRPr="00EC7249" w:rsidR="00003DCA">
          <w:rPr>
            <w:rStyle w:val="Hyperlink"/>
            <w:noProof/>
          </w:rPr>
          <w:t>8.2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Pouvoirs du Commandité.</w:t>
        </w:r>
        <w:r w:rsidR="00003DCA">
          <w:rPr>
            <w:noProof/>
            <w:webHidden/>
          </w:rPr>
          <w:tab/>
        </w:r>
        <w:r w:rsidR="00003DCA">
          <w:rPr>
            <w:noProof/>
            <w:webHidden/>
          </w:rPr>
          <w:fldChar w:fldCharType="begin"/>
        </w:r>
        <w:r w:rsidR="00003DCA">
          <w:rPr>
            <w:noProof/>
            <w:webHidden/>
          </w:rPr>
          <w:instrText xml:space="preserve"> PAGEREF _Toc161762349 \h </w:instrText>
        </w:r>
        <w:r w:rsidR="00003DCA">
          <w:rPr>
            <w:noProof/>
            <w:webHidden/>
          </w:rPr>
        </w:r>
        <w:r w:rsidR="00003DCA">
          <w:rPr>
            <w:noProof/>
            <w:webHidden/>
          </w:rPr>
          <w:fldChar w:fldCharType="separate"/>
        </w:r>
        <w:r w:rsidR="00B50BE2">
          <w:rPr>
            <w:noProof/>
            <w:webHidden/>
          </w:rPr>
          <w:t>40</w:t>
        </w:r>
        <w:r w:rsidR="00003DCA">
          <w:rPr>
            <w:noProof/>
            <w:webHidden/>
          </w:rPr>
          <w:fldChar w:fldCharType="end"/>
        </w:r>
      </w:hyperlink>
    </w:p>
    <w:p w:rsidR="00003DCA" w:rsidRDefault="00000000" w14:paraId="77E67DB0" w14:textId="7F108F13">
      <w:pPr>
        <w:pStyle w:val="TOC2"/>
        <w:rPr>
          <w:rFonts w:asciiTheme="minorHAnsi" w:hAnsiTheme="minorHAnsi" w:eastAsiaTheme="minorEastAsia"/>
          <w:noProof/>
          <w:kern w:val="2"/>
          <w:szCs w:val="22"/>
          <w:lang w:val="en-CA" w:eastAsia="en-CA"/>
          <w14:ligatures w14:val="standardContextual"/>
        </w:rPr>
      </w:pPr>
      <w:hyperlink w:history="1" w:anchor="_Toc161762350">
        <w:r w:rsidRPr="00EC7249" w:rsidR="00003DCA">
          <w:rPr>
            <w:rStyle w:val="Hyperlink"/>
            <w:noProof/>
          </w:rPr>
          <w:t>8.3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Norme de diligence.</w:t>
        </w:r>
        <w:r w:rsidR="00003DCA">
          <w:rPr>
            <w:noProof/>
            <w:webHidden/>
          </w:rPr>
          <w:tab/>
        </w:r>
        <w:r w:rsidR="00003DCA">
          <w:rPr>
            <w:noProof/>
            <w:webHidden/>
          </w:rPr>
          <w:fldChar w:fldCharType="begin"/>
        </w:r>
        <w:r w:rsidR="00003DCA">
          <w:rPr>
            <w:noProof/>
            <w:webHidden/>
          </w:rPr>
          <w:instrText xml:space="preserve"> PAGEREF _Toc161762350 \h </w:instrText>
        </w:r>
        <w:r w:rsidR="00003DCA">
          <w:rPr>
            <w:noProof/>
            <w:webHidden/>
          </w:rPr>
        </w:r>
        <w:r w:rsidR="00003DCA">
          <w:rPr>
            <w:noProof/>
            <w:webHidden/>
          </w:rPr>
          <w:fldChar w:fldCharType="separate"/>
        </w:r>
        <w:r w:rsidR="00B50BE2">
          <w:rPr>
            <w:noProof/>
            <w:webHidden/>
          </w:rPr>
          <w:t>41</w:t>
        </w:r>
        <w:r w:rsidR="00003DCA">
          <w:rPr>
            <w:noProof/>
            <w:webHidden/>
          </w:rPr>
          <w:fldChar w:fldCharType="end"/>
        </w:r>
      </w:hyperlink>
    </w:p>
    <w:p w:rsidR="00003DCA" w:rsidRDefault="00000000" w14:paraId="6070C624" w14:textId="783FFDB1">
      <w:pPr>
        <w:pStyle w:val="TOC2"/>
        <w:rPr>
          <w:rFonts w:asciiTheme="minorHAnsi" w:hAnsiTheme="minorHAnsi" w:eastAsiaTheme="minorEastAsia"/>
          <w:noProof/>
          <w:kern w:val="2"/>
          <w:szCs w:val="22"/>
          <w:lang w:val="en-CA" w:eastAsia="en-CA"/>
          <w14:ligatures w14:val="standardContextual"/>
        </w:rPr>
      </w:pPr>
      <w:hyperlink w:history="1" w:anchor="_Toc161762351">
        <w:r w:rsidRPr="00EC7249" w:rsidR="00003DCA">
          <w:rPr>
            <w:rStyle w:val="Hyperlink"/>
            <w:noProof/>
          </w:rPr>
          <w:t>8.4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Frais de gestion.</w:t>
        </w:r>
        <w:r w:rsidR="00003DCA">
          <w:rPr>
            <w:noProof/>
            <w:webHidden/>
          </w:rPr>
          <w:tab/>
        </w:r>
        <w:r w:rsidR="00003DCA">
          <w:rPr>
            <w:noProof/>
            <w:webHidden/>
          </w:rPr>
          <w:fldChar w:fldCharType="begin"/>
        </w:r>
        <w:r w:rsidR="00003DCA">
          <w:rPr>
            <w:noProof/>
            <w:webHidden/>
          </w:rPr>
          <w:instrText xml:space="preserve"> PAGEREF _Toc161762351 \h </w:instrText>
        </w:r>
        <w:r w:rsidR="00003DCA">
          <w:rPr>
            <w:noProof/>
            <w:webHidden/>
          </w:rPr>
        </w:r>
        <w:r w:rsidR="00003DCA">
          <w:rPr>
            <w:noProof/>
            <w:webHidden/>
          </w:rPr>
          <w:fldChar w:fldCharType="separate"/>
        </w:r>
        <w:r w:rsidR="00B50BE2">
          <w:rPr>
            <w:noProof/>
            <w:webHidden/>
          </w:rPr>
          <w:t>41</w:t>
        </w:r>
        <w:r w:rsidR="00003DCA">
          <w:rPr>
            <w:noProof/>
            <w:webHidden/>
          </w:rPr>
          <w:fldChar w:fldCharType="end"/>
        </w:r>
      </w:hyperlink>
    </w:p>
    <w:p w:rsidR="00003DCA" w:rsidRDefault="00000000" w14:paraId="616E40FF" w14:textId="3F24B3AE">
      <w:pPr>
        <w:pStyle w:val="TOC2"/>
        <w:rPr>
          <w:rFonts w:asciiTheme="minorHAnsi" w:hAnsiTheme="minorHAnsi" w:eastAsiaTheme="minorEastAsia"/>
          <w:noProof/>
          <w:kern w:val="2"/>
          <w:szCs w:val="22"/>
          <w:lang w:val="en-CA" w:eastAsia="en-CA"/>
          <w14:ligatures w14:val="standardContextual"/>
        </w:rPr>
      </w:pPr>
      <w:hyperlink w:history="1" w:anchor="_Toc161762352">
        <w:r w:rsidRPr="00EC7249" w:rsidR="00003DCA">
          <w:rPr>
            <w:rStyle w:val="Hyperlink"/>
            <w:noProof/>
          </w:rPr>
          <w:t>8.5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Réduction des Frais de gestion.</w:t>
        </w:r>
        <w:r w:rsidR="00003DCA">
          <w:rPr>
            <w:noProof/>
            <w:webHidden/>
          </w:rPr>
          <w:tab/>
        </w:r>
        <w:r w:rsidR="00003DCA">
          <w:rPr>
            <w:noProof/>
            <w:webHidden/>
          </w:rPr>
          <w:fldChar w:fldCharType="begin"/>
        </w:r>
        <w:r w:rsidR="00003DCA">
          <w:rPr>
            <w:noProof/>
            <w:webHidden/>
          </w:rPr>
          <w:instrText xml:space="preserve"> PAGEREF _Toc161762352 \h </w:instrText>
        </w:r>
        <w:r w:rsidR="00003DCA">
          <w:rPr>
            <w:noProof/>
            <w:webHidden/>
          </w:rPr>
        </w:r>
        <w:r w:rsidR="00003DCA">
          <w:rPr>
            <w:noProof/>
            <w:webHidden/>
          </w:rPr>
          <w:fldChar w:fldCharType="separate"/>
        </w:r>
        <w:r w:rsidR="00B50BE2">
          <w:rPr>
            <w:noProof/>
            <w:webHidden/>
          </w:rPr>
          <w:t>42</w:t>
        </w:r>
        <w:r w:rsidR="00003DCA">
          <w:rPr>
            <w:noProof/>
            <w:webHidden/>
          </w:rPr>
          <w:fldChar w:fldCharType="end"/>
        </w:r>
      </w:hyperlink>
    </w:p>
    <w:p w:rsidR="00003DCA" w:rsidRDefault="00000000" w14:paraId="5DC06262" w14:textId="78050C24">
      <w:pPr>
        <w:pStyle w:val="TOC2"/>
        <w:rPr>
          <w:rFonts w:asciiTheme="minorHAnsi" w:hAnsiTheme="minorHAnsi" w:eastAsiaTheme="minorEastAsia"/>
          <w:noProof/>
          <w:kern w:val="2"/>
          <w:szCs w:val="22"/>
          <w:lang w:val="en-CA" w:eastAsia="en-CA"/>
          <w14:ligatures w14:val="standardContextual"/>
        </w:rPr>
      </w:pPr>
      <w:hyperlink w:history="1" w:anchor="_Toc161762353">
        <w:r w:rsidRPr="00EC7249" w:rsidR="00003DCA">
          <w:rPr>
            <w:rStyle w:val="Hyperlink"/>
            <w:noProof/>
          </w:rPr>
          <w:t>8.6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 xml:space="preserve">Questions relatives aux </w:t>
        </w:r>
        <w:r w:rsidRPr="00EC7249" w:rsidR="00003DCA">
          <w:rPr>
            <w:rStyle w:val="Hyperlink"/>
            <w:bCs/>
            <w:noProof/>
          </w:rPr>
          <w:t>Associés réglementés</w:t>
        </w:r>
        <w:r w:rsidRPr="00EC7249" w:rsidR="00003DCA">
          <w:rPr>
            <w:rStyle w:val="Hyperlink"/>
            <w:noProof/>
          </w:rPr>
          <w:t>.</w:t>
        </w:r>
        <w:r w:rsidR="00003DCA">
          <w:rPr>
            <w:noProof/>
            <w:webHidden/>
          </w:rPr>
          <w:tab/>
        </w:r>
        <w:r w:rsidR="00003DCA">
          <w:rPr>
            <w:noProof/>
            <w:webHidden/>
          </w:rPr>
          <w:fldChar w:fldCharType="begin"/>
        </w:r>
        <w:r w:rsidR="00003DCA">
          <w:rPr>
            <w:noProof/>
            <w:webHidden/>
          </w:rPr>
          <w:instrText xml:space="preserve"> PAGEREF _Toc161762353 \h </w:instrText>
        </w:r>
        <w:r w:rsidR="00003DCA">
          <w:rPr>
            <w:noProof/>
            <w:webHidden/>
          </w:rPr>
        </w:r>
        <w:r w:rsidR="00003DCA">
          <w:rPr>
            <w:noProof/>
            <w:webHidden/>
          </w:rPr>
          <w:fldChar w:fldCharType="separate"/>
        </w:r>
        <w:r w:rsidR="00B50BE2">
          <w:rPr>
            <w:noProof/>
            <w:webHidden/>
          </w:rPr>
          <w:t>43</w:t>
        </w:r>
        <w:r w:rsidR="00003DCA">
          <w:rPr>
            <w:noProof/>
            <w:webHidden/>
          </w:rPr>
          <w:fldChar w:fldCharType="end"/>
        </w:r>
      </w:hyperlink>
    </w:p>
    <w:p w:rsidR="00003DCA" w:rsidRDefault="00000000" w14:paraId="388B2B16" w14:textId="1631F1EC">
      <w:pPr>
        <w:pStyle w:val="TOC1"/>
        <w:rPr>
          <w:rFonts w:asciiTheme="minorHAnsi" w:hAnsiTheme="minorHAnsi" w:eastAsiaTheme="minorEastAsia"/>
          <w:b w:val="0"/>
          <w:caps w:val="0"/>
          <w:noProof/>
          <w:kern w:val="2"/>
          <w:szCs w:val="22"/>
          <w:lang w:val="en-CA" w:eastAsia="en-CA"/>
          <w14:ligatures w14:val="standardContextual"/>
        </w:rPr>
      </w:pPr>
      <w:hyperlink w:history="1" w:anchor="_Toc161762354">
        <w:r w:rsidRPr="00EC7249" w:rsidR="00003DCA">
          <w:rPr>
            <w:rStyle w:val="Hyperlink"/>
            <w:noProof/>
          </w:rPr>
          <w:t>Article 9 ExclusivitÉ et conflits d’intÉrÊts potentiels</w:t>
        </w:r>
        <w:r w:rsidR="00003DCA">
          <w:rPr>
            <w:noProof/>
            <w:webHidden/>
          </w:rPr>
          <w:tab/>
        </w:r>
        <w:r w:rsidR="00003DCA">
          <w:rPr>
            <w:noProof/>
            <w:webHidden/>
          </w:rPr>
          <w:fldChar w:fldCharType="begin"/>
        </w:r>
        <w:r w:rsidR="00003DCA">
          <w:rPr>
            <w:noProof/>
            <w:webHidden/>
          </w:rPr>
          <w:instrText xml:space="preserve"> PAGEREF _Toc161762354 \h </w:instrText>
        </w:r>
        <w:r w:rsidR="00003DCA">
          <w:rPr>
            <w:noProof/>
            <w:webHidden/>
          </w:rPr>
        </w:r>
        <w:r w:rsidR="00003DCA">
          <w:rPr>
            <w:noProof/>
            <w:webHidden/>
          </w:rPr>
          <w:fldChar w:fldCharType="separate"/>
        </w:r>
        <w:r w:rsidR="00B50BE2">
          <w:rPr>
            <w:noProof/>
            <w:webHidden/>
          </w:rPr>
          <w:t>44</w:t>
        </w:r>
        <w:r w:rsidR="00003DCA">
          <w:rPr>
            <w:noProof/>
            <w:webHidden/>
          </w:rPr>
          <w:fldChar w:fldCharType="end"/>
        </w:r>
      </w:hyperlink>
    </w:p>
    <w:p w:rsidR="00003DCA" w:rsidRDefault="00000000" w14:paraId="4E00AA88" w14:textId="3B5676B8">
      <w:pPr>
        <w:pStyle w:val="TOC2"/>
        <w:rPr>
          <w:rFonts w:asciiTheme="minorHAnsi" w:hAnsiTheme="minorHAnsi" w:eastAsiaTheme="minorEastAsia"/>
          <w:noProof/>
          <w:kern w:val="2"/>
          <w:szCs w:val="22"/>
          <w:lang w:val="en-CA" w:eastAsia="en-CA"/>
          <w14:ligatures w14:val="standardContextual"/>
        </w:rPr>
      </w:pPr>
      <w:hyperlink w:history="1" w:anchor="_Toc161762355">
        <w:r w:rsidRPr="00EC7249" w:rsidR="00003DCA">
          <w:rPr>
            <w:rStyle w:val="Hyperlink"/>
            <w:noProof/>
          </w:rPr>
          <w:t>9.1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Fonds de remplacement.</w:t>
        </w:r>
        <w:r w:rsidR="00003DCA">
          <w:rPr>
            <w:noProof/>
            <w:webHidden/>
          </w:rPr>
          <w:tab/>
        </w:r>
        <w:r w:rsidR="00003DCA">
          <w:rPr>
            <w:noProof/>
            <w:webHidden/>
          </w:rPr>
          <w:fldChar w:fldCharType="begin"/>
        </w:r>
        <w:r w:rsidR="00003DCA">
          <w:rPr>
            <w:noProof/>
            <w:webHidden/>
          </w:rPr>
          <w:instrText xml:space="preserve"> PAGEREF _Toc161762355 \h </w:instrText>
        </w:r>
        <w:r w:rsidR="00003DCA">
          <w:rPr>
            <w:noProof/>
            <w:webHidden/>
          </w:rPr>
        </w:r>
        <w:r w:rsidR="00003DCA">
          <w:rPr>
            <w:noProof/>
            <w:webHidden/>
          </w:rPr>
          <w:fldChar w:fldCharType="separate"/>
        </w:r>
        <w:r w:rsidR="00B50BE2">
          <w:rPr>
            <w:noProof/>
            <w:webHidden/>
          </w:rPr>
          <w:t>44</w:t>
        </w:r>
        <w:r w:rsidR="00003DCA">
          <w:rPr>
            <w:noProof/>
            <w:webHidden/>
          </w:rPr>
          <w:fldChar w:fldCharType="end"/>
        </w:r>
      </w:hyperlink>
    </w:p>
    <w:p w:rsidR="00003DCA" w:rsidRDefault="00000000" w14:paraId="0A9AFE73" w14:textId="6C72092E">
      <w:pPr>
        <w:pStyle w:val="TOC2"/>
        <w:rPr>
          <w:rFonts w:asciiTheme="minorHAnsi" w:hAnsiTheme="minorHAnsi" w:eastAsiaTheme="minorEastAsia"/>
          <w:noProof/>
          <w:kern w:val="2"/>
          <w:szCs w:val="22"/>
          <w:lang w:val="en-CA" w:eastAsia="en-CA"/>
          <w14:ligatures w14:val="standardContextual"/>
        </w:rPr>
      </w:pPr>
      <w:hyperlink w:history="1" w:anchor="_Toc161762356">
        <w:r w:rsidRPr="00EC7249" w:rsidR="00003DCA">
          <w:rPr>
            <w:rStyle w:val="Hyperlink"/>
            <w:noProof/>
          </w:rPr>
          <w:t>9.2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Temps et attention.</w:t>
        </w:r>
        <w:r w:rsidR="00003DCA">
          <w:rPr>
            <w:noProof/>
            <w:webHidden/>
          </w:rPr>
          <w:tab/>
        </w:r>
        <w:r w:rsidR="00003DCA">
          <w:rPr>
            <w:noProof/>
            <w:webHidden/>
          </w:rPr>
          <w:fldChar w:fldCharType="begin"/>
        </w:r>
        <w:r w:rsidR="00003DCA">
          <w:rPr>
            <w:noProof/>
            <w:webHidden/>
          </w:rPr>
          <w:instrText xml:space="preserve"> PAGEREF _Toc161762356 \h </w:instrText>
        </w:r>
        <w:r w:rsidR="00003DCA">
          <w:rPr>
            <w:noProof/>
            <w:webHidden/>
          </w:rPr>
        </w:r>
        <w:r w:rsidR="00003DCA">
          <w:rPr>
            <w:noProof/>
            <w:webHidden/>
          </w:rPr>
          <w:fldChar w:fldCharType="separate"/>
        </w:r>
        <w:r w:rsidR="00B50BE2">
          <w:rPr>
            <w:noProof/>
            <w:webHidden/>
          </w:rPr>
          <w:t>45</w:t>
        </w:r>
        <w:r w:rsidR="00003DCA">
          <w:rPr>
            <w:noProof/>
            <w:webHidden/>
          </w:rPr>
          <w:fldChar w:fldCharType="end"/>
        </w:r>
      </w:hyperlink>
    </w:p>
    <w:p w:rsidR="00003DCA" w:rsidRDefault="00000000" w14:paraId="7720297C" w14:textId="6DCF7D09">
      <w:pPr>
        <w:pStyle w:val="TOC2"/>
        <w:rPr>
          <w:rFonts w:asciiTheme="minorHAnsi" w:hAnsiTheme="minorHAnsi" w:eastAsiaTheme="minorEastAsia"/>
          <w:noProof/>
          <w:kern w:val="2"/>
          <w:szCs w:val="22"/>
          <w:lang w:val="en-CA" w:eastAsia="en-CA"/>
          <w14:ligatures w14:val="standardContextual"/>
        </w:rPr>
      </w:pPr>
      <w:hyperlink w:history="1" w:anchor="_Toc161762357">
        <w:r w:rsidRPr="00EC7249" w:rsidR="00003DCA">
          <w:rPr>
            <w:rStyle w:val="Hyperlink"/>
            <w:noProof/>
          </w:rPr>
          <w:t>9.3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Possibilités d’investissement conjoint.</w:t>
        </w:r>
        <w:r w:rsidR="00003DCA">
          <w:rPr>
            <w:noProof/>
            <w:webHidden/>
          </w:rPr>
          <w:tab/>
        </w:r>
        <w:r w:rsidR="00003DCA">
          <w:rPr>
            <w:noProof/>
            <w:webHidden/>
          </w:rPr>
          <w:fldChar w:fldCharType="begin"/>
        </w:r>
        <w:r w:rsidR="00003DCA">
          <w:rPr>
            <w:noProof/>
            <w:webHidden/>
          </w:rPr>
          <w:instrText xml:space="preserve"> PAGEREF _Toc161762357 \h </w:instrText>
        </w:r>
        <w:r w:rsidR="00003DCA">
          <w:rPr>
            <w:noProof/>
            <w:webHidden/>
          </w:rPr>
        </w:r>
        <w:r w:rsidR="00003DCA">
          <w:rPr>
            <w:noProof/>
            <w:webHidden/>
          </w:rPr>
          <w:fldChar w:fldCharType="separate"/>
        </w:r>
        <w:r w:rsidR="00B50BE2">
          <w:rPr>
            <w:noProof/>
            <w:webHidden/>
          </w:rPr>
          <w:t>45</w:t>
        </w:r>
        <w:r w:rsidR="00003DCA">
          <w:rPr>
            <w:noProof/>
            <w:webHidden/>
          </w:rPr>
          <w:fldChar w:fldCharType="end"/>
        </w:r>
      </w:hyperlink>
    </w:p>
    <w:p w:rsidR="00003DCA" w:rsidRDefault="00000000" w14:paraId="27E48497" w14:textId="37761378">
      <w:pPr>
        <w:pStyle w:val="TOC2"/>
        <w:rPr>
          <w:rFonts w:asciiTheme="minorHAnsi" w:hAnsiTheme="minorHAnsi" w:eastAsiaTheme="minorEastAsia"/>
          <w:noProof/>
          <w:kern w:val="2"/>
          <w:szCs w:val="22"/>
          <w:lang w:val="en-CA" w:eastAsia="en-CA"/>
          <w14:ligatures w14:val="standardContextual"/>
        </w:rPr>
      </w:pPr>
      <w:hyperlink w:history="1" w:anchor="_Toc161762358">
        <w:r w:rsidRPr="00EC7249" w:rsidR="00003DCA">
          <w:rPr>
            <w:rStyle w:val="Hyperlink"/>
            <w:noProof/>
          </w:rPr>
          <w:t>9.4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Flux d’affaires.</w:t>
        </w:r>
        <w:r w:rsidR="00003DCA">
          <w:rPr>
            <w:noProof/>
            <w:webHidden/>
          </w:rPr>
          <w:tab/>
        </w:r>
        <w:r w:rsidR="00003DCA">
          <w:rPr>
            <w:noProof/>
            <w:webHidden/>
          </w:rPr>
          <w:fldChar w:fldCharType="begin"/>
        </w:r>
        <w:r w:rsidR="00003DCA">
          <w:rPr>
            <w:noProof/>
            <w:webHidden/>
          </w:rPr>
          <w:instrText xml:space="preserve"> PAGEREF _Toc161762358 \h </w:instrText>
        </w:r>
        <w:r w:rsidR="00003DCA">
          <w:rPr>
            <w:noProof/>
            <w:webHidden/>
          </w:rPr>
        </w:r>
        <w:r w:rsidR="00003DCA">
          <w:rPr>
            <w:noProof/>
            <w:webHidden/>
          </w:rPr>
          <w:fldChar w:fldCharType="separate"/>
        </w:r>
        <w:r w:rsidR="00B50BE2">
          <w:rPr>
            <w:noProof/>
            <w:webHidden/>
          </w:rPr>
          <w:t>45</w:t>
        </w:r>
        <w:r w:rsidR="00003DCA">
          <w:rPr>
            <w:noProof/>
            <w:webHidden/>
          </w:rPr>
          <w:fldChar w:fldCharType="end"/>
        </w:r>
      </w:hyperlink>
    </w:p>
    <w:p w:rsidR="00003DCA" w:rsidRDefault="00000000" w14:paraId="04BF6927" w14:textId="6B017EA5">
      <w:pPr>
        <w:pStyle w:val="TOC2"/>
        <w:rPr>
          <w:rFonts w:asciiTheme="minorHAnsi" w:hAnsiTheme="minorHAnsi" w:eastAsiaTheme="minorEastAsia"/>
          <w:noProof/>
          <w:kern w:val="2"/>
          <w:szCs w:val="22"/>
          <w:lang w:val="en-CA" w:eastAsia="en-CA"/>
          <w14:ligatures w14:val="standardContextual"/>
        </w:rPr>
      </w:pPr>
      <w:hyperlink w:history="1" w:anchor="_Toc161762359">
        <w:r w:rsidRPr="00EC7249" w:rsidR="00003DCA">
          <w:rPr>
            <w:rStyle w:val="Hyperlink"/>
            <w:noProof/>
          </w:rPr>
          <w:t>9.5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Autres conflits d’intérêts.</w:t>
        </w:r>
        <w:r w:rsidR="00003DCA">
          <w:rPr>
            <w:noProof/>
            <w:webHidden/>
          </w:rPr>
          <w:tab/>
        </w:r>
        <w:r w:rsidR="00003DCA">
          <w:rPr>
            <w:noProof/>
            <w:webHidden/>
          </w:rPr>
          <w:fldChar w:fldCharType="begin"/>
        </w:r>
        <w:r w:rsidR="00003DCA">
          <w:rPr>
            <w:noProof/>
            <w:webHidden/>
          </w:rPr>
          <w:instrText xml:space="preserve"> PAGEREF _Toc161762359 \h </w:instrText>
        </w:r>
        <w:r w:rsidR="00003DCA">
          <w:rPr>
            <w:noProof/>
            <w:webHidden/>
          </w:rPr>
        </w:r>
        <w:r w:rsidR="00003DCA">
          <w:rPr>
            <w:noProof/>
            <w:webHidden/>
          </w:rPr>
          <w:fldChar w:fldCharType="separate"/>
        </w:r>
        <w:r w:rsidR="00B50BE2">
          <w:rPr>
            <w:noProof/>
            <w:webHidden/>
          </w:rPr>
          <w:t>46</w:t>
        </w:r>
        <w:r w:rsidR="00003DCA">
          <w:rPr>
            <w:noProof/>
            <w:webHidden/>
          </w:rPr>
          <w:fldChar w:fldCharType="end"/>
        </w:r>
      </w:hyperlink>
    </w:p>
    <w:p w:rsidR="00003DCA" w:rsidRDefault="00000000" w14:paraId="3E31BDE8" w14:textId="2E6761B7">
      <w:pPr>
        <w:pStyle w:val="TOC1"/>
        <w:rPr>
          <w:rFonts w:asciiTheme="minorHAnsi" w:hAnsiTheme="minorHAnsi" w:eastAsiaTheme="minorEastAsia"/>
          <w:b w:val="0"/>
          <w:caps w:val="0"/>
          <w:noProof/>
          <w:kern w:val="2"/>
          <w:szCs w:val="22"/>
          <w:lang w:val="en-CA" w:eastAsia="en-CA"/>
          <w14:ligatures w14:val="standardContextual"/>
        </w:rPr>
      </w:pPr>
      <w:hyperlink w:history="1" w:anchor="_Toc161762360">
        <w:r w:rsidRPr="00EC7249" w:rsidR="00003DCA">
          <w:rPr>
            <w:rStyle w:val="Hyperlink"/>
            <w:noProof/>
          </w:rPr>
          <w:t>Article 10 DESTITUTION du COMMANDITÉ; RÉSILIATION du fonds</w:t>
        </w:r>
        <w:r w:rsidR="00003DCA">
          <w:rPr>
            <w:noProof/>
            <w:webHidden/>
          </w:rPr>
          <w:tab/>
        </w:r>
        <w:r w:rsidR="00003DCA">
          <w:rPr>
            <w:noProof/>
            <w:webHidden/>
          </w:rPr>
          <w:fldChar w:fldCharType="begin"/>
        </w:r>
        <w:r w:rsidR="00003DCA">
          <w:rPr>
            <w:noProof/>
            <w:webHidden/>
          </w:rPr>
          <w:instrText xml:space="preserve"> PAGEREF _Toc161762360 \h </w:instrText>
        </w:r>
        <w:r w:rsidR="00003DCA">
          <w:rPr>
            <w:noProof/>
            <w:webHidden/>
          </w:rPr>
        </w:r>
        <w:r w:rsidR="00003DCA">
          <w:rPr>
            <w:noProof/>
            <w:webHidden/>
          </w:rPr>
          <w:fldChar w:fldCharType="separate"/>
        </w:r>
        <w:r w:rsidR="00B50BE2">
          <w:rPr>
            <w:noProof/>
            <w:webHidden/>
          </w:rPr>
          <w:t>46</w:t>
        </w:r>
        <w:r w:rsidR="00003DCA">
          <w:rPr>
            <w:noProof/>
            <w:webHidden/>
          </w:rPr>
          <w:fldChar w:fldCharType="end"/>
        </w:r>
      </w:hyperlink>
    </w:p>
    <w:p w:rsidR="00003DCA" w:rsidRDefault="00000000" w14:paraId="154F44BA" w14:textId="1062FAF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1">
        <w:r w:rsidRPr="00EC7249" w:rsidR="00003DCA">
          <w:rPr>
            <w:rStyle w:val="Hyperlink"/>
            <w:noProof/>
          </w:rPr>
          <w:t>10.1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Avis de destitution/résiliation.</w:t>
        </w:r>
        <w:r w:rsidR="00003DCA">
          <w:rPr>
            <w:noProof/>
            <w:webHidden/>
          </w:rPr>
          <w:tab/>
        </w:r>
        <w:r w:rsidR="00003DCA">
          <w:rPr>
            <w:noProof/>
            <w:webHidden/>
          </w:rPr>
          <w:fldChar w:fldCharType="begin"/>
        </w:r>
        <w:r w:rsidR="00003DCA">
          <w:rPr>
            <w:noProof/>
            <w:webHidden/>
          </w:rPr>
          <w:instrText xml:space="preserve"> PAGEREF _Toc161762361 \h </w:instrText>
        </w:r>
        <w:r w:rsidR="00003DCA">
          <w:rPr>
            <w:noProof/>
            <w:webHidden/>
          </w:rPr>
        </w:r>
        <w:r w:rsidR="00003DCA">
          <w:rPr>
            <w:noProof/>
            <w:webHidden/>
          </w:rPr>
          <w:fldChar w:fldCharType="separate"/>
        </w:r>
        <w:r w:rsidR="00B50BE2">
          <w:rPr>
            <w:noProof/>
            <w:webHidden/>
          </w:rPr>
          <w:t>46</w:t>
        </w:r>
        <w:r w:rsidR="00003DCA">
          <w:rPr>
            <w:noProof/>
            <w:webHidden/>
          </w:rPr>
          <w:fldChar w:fldCharType="end"/>
        </w:r>
      </w:hyperlink>
    </w:p>
    <w:p w:rsidR="00003DCA" w:rsidRDefault="00000000" w14:paraId="1D0C4613" w14:textId="349BCCB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2">
        <w:r w:rsidRPr="00EC7249" w:rsidR="00003DCA">
          <w:rPr>
            <w:rStyle w:val="Hyperlink"/>
            <w:noProof/>
          </w:rPr>
          <w:t>10.2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Conséquences de l’avis de destitution.</w:t>
        </w:r>
        <w:r w:rsidR="00003DCA">
          <w:rPr>
            <w:noProof/>
            <w:webHidden/>
          </w:rPr>
          <w:tab/>
        </w:r>
        <w:r w:rsidR="00003DCA">
          <w:rPr>
            <w:noProof/>
            <w:webHidden/>
          </w:rPr>
          <w:fldChar w:fldCharType="begin"/>
        </w:r>
        <w:r w:rsidR="00003DCA">
          <w:rPr>
            <w:noProof/>
            <w:webHidden/>
          </w:rPr>
          <w:instrText xml:space="preserve"> PAGEREF _Toc161762362 \h </w:instrText>
        </w:r>
        <w:r w:rsidR="00003DCA">
          <w:rPr>
            <w:noProof/>
            <w:webHidden/>
          </w:rPr>
        </w:r>
        <w:r w:rsidR="00003DCA">
          <w:rPr>
            <w:noProof/>
            <w:webHidden/>
          </w:rPr>
          <w:fldChar w:fldCharType="separate"/>
        </w:r>
        <w:r w:rsidR="00B50BE2">
          <w:rPr>
            <w:noProof/>
            <w:webHidden/>
          </w:rPr>
          <w:t>47</w:t>
        </w:r>
        <w:r w:rsidR="00003DCA">
          <w:rPr>
            <w:noProof/>
            <w:webHidden/>
          </w:rPr>
          <w:fldChar w:fldCharType="end"/>
        </w:r>
      </w:hyperlink>
    </w:p>
    <w:p w:rsidR="00003DCA" w:rsidRDefault="00000000" w14:paraId="7AE90AB6" w14:textId="19E5F23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3">
        <w:r w:rsidRPr="00EC7249" w:rsidR="00003DCA">
          <w:rPr>
            <w:rStyle w:val="Hyperlink"/>
            <w:noProof/>
          </w:rPr>
          <w:t>10.3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Coopération en cas de destitution.</w:t>
        </w:r>
        <w:r w:rsidR="00003DCA">
          <w:rPr>
            <w:noProof/>
            <w:webHidden/>
          </w:rPr>
          <w:tab/>
        </w:r>
        <w:r w:rsidR="00003DCA">
          <w:rPr>
            <w:noProof/>
            <w:webHidden/>
          </w:rPr>
          <w:fldChar w:fldCharType="begin"/>
        </w:r>
        <w:r w:rsidR="00003DCA">
          <w:rPr>
            <w:noProof/>
            <w:webHidden/>
          </w:rPr>
          <w:instrText xml:space="preserve"> PAGEREF _Toc161762363 \h </w:instrText>
        </w:r>
        <w:r w:rsidR="00003DCA">
          <w:rPr>
            <w:noProof/>
            <w:webHidden/>
          </w:rPr>
        </w:r>
        <w:r w:rsidR="00003DCA">
          <w:rPr>
            <w:noProof/>
            <w:webHidden/>
          </w:rPr>
          <w:fldChar w:fldCharType="separate"/>
        </w:r>
        <w:r w:rsidR="00B50BE2">
          <w:rPr>
            <w:noProof/>
            <w:webHidden/>
          </w:rPr>
          <w:t>50</w:t>
        </w:r>
        <w:r w:rsidR="00003DCA">
          <w:rPr>
            <w:noProof/>
            <w:webHidden/>
          </w:rPr>
          <w:fldChar w:fldCharType="end"/>
        </w:r>
      </w:hyperlink>
    </w:p>
    <w:p w:rsidR="00003DCA" w:rsidRDefault="00000000" w14:paraId="594CD0B7" w14:textId="28A2D434">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4">
        <w:r w:rsidRPr="00EC7249" w:rsidR="00003DCA">
          <w:rPr>
            <w:rStyle w:val="Hyperlink"/>
            <w:noProof/>
          </w:rPr>
          <w:t>10.4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Conséquences de l’avis de résiliation.</w:t>
        </w:r>
        <w:r w:rsidR="00003DCA">
          <w:rPr>
            <w:noProof/>
            <w:webHidden/>
          </w:rPr>
          <w:tab/>
        </w:r>
        <w:r w:rsidR="00003DCA">
          <w:rPr>
            <w:noProof/>
            <w:webHidden/>
          </w:rPr>
          <w:fldChar w:fldCharType="begin"/>
        </w:r>
        <w:r w:rsidR="00003DCA">
          <w:rPr>
            <w:noProof/>
            <w:webHidden/>
          </w:rPr>
          <w:instrText xml:space="preserve"> PAGEREF _Toc161762364 \h </w:instrText>
        </w:r>
        <w:r w:rsidR="00003DCA">
          <w:rPr>
            <w:noProof/>
            <w:webHidden/>
          </w:rPr>
        </w:r>
        <w:r w:rsidR="00003DCA">
          <w:rPr>
            <w:noProof/>
            <w:webHidden/>
          </w:rPr>
          <w:fldChar w:fldCharType="separate"/>
        </w:r>
        <w:r w:rsidR="00B50BE2">
          <w:rPr>
            <w:noProof/>
            <w:webHidden/>
          </w:rPr>
          <w:t>50</w:t>
        </w:r>
        <w:r w:rsidR="00003DCA">
          <w:rPr>
            <w:noProof/>
            <w:webHidden/>
          </w:rPr>
          <w:fldChar w:fldCharType="end"/>
        </w:r>
      </w:hyperlink>
    </w:p>
    <w:p w:rsidR="00003DCA" w:rsidRDefault="00000000" w14:paraId="72EFEC32" w14:textId="494C22E9">
      <w:pPr>
        <w:pStyle w:val="TOC1"/>
        <w:rPr>
          <w:rFonts w:asciiTheme="minorHAnsi" w:hAnsiTheme="minorHAnsi" w:eastAsiaTheme="minorEastAsia"/>
          <w:b w:val="0"/>
          <w:caps w:val="0"/>
          <w:noProof/>
          <w:kern w:val="2"/>
          <w:szCs w:val="22"/>
          <w:lang w:val="en-CA" w:eastAsia="en-CA"/>
          <w14:ligatures w14:val="standardContextual"/>
        </w:rPr>
      </w:pPr>
      <w:hyperlink w:history="1" w:anchor="_Toc161762365">
        <w:r w:rsidRPr="00EC7249" w:rsidR="00003DCA">
          <w:rPr>
            <w:rStyle w:val="Hyperlink"/>
            <w:noProof/>
          </w:rPr>
          <w:t>Article 11 Événement VISANT LES PERSONNES-CLÉS; Suspension</w:t>
        </w:r>
        <w:r w:rsidR="00003DCA">
          <w:rPr>
            <w:noProof/>
            <w:webHidden/>
          </w:rPr>
          <w:tab/>
        </w:r>
        <w:r w:rsidR="00003DCA">
          <w:rPr>
            <w:noProof/>
            <w:webHidden/>
          </w:rPr>
          <w:fldChar w:fldCharType="begin"/>
        </w:r>
        <w:r w:rsidR="00003DCA">
          <w:rPr>
            <w:noProof/>
            <w:webHidden/>
          </w:rPr>
          <w:instrText xml:space="preserve"> PAGEREF _Toc161762365 \h </w:instrText>
        </w:r>
        <w:r w:rsidR="00003DCA">
          <w:rPr>
            <w:noProof/>
            <w:webHidden/>
          </w:rPr>
        </w:r>
        <w:r w:rsidR="00003DCA">
          <w:rPr>
            <w:noProof/>
            <w:webHidden/>
          </w:rPr>
          <w:fldChar w:fldCharType="separate"/>
        </w:r>
        <w:r w:rsidR="00B50BE2">
          <w:rPr>
            <w:noProof/>
            <w:webHidden/>
          </w:rPr>
          <w:t>51</w:t>
        </w:r>
        <w:r w:rsidR="00003DCA">
          <w:rPr>
            <w:noProof/>
            <w:webHidden/>
          </w:rPr>
          <w:fldChar w:fldCharType="end"/>
        </w:r>
      </w:hyperlink>
    </w:p>
    <w:p w:rsidR="00003DCA" w:rsidRDefault="00000000" w14:paraId="794533B2" w14:textId="344117E6">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6">
        <w:r w:rsidRPr="00EC7249" w:rsidR="00003DCA">
          <w:rPr>
            <w:rStyle w:val="Hyperlink"/>
            <w:noProof/>
          </w:rPr>
          <w:t>11.1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Avis d’un Événement visant les Personnes-clés.</w:t>
        </w:r>
        <w:r w:rsidR="00003DCA">
          <w:rPr>
            <w:noProof/>
            <w:webHidden/>
          </w:rPr>
          <w:tab/>
        </w:r>
        <w:r w:rsidR="00003DCA">
          <w:rPr>
            <w:noProof/>
            <w:webHidden/>
          </w:rPr>
          <w:fldChar w:fldCharType="begin"/>
        </w:r>
        <w:r w:rsidR="00003DCA">
          <w:rPr>
            <w:noProof/>
            <w:webHidden/>
          </w:rPr>
          <w:instrText xml:space="preserve"> PAGEREF _Toc161762366 \h </w:instrText>
        </w:r>
        <w:r w:rsidR="00003DCA">
          <w:rPr>
            <w:noProof/>
            <w:webHidden/>
          </w:rPr>
        </w:r>
        <w:r w:rsidR="00003DCA">
          <w:rPr>
            <w:noProof/>
            <w:webHidden/>
          </w:rPr>
          <w:fldChar w:fldCharType="separate"/>
        </w:r>
        <w:r w:rsidR="00B50BE2">
          <w:rPr>
            <w:noProof/>
            <w:webHidden/>
          </w:rPr>
          <w:t>51</w:t>
        </w:r>
        <w:r w:rsidR="00003DCA">
          <w:rPr>
            <w:noProof/>
            <w:webHidden/>
          </w:rPr>
          <w:fldChar w:fldCharType="end"/>
        </w:r>
      </w:hyperlink>
    </w:p>
    <w:p w:rsidR="00003DCA" w:rsidRDefault="00000000" w14:paraId="6EDD257A" w14:textId="3DA524AB">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7">
        <w:r w:rsidRPr="00EC7249" w:rsidR="00003DCA">
          <w:rPr>
            <w:rStyle w:val="Hyperlink"/>
            <w:noProof/>
          </w:rPr>
          <w:t>11.2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Conséquences de l’avis d’un Événement visant les Personnes-clés.</w:t>
        </w:r>
        <w:r w:rsidR="00003DCA">
          <w:rPr>
            <w:noProof/>
            <w:webHidden/>
          </w:rPr>
          <w:tab/>
        </w:r>
        <w:r w:rsidR="00003DCA">
          <w:rPr>
            <w:noProof/>
            <w:webHidden/>
          </w:rPr>
          <w:fldChar w:fldCharType="begin"/>
        </w:r>
        <w:r w:rsidR="00003DCA">
          <w:rPr>
            <w:noProof/>
            <w:webHidden/>
          </w:rPr>
          <w:instrText xml:space="preserve"> PAGEREF _Toc161762367 \h </w:instrText>
        </w:r>
        <w:r w:rsidR="00003DCA">
          <w:rPr>
            <w:noProof/>
            <w:webHidden/>
          </w:rPr>
        </w:r>
        <w:r w:rsidR="00003DCA">
          <w:rPr>
            <w:noProof/>
            <w:webHidden/>
          </w:rPr>
          <w:fldChar w:fldCharType="separate"/>
        </w:r>
        <w:r w:rsidR="00B50BE2">
          <w:rPr>
            <w:noProof/>
            <w:webHidden/>
          </w:rPr>
          <w:t>51</w:t>
        </w:r>
        <w:r w:rsidR="00003DCA">
          <w:rPr>
            <w:noProof/>
            <w:webHidden/>
          </w:rPr>
          <w:fldChar w:fldCharType="end"/>
        </w:r>
      </w:hyperlink>
    </w:p>
    <w:p w:rsidR="00003DCA" w:rsidRDefault="00000000" w14:paraId="34F3B63A" w14:textId="5B8751B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8">
        <w:r w:rsidRPr="00EC7249" w:rsidR="00003DCA">
          <w:rPr>
            <w:rStyle w:val="Hyperlink"/>
            <w:noProof/>
          </w:rPr>
          <w:t>11.3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Résiliation de la Période d’engagement.</w:t>
        </w:r>
        <w:r w:rsidR="00003DCA">
          <w:rPr>
            <w:noProof/>
            <w:webHidden/>
          </w:rPr>
          <w:tab/>
        </w:r>
        <w:r w:rsidR="00003DCA">
          <w:rPr>
            <w:noProof/>
            <w:webHidden/>
          </w:rPr>
          <w:fldChar w:fldCharType="begin"/>
        </w:r>
        <w:r w:rsidR="00003DCA">
          <w:rPr>
            <w:noProof/>
            <w:webHidden/>
          </w:rPr>
          <w:instrText xml:space="preserve"> PAGEREF _Toc161762368 \h </w:instrText>
        </w:r>
        <w:r w:rsidR="00003DCA">
          <w:rPr>
            <w:noProof/>
            <w:webHidden/>
          </w:rPr>
        </w:r>
        <w:r w:rsidR="00003DCA">
          <w:rPr>
            <w:noProof/>
            <w:webHidden/>
          </w:rPr>
          <w:fldChar w:fldCharType="separate"/>
        </w:r>
        <w:r w:rsidR="00B50BE2">
          <w:rPr>
            <w:noProof/>
            <w:webHidden/>
          </w:rPr>
          <w:t>51</w:t>
        </w:r>
        <w:r w:rsidR="00003DCA">
          <w:rPr>
            <w:noProof/>
            <w:webHidden/>
          </w:rPr>
          <w:fldChar w:fldCharType="end"/>
        </w:r>
      </w:hyperlink>
    </w:p>
    <w:p w:rsidR="00003DCA" w:rsidRDefault="00000000" w14:paraId="04A2A11F" w14:textId="48EAB232">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69">
        <w:r w:rsidRPr="00EC7249" w:rsidR="00003DCA">
          <w:rPr>
            <w:rStyle w:val="Hyperlink"/>
            <w:noProof/>
          </w:rPr>
          <w:t>11.4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Limitation des Apports de capital.</w:t>
        </w:r>
        <w:r w:rsidR="00003DCA">
          <w:rPr>
            <w:noProof/>
            <w:webHidden/>
          </w:rPr>
          <w:tab/>
        </w:r>
        <w:r w:rsidR="00003DCA">
          <w:rPr>
            <w:noProof/>
            <w:webHidden/>
          </w:rPr>
          <w:fldChar w:fldCharType="begin"/>
        </w:r>
        <w:r w:rsidR="00003DCA">
          <w:rPr>
            <w:noProof/>
            <w:webHidden/>
          </w:rPr>
          <w:instrText xml:space="preserve"> PAGEREF _Toc161762369 \h </w:instrText>
        </w:r>
        <w:r w:rsidR="00003DCA">
          <w:rPr>
            <w:noProof/>
            <w:webHidden/>
          </w:rPr>
        </w:r>
        <w:r w:rsidR="00003DCA">
          <w:rPr>
            <w:noProof/>
            <w:webHidden/>
          </w:rPr>
          <w:fldChar w:fldCharType="separate"/>
        </w:r>
        <w:r w:rsidR="00B50BE2">
          <w:rPr>
            <w:noProof/>
            <w:webHidden/>
          </w:rPr>
          <w:t>51</w:t>
        </w:r>
        <w:r w:rsidR="00003DCA">
          <w:rPr>
            <w:noProof/>
            <w:webHidden/>
          </w:rPr>
          <w:fldChar w:fldCharType="end"/>
        </w:r>
      </w:hyperlink>
    </w:p>
    <w:p w:rsidR="00003DCA" w:rsidRDefault="00000000" w14:paraId="6E0BD1C4" w14:textId="4D2D4FA2">
      <w:pPr>
        <w:pStyle w:val="TOC1"/>
        <w:rPr>
          <w:rFonts w:asciiTheme="minorHAnsi" w:hAnsiTheme="minorHAnsi" w:eastAsiaTheme="minorEastAsia"/>
          <w:b w:val="0"/>
          <w:caps w:val="0"/>
          <w:noProof/>
          <w:kern w:val="2"/>
          <w:szCs w:val="22"/>
          <w:lang w:val="en-CA" w:eastAsia="en-CA"/>
          <w14:ligatures w14:val="standardContextual"/>
        </w:rPr>
      </w:pPr>
      <w:hyperlink w:history="1" w:anchor="_Toc161762370">
        <w:r w:rsidRPr="00EC7249" w:rsidR="00003DCA">
          <w:rPr>
            <w:rStyle w:val="Hyperlink"/>
            <w:noProof/>
          </w:rPr>
          <w:t>Article 12 AssemblÉe gÉnÉrale des ASSOCIÉS</w:t>
        </w:r>
        <w:r w:rsidR="00003DCA">
          <w:rPr>
            <w:noProof/>
            <w:webHidden/>
          </w:rPr>
          <w:tab/>
        </w:r>
        <w:r w:rsidR="00003DCA">
          <w:rPr>
            <w:noProof/>
            <w:webHidden/>
          </w:rPr>
          <w:fldChar w:fldCharType="begin"/>
        </w:r>
        <w:r w:rsidR="00003DCA">
          <w:rPr>
            <w:noProof/>
            <w:webHidden/>
          </w:rPr>
          <w:instrText xml:space="preserve"> PAGEREF _Toc161762370 \h </w:instrText>
        </w:r>
        <w:r w:rsidR="00003DCA">
          <w:rPr>
            <w:noProof/>
            <w:webHidden/>
          </w:rPr>
        </w:r>
        <w:r w:rsidR="00003DCA">
          <w:rPr>
            <w:noProof/>
            <w:webHidden/>
          </w:rPr>
          <w:fldChar w:fldCharType="separate"/>
        </w:r>
        <w:r w:rsidR="00B50BE2">
          <w:rPr>
            <w:noProof/>
            <w:webHidden/>
          </w:rPr>
          <w:t>52</w:t>
        </w:r>
        <w:r w:rsidR="00003DCA">
          <w:rPr>
            <w:noProof/>
            <w:webHidden/>
          </w:rPr>
          <w:fldChar w:fldCharType="end"/>
        </w:r>
      </w:hyperlink>
    </w:p>
    <w:p w:rsidR="00003DCA" w:rsidRDefault="00000000" w14:paraId="567B2C2F" w14:textId="79AB638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1">
        <w:r w:rsidRPr="00EC7249" w:rsidR="00003DCA">
          <w:rPr>
            <w:rStyle w:val="Hyperlink"/>
            <w:noProof/>
          </w:rPr>
          <w:t>12.1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Assemblées générales.</w:t>
        </w:r>
        <w:r w:rsidR="00003DCA">
          <w:rPr>
            <w:noProof/>
            <w:webHidden/>
          </w:rPr>
          <w:tab/>
        </w:r>
        <w:r w:rsidR="00003DCA">
          <w:rPr>
            <w:noProof/>
            <w:webHidden/>
          </w:rPr>
          <w:fldChar w:fldCharType="begin"/>
        </w:r>
        <w:r w:rsidR="00003DCA">
          <w:rPr>
            <w:noProof/>
            <w:webHidden/>
          </w:rPr>
          <w:instrText xml:space="preserve"> PAGEREF _Toc161762371 \h </w:instrText>
        </w:r>
        <w:r w:rsidR="00003DCA">
          <w:rPr>
            <w:noProof/>
            <w:webHidden/>
          </w:rPr>
        </w:r>
        <w:r w:rsidR="00003DCA">
          <w:rPr>
            <w:noProof/>
            <w:webHidden/>
          </w:rPr>
          <w:fldChar w:fldCharType="separate"/>
        </w:r>
        <w:r w:rsidR="00B50BE2">
          <w:rPr>
            <w:noProof/>
            <w:webHidden/>
          </w:rPr>
          <w:t>52</w:t>
        </w:r>
        <w:r w:rsidR="00003DCA">
          <w:rPr>
            <w:noProof/>
            <w:webHidden/>
          </w:rPr>
          <w:fldChar w:fldCharType="end"/>
        </w:r>
      </w:hyperlink>
    </w:p>
    <w:p w:rsidR="00003DCA" w:rsidRDefault="00000000" w14:paraId="4E5AFB23" w14:textId="754D111E">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2">
        <w:r w:rsidRPr="00EC7249" w:rsidR="00003DCA">
          <w:rPr>
            <w:rStyle w:val="Hyperlink"/>
            <w:noProof/>
          </w:rPr>
          <w:t>12.2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Président et secrétaire de l’assemblée.</w:t>
        </w:r>
        <w:r w:rsidR="00003DCA">
          <w:rPr>
            <w:noProof/>
            <w:webHidden/>
          </w:rPr>
          <w:tab/>
        </w:r>
        <w:r w:rsidR="00003DCA">
          <w:rPr>
            <w:noProof/>
            <w:webHidden/>
          </w:rPr>
          <w:fldChar w:fldCharType="begin"/>
        </w:r>
        <w:r w:rsidR="00003DCA">
          <w:rPr>
            <w:noProof/>
            <w:webHidden/>
          </w:rPr>
          <w:instrText xml:space="preserve"> PAGEREF _Toc161762372 \h </w:instrText>
        </w:r>
        <w:r w:rsidR="00003DCA">
          <w:rPr>
            <w:noProof/>
            <w:webHidden/>
          </w:rPr>
        </w:r>
        <w:r w:rsidR="00003DCA">
          <w:rPr>
            <w:noProof/>
            <w:webHidden/>
          </w:rPr>
          <w:fldChar w:fldCharType="separate"/>
        </w:r>
        <w:r w:rsidR="00B50BE2">
          <w:rPr>
            <w:noProof/>
            <w:webHidden/>
          </w:rPr>
          <w:t>52</w:t>
        </w:r>
        <w:r w:rsidR="00003DCA">
          <w:rPr>
            <w:noProof/>
            <w:webHidden/>
          </w:rPr>
          <w:fldChar w:fldCharType="end"/>
        </w:r>
      </w:hyperlink>
    </w:p>
    <w:p w:rsidR="00003DCA" w:rsidRDefault="00000000" w14:paraId="1361556B" w14:textId="339DBDE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3">
        <w:r w:rsidRPr="00EC7249" w:rsidR="00003DCA">
          <w:rPr>
            <w:rStyle w:val="Hyperlink"/>
            <w:noProof/>
          </w:rPr>
          <w:t>12.3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Quorum.</w:t>
        </w:r>
        <w:r w:rsidR="00003DCA">
          <w:rPr>
            <w:noProof/>
            <w:webHidden/>
          </w:rPr>
          <w:tab/>
        </w:r>
        <w:r w:rsidR="00003DCA">
          <w:rPr>
            <w:noProof/>
            <w:webHidden/>
          </w:rPr>
          <w:fldChar w:fldCharType="begin"/>
        </w:r>
        <w:r w:rsidR="00003DCA">
          <w:rPr>
            <w:noProof/>
            <w:webHidden/>
          </w:rPr>
          <w:instrText xml:space="preserve"> PAGEREF _Toc161762373 \h </w:instrText>
        </w:r>
        <w:r w:rsidR="00003DCA">
          <w:rPr>
            <w:noProof/>
            <w:webHidden/>
          </w:rPr>
        </w:r>
        <w:r w:rsidR="00003DCA">
          <w:rPr>
            <w:noProof/>
            <w:webHidden/>
          </w:rPr>
          <w:fldChar w:fldCharType="separate"/>
        </w:r>
        <w:r w:rsidR="00B50BE2">
          <w:rPr>
            <w:noProof/>
            <w:webHidden/>
          </w:rPr>
          <w:t>52</w:t>
        </w:r>
        <w:r w:rsidR="00003DCA">
          <w:rPr>
            <w:noProof/>
            <w:webHidden/>
          </w:rPr>
          <w:fldChar w:fldCharType="end"/>
        </w:r>
      </w:hyperlink>
    </w:p>
    <w:p w:rsidR="00003DCA" w:rsidRDefault="00000000" w14:paraId="1816AC56" w14:textId="255534FF">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4">
        <w:r w:rsidRPr="00EC7249" w:rsidR="00003DCA">
          <w:rPr>
            <w:rStyle w:val="Hyperlink"/>
            <w:noProof/>
          </w:rPr>
          <w:t>12.4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Vote.</w:t>
        </w:r>
        <w:r w:rsidR="00003DCA">
          <w:rPr>
            <w:noProof/>
            <w:webHidden/>
          </w:rPr>
          <w:tab/>
        </w:r>
        <w:r w:rsidR="00003DCA">
          <w:rPr>
            <w:noProof/>
            <w:webHidden/>
          </w:rPr>
          <w:fldChar w:fldCharType="begin"/>
        </w:r>
        <w:r w:rsidR="00003DCA">
          <w:rPr>
            <w:noProof/>
            <w:webHidden/>
          </w:rPr>
          <w:instrText xml:space="preserve"> PAGEREF _Toc161762374 \h </w:instrText>
        </w:r>
        <w:r w:rsidR="00003DCA">
          <w:rPr>
            <w:noProof/>
            <w:webHidden/>
          </w:rPr>
        </w:r>
        <w:r w:rsidR="00003DCA">
          <w:rPr>
            <w:noProof/>
            <w:webHidden/>
          </w:rPr>
          <w:fldChar w:fldCharType="separate"/>
        </w:r>
        <w:r w:rsidR="00B50BE2">
          <w:rPr>
            <w:noProof/>
            <w:webHidden/>
          </w:rPr>
          <w:t>52</w:t>
        </w:r>
        <w:r w:rsidR="00003DCA">
          <w:rPr>
            <w:noProof/>
            <w:webHidden/>
          </w:rPr>
          <w:fldChar w:fldCharType="end"/>
        </w:r>
      </w:hyperlink>
    </w:p>
    <w:p w:rsidR="00003DCA" w:rsidRDefault="00000000" w14:paraId="38DE1724" w14:textId="0EAFDF0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5">
        <w:r w:rsidRPr="00EC7249" w:rsidR="00003DCA">
          <w:rPr>
            <w:rStyle w:val="Hyperlink"/>
            <w:noProof/>
          </w:rPr>
          <w:t>12.5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Procurations.</w:t>
        </w:r>
        <w:r w:rsidR="00003DCA">
          <w:rPr>
            <w:noProof/>
            <w:webHidden/>
          </w:rPr>
          <w:tab/>
        </w:r>
        <w:r w:rsidR="00003DCA">
          <w:rPr>
            <w:noProof/>
            <w:webHidden/>
          </w:rPr>
          <w:fldChar w:fldCharType="begin"/>
        </w:r>
        <w:r w:rsidR="00003DCA">
          <w:rPr>
            <w:noProof/>
            <w:webHidden/>
          </w:rPr>
          <w:instrText xml:space="preserve"> PAGEREF _Toc161762375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3B2A86E3" w14:textId="5723BBFE">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6">
        <w:r w:rsidRPr="00EC7249" w:rsidR="00003DCA">
          <w:rPr>
            <w:rStyle w:val="Hyperlink"/>
            <w:noProof/>
          </w:rPr>
          <w:t>12.6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Validité du vote par procuration.</w:t>
        </w:r>
        <w:r w:rsidR="00003DCA">
          <w:rPr>
            <w:noProof/>
            <w:webHidden/>
          </w:rPr>
          <w:tab/>
        </w:r>
        <w:r w:rsidR="00003DCA">
          <w:rPr>
            <w:noProof/>
            <w:webHidden/>
          </w:rPr>
          <w:fldChar w:fldCharType="begin"/>
        </w:r>
        <w:r w:rsidR="00003DCA">
          <w:rPr>
            <w:noProof/>
            <w:webHidden/>
          </w:rPr>
          <w:instrText xml:space="preserve"> PAGEREF _Toc161762376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69857EE4" w14:textId="5B4C6C02">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7">
        <w:r w:rsidRPr="00EC7249" w:rsidR="00003DCA">
          <w:rPr>
            <w:rStyle w:val="Hyperlink"/>
            <w:noProof/>
          </w:rPr>
          <w:t>12.7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Participation et vote électroniques aux assemblées.</w:t>
        </w:r>
        <w:r w:rsidR="00003DCA">
          <w:rPr>
            <w:noProof/>
            <w:webHidden/>
          </w:rPr>
          <w:tab/>
        </w:r>
        <w:r w:rsidR="00003DCA">
          <w:rPr>
            <w:noProof/>
            <w:webHidden/>
          </w:rPr>
          <w:fldChar w:fldCharType="begin"/>
        </w:r>
        <w:r w:rsidR="00003DCA">
          <w:rPr>
            <w:noProof/>
            <w:webHidden/>
          </w:rPr>
          <w:instrText xml:space="preserve"> PAGEREF _Toc161762377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4161D528" w14:textId="14DF1D18">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78">
        <w:r w:rsidRPr="00EC7249" w:rsidR="00003DCA">
          <w:rPr>
            <w:rStyle w:val="Hyperlink"/>
            <w:noProof/>
          </w:rPr>
          <w:t>12.8</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Procès-verbal de l’assemblée.</w:t>
        </w:r>
        <w:r w:rsidR="00003DCA">
          <w:rPr>
            <w:noProof/>
            <w:webHidden/>
          </w:rPr>
          <w:tab/>
        </w:r>
        <w:r w:rsidR="00003DCA">
          <w:rPr>
            <w:noProof/>
            <w:webHidden/>
          </w:rPr>
          <w:fldChar w:fldCharType="begin"/>
        </w:r>
        <w:r w:rsidR="00003DCA">
          <w:rPr>
            <w:noProof/>
            <w:webHidden/>
          </w:rPr>
          <w:instrText xml:space="preserve"> PAGEREF _Toc161762378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613B41B0" w14:textId="1E03611E">
      <w:pPr>
        <w:pStyle w:val="TOC1"/>
        <w:rPr>
          <w:rFonts w:asciiTheme="minorHAnsi" w:hAnsiTheme="minorHAnsi" w:eastAsiaTheme="minorEastAsia"/>
          <w:b w:val="0"/>
          <w:caps w:val="0"/>
          <w:noProof/>
          <w:kern w:val="2"/>
          <w:szCs w:val="22"/>
          <w:lang w:val="en-CA" w:eastAsia="en-CA"/>
          <w14:ligatures w14:val="standardContextual"/>
        </w:rPr>
      </w:pPr>
      <w:hyperlink w:history="1" w:anchor="_Toc161762379">
        <w:r w:rsidRPr="00EC7249" w:rsidR="00003DCA">
          <w:rPr>
            <w:rStyle w:val="Hyperlink"/>
            <w:noProof/>
          </w:rPr>
          <w:t>Article 13 ComitÉ consultatif des commanditaires</w:t>
        </w:r>
        <w:r w:rsidR="00003DCA">
          <w:rPr>
            <w:noProof/>
            <w:webHidden/>
          </w:rPr>
          <w:tab/>
        </w:r>
        <w:r w:rsidR="00003DCA">
          <w:rPr>
            <w:noProof/>
            <w:webHidden/>
          </w:rPr>
          <w:fldChar w:fldCharType="begin"/>
        </w:r>
        <w:r w:rsidR="00003DCA">
          <w:rPr>
            <w:noProof/>
            <w:webHidden/>
          </w:rPr>
          <w:instrText xml:space="preserve"> PAGEREF _Toc161762379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3953D4D4" w14:textId="6E0D106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0">
        <w:r w:rsidRPr="00EC7249" w:rsidR="00003DCA">
          <w:rPr>
            <w:rStyle w:val="Hyperlink"/>
            <w:noProof/>
          </w:rPr>
          <w:t>13.1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Nomination et remplacement des membres.</w:t>
        </w:r>
        <w:r w:rsidR="00003DCA">
          <w:rPr>
            <w:noProof/>
            <w:webHidden/>
          </w:rPr>
          <w:tab/>
        </w:r>
        <w:r w:rsidR="00003DCA">
          <w:rPr>
            <w:noProof/>
            <w:webHidden/>
          </w:rPr>
          <w:fldChar w:fldCharType="begin"/>
        </w:r>
        <w:r w:rsidR="00003DCA">
          <w:rPr>
            <w:noProof/>
            <w:webHidden/>
          </w:rPr>
          <w:instrText xml:space="preserve"> PAGEREF _Toc161762380 \h </w:instrText>
        </w:r>
        <w:r w:rsidR="00003DCA">
          <w:rPr>
            <w:noProof/>
            <w:webHidden/>
          </w:rPr>
        </w:r>
        <w:r w:rsidR="00003DCA">
          <w:rPr>
            <w:noProof/>
            <w:webHidden/>
          </w:rPr>
          <w:fldChar w:fldCharType="separate"/>
        </w:r>
        <w:r w:rsidR="00B50BE2">
          <w:rPr>
            <w:noProof/>
            <w:webHidden/>
          </w:rPr>
          <w:t>53</w:t>
        </w:r>
        <w:r w:rsidR="00003DCA">
          <w:rPr>
            <w:noProof/>
            <w:webHidden/>
          </w:rPr>
          <w:fldChar w:fldCharType="end"/>
        </w:r>
      </w:hyperlink>
    </w:p>
    <w:p w:rsidR="00003DCA" w:rsidRDefault="00000000" w14:paraId="6018A553" w14:textId="1D2393DA">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1">
        <w:r w:rsidRPr="00EC7249" w:rsidR="00003DCA">
          <w:rPr>
            <w:rStyle w:val="Hyperlink"/>
            <w:noProof/>
          </w:rPr>
          <w:t>13.2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Étendue des pouvoirs.</w:t>
        </w:r>
        <w:r w:rsidR="00003DCA">
          <w:rPr>
            <w:noProof/>
            <w:webHidden/>
          </w:rPr>
          <w:tab/>
        </w:r>
        <w:r w:rsidR="00003DCA">
          <w:rPr>
            <w:noProof/>
            <w:webHidden/>
          </w:rPr>
          <w:fldChar w:fldCharType="begin"/>
        </w:r>
        <w:r w:rsidR="00003DCA">
          <w:rPr>
            <w:noProof/>
            <w:webHidden/>
          </w:rPr>
          <w:instrText xml:space="preserve"> PAGEREF _Toc161762381 \h </w:instrText>
        </w:r>
        <w:r w:rsidR="00003DCA">
          <w:rPr>
            <w:noProof/>
            <w:webHidden/>
          </w:rPr>
        </w:r>
        <w:r w:rsidR="00003DCA">
          <w:rPr>
            <w:noProof/>
            <w:webHidden/>
          </w:rPr>
          <w:fldChar w:fldCharType="separate"/>
        </w:r>
        <w:r w:rsidR="00B50BE2">
          <w:rPr>
            <w:noProof/>
            <w:webHidden/>
          </w:rPr>
          <w:t>54</w:t>
        </w:r>
        <w:r w:rsidR="00003DCA">
          <w:rPr>
            <w:noProof/>
            <w:webHidden/>
          </w:rPr>
          <w:fldChar w:fldCharType="end"/>
        </w:r>
      </w:hyperlink>
    </w:p>
    <w:p w:rsidR="00003DCA" w:rsidRDefault="00000000" w14:paraId="2C8B58F7" w14:textId="08E2BF76">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2">
        <w:r w:rsidRPr="00EC7249" w:rsidR="00003DCA">
          <w:rPr>
            <w:rStyle w:val="Hyperlink"/>
            <w:noProof/>
          </w:rPr>
          <w:t>13.3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Réunions.</w:t>
        </w:r>
        <w:r w:rsidR="00003DCA">
          <w:rPr>
            <w:noProof/>
            <w:webHidden/>
          </w:rPr>
          <w:tab/>
        </w:r>
        <w:r w:rsidR="00003DCA">
          <w:rPr>
            <w:noProof/>
            <w:webHidden/>
          </w:rPr>
          <w:fldChar w:fldCharType="begin"/>
        </w:r>
        <w:r w:rsidR="00003DCA">
          <w:rPr>
            <w:noProof/>
            <w:webHidden/>
          </w:rPr>
          <w:instrText xml:space="preserve"> PAGEREF _Toc161762382 \h </w:instrText>
        </w:r>
        <w:r w:rsidR="00003DCA">
          <w:rPr>
            <w:noProof/>
            <w:webHidden/>
          </w:rPr>
        </w:r>
        <w:r w:rsidR="00003DCA">
          <w:rPr>
            <w:noProof/>
            <w:webHidden/>
          </w:rPr>
          <w:fldChar w:fldCharType="separate"/>
        </w:r>
        <w:r w:rsidR="00B50BE2">
          <w:rPr>
            <w:noProof/>
            <w:webHidden/>
          </w:rPr>
          <w:t>56</w:t>
        </w:r>
        <w:r w:rsidR="00003DCA">
          <w:rPr>
            <w:noProof/>
            <w:webHidden/>
          </w:rPr>
          <w:fldChar w:fldCharType="end"/>
        </w:r>
      </w:hyperlink>
    </w:p>
    <w:p w:rsidR="00003DCA" w:rsidRDefault="00000000" w14:paraId="78E0C036" w14:textId="5958D70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3">
        <w:r w:rsidRPr="00EC7249" w:rsidR="00003DCA">
          <w:rPr>
            <w:rStyle w:val="Hyperlink"/>
            <w:noProof/>
          </w:rPr>
          <w:t>13.4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Résolutions du Comité consultatif des Commanditaires.</w:t>
        </w:r>
        <w:r w:rsidR="00003DCA">
          <w:rPr>
            <w:noProof/>
            <w:webHidden/>
          </w:rPr>
          <w:tab/>
        </w:r>
        <w:r w:rsidR="00003DCA">
          <w:rPr>
            <w:noProof/>
            <w:webHidden/>
          </w:rPr>
          <w:fldChar w:fldCharType="begin"/>
        </w:r>
        <w:r w:rsidR="00003DCA">
          <w:rPr>
            <w:noProof/>
            <w:webHidden/>
          </w:rPr>
          <w:instrText xml:space="preserve"> PAGEREF _Toc161762383 \h </w:instrText>
        </w:r>
        <w:r w:rsidR="00003DCA">
          <w:rPr>
            <w:noProof/>
            <w:webHidden/>
          </w:rPr>
        </w:r>
        <w:r w:rsidR="00003DCA">
          <w:rPr>
            <w:noProof/>
            <w:webHidden/>
          </w:rPr>
          <w:fldChar w:fldCharType="separate"/>
        </w:r>
        <w:r w:rsidR="00B50BE2">
          <w:rPr>
            <w:noProof/>
            <w:webHidden/>
          </w:rPr>
          <w:t>57</w:t>
        </w:r>
        <w:r w:rsidR="00003DCA">
          <w:rPr>
            <w:noProof/>
            <w:webHidden/>
          </w:rPr>
          <w:fldChar w:fldCharType="end"/>
        </w:r>
      </w:hyperlink>
    </w:p>
    <w:p w:rsidR="00003DCA" w:rsidRDefault="00000000" w14:paraId="613AD891" w14:textId="34F62F6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4">
        <w:r w:rsidRPr="00EC7249" w:rsidR="00003DCA">
          <w:rPr>
            <w:rStyle w:val="Hyperlink"/>
            <w:noProof/>
          </w:rPr>
          <w:t>13.5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Frais, dépenses, indemnité, etc.</w:t>
        </w:r>
        <w:r w:rsidR="00003DCA">
          <w:rPr>
            <w:noProof/>
            <w:webHidden/>
          </w:rPr>
          <w:tab/>
        </w:r>
        <w:r w:rsidR="00003DCA">
          <w:rPr>
            <w:noProof/>
            <w:webHidden/>
          </w:rPr>
          <w:fldChar w:fldCharType="begin"/>
        </w:r>
        <w:r w:rsidR="00003DCA">
          <w:rPr>
            <w:noProof/>
            <w:webHidden/>
          </w:rPr>
          <w:instrText xml:space="preserve"> PAGEREF _Toc161762384 \h </w:instrText>
        </w:r>
        <w:r w:rsidR="00003DCA">
          <w:rPr>
            <w:noProof/>
            <w:webHidden/>
          </w:rPr>
        </w:r>
        <w:r w:rsidR="00003DCA">
          <w:rPr>
            <w:noProof/>
            <w:webHidden/>
          </w:rPr>
          <w:fldChar w:fldCharType="separate"/>
        </w:r>
        <w:r w:rsidR="00B50BE2">
          <w:rPr>
            <w:noProof/>
            <w:webHidden/>
          </w:rPr>
          <w:t>57</w:t>
        </w:r>
        <w:r w:rsidR="00003DCA">
          <w:rPr>
            <w:noProof/>
            <w:webHidden/>
          </w:rPr>
          <w:fldChar w:fldCharType="end"/>
        </w:r>
      </w:hyperlink>
    </w:p>
    <w:p w:rsidR="00003DCA" w:rsidRDefault="00000000" w14:paraId="299323BF" w14:textId="2F4564A8">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5">
        <w:r w:rsidRPr="00EC7249" w:rsidR="00003DCA">
          <w:rPr>
            <w:rStyle w:val="Hyperlink"/>
            <w:noProof/>
          </w:rPr>
          <w:t>13.6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Assurance des administrateurs ou dirigeants.</w:t>
        </w:r>
        <w:r w:rsidR="00003DCA">
          <w:rPr>
            <w:noProof/>
            <w:webHidden/>
          </w:rPr>
          <w:tab/>
        </w:r>
        <w:r w:rsidR="00003DCA">
          <w:rPr>
            <w:noProof/>
            <w:webHidden/>
          </w:rPr>
          <w:fldChar w:fldCharType="begin"/>
        </w:r>
        <w:r w:rsidR="00003DCA">
          <w:rPr>
            <w:noProof/>
            <w:webHidden/>
          </w:rPr>
          <w:instrText xml:space="preserve"> PAGEREF _Toc161762385 \h </w:instrText>
        </w:r>
        <w:r w:rsidR="00003DCA">
          <w:rPr>
            <w:noProof/>
            <w:webHidden/>
          </w:rPr>
        </w:r>
        <w:r w:rsidR="00003DCA">
          <w:rPr>
            <w:noProof/>
            <w:webHidden/>
          </w:rPr>
          <w:fldChar w:fldCharType="separate"/>
        </w:r>
        <w:r w:rsidR="00B50BE2">
          <w:rPr>
            <w:noProof/>
            <w:webHidden/>
          </w:rPr>
          <w:t>57</w:t>
        </w:r>
        <w:r w:rsidR="00003DCA">
          <w:rPr>
            <w:noProof/>
            <w:webHidden/>
          </w:rPr>
          <w:fldChar w:fldCharType="end"/>
        </w:r>
      </w:hyperlink>
    </w:p>
    <w:p w:rsidR="00003DCA" w:rsidRDefault="00000000" w14:paraId="0CCF0D8A" w14:textId="0E748E3E">
      <w:pPr>
        <w:pStyle w:val="TOC1"/>
        <w:rPr>
          <w:rFonts w:asciiTheme="minorHAnsi" w:hAnsiTheme="minorHAnsi" w:eastAsiaTheme="minorEastAsia"/>
          <w:b w:val="0"/>
          <w:caps w:val="0"/>
          <w:noProof/>
          <w:kern w:val="2"/>
          <w:szCs w:val="22"/>
          <w:lang w:val="en-CA" w:eastAsia="en-CA"/>
          <w14:ligatures w14:val="standardContextual"/>
        </w:rPr>
      </w:pPr>
      <w:hyperlink w:history="1" w:anchor="_Toc161762386">
        <w:r w:rsidRPr="00EC7249" w:rsidR="00003DCA">
          <w:rPr>
            <w:rStyle w:val="Hyperlink"/>
            <w:noProof/>
          </w:rPr>
          <w:t>Article 14 DISTRIBUTIONS; Attributions</w:t>
        </w:r>
        <w:r w:rsidR="00003DCA">
          <w:rPr>
            <w:noProof/>
            <w:webHidden/>
          </w:rPr>
          <w:tab/>
        </w:r>
        <w:r w:rsidR="00003DCA">
          <w:rPr>
            <w:noProof/>
            <w:webHidden/>
          </w:rPr>
          <w:fldChar w:fldCharType="begin"/>
        </w:r>
        <w:r w:rsidR="00003DCA">
          <w:rPr>
            <w:noProof/>
            <w:webHidden/>
          </w:rPr>
          <w:instrText xml:space="preserve"> PAGEREF _Toc161762386 \h </w:instrText>
        </w:r>
        <w:r w:rsidR="00003DCA">
          <w:rPr>
            <w:noProof/>
            <w:webHidden/>
          </w:rPr>
        </w:r>
        <w:r w:rsidR="00003DCA">
          <w:rPr>
            <w:noProof/>
            <w:webHidden/>
          </w:rPr>
          <w:fldChar w:fldCharType="separate"/>
        </w:r>
        <w:r w:rsidR="00B50BE2">
          <w:rPr>
            <w:noProof/>
            <w:webHidden/>
          </w:rPr>
          <w:t>58</w:t>
        </w:r>
        <w:r w:rsidR="00003DCA">
          <w:rPr>
            <w:noProof/>
            <w:webHidden/>
          </w:rPr>
          <w:fldChar w:fldCharType="end"/>
        </w:r>
      </w:hyperlink>
    </w:p>
    <w:p w:rsidR="00003DCA" w:rsidRDefault="00000000" w14:paraId="7E470E9E" w14:textId="0F3CC87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7">
        <w:r w:rsidRPr="00EC7249" w:rsidR="00003DCA">
          <w:rPr>
            <w:rStyle w:val="Hyperlink"/>
            <w:noProof/>
          </w:rPr>
          <w:t>14.1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Dispositions générales.</w:t>
        </w:r>
        <w:r w:rsidR="00003DCA">
          <w:rPr>
            <w:noProof/>
            <w:webHidden/>
          </w:rPr>
          <w:tab/>
        </w:r>
        <w:r w:rsidR="00003DCA">
          <w:rPr>
            <w:noProof/>
            <w:webHidden/>
          </w:rPr>
          <w:fldChar w:fldCharType="begin"/>
        </w:r>
        <w:r w:rsidR="00003DCA">
          <w:rPr>
            <w:noProof/>
            <w:webHidden/>
          </w:rPr>
          <w:instrText xml:space="preserve"> PAGEREF _Toc161762387 \h </w:instrText>
        </w:r>
        <w:r w:rsidR="00003DCA">
          <w:rPr>
            <w:noProof/>
            <w:webHidden/>
          </w:rPr>
        </w:r>
        <w:r w:rsidR="00003DCA">
          <w:rPr>
            <w:noProof/>
            <w:webHidden/>
          </w:rPr>
          <w:fldChar w:fldCharType="separate"/>
        </w:r>
        <w:r w:rsidR="00B50BE2">
          <w:rPr>
            <w:noProof/>
            <w:webHidden/>
          </w:rPr>
          <w:t>58</w:t>
        </w:r>
        <w:r w:rsidR="00003DCA">
          <w:rPr>
            <w:noProof/>
            <w:webHidden/>
          </w:rPr>
          <w:fldChar w:fldCharType="end"/>
        </w:r>
      </w:hyperlink>
    </w:p>
    <w:p w:rsidR="00003DCA" w:rsidRDefault="00000000" w14:paraId="0708B90A" w14:textId="28BD144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8">
        <w:r w:rsidRPr="00EC7249" w:rsidR="00003DCA">
          <w:rPr>
            <w:rStyle w:val="Hyperlink"/>
            <w:noProof/>
          </w:rPr>
          <w:t>14.2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Distributions de Revenus d’Investissement temporaire.</w:t>
        </w:r>
        <w:r w:rsidR="00003DCA">
          <w:rPr>
            <w:noProof/>
            <w:webHidden/>
          </w:rPr>
          <w:tab/>
        </w:r>
        <w:r w:rsidR="00003DCA">
          <w:rPr>
            <w:noProof/>
            <w:webHidden/>
          </w:rPr>
          <w:fldChar w:fldCharType="begin"/>
        </w:r>
        <w:r w:rsidR="00003DCA">
          <w:rPr>
            <w:noProof/>
            <w:webHidden/>
          </w:rPr>
          <w:instrText xml:space="preserve"> PAGEREF _Toc161762388 \h </w:instrText>
        </w:r>
        <w:r w:rsidR="00003DCA">
          <w:rPr>
            <w:noProof/>
            <w:webHidden/>
          </w:rPr>
        </w:r>
        <w:r w:rsidR="00003DCA">
          <w:rPr>
            <w:noProof/>
            <w:webHidden/>
          </w:rPr>
          <w:fldChar w:fldCharType="separate"/>
        </w:r>
        <w:r w:rsidR="00B50BE2">
          <w:rPr>
            <w:noProof/>
            <w:webHidden/>
          </w:rPr>
          <w:t>58</w:t>
        </w:r>
        <w:r w:rsidR="00003DCA">
          <w:rPr>
            <w:noProof/>
            <w:webHidden/>
          </w:rPr>
          <w:fldChar w:fldCharType="end"/>
        </w:r>
      </w:hyperlink>
    </w:p>
    <w:p w:rsidR="00003DCA" w:rsidRDefault="00000000" w14:paraId="74AF6F00" w14:textId="76C0A17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89">
        <w:r w:rsidRPr="00EC7249" w:rsidR="00003DCA">
          <w:rPr>
            <w:rStyle w:val="Hyperlink"/>
            <w:noProof/>
          </w:rPr>
          <w:t>14.3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Distributions des Produits distribuables.</w:t>
        </w:r>
        <w:r w:rsidR="00003DCA">
          <w:rPr>
            <w:noProof/>
            <w:webHidden/>
          </w:rPr>
          <w:tab/>
        </w:r>
        <w:r w:rsidR="00003DCA">
          <w:rPr>
            <w:noProof/>
            <w:webHidden/>
          </w:rPr>
          <w:fldChar w:fldCharType="begin"/>
        </w:r>
        <w:r w:rsidR="00003DCA">
          <w:rPr>
            <w:noProof/>
            <w:webHidden/>
          </w:rPr>
          <w:instrText xml:space="preserve"> PAGEREF _Toc161762389 \h </w:instrText>
        </w:r>
        <w:r w:rsidR="00003DCA">
          <w:rPr>
            <w:noProof/>
            <w:webHidden/>
          </w:rPr>
        </w:r>
        <w:r w:rsidR="00003DCA">
          <w:rPr>
            <w:noProof/>
            <w:webHidden/>
          </w:rPr>
          <w:fldChar w:fldCharType="separate"/>
        </w:r>
        <w:r w:rsidR="00B50BE2">
          <w:rPr>
            <w:noProof/>
            <w:webHidden/>
          </w:rPr>
          <w:t>58</w:t>
        </w:r>
        <w:r w:rsidR="00003DCA">
          <w:rPr>
            <w:noProof/>
            <w:webHidden/>
          </w:rPr>
          <w:fldChar w:fldCharType="end"/>
        </w:r>
      </w:hyperlink>
    </w:p>
    <w:p w:rsidR="00003DCA" w:rsidRDefault="00000000" w14:paraId="09423FF3" w14:textId="117C37A4">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0">
        <w:r w:rsidRPr="00EC7249" w:rsidR="00003DCA">
          <w:rPr>
            <w:rStyle w:val="Hyperlink"/>
            <w:noProof/>
          </w:rPr>
          <w:t>14.4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Distributions en nature.</w:t>
        </w:r>
        <w:r w:rsidR="00003DCA">
          <w:rPr>
            <w:noProof/>
            <w:webHidden/>
          </w:rPr>
          <w:tab/>
        </w:r>
        <w:r w:rsidR="00003DCA">
          <w:rPr>
            <w:noProof/>
            <w:webHidden/>
          </w:rPr>
          <w:fldChar w:fldCharType="begin"/>
        </w:r>
        <w:r w:rsidR="00003DCA">
          <w:rPr>
            <w:noProof/>
            <w:webHidden/>
          </w:rPr>
          <w:instrText xml:space="preserve"> PAGEREF _Toc161762390 \h </w:instrText>
        </w:r>
        <w:r w:rsidR="00003DCA">
          <w:rPr>
            <w:noProof/>
            <w:webHidden/>
          </w:rPr>
        </w:r>
        <w:r w:rsidR="00003DCA">
          <w:rPr>
            <w:noProof/>
            <w:webHidden/>
          </w:rPr>
          <w:fldChar w:fldCharType="separate"/>
        </w:r>
        <w:r w:rsidR="00B50BE2">
          <w:rPr>
            <w:noProof/>
            <w:webHidden/>
          </w:rPr>
          <w:t>59</w:t>
        </w:r>
        <w:r w:rsidR="00003DCA">
          <w:rPr>
            <w:noProof/>
            <w:webHidden/>
          </w:rPr>
          <w:fldChar w:fldCharType="end"/>
        </w:r>
      </w:hyperlink>
    </w:p>
    <w:p w:rsidR="00003DCA" w:rsidRDefault="00000000" w14:paraId="4D9C04F3" w14:textId="791D7B0E">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1">
        <w:r w:rsidRPr="00EC7249" w:rsidR="00003DCA">
          <w:rPr>
            <w:rStyle w:val="Hyperlink"/>
            <w:noProof/>
          </w:rPr>
          <w:t>14.5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Distributions d’impôts.</w:t>
        </w:r>
        <w:r w:rsidR="00003DCA">
          <w:rPr>
            <w:noProof/>
            <w:webHidden/>
          </w:rPr>
          <w:tab/>
        </w:r>
        <w:r w:rsidR="00003DCA">
          <w:rPr>
            <w:noProof/>
            <w:webHidden/>
          </w:rPr>
          <w:fldChar w:fldCharType="begin"/>
        </w:r>
        <w:r w:rsidR="00003DCA">
          <w:rPr>
            <w:noProof/>
            <w:webHidden/>
          </w:rPr>
          <w:instrText xml:space="preserve"> PAGEREF _Toc161762391 \h </w:instrText>
        </w:r>
        <w:r w:rsidR="00003DCA">
          <w:rPr>
            <w:noProof/>
            <w:webHidden/>
          </w:rPr>
        </w:r>
        <w:r w:rsidR="00003DCA">
          <w:rPr>
            <w:noProof/>
            <w:webHidden/>
          </w:rPr>
          <w:fldChar w:fldCharType="separate"/>
        </w:r>
        <w:r w:rsidR="00B50BE2">
          <w:rPr>
            <w:noProof/>
            <w:webHidden/>
          </w:rPr>
          <w:t>60</w:t>
        </w:r>
        <w:r w:rsidR="00003DCA">
          <w:rPr>
            <w:noProof/>
            <w:webHidden/>
          </w:rPr>
          <w:fldChar w:fldCharType="end"/>
        </w:r>
      </w:hyperlink>
    </w:p>
    <w:p w:rsidR="00003DCA" w:rsidRDefault="00000000" w14:paraId="7576B68A" w14:textId="4DD9F51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2">
        <w:r w:rsidRPr="00EC7249" w:rsidR="00003DCA">
          <w:rPr>
            <w:rStyle w:val="Hyperlink"/>
            <w:noProof/>
          </w:rPr>
          <w:t>14.6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Retenue.</w:t>
        </w:r>
        <w:r w:rsidR="00003DCA">
          <w:rPr>
            <w:noProof/>
            <w:webHidden/>
          </w:rPr>
          <w:tab/>
        </w:r>
        <w:r w:rsidR="00003DCA">
          <w:rPr>
            <w:noProof/>
            <w:webHidden/>
          </w:rPr>
          <w:fldChar w:fldCharType="begin"/>
        </w:r>
        <w:r w:rsidR="00003DCA">
          <w:rPr>
            <w:noProof/>
            <w:webHidden/>
          </w:rPr>
          <w:instrText xml:space="preserve"> PAGEREF _Toc161762392 \h </w:instrText>
        </w:r>
        <w:r w:rsidR="00003DCA">
          <w:rPr>
            <w:noProof/>
            <w:webHidden/>
          </w:rPr>
        </w:r>
        <w:r w:rsidR="00003DCA">
          <w:rPr>
            <w:noProof/>
            <w:webHidden/>
          </w:rPr>
          <w:fldChar w:fldCharType="separate"/>
        </w:r>
        <w:r w:rsidR="00B50BE2">
          <w:rPr>
            <w:noProof/>
            <w:webHidden/>
          </w:rPr>
          <w:t>60</w:t>
        </w:r>
        <w:r w:rsidR="00003DCA">
          <w:rPr>
            <w:noProof/>
            <w:webHidden/>
          </w:rPr>
          <w:fldChar w:fldCharType="end"/>
        </w:r>
      </w:hyperlink>
    </w:p>
    <w:p w:rsidR="00003DCA" w:rsidRDefault="00000000" w14:paraId="6645CB49" w14:textId="235ADDD2">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3">
        <w:r w:rsidRPr="00EC7249" w:rsidR="00003DCA">
          <w:rPr>
            <w:rStyle w:val="Hyperlink"/>
            <w:noProof/>
          </w:rPr>
          <w:t>14.7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Recouvrement.</w:t>
        </w:r>
        <w:r w:rsidR="00003DCA">
          <w:rPr>
            <w:noProof/>
            <w:webHidden/>
          </w:rPr>
          <w:tab/>
        </w:r>
        <w:r w:rsidR="00003DCA">
          <w:rPr>
            <w:noProof/>
            <w:webHidden/>
          </w:rPr>
          <w:fldChar w:fldCharType="begin"/>
        </w:r>
        <w:r w:rsidR="00003DCA">
          <w:rPr>
            <w:noProof/>
            <w:webHidden/>
          </w:rPr>
          <w:instrText xml:space="preserve"> PAGEREF _Toc161762393 \h </w:instrText>
        </w:r>
        <w:r w:rsidR="00003DCA">
          <w:rPr>
            <w:noProof/>
            <w:webHidden/>
          </w:rPr>
        </w:r>
        <w:r w:rsidR="00003DCA">
          <w:rPr>
            <w:noProof/>
            <w:webHidden/>
          </w:rPr>
          <w:fldChar w:fldCharType="separate"/>
        </w:r>
        <w:r w:rsidR="00B50BE2">
          <w:rPr>
            <w:noProof/>
            <w:webHidden/>
          </w:rPr>
          <w:t>61</w:t>
        </w:r>
        <w:r w:rsidR="00003DCA">
          <w:rPr>
            <w:noProof/>
            <w:webHidden/>
          </w:rPr>
          <w:fldChar w:fldCharType="end"/>
        </w:r>
      </w:hyperlink>
    </w:p>
    <w:p w:rsidR="00003DCA" w:rsidRDefault="00000000" w14:paraId="1E9492CD" w14:textId="4756E3F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4">
        <w:r w:rsidRPr="00EC7249" w:rsidR="00003DCA">
          <w:rPr>
            <w:rStyle w:val="Hyperlink"/>
            <w:noProof/>
          </w:rPr>
          <w:t>14.8</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Comptes de capital.</w:t>
        </w:r>
        <w:r w:rsidR="00003DCA">
          <w:rPr>
            <w:noProof/>
            <w:webHidden/>
          </w:rPr>
          <w:tab/>
        </w:r>
        <w:r w:rsidR="00003DCA">
          <w:rPr>
            <w:noProof/>
            <w:webHidden/>
          </w:rPr>
          <w:fldChar w:fldCharType="begin"/>
        </w:r>
        <w:r w:rsidR="00003DCA">
          <w:rPr>
            <w:noProof/>
            <w:webHidden/>
          </w:rPr>
          <w:instrText xml:space="preserve"> PAGEREF _Toc161762394 \h </w:instrText>
        </w:r>
        <w:r w:rsidR="00003DCA">
          <w:rPr>
            <w:noProof/>
            <w:webHidden/>
          </w:rPr>
        </w:r>
        <w:r w:rsidR="00003DCA">
          <w:rPr>
            <w:noProof/>
            <w:webHidden/>
          </w:rPr>
          <w:fldChar w:fldCharType="separate"/>
        </w:r>
        <w:r w:rsidR="00B50BE2">
          <w:rPr>
            <w:noProof/>
            <w:webHidden/>
          </w:rPr>
          <w:t>63</w:t>
        </w:r>
        <w:r w:rsidR="00003DCA">
          <w:rPr>
            <w:noProof/>
            <w:webHidden/>
          </w:rPr>
          <w:fldChar w:fldCharType="end"/>
        </w:r>
      </w:hyperlink>
    </w:p>
    <w:p w:rsidR="00003DCA" w:rsidRDefault="00000000" w14:paraId="44D08FCC" w14:textId="0D8F1014">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5">
        <w:r w:rsidRPr="00EC7249" w:rsidR="00003DCA">
          <w:rPr>
            <w:rStyle w:val="Hyperlink"/>
            <w:noProof/>
          </w:rPr>
          <w:t>14.9</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Détermination du résultat net.</w:t>
        </w:r>
        <w:r w:rsidR="00003DCA">
          <w:rPr>
            <w:noProof/>
            <w:webHidden/>
          </w:rPr>
          <w:tab/>
        </w:r>
        <w:r w:rsidR="00003DCA">
          <w:rPr>
            <w:noProof/>
            <w:webHidden/>
          </w:rPr>
          <w:fldChar w:fldCharType="begin"/>
        </w:r>
        <w:r w:rsidR="00003DCA">
          <w:rPr>
            <w:noProof/>
            <w:webHidden/>
          </w:rPr>
          <w:instrText xml:space="preserve"> PAGEREF _Toc161762395 \h </w:instrText>
        </w:r>
        <w:r w:rsidR="00003DCA">
          <w:rPr>
            <w:noProof/>
            <w:webHidden/>
          </w:rPr>
        </w:r>
        <w:r w:rsidR="00003DCA">
          <w:rPr>
            <w:noProof/>
            <w:webHidden/>
          </w:rPr>
          <w:fldChar w:fldCharType="separate"/>
        </w:r>
        <w:r w:rsidR="00B50BE2">
          <w:rPr>
            <w:noProof/>
            <w:webHidden/>
          </w:rPr>
          <w:t>63</w:t>
        </w:r>
        <w:r w:rsidR="00003DCA">
          <w:rPr>
            <w:noProof/>
            <w:webHidden/>
          </w:rPr>
          <w:fldChar w:fldCharType="end"/>
        </w:r>
      </w:hyperlink>
    </w:p>
    <w:p w:rsidR="00003DCA" w:rsidRDefault="00000000" w14:paraId="10297056" w14:textId="781088D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6">
        <w:r w:rsidRPr="00EC7249" w:rsidR="00003DCA">
          <w:rPr>
            <w:rStyle w:val="Hyperlink"/>
            <w:noProof/>
          </w:rPr>
          <w:t>14.10</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Attribution du revenu net ou de la perte nette.</w:t>
        </w:r>
        <w:r w:rsidR="00003DCA">
          <w:rPr>
            <w:noProof/>
            <w:webHidden/>
          </w:rPr>
          <w:tab/>
        </w:r>
        <w:r w:rsidR="00003DCA">
          <w:rPr>
            <w:noProof/>
            <w:webHidden/>
          </w:rPr>
          <w:fldChar w:fldCharType="begin"/>
        </w:r>
        <w:r w:rsidR="00003DCA">
          <w:rPr>
            <w:noProof/>
            <w:webHidden/>
          </w:rPr>
          <w:instrText xml:space="preserve"> PAGEREF _Toc161762396 \h </w:instrText>
        </w:r>
        <w:r w:rsidR="00003DCA">
          <w:rPr>
            <w:noProof/>
            <w:webHidden/>
          </w:rPr>
        </w:r>
        <w:r w:rsidR="00003DCA">
          <w:rPr>
            <w:noProof/>
            <w:webHidden/>
          </w:rPr>
          <w:fldChar w:fldCharType="separate"/>
        </w:r>
        <w:r w:rsidR="00B50BE2">
          <w:rPr>
            <w:noProof/>
            <w:webHidden/>
          </w:rPr>
          <w:t>63</w:t>
        </w:r>
        <w:r w:rsidR="00003DCA">
          <w:rPr>
            <w:noProof/>
            <w:webHidden/>
          </w:rPr>
          <w:fldChar w:fldCharType="end"/>
        </w:r>
      </w:hyperlink>
    </w:p>
    <w:p w:rsidR="00003DCA" w:rsidRDefault="00000000" w14:paraId="20C743F3" w14:textId="136C32E7">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7">
        <w:r w:rsidRPr="00EC7249" w:rsidR="00003DCA">
          <w:rPr>
            <w:rStyle w:val="Hyperlink"/>
            <w:noProof/>
          </w:rPr>
          <w:t>14.11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Calcul du revenu ou de la perte à des fins fiscales.</w:t>
        </w:r>
        <w:r w:rsidR="00003DCA">
          <w:rPr>
            <w:noProof/>
            <w:webHidden/>
          </w:rPr>
          <w:tab/>
        </w:r>
        <w:r w:rsidR="00003DCA">
          <w:rPr>
            <w:noProof/>
            <w:webHidden/>
          </w:rPr>
          <w:fldChar w:fldCharType="begin"/>
        </w:r>
        <w:r w:rsidR="00003DCA">
          <w:rPr>
            <w:noProof/>
            <w:webHidden/>
          </w:rPr>
          <w:instrText xml:space="preserve"> PAGEREF _Toc161762397 \h </w:instrText>
        </w:r>
        <w:r w:rsidR="00003DCA">
          <w:rPr>
            <w:noProof/>
            <w:webHidden/>
          </w:rPr>
        </w:r>
        <w:r w:rsidR="00003DCA">
          <w:rPr>
            <w:noProof/>
            <w:webHidden/>
          </w:rPr>
          <w:fldChar w:fldCharType="separate"/>
        </w:r>
        <w:r w:rsidR="00B50BE2">
          <w:rPr>
            <w:noProof/>
            <w:webHidden/>
          </w:rPr>
          <w:t>64</w:t>
        </w:r>
        <w:r w:rsidR="00003DCA">
          <w:rPr>
            <w:noProof/>
            <w:webHidden/>
          </w:rPr>
          <w:fldChar w:fldCharType="end"/>
        </w:r>
      </w:hyperlink>
    </w:p>
    <w:p w:rsidR="00003DCA" w:rsidRDefault="00000000" w14:paraId="1786774E" w14:textId="6EC293C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8">
        <w:r w:rsidRPr="00EC7249" w:rsidR="00003DCA">
          <w:rPr>
            <w:rStyle w:val="Hyperlink"/>
            <w:noProof/>
          </w:rPr>
          <w:t>14.12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Attribution du revenu ou de la perte à des fins fiscales.</w:t>
        </w:r>
        <w:r w:rsidR="00003DCA">
          <w:rPr>
            <w:noProof/>
            <w:webHidden/>
          </w:rPr>
          <w:tab/>
        </w:r>
        <w:r w:rsidR="00003DCA">
          <w:rPr>
            <w:noProof/>
            <w:webHidden/>
          </w:rPr>
          <w:fldChar w:fldCharType="begin"/>
        </w:r>
        <w:r w:rsidR="00003DCA">
          <w:rPr>
            <w:noProof/>
            <w:webHidden/>
          </w:rPr>
          <w:instrText xml:space="preserve"> PAGEREF _Toc161762398 \h </w:instrText>
        </w:r>
        <w:r w:rsidR="00003DCA">
          <w:rPr>
            <w:noProof/>
            <w:webHidden/>
          </w:rPr>
        </w:r>
        <w:r w:rsidR="00003DCA">
          <w:rPr>
            <w:noProof/>
            <w:webHidden/>
          </w:rPr>
          <w:fldChar w:fldCharType="separate"/>
        </w:r>
        <w:r w:rsidR="00B50BE2">
          <w:rPr>
            <w:noProof/>
            <w:webHidden/>
          </w:rPr>
          <w:t>64</w:t>
        </w:r>
        <w:r w:rsidR="00003DCA">
          <w:rPr>
            <w:noProof/>
            <w:webHidden/>
          </w:rPr>
          <w:fldChar w:fldCharType="end"/>
        </w:r>
      </w:hyperlink>
    </w:p>
    <w:p w:rsidR="00003DCA" w:rsidRDefault="00000000" w14:paraId="1C9B9D64" w14:textId="2886C2F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399">
        <w:r w:rsidRPr="00EC7249" w:rsidR="00003DCA">
          <w:rPr>
            <w:rStyle w:val="Hyperlink"/>
            <w:noProof/>
          </w:rPr>
          <w:t>14.13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highlight w:val="yellow"/>
          </w:rPr>
          <w:t>[Déclarations de revenus.]</w:t>
        </w:r>
        <w:r w:rsidR="00003DCA">
          <w:rPr>
            <w:noProof/>
            <w:webHidden/>
          </w:rPr>
          <w:tab/>
        </w:r>
        <w:r w:rsidR="00003DCA">
          <w:rPr>
            <w:noProof/>
            <w:webHidden/>
          </w:rPr>
          <w:fldChar w:fldCharType="begin"/>
        </w:r>
        <w:r w:rsidR="00003DCA">
          <w:rPr>
            <w:noProof/>
            <w:webHidden/>
          </w:rPr>
          <w:instrText xml:space="preserve"> PAGEREF _Toc161762399 \h </w:instrText>
        </w:r>
        <w:r w:rsidR="00003DCA">
          <w:rPr>
            <w:noProof/>
            <w:webHidden/>
          </w:rPr>
        </w:r>
        <w:r w:rsidR="00003DCA">
          <w:rPr>
            <w:noProof/>
            <w:webHidden/>
          </w:rPr>
          <w:fldChar w:fldCharType="separate"/>
        </w:r>
        <w:r w:rsidR="00B50BE2">
          <w:rPr>
            <w:noProof/>
            <w:webHidden/>
          </w:rPr>
          <w:t>64</w:t>
        </w:r>
        <w:r w:rsidR="00003DCA">
          <w:rPr>
            <w:noProof/>
            <w:webHidden/>
          </w:rPr>
          <w:fldChar w:fldCharType="end"/>
        </w:r>
      </w:hyperlink>
    </w:p>
    <w:p w:rsidR="00003DCA" w:rsidRDefault="00000000" w14:paraId="18F1C5B2" w14:textId="7999002B">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0">
        <w:r w:rsidRPr="00EC7249" w:rsidR="00003DCA">
          <w:rPr>
            <w:rStyle w:val="Hyperlink"/>
            <w:noProof/>
          </w:rPr>
          <w:t>14.14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Considérations fiscales.</w:t>
        </w:r>
        <w:r w:rsidR="00003DCA">
          <w:rPr>
            <w:noProof/>
            <w:webHidden/>
          </w:rPr>
          <w:tab/>
        </w:r>
        <w:r w:rsidR="00003DCA">
          <w:rPr>
            <w:noProof/>
            <w:webHidden/>
          </w:rPr>
          <w:fldChar w:fldCharType="begin"/>
        </w:r>
        <w:r w:rsidR="00003DCA">
          <w:rPr>
            <w:noProof/>
            <w:webHidden/>
          </w:rPr>
          <w:instrText xml:space="preserve"> PAGEREF _Toc161762400 \h </w:instrText>
        </w:r>
        <w:r w:rsidR="00003DCA">
          <w:rPr>
            <w:noProof/>
            <w:webHidden/>
          </w:rPr>
        </w:r>
        <w:r w:rsidR="00003DCA">
          <w:rPr>
            <w:noProof/>
            <w:webHidden/>
          </w:rPr>
          <w:fldChar w:fldCharType="separate"/>
        </w:r>
        <w:r w:rsidR="00B50BE2">
          <w:rPr>
            <w:noProof/>
            <w:webHidden/>
          </w:rPr>
          <w:t>64</w:t>
        </w:r>
        <w:r w:rsidR="00003DCA">
          <w:rPr>
            <w:noProof/>
            <w:webHidden/>
          </w:rPr>
          <w:fldChar w:fldCharType="end"/>
        </w:r>
      </w:hyperlink>
    </w:p>
    <w:p w:rsidR="00003DCA" w:rsidRDefault="00000000" w14:paraId="0E39F244" w14:textId="42265D32">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1">
        <w:r w:rsidRPr="00EC7249" w:rsidR="00003DCA">
          <w:rPr>
            <w:rStyle w:val="Hyperlink"/>
            <w:noProof/>
          </w:rPr>
          <w:t>14.15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Pas d’intérêts.</w:t>
        </w:r>
        <w:r w:rsidR="00003DCA">
          <w:rPr>
            <w:noProof/>
            <w:webHidden/>
          </w:rPr>
          <w:tab/>
        </w:r>
        <w:r w:rsidR="00003DCA">
          <w:rPr>
            <w:noProof/>
            <w:webHidden/>
          </w:rPr>
          <w:fldChar w:fldCharType="begin"/>
        </w:r>
        <w:r w:rsidR="00003DCA">
          <w:rPr>
            <w:noProof/>
            <w:webHidden/>
          </w:rPr>
          <w:instrText xml:space="preserve"> PAGEREF _Toc161762401 \h </w:instrText>
        </w:r>
        <w:r w:rsidR="00003DCA">
          <w:rPr>
            <w:noProof/>
            <w:webHidden/>
          </w:rPr>
        </w:r>
        <w:r w:rsidR="00003DCA">
          <w:rPr>
            <w:noProof/>
            <w:webHidden/>
          </w:rPr>
          <w:fldChar w:fldCharType="separate"/>
        </w:r>
        <w:r w:rsidR="00B50BE2">
          <w:rPr>
            <w:noProof/>
            <w:webHidden/>
          </w:rPr>
          <w:t>64</w:t>
        </w:r>
        <w:r w:rsidR="00003DCA">
          <w:rPr>
            <w:noProof/>
            <w:webHidden/>
          </w:rPr>
          <w:fldChar w:fldCharType="end"/>
        </w:r>
      </w:hyperlink>
    </w:p>
    <w:p w:rsidR="00003DCA" w:rsidRDefault="00000000" w14:paraId="600FE1CF" w14:textId="1B9C7CC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2">
        <w:r w:rsidRPr="00EC7249" w:rsidR="00003DCA">
          <w:rPr>
            <w:rStyle w:val="Hyperlink"/>
            <w:noProof/>
          </w:rPr>
          <w:t>14.16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Droit de compensation</w:t>
        </w:r>
        <w:r w:rsidR="00003DCA">
          <w:rPr>
            <w:noProof/>
            <w:webHidden/>
          </w:rPr>
          <w:tab/>
        </w:r>
        <w:r w:rsidR="00003DCA">
          <w:rPr>
            <w:noProof/>
            <w:webHidden/>
          </w:rPr>
          <w:fldChar w:fldCharType="begin"/>
        </w:r>
        <w:r w:rsidR="00003DCA">
          <w:rPr>
            <w:noProof/>
            <w:webHidden/>
          </w:rPr>
          <w:instrText xml:space="preserve"> PAGEREF _Toc161762402 \h </w:instrText>
        </w:r>
        <w:r w:rsidR="00003DCA">
          <w:rPr>
            <w:noProof/>
            <w:webHidden/>
          </w:rPr>
        </w:r>
        <w:r w:rsidR="00003DCA">
          <w:rPr>
            <w:noProof/>
            <w:webHidden/>
          </w:rPr>
          <w:fldChar w:fldCharType="separate"/>
        </w:r>
        <w:r w:rsidR="00B50BE2">
          <w:rPr>
            <w:noProof/>
            <w:webHidden/>
          </w:rPr>
          <w:t>65</w:t>
        </w:r>
        <w:r w:rsidR="00003DCA">
          <w:rPr>
            <w:noProof/>
            <w:webHidden/>
          </w:rPr>
          <w:fldChar w:fldCharType="end"/>
        </w:r>
      </w:hyperlink>
    </w:p>
    <w:p w:rsidR="00003DCA" w:rsidRDefault="00000000" w14:paraId="5C56AA7F" w14:textId="2200DC7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3">
        <w:r w:rsidRPr="00EC7249" w:rsidR="00003DCA">
          <w:rPr>
            <w:rStyle w:val="Hyperlink"/>
            <w:noProof/>
          </w:rPr>
          <w:t>14.17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Choix en matière d’impôt sur le revenu et déclarations de renseignements.</w:t>
        </w:r>
        <w:r w:rsidR="00003DCA">
          <w:rPr>
            <w:noProof/>
            <w:webHidden/>
          </w:rPr>
          <w:tab/>
        </w:r>
        <w:r w:rsidR="00003DCA">
          <w:rPr>
            <w:noProof/>
            <w:webHidden/>
          </w:rPr>
          <w:fldChar w:fldCharType="begin"/>
        </w:r>
        <w:r w:rsidR="00003DCA">
          <w:rPr>
            <w:noProof/>
            <w:webHidden/>
          </w:rPr>
          <w:instrText xml:space="preserve"> PAGEREF _Toc161762403 \h </w:instrText>
        </w:r>
        <w:r w:rsidR="00003DCA">
          <w:rPr>
            <w:noProof/>
            <w:webHidden/>
          </w:rPr>
        </w:r>
        <w:r w:rsidR="00003DCA">
          <w:rPr>
            <w:noProof/>
            <w:webHidden/>
          </w:rPr>
          <w:fldChar w:fldCharType="separate"/>
        </w:r>
        <w:r w:rsidR="00B50BE2">
          <w:rPr>
            <w:noProof/>
            <w:webHidden/>
          </w:rPr>
          <w:t>65</w:t>
        </w:r>
        <w:r w:rsidR="00003DCA">
          <w:rPr>
            <w:noProof/>
            <w:webHidden/>
          </w:rPr>
          <w:fldChar w:fldCharType="end"/>
        </w:r>
      </w:hyperlink>
    </w:p>
    <w:p w:rsidR="00003DCA" w:rsidRDefault="00000000" w14:paraId="03D7C459" w14:textId="6BD7908B">
      <w:pPr>
        <w:pStyle w:val="TOC1"/>
        <w:rPr>
          <w:rFonts w:asciiTheme="minorHAnsi" w:hAnsiTheme="minorHAnsi" w:eastAsiaTheme="minorEastAsia"/>
          <w:b w:val="0"/>
          <w:caps w:val="0"/>
          <w:noProof/>
          <w:kern w:val="2"/>
          <w:szCs w:val="22"/>
          <w:lang w:val="en-CA" w:eastAsia="en-CA"/>
          <w14:ligatures w14:val="standardContextual"/>
        </w:rPr>
      </w:pPr>
      <w:hyperlink w:history="1" w:anchor="_Toc161762404">
        <w:r w:rsidRPr="00EC7249" w:rsidR="00003DCA">
          <w:rPr>
            <w:rStyle w:val="Hyperlink"/>
            <w:noProof/>
          </w:rPr>
          <w:t>Article 15 Livres et Registres; rapports aux commanditaires</w:t>
        </w:r>
        <w:r w:rsidR="00003DCA">
          <w:rPr>
            <w:noProof/>
            <w:webHidden/>
          </w:rPr>
          <w:tab/>
        </w:r>
        <w:r w:rsidR="00003DCA">
          <w:rPr>
            <w:noProof/>
            <w:webHidden/>
          </w:rPr>
          <w:fldChar w:fldCharType="begin"/>
        </w:r>
        <w:r w:rsidR="00003DCA">
          <w:rPr>
            <w:noProof/>
            <w:webHidden/>
          </w:rPr>
          <w:instrText xml:space="preserve"> PAGEREF _Toc161762404 \h </w:instrText>
        </w:r>
        <w:r w:rsidR="00003DCA">
          <w:rPr>
            <w:noProof/>
            <w:webHidden/>
          </w:rPr>
        </w:r>
        <w:r w:rsidR="00003DCA">
          <w:rPr>
            <w:noProof/>
            <w:webHidden/>
          </w:rPr>
          <w:fldChar w:fldCharType="separate"/>
        </w:r>
        <w:r w:rsidR="00B50BE2">
          <w:rPr>
            <w:noProof/>
            <w:webHidden/>
          </w:rPr>
          <w:t>65</w:t>
        </w:r>
        <w:r w:rsidR="00003DCA">
          <w:rPr>
            <w:noProof/>
            <w:webHidden/>
          </w:rPr>
          <w:fldChar w:fldCharType="end"/>
        </w:r>
      </w:hyperlink>
    </w:p>
    <w:p w:rsidR="00003DCA" w:rsidRDefault="00000000" w14:paraId="079447A1" w14:textId="392FAA2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5">
        <w:r w:rsidRPr="00EC7249" w:rsidR="00003DCA">
          <w:rPr>
            <w:rStyle w:val="Hyperlink"/>
            <w:noProof/>
          </w:rPr>
          <w:t>15.1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Tenue des livres et registres.</w:t>
        </w:r>
        <w:r w:rsidR="00003DCA">
          <w:rPr>
            <w:noProof/>
            <w:webHidden/>
          </w:rPr>
          <w:tab/>
        </w:r>
        <w:r w:rsidR="00003DCA">
          <w:rPr>
            <w:noProof/>
            <w:webHidden/>
          </w:rPr>
          <w:fldChar w:fldCharType="begin"/>
        </w:r>
        <w:r w:rsidR="00003DCA">
          <w:rPr>
            <w:noProof/>
            <w:webHidden/>
          </w:rPr>
          <w:instrText xml:space="preserve"> PAGEREF _Toc161762405 \h </w:instrText>
        </w:r>
        <w:r w:rsidR="00003DCA">
          <w:rPr>
            <w:noProof/>
            <w:webHidden/>
          </w:rPr>
        </w:r>
        <w:r w:rsidR="00003DCA">
          <w:rPr>
            <w:noProof/>
            <w:webHidden/>
          </w:rPr>
          <w:fldChar w:fldCharType="separate"/>
        </w:r>
        <w:r w:rsidR="00B50BE2">
          <w:rPr>
            <w:noProof/>
            <w:webHidden/>
          </w:rPr>
          <w:t>65</w:t>
        </w:r>
        <w:r w:rsidR="00003DCA">
          <w:rPr>
            <w:noProof/>
            <w:webHidden/>
          </w:rPr>
          <w:fldChar w:fldCharType="end"/>
        </w:r>
      </w:hyperlink>
    </w:p>
    <w:p w:rsidR="00003DCA" w:rsidRDefault="00000000" w14:paraId="5E8C8EEE" w14:textId="47DE8788">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6">
        <w:r w:rsidRPr="00EC7249" w:rsidR="00003DCA">
          <w:rPr>
            <w:rStyle w:val="Hyperlink"/>
            <w:noProof/>
          </w:rPr>
          <w:t>15.2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Vérifications et rapports.</w:t>
        </w:r>
        <w:r w:rsidR="00003DCA">
          <w:rPr>
            <w:noProof/>
            <w:webHidden/>
          </w:rPr>
          <w:tab/>
        </w:r>
        <w:r w:rsidR="00003DCA">
          <w:rPr>
            <w:noProof/>
            <w:webHidden/>
          </w:rPr>
          <w:fldChar w:fldCharType="begin"/>
        </w:r>
        <w:r w:rsidR="00003DCA">
          <w:rPr>
            <w:noProof/>
            <w:webHidden/>
          </w:rPr>
          <w:instrText xml:space="preserve"> PAGEREF _Toc161762406 \h </w:instrText>
        </w:r>
        <w:r w:rsidR="00003DCA">
          <w:rPr>
            <w:noProof/>
            <w:webHidden/>
          </w:rPr>
        </w:r>
        <w:r w:rsidR="00003DCA">
          <w:rPr>
            <w:noProof/>
            <w:webHidden/>
          </w:rPr>
          <w:fldChar w:fldCharType="separate"/>
        </w:r>
        <w:r w:rsidR="00B50BE2">
          <w:rPr>
            <w:noProof/>
            <w:webHidden/>
          </w:rPr>
          <w:t>66</w:t>
        </w:r>
        <w:r w:rsidR="00003DCA">
          <w:rPr>
            <w:noProof/>
            <w:webHidden/>
          </w:rPr>
          <w:fldChar w:fldCharType="end"/>
        </w:r>
      </w:hyperlink>
    </w:p>
    <w:p w:rsidR="00003DCA" w:rsidRDefault="00000000" w14:paraId="51541714" w14:textId="53A443B3">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7">
        <w:r w:rsidRPr="00EC7249" w:rsidR="00003DCA">
          <w:rPr>
            <w:rStyle w:val="Hyperlink"/>
            <w:noProof/>
          </w:rPr>
          <w:t>15.3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Impôts.</w:t>
        </w:r>
        <w:r w:rsidR="00003DCA">
          <w:rPr>
            <w:noProof/>
            <w:webHidden/>
          </w:rPr>
          <w:tab/>
        </w:r>
        <w:r w:rsidR="00003DCA">
          <w:rPr>
            <w:noProof/>
            <w:webHidden/>
          </w:rPr>
          <w:fldChar w:fldCharType="begin"/>
        </w:r>
        <w:r w:rsidR="00003DCA">
          <w:rPr>
            <w:noProof/>
            <w:webHidden/>
          </w:rPr>
          <w:instrText xml:space="preserve"> PAGEREF _Toc161762407 \h </w:instrText>
        </w:r>
        <w:r w:rsidR="00003DCA">
          <w:rPr>
            <w:noProof/>
            <w:webHidden/>
          </w:rPr>
        </w:r>
        <w:r w:rsidR="00003DCA">
          <w:rPr>
            <w:noProof/>
            <w:webHidden/>
          </w:rPr>
          <w:fldChar w:fldCharType="separate"/>
        </w:r>
        <w:r w:rsidR="00B50BE2">
          <w:rPr>
            <w:noProof/>
            <w:webHidden/>
          </w:rPr>
          <w:t>67</w:t>
        </w:r>
        <w:r w:rsidR="00003DCA">
          <w:rPr>
            <w:noProof/>
            <w:webHidden/>
          </w:rPr>
          <w:fldChar w:fldCharType="end"/>
        </w:r>
      </w:hyperlink>
    </w:p>
    <w:p w:rsidR="00003DCA" w:rsidRDefault="00000000" w14:paraId="22063335" w14:textId="49E874D2">
      <w:pPr>
        <w:pStyle w:val="TOC1"/>
        <w:rPr>
          <w:rFonts w:asciiTheme="minorHAnsi" w:hAnsiTheme="minorHAnsi" w:eastAsiaTheme="minorEastAsia"/>
          <w:b w:val="0"/>
          <w:caps w:val="0"/>
          <w:noProof/>
          <w:kern w:val="2"/>
          <w:szCs w:val="22"/>
          <w:lang w:val="en-CA" w:eastAsia="en-CA"/>
          <w14:ligatures w14:val="standardContextual"/>
        </w:rPr>
      </w:pPr>
      <w:hyperlink w:history="1" w:anchor="_Toc161762408">
        <w:r w:rsidRPr="00EC7249" w:rsidR="00003DCA">
          <w:rPr>
            <w:rStyle w:val="Hyperlink"/>
            <w:noProof/>
          </w:rPr>
          <w:t>Article 16 ExonÉration et indemnisation</w:t>
        </w:r>
        <w:r w:rsidR="00003DCA">
          <w:rPr>
            <w:noProof/>
            <w:webHidden/>
          </w:rPr>
          <w:tab/>
        </w:r>
        <w:r w:rsidR="00003DCA">
          <w:rPr>
            <w:noProof/>
            <w:webHidden/>
          </w:rPr>
          <w:fldChar w:fldCharType="begin"/>
        </w:r>
        <w:r w:rsidR="00003DCA">
          <w:rPr>
            <w:noProof/>
            <w:webHidden/>
          </w:rPr>
          <w:instrText xml:space="preserve"> PAGEREF _Toc161762408 \h </w:instrText>
        </w:r>
        <w:r w:rsidR="00003DCA">
          <w:rPr>
            <w:noProof/>
            <w:webHidden/>
          </w:rPr>
        </w:r>
        <w:r w:rsidR="00003DCA">
          <w:rPr>
            <w:noProof/>
            <w:webHidden/>
          </w:rPr>
          <w:fldChar w:fldCharType="separate"/>
        </w:r>
        <w:r w:rsidR="00B50BE2">
          <w:rPr>
            <w:noProof/>
            <w:webHidden/>
          </w:rPr>
          <w:t>67</w:t>
        </w:r>
        <w:r w:rsidR="00003DCA">
          <w:rPr>
            <w:noProof/>
            <w:webHidden/>
          </w:rPr>
          <w:fldChar w:fldCharType="end"/>
        </w:r>
      </w:hyperlink>
    </w:p>
    <w:p w:rsidR="00003DCA" w:rsidRDefault="00000000" w14:paraId="62E74308" w14:textId="40C0932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09">
        <w:r w:rsidRPr="00EC7249" w:rsidR="00003DCA">
          <w:rPr>
            <w:rStyle w:val="Hyperlink"/>
            <w:noProof/>
          </w:rPr>
          <w:t>16.1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Exonération des Personnes couvertes.</w:t>
        </w:r>
        <w:r w:rsidR="00003DCA">
          <w:rPr>
            <w:noProof/>
            <w:webHidden/>
          </w:rPr>
          <w:tab/>
        </w:r>
        <w:r w:rsidR="00003DCA">
          <w:rPr>
            <w:noProof/>
            <w:webHidden/>
          </w:rPr>
          <w:fldChar w:fldCharType="begin"/>
        </w:r>
        <w:r w:rsidR="00003DCA">
          <w:rPr>
            <w:noProof/>
            <w:webHidden/>
          </w:rPr>
          <w:instrText xml:space="preserve"> PAGEREF _Toc161762409 \h </w:instrText>
        </w:r>
        <w:r w:rsidR="00003DCA">
          <w:rPr>
            <w:noProof/>
            <w:webHidden/>
          </w:rPr>
        </w:r>
        <w:r w:rsidR="00003DCA">
          <w:rPr>
            <w:noProof/>
            <w:webHidden/>
          </w:rPr>
          <w:fldChar w:fldCharType="separate"/>
        </w:r>
        <w:r w:rsidR="00B50BE2">
          <w:rPr>
            <w:noProof/>
            <w:webHidden/>
          </w:rPr>
          <w:t>67</w:t>
        </w:r>
        <w:r w:rsidR="00003DCA">
          <w:rPr>
            <w:noProof/>
            <w:webHidden/>
          </w:rPr>
          <w:fldChar w:fldCharType="end"/>
        </w:r>
      </w:hyperlink>
    </w:p>
    <w:p w:rsidR="00003DCA" w:rsidRDefault="00000000" w14:paraId="5D036E62" w14:textId="0A4328B3">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0">
        <w:r w:rsidRPr="00EC7249" w:rsidR="00003DCA">
          <w:rPr>
            <w:rStyle w:val="Hyperlink"/>
            <w:noProof/>
          </w:rPr>
          <w:t>16.2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Indemnisation des Personnes couvertes.</w:t>
        </w:r>
        <w:r w:rsidR="00003DCA">
          <w:rPr>
            <w:noProof/>
            <w:webHidden/>
          </w:rPr>
          <w:tab/>
        </w:r>
        <w:r w:rsidR="00003DCA">
          <w:rPr>
            <w:noProof/>
            <w:webHidden/>
          </w:rPr>
          <w:fldChar w:fldCharType="begin"/>
        </w:r>
        <w:r w:rsidR="00003DCA">
          <w:rPr>
            <w:noProof/>
            <w:webHidden/>
          </w:rPr>
          <w:instrText xml:space="preserve"> PAGEREF _Toc161762410 \h </w:instrText>
        </w:r>
        <w:r w:rsidR="00003DCA">
          <w:rPr>
            <w:noProof/>
            <w:webHidden/>
          </w:rPr>
        </w:r>
        <w:r w:rsidR="00003DCA">
          <w:rPr>
            <w:noProof/>
            <w:webHidden/>
          </w:rPr>
          <w:fldChar w:fldCharType="separate"/>
        </w:r>
        <w:r w:rsidR="00B50BE2">
          <w:rPr>
            <w:noProof/>
            <w:webHidden/>
          </w:rPr>
          <w:t>68</w:t>
        </w:r>
        <w:r w:rsidR="00003DCA">
          <w:rPr>
            <w:noProof/>
            <w:webHidden/>
          </w:rPr>
          <w:fldChar w:fldCharType="end"/>
        </w:r>
      </w:hyperlink>
    </w:p>
    <w:p w:rsidR="00003DCA" w:rsidRDefault="00000000" w14:paraId="67AE95B1" w14:textId="526B737B">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1">
        <w:r w:rsidRPr="00EC7249" w:rsidR="00003DCA">
          <w:rPr>
            <w:rStyle w:val="Hyperlink"/>
            <w:noProof/>
          </w:rPr>
          <w:t>16.3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Restitution par les Commanditaires.</w:t>
        </w:r>
        <w:r w:rsidR="00003DCA">
          <w:rPr>
            <w:noProof/>
            <w:webHidden/>
          </w:rPr>
          <w:tab/>
        </w:r>
        <w:r w:rsidR="00003DCA">
          <w:rPr>
            <w:noProof/>
            <w:webHidden/>
          </w:rPr>
          <w:fldChar w:fldCharType="begin"/>
        </w:r>
        <w:r w:rsidR="00003DCA">
          <w:rPr>
            <w:noProof/>
            <w:webHidden/>
          </w:rPr>
          <w:instrText xml:space="preserve"> PAGEREF _Toc161762411 \h </w:instrText>
        </w:r>
        <w:r w:rsidR="00003DCA">
          <w:rPr>
            <w:noProof/>
            <w:webHidden/>
          </w:rPr>
        </w:r>
        <w:r w:rsidR="00003DCA">
          <w:rPr>
            <w:noProof/>
            <w:webHidden/>
          </w:rPr>
          <w:fldChar w:fldCharType="separate"/>
        </w:r>
        <w:r w:rsidR="00B50BE2">
          <w:rPr>
            <w:noProof/>
            <w:webHidden/>
          </w:rPr>
          <w:t>69</w:t>
        </w:r>
        <w:r w:rsidR="00003DCA">
          <w:rPr>
            <w:noProof/>
            <w:webHidden/>
          </w:rPr>
          <w:fldChar w:fldCharType="end"/>
        </w:r>
      </w:hyperlink>
    </w:p>
    <w:p w:rsidR="00003DCA" w:rsidRDefault="00000000" w14:paraId="2FB19D50" w14:textId="74243A4F">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2">
        <w:r w:rsidRPr="00EC7249" w:rsidR="00003DCA">
          <w:rPr>
            <w:rStyle w:val="Hyperlink"/>
            <w:noProof/>
          </w:rPr>
          <w:t>16.4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Autres sources de recouvrement.</w:t>
        </w:r>
        <w:r w:rsidR="00003DCA">
          <w:rPr>
            <w:noProof/>
            <w:webHidden/>
          </w:rPr>
          <w:tab/>
        </w:r>
        <w:r w:rsidR="00003DCA">
          <w:rPr>
            <w:noProof/>
            <w:webHidden/>
          </w:rPr>
          <w:fldChar w:fldCharType="begin"/>
        </w:r>
        <w:r w:rsidR="00003DCA">
          <w:rPr>
            <w:noProof/>
            <w:webHidden/>
          </w:rPr>
          <w:instrText xml:space="preserve"> PAGEREF _Toc161762412 \h </w:instrText>
        </w:r>
        <w:r w:rsidR="00003DCA">
          <w:rPr>
            <w:noProof/>
            <w:webHidden/>
          </w:rPr>
        </w:r>
        <w:r w:rsidR="00003DCA">
          <w:rPr>
            <w:noProof/>
            <w:webHidden/>
          </w:rPr>
          <w:fldChar w:fldCharType="separate"/>
        </w:r>
        <w:r w:rsidR="00B50BE2">
          <w:rPr>
            <w:noProof/>
            <w:webHidden/>
          </w:rPr>
          <w:t>70</w:t>
        </w:r>
        <w:r w:rsidR="00003DCA">
          <w:rPr>
            <w:noProof/>
            <w:webHidden/>
          </w:rPr>
          <w:fldChar w:fldCharType="end"/>
        </w:r>
      </w:hyperlink>
    </w:p>
    <w:p w:rsidR="00003DCA" w:rsidRDefault="00000000" w14:paraId="4BECE31F" w14:textId="597329B2">
      <w:pPr>
        <w:pStyle w:val="TOC1"/>
        <w:rPr>
          <w:rFonts w:asciiTheme="minorHAnsi" w:hAnsiTheme="minorHAnsi" w:eastAsiaTheme="minorEastAsia"/>
          <w:b w:val="0"/>
          <w:caps w:val="0"/>
          <w:noProof/>
          <w:kern w:val="2"/>
          <w:szCs w:val="22"/>
          <w:lang w:val="en-CA" w:eastAsia="en-CA"/>
          <w14:ligatures w14:val="standardContextual"/>
        </w:rPr>
      </w:pPr>
      <w:hyperlink w:history="1" w:anchor="_Toc161762413">
        <w:r w:rsidRPr="00EC7249" w:rsidR="00003DCA">
          <w:rPr>
            <w:rStyle w:val="Hyperlink"/>
            <w:noProof/>
          </w:rPr>
          <w:t>Article 17 Transferts; AssociÉs de substitution</w:t>
        </w:r>
        <w:r w:rsidR="00003DCA">
          <w:rPr>
            <w:noProof/>
            <w:webHidden/>
          </w:rPr>
          <w:tab/>
        </w:r>
        <w:r w:rsidR="00003DCA">
          <w:rPr>
            <w:noProof/>
            <w:webHidden/>
          </w:rPr>
          <w:fldChar w:fldCharType="begin"/>
        </w:r>
        <w:r w:rsidR="00003DCA">
          <w:rPr>
            <w:noProof/>
            <w:webHidden/>
          </w:rPr>
          <w:instrText xml:space="preserve"> PAGEREF _Toc161762413 \h </w:instrText>
        </w:r>
        <w:r w:rsidR="00003DCA">
          <w:rPr>
            <w:noProof/>
            <w:webHidden/>
          </w:rPr>
        </w:r>
        <w:r w:rsidR="00003DCA">
          <w:rPr>
            <w:noProof/>
            <w:webHidden/>
          </w:rPr>
          <w:fldChar w:fldCharType="separate"/>
        </w:r>
        <w:r w:rsidR="00B50BE2">
          <w:rPr>
            <w:noProof/>
            <w:webHidden/>
          </w:rPr>
          <w:t>70</w:t>
        </w:r>
        <w:r w:rsidR="00003DCA">
          <w:rPr>
            <w:noProof/>
            <w:webHidden/>
          </w:rPr>
          <w:fldChar w:fldCharType="end"/>
        </w:r>
      </w:hyperlink>
    </w:p>
    <w:p w:rsidR="00003DCA" w:rsidRDefault="00000000" w14:paraId="59D20D07" w14:textId="31547FE7">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4">
        <w:r w:rsidRPr="00EC7249" w:rsidR="00003DCA">
          <w:rPr>
            <w:rStyle w:val="Hyperlink"/>
            <w:noProof/>
          </w:rPr>
          <w:t>17.1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Transferts par des Commanditaires.</w:t>
        </w:r>
        <w:r w:rsidR="00003DCA">
          <w:rPr>
            <w:noProof/>
            <w:webHidden/>
          </w:rPr>
          <w:tab/>
        </w:r>
        <w:r w:rsidR="00003DCA">
          <w:rPr>
            <w:noProof/>
            <w:webHidden/>
          </w:rPr>
          <w:fldChar w:fldCharType="begin"/>
        </w:r>
        <w:r w:rsidR="00003DCA">
          <w:rPr>
            <w:noProof/>
            <w:webHidden/>
          </w:rPr>
          <w:instrText xml:space="preserve"> PAGEREF _Toc161762414 \h </w:instrText>
        </w:r>
        <w:r w:rsidR="00003DCA">
          <w:rPr>
            <w:noProof/>
            <w:webHidden/>
          </w:rPr>
        </w:r>
        <w:r w:rsidR="00003DCA">
          <w:rPr>
            <w:noProof/>
            <w:webHidden/>
          </w:rPr>
          <w:fldChar w:fldCharType="separate"/>
        </w:r>
        <w:r w:rsidR="00B50BE2">
          <w:rPr>
            <w:noProof/>
            <w:webHidden/>
          </w:rPr>
          <w:t>70</w:t>
        </w:r>
        <w:r w:rsidR="00003DCA">
          <w:rPr>
            <w:noProof/>
            <w:webHidden/>
          </w:rPr>
          <w:fldChar w:fldCharType="end"/>
        </w:r>
      </w:hyperlink>
    </w:p>
    <w:p w:rsidR="00003DCA" w:rsidRDefault="00000000" w14:paraId="6A4AAD8B" w14:textId="639D481F">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5">
        <w:r w:rsidRPr="00EC7249" w:rsidR="00003DCA">
          <w:rPr>
            <w:rStyle w:val="Hyperlink"/>
            <w:noProof/>
          </w:rPr>
          <w:t>17.2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Conditions de Transfert.</w:t>
        </w:r>
        <w:r w:rsidR="00003DCA">
          <w:rPr>
            <w:noProof/>
            <w:webHidden/>
          </w:rPr>
          <w:tab/>
        </w:r>
        <w:r w:rsidR="00003DCA">
          <w:rPr>
            <w:noProof/>
            <w:webHidden/>
          </w:rPr>
          <w:fldChar w:fldCharType="begin"/>
        </w:r>
        <w:r w:rsidR="00003DCA">
          <w:rPr>
            <w:noProof/>
            <w:webHidden/>
          </w:rPr>
          <w:instrText xml:space="preserve"> PAGEREF _Toc161762415 \h </w:instrText>
        </w:r>
        <w:r w:rsidR="00003DCA">
          <w:rPr>
            <w:noProof/>
            <w:webHidden/>
          </w:rPr>
        </w:r>
        <w:r w:rsidR="00003DCA">
          <w:rPr>
            <w:noProof/>
            <w:webHidden/>
          </w:rPr>
          <w:fldChar w:fldCharType="separate"/>
        </w:r>
        <w:r w:rsidR="00B50BE2">
          <w:rPr>
            <w:noProof/>
            <w:webHidden/>
          </w:rPr>
          <w:t>70</w:t>
        </w:r>
        <w:r w:rsidR="00003DCA">
          <w:rPr>
            <w:noProof/>
            <w:webHidden/>
          </w:rPr>
          <w:fldChar w:fldCharType="end"/>
        </w:r>
      </w:hyperlink>
    </w:p>
    <w:p w:rsidR="00003DCA" w:rsidRDefault="00000000" w14:paraId="4DF08BD5" w14:textId="1B35453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6">
        <w:r w:rsidRPr="00EC7249" w:rsidR="00003DCA">
          <w:rPr>
            <w:rStyle w:val="Hyperlink"/>
            <w:noProof/>
          </w:rPr>
          <w:t>17.3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Transferts interdits.</w:t>
        </w:r>
        <w:r w:rsidR="00003DCA">
          <w:rPr>
            <w:noProof/>
            <w:webHidden/>
          </w:rPr>
          <w:tab/>
        </w:r>
        <w:r w:rsidR="00003DCA">
          <w:rPr>
            <w:noProof/>
            <w:webHidden/>
          </w:rPr>
          <w:fldChar w:fldCharType="begin"/>
        </w:r>
        <w:r w:rsidR="00003DCA">
          <w:rPr>
            <w:noProof/>
            <w:webHidden/>
          </w:rPr>
          <w:instrText xml:space="preserve"> PAGEREF _Toc161762416 \h </w:instrText>
        </w:r>
        <w:r w:rsidR="00003DCA">
          <w:rPr>
            <w:noProof/>
            <w:webHidden/>
          </w:rPr>
        </w:r>
        <w:r w:rsidR="00003DCA">
          <w:rPr>
            <w:noProof/>
            <w:webHidden/>
          </w:rPr>
          <w:fldChar w:fldCharType="separate"/>
        </w:r>
        <w:r w:rsidR="00B50BE2">
          <w:rPr>
            <w:noProof/>
            <w:webHidden/>
          </w:rPr>
          <w:t>72</w:t>
        </w:r>
        <w:r w:rsidR="00003DCA">
          <w:rPr>
            <w:noProof/>
            <w:webHidden/>
          </w:rPr>
          <w:fldChar w:fldCharType="end"/>
        </w:r>
      </w:hyperlink>
    </w:p>
    <w:p w:rsidR="00003DCA" w:rsidRDefault="00000000" w14:paraId="20313828" w14:textId="30065E9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7">
        <w:r w:rsidRPr="00EC7249" w:rsidR="00003DCA">
          <w:rPr>
            <w:rStyle w:val="Hyperlink"/>
            <w:noProof/>
          </w:rPr>
          <w:t>17.4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Transferts nuls.</w:t>
        </w:r>
        <w:r w:rsidR="00003DCA">
          <w:rPr>
            <w:noProof/>
            <w:webHidden/>
          </w:rPr>
          <w:tab/>
        </w:r>
        <w:r w:rsidR="00003DCA">
          <w:rPr>
            <w:noProof/>
            <w:webHidden/>
          </w:rPr>
          <w:fldChar w:fldCharType="begin"/>
        </w:r>
        <w:r w:rsidR="00003DCA">
          <w:rPr>
            <w:noProof/>
            <w:webHidden/>
          </w:rPr>
          <w:instrText xml:space="preserve"> PAGEREF _Toc161762417 \h </w:instrText>
        </w:r>
        <w:r w:rsidR="00003DCA">
          <w:rPr>
            <w:noProof/>
            <w:webHidden/>
          </w:rPr>
        </w:r>
        <w:r w:rsidR="00003DCA">
          <w:rPr>
            <w:noProof/>
            <w:webHidden/>
          </w:rPr>
          <w:fldChar w:fldCharType="separate"/>
        </w:r>
        <w:r w:rsidR="00B50BE2">
          <w:rPr>
            <w:noProof/>
            <w:webHidden/>
          </w:rPr>
          <w:t>72</w:t>
        </w:r>
        <w:r w:rsidR="00003DCA">
          <w:rPr>
            <w:noProof/>
            <w:webHidden/>
          </w:rPr>
          <w:fldChar w:fldCharType="end"/>
        </w:r>
      </w:hyperlink>
    </w:p>
    <w:p w:rsidR="00003DCA" w:rsidRDefault="00000000" w14:paraId="1B441ED7" w14:textId="6492D902">
      <w:pPr>
        <w:pStyle w:val="TOC1"/>
        <w:rPr>
          <w:rFonts w:asciiTheme="minorHAnsi" w:hAnsiTheme="minorHAnsi" w:eastAsiaTheme="minorEastAsia"/>
          <w:b w:val="0"/>
          <w:caps w:val="0"/>
          <w:noProof/>
          <w:kern w:val="2"/>
          <w:szCs w:val="22"/>
          <w:lang w:val="en-CA" w:eastAsia="en-CA"/>
          <w14:ligatures w14:val="standardContextual"/>
        </w:rPr>
      </w:pPr>
      <w:hyperlink w:history="1" w:anchor="_Toc161762418">
        <w:r w:rsidRPr="00EC7249" w:rsidR="00003DCA">
          <w:rPr>
            <w:rStyle w:val="Hyperlink"/>
            <w:noProof/>
          </w:rPr>
          <w:t>Article 18 DurÉe et dissolution du Fonds</w:t>
        </w:r>
        <w:r w:rsidR="00003DCA">
          <w:rPr>
            <w:noProof/>
            <w:webHidden/>
          </w:rPr>
          <w:tab/>
        </w:r>
        <w:r w:rsidR="00003DCA">
          <w:rPr>
            <w:noProof/>
            <w:webHidden/>
          </w:rPr>
          <w:fldChar w:fldCharType="begin"/>
        </w:r>
        <w:r w:rsidR="00003DCA">
          <w:rPr>
            <w:noProof/>
            <w:webHidden/>
          </w:rPr>
          <w:instrText xml:space="preserve"> PAGEREF _Toc161762418 \h </w:instrText>
        </w:r>
        <w:r w:rsidR="00003DCA">
          <w:rPr>
            <w:noProof/>
            <w:webHidden/>
          </w:rPr>
        </w:r>
        <w:r w:rsidR="00003DCA">
          <w:rPr>
            <w:noProof/>
            <w:webHidden/>
          </w:rPr>
          <w:fldChar w:fldCharType="separate"/>
        </w:r>
        <w:r w:rsidR="00B50BE2">
          <w:rPr>
            <w:noProof/>
            <w:webHidden/>
          </w:rPr>
          <w:t>72</w:t>
        </w:r>
        <w:r w:rsidR="00003DCA">
          <w:rPr>
            <w:noProof/>
            <w:webHidden/>
          </w:rPr>
          <w:fldChar w:fldCharType="end"/>
        </w:r>
      </w:hyperlink>
    </w:p>
    <w:p w:rsidR="00003DCA" w:rsidRDefault="00000000" w14:paraId="1F5FDC73" w14:textId="2C1CEF3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19">
        <w:r w:rsidRPr="00EC7249" w:rsidR="00003DCA">
          <w:rPr>
            <w:rStyle w:val="Hyperlink"/>
            <w:noProof/>
          </w:rPr>
          <w:t>18.1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Durée.</w:t>
        </w:r>
        <w:r w:rsidR="00003DCA">
          <w:rPr>
            <w:noProof/>
            <w:webHidden/>
          </w:rPr>
          <w:tab/>
        </w:r>
        <w:r w:rsidR="00003DCA">
          <w:rPr>
            <w:noProof/>
            <w:webHidden/>
          </w:rPr>
          <w:fldChar w:fldCharType="begin"/>
        </w:r>
        <w:r w:rsidR="00003DCA">
          <w:rPr>
            <w:noProof/>
            <w:webHidden/>
          </w:rPr>
          <w:instrText xml:space="preserve"> PAGEREF _Toc161762419 \h </w:instrText>
        </w:r>
        <w:r w:rsidR="00003DCA">
          <w:rPr>
            <w:noProof/>
            <w:webHidden/>
          </w:rPr>
        </w:r>
        <w:r w:rsidR="00003DCA">
          <w:rPr>
            <w:noProof/>
            <w:webHidden/>
          </w:rPr>
          <w:fldChar w:fldCharType="separate"/>
        </w:r>
        <w:r w:rsidR="00B50BE2">
          <w:rPr>
            <w:noProof/>
            <w:webHidden/>
          </w:rPr>
          <w:t>72</w:t>
        </w:r>
        <w:r w:rsidR="00003DCA">
          <w:rPr>
            <w:noProof/>
            <w:webHidden/>
          </w:rPr>
          <w:fldChar w:fldCharType="end"/>
        </w:r>
      </w:hyperlink>
    </w:p>
    <w:p w:rsidR="00003DCA" w:rsidRDefault="00000000" w14:paraId="3B98E00D" w14:textId="404AE07E">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0">
        <w:r w:rsidRPr="00EC7249" w:rsidR="00003DCA">
          <w:rPr>
            <w:rStyle w:val="Hyperlink"/>
            <w:noProof/>
          </w:rPr>
          <w:t>18.2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Dissolution.</w:t>
        </w:r>
        <w:r w:rsidR="00003DCA">
          <w:rPr>
            <w:noProof/>
            <w:webHidden/>
          </w:rPr>
          <w:tab/>
        </w:r>
        <w:r w:rsidR="00003DCA">
          <w:rPr>
            <w:noProof/>
            <w:webHidden/>
          </w:rPr>
          <w:fldChar w:fldCharType="begin"/>
        </w:r>
        <w:r w:rsidR="00003DCA">
          <w:rPr>
            <w:noProof/>
            <w:webHidden/>
          </w:rPr>
          <w:instrText xml:space="preserve"> PAGEREF _Toc161762420 \h </w:instrText>
        </w:r>
        <w:r w:rsidR="00003DCA">
          <w:rPr>
            <w:noProof/>
            <w:webHidden/>
          </w:rPr>
        </w:r>
        <w:r w:rsidR="00003DCA">
          <w:rPr>
            <w:noProof/>
            <w:webHidden/>
          </w:rPr>
          <w:fldChar w:fldCharType="separate"/>
        </w:r>
        <w:r w:rsidR="00B50BE2">
          <w:rPr>
            <w:noProof/>
            <w:webHidden/>
          </w:rPr>
          <w:t>73</w:t>
        </w:r>
        <w:r w:rsidR="00003DCA">
          <w:rPr>
            <w:noProof/>
            <w:webHidden/>
          </w:rPr>
          <w:fldChar w:fldCharType="end"/>
        </w:r>
      </w:hyperlink>
    </w:p>
    <w:p w:rsidR="00003DCA" w:rsidRDefault="00000000" w14:paraId="72D81601" w14:textId="0DA2A73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1">
        <w:r w:rsidRPr="00EC7249" w:rsidR="00003DCA">
          <w:rPr>
            <w:rStyle w:val="Hyperlink"/>
            <w:noProof/>
          </w:rPr>
          <w:t>18.3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Procédure préalable à la dissolution.</w:t>
        </w:r>
        <w:r w:rsidR="00003DCA">
          <w:rPr>
            <w:noProof/>
            <w:webHidden/>
          </w:rPr>
          <w:tab/>
        </w:r>
        <w:r w:rsidR="00003DCA">
          <w:rPr>
            <w:noProof/>
            <w:webHidden/>
          </w:rPr>
          <w:fldChar w:fldCharType="begin"/>
        </w:r>
        <w:r w:rsidR="00003DCA">
          <w:rPr>
            <w:noProof/>
            <w:webHidden/>
          </w:rPr>
          <w:instrText xml:space="preserve"> PAGEREF _Toc161762421 \h </w:instrText>
        </w:r>
        <w:r w:rsidR="00003DCA">
          <w:rPr>
            <w:noProof/>
            <w:webHidden/>
          </w:rPr>
        </w:r>
        <w:r w:rsidR="00003DCA">
          <w:rPr>
            <w:noProof/>
            <w:webHidden/>
          </w:rPr>
          <w:fldChar w:fldCharType="separate"/>
        </w:r>
        <w:r w:rsidR="00B50BE2">
          <w:rPr>
            <w:noProof/>
            <w:webHidden/>
          </w:rPr>
          <w:t>73</w:t>
        </w:r>
        <w:r w:rsidR="00003DCA">
          <w:rPr>
            <w:noProof/>
            <w:webHidden/>
          </w:rPr>
          <w:fldChar w:fldCharType="end"/>
        </w:r>
      </w:hyperlink>
    </w:p>
    <w:p w:rsidR="00003DCA" w:rsidRDefault="00000000" w14:paraId="66D128E9" w14:textId="5137AE7A">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2">
        <w:r w:rsidRPr="00EC7249" w:rsidR="00003DCA">
          <w:rPr>
            <w:rStyle w:val="Hyperlink"/>
            <w:noProof/>
          </w:rPr>
          <w:t>18.4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Pas de remboursement de capital.</w:t>
        </w:r>
        <w:r w:rsidR="00003DCA">
          <w:rPr>
            <w:noProof/>
            <w:webHidden/>
          </w:rPr>
          <w:tab/>
        </w:r>
        <w:r w:rsidR="00003DCA">
          <w:rPr>
            <w:noProof/>
            <w:webHidden/>
          </w:rPr>
          <w:fldChar w:fldCharType="begin"/>
        </w:r>
        <w:r w:rsidR="00003DCA">
          <w:rPr>
            <w:noProof/>
            <w:webHidden/>
          </w:rPr>
          <w:instrText xml:space="preserve"> PAGEREF _Toc161762422 \h </w:instrText>
        </w:r>
        <w:r w:rsidR="00003DCA">
          <w:rPr>
            <w:noProof/>
            <w:webHidden/>
          </w:rPr>
        </w:r>
        <w:r w:rsidR="00003DCA">
          <w:rPr>
            <w:noProof/>
            <w:webHidden/>
          </w:rPr>
          <w:fldChar w:fldCharType="separate"/>
        </w:r>
        <w:r w:rsidR="00B50BE2">
          <w:rPr>
            <w:noProof/>
            <w:webHidden/>
          </w:rPr>
          <w:t>74</w:t>
        </w:r>
        <w:r w:rsidR="00003DCA">
          <w:rPr>
            <w:noProof/>
            <w:webHidden/>
          </w:rPr>
          <w:fldChar w:fldCharType="end"/>
        </w:r>
      </w:hyperlink>
    </w:p>
    <w:p w:rsidR="00003DCA" w:rsidRDefault="00000000" w14:paraId="011B58ED" w14:textId="4822DCFA">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3">
        <w:r w:rsidRPr="00EC7249" w:rsidR="00003DCA">
          <w:rPr>
            <w:rStyle w:val="Hyperlink"/>
            <w:noProof/>
          </w:rPr>
          <w:t>18.5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Pas de demande de dissolution par les Commanditaires.</w:t>
        </w:r>
        <w:r w:rsidR="00003DCA">
          <w:rPr>
            <w:noProof/>
            <w:webHidden/>
          </w:rPr>
          <w:tab/>
        </w:r>
        <w:r w:rsidR="00003DCA">
          <w:rPr>
            <w:noProof/>
            <w:webHidden/>
          </w:rPr>
          <w:fldChar w:fldCharType="begin"/>
        </w:r>
        <w:r w:rsidR="00003DCA">
          <w:rPr>
            <w:noProof/>
            <w:webHidden/>
          </w:rPr>
          <w:instrText xml:space="preserve"> PAGEREF _Toc161762423 \h </w:instrText>
        </w:r>
        <w:r w:rsidR="00003DCA">
          <w:rPr>
            <w:noProof/>
            <w:webHidden/>
          </w:rPr>
        </w:r>
        <w:r w:rsidR="00003DCA">
          <w:rPr>
            <w:noProof/>
            <w:webHidden/>
          </w:rPr>
          <w:fldChar w:fldCharType="separate"/>
        </w:r>
        <w:r w:rsidR="00B50BE2">
          <w:rPr>
            <w:noProof/>
            <w:webHidden/>
          </w:rPr>
          <w:t>74</w:t>
        </w:r>
        <w:r w:rsidR="00003DCA">
          <w:rPr>
            <w:noProof/>
            <w:webHidden/>
          </w:rPr>
          <w:fldChar w:fldCharType="end"/>
        </w:r>
      </w:hyperlink>
    </w:p>
    <w:p w:rsidR="00003DCA" w:rsidRDefault="00000000" w14:paraId="112F2D41" w14:textId="7A4597F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4">
        <w:r w:rsidRPr="00EC7249" w:rsidR="00003DCA">
          <w:rPr>
            <w:rStyle w:val="Hyperlink"/>
            <w:noProof/>
          </w:rPr>
          <w:t>18.6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Résiliation de la Convention en cas de dissolution.</w:t>
        </w:r>
        <w:r w:rsidR="00003DCA">
          <w:rPr>
            <w:noProof/>
            <w:webHidden/>
          </w:rPr>
          <w:tab/>
        </w:r>
        <w:r w:rsidR="00003DCA">
          <w:rPr>
            <w:noProof/>
            <w:webHidden/>
          </w:rPr>
          <w:fldChar w:fldCharType="begin"/>
        </w:r>
        <w:r w:rsidR="00003DCA">
          <w:rPr>
            <w:noProof/>
            <w:webHidden/>
          </w:rPr>
          <w:instrText xml:space="preserve"> PAGEREF _Toc161762424 \h </w:instrText>
        </w:r>
        <w:r w:rsidR="00003DCA">
          <w:rPr>
            <w:noProof/>
            <w:webHidden/>
          </w:rPr>
        </w:r>
        <w:r w:rsidR="00003DCA">
          <w:rPr>
            <w:noProof/>
            <w:webHidden/>
          </w:rPr>
          <w:fldChar w:fldCharType="separate"/>
        </w:r>
        <w:r w:rsidR="00B50BE2">
          <w:rPr>
            <w:noProof/>
            <w:webHidden/>
          </w:rPr>
          <w:t>74</w:t>
        </w:r>
        <w:r w:rsidR="00003DCA">
          <w:rPr>
            <w:noProof/>
            <w:webHidden/>
          </w:rPr>
          <w:fldChar w:fldCharType="end"/>
        </w:r>
      </w:hyperlink>
    </w:p>
    <w:p w:rsidR="00003DCA" w:rsidRDefault="00000000" w14:paraId="59E7D015" w14:textId="7F463A4F">
      <w:pPr>
        <w:pStyle w:val="TOC1"/>
        <w:rPr>
          <w:rFonts w:asciiTheme="minorHAnsi" w:hAnsiTheme="minorHAnsi" w:eastAsiaTheme="minorEastAsia"/>
          <w:b w:val="0"/>
          <w:caps w:val="0"/>
          <w:noProof/>
          <w:kern w:val="2"/>
          <w:szCs w:val="22"/>
          <w:lang w:val="en-CA" w:eastAsia="en-CA"/>
          <w14:ligatures w14:val="standardContextual"/>
        </w:rPr>
      </w:pPr>
      <w:hyperlink w:history="1" w:anchor="_Toc161762425">
        <w:r w:rsidRPr="00EC7249" w:rsidR="00003DCA">
          <w:rPr>
            <w:rStyle w:val="Hyperlink"/>
            <w:noProof/>
          </w:rPr>
          <w:t>Article 19 Modifications; procuration</w:t>
        </w:r>
        <w:r w:rsidR="00003DCA">
          <w:rPr>
            <w:noProof/>
            <w:webHidden/>
          </w:rPr>
          <w:tab/>
        </w:r>
        <w:r w:rsidR="00003DCA">
          <w:rPr>
            <w:noProof/>
            <w:webHidden/>
          </w:rPr>
          <w:fldChar w:fldCharType="begin"/>
        </w:r>
        <w:r w:rsidR="00003DCA">
          <w:rPr>
            <w:noProof/>
            <w:webHidden/>
          </w:rPr>
          <w:instrText xml:space="preserve"> PAGEREF _Toc161762425 \h </w:instrText>
        </w:r>
        <w:r w:rsidR="00003DCA">
          <w:rPr>
            <w:noProof/>
            <w:webHidden/>
          </w:rPr>
        </w:r>
        <w:r w:rsidR="00003DCA">
          <w:rPr>
            <w:noProof/>
            <w:webHidden/>
          </w:rPr>
          <w:fldChar w:fldCharType="separate"/>
        </w:r>
        <w:r w:rsidR="00B50BE2">
          <w:rPr>
            <w:noProof/>
            <w:webHidden/>
          </w:rPr>
          <w:t>75</w:t>
        </w:r>
        <w:r w:rsidR="00003DCA">
          <w:rPr>
            <w:noProof/>
            <w:webHidden/>
          </w:rPr>
          <w:fldChar w:fldCharType="end"/>
        </w:r>
      </w:hyperlink>
    </w:p>
    <w:p w:rsidR="00003DCA" w:rsidRDefault="00000000" w14:paraId="2D26A72F" w14:textId="2FF7575A">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6">
        <w:r w:rsidRPr="00EC7249" w:rsidR="00003DCA">
          <w:rPr>
            <w:rStyle w:val="Hyperlink"/>
            <w:noProof/>
          </w:rPr>
          <w:t>19.1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Modifications.</w:t>
        </w:r>
        <w:r w:rsidR="00003DCA">
          <w:rPr>
            <w:noProof/>
            <w:webHidden/>
          </w:rPr>
          <w:tab/>
        </w:r>
        <w:r w:rsidR="00003DCA">
          <w:rPr>
            <w:noProof/>
            <w:webHidden/>
          </w:rPr>
          <w:fldChar w:fldCharType="begin"/>
        </w:r>
        <w:r w:rsidR="00003DCA">
          <w:rPr>
            <w:noProof/>
            <w:webHidden/>
          </w:rPr>
          <w:instrText xml:space="preserve"> PAGEREF _Toc161762426 \h </w:instrText>
        </w:r>
        <w:r w:rsidR="00003DCA">
          <w:rPr>
            <w:noProof/>
            <w:webHidden/>
          </w:rPr>
        </w:r>
        <w:r w:rsidR="00003DCA">
          <w:rPr>
            <w:noProof/>
            <w:webHidden/>
          </w:rPr>
          <w:fldChar w:fldCharType="separate"/>
        </w:r>
        <w:r w:rsidR="00B50BE2">
          <w:rPr>
            <w:noProof/>
            <w:webHidden/>
          </w:rPr>
          <w:t>75</w:t>
        </w:r>
        <w:r w:rsidR="00003DCA">
          <w:rPr>
            <w:noProof/>
            <w:webHidden/>
          </w:rPr>
          <w:fldChar w:fldCharType="end"/>
        </w:r>
      </w:hyperlink>
    </w:p>
    <w:p w:rsidR="00003DCA" w:rsidRDefault="00000000" w14:paraId="3EE8874C" w14:textId="0A10048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7">
        <w:r w:rsidRPr="00EC7249" w:rsidR="00003DCA">
          <w:rPr>
            <w:rStyle w:val="Hyperlink"/>
            <w:noProof/>
          </w:rPr>
          <w:t>19.2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Certaines modifications ne nécessitant pas le consentement des Commanditaires.</w:t>
        </w:r>
        <w:r w:rsidR="00003DCA">
          <w:rPr>
            <w:noProof/>
            <w:webHidden/>
          </w:rPr>
          <w:tab/>
        </w:r>
        <w:r w:rsidR="00003DCA">
          <w:rPr>
            <w:noProof/>
            <w:webHidden/>
          </w:rPr>
          <w:fldChar w:fldCharType="begin"/>
        </w:r>
        <w:r w:rsidR="00003DCA">
          <w:rPr>
            <w:noProof/>
            <w:webHidden/>
          </w:rPr>
          <w:instrText xml:space="preserve"> PAGEREF _Toc161762427 \h </w:instrText>
        </w:r>
        <w:r w:rsidR="00003DCA">
          <w:rPr>
            <w:noProof/>
            <w:webHidden/>
          </w:rPr>
        </w:r>
        <w:r w:rsidR="00003DCA">
          <w:rPr>
            <w:noProof/>
            <w:webHidden/>
          </w:rPr>
          <w:fldChar w:fldCharType="separate"/>
        </w:r>
        <w:r w:rsidR="00B50BE2">
          <w:rPr>
            <w:noProof/>
            <w:webHidden/>
          </w:rPr>
          <w:t>75</w:t>
        </w:r>
        <w:r w:rsidR="00003DCA">
          <w:rPr>
            <w:noProof/>
            <w:webHidden/>
          </w:rPr>
          <w:fldChar w:fldCharType="end"/>
        </w:r>
      </w:hyperlink>
    </w:p>
    <w:p w:rsidR="00003DCA" w:rsidRDefault="00000000" w14:paraId="799B448D" w14:textId="6E9EAE5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8">
        <w:r w:rsidRPr="00EC7249" w:rsidR="00003DCA">
          <w:rPr>
            <w:rStyle w:val="Hyperlink"/>
            <w:noProof/>
          </w:rPr>
          <w:t>19.3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Certaines modifications nécessitant un consentement spécifique.</w:t>
        </w:r>
        <w:r w:rsidR="00003DCA">
          <w:rPr>
            <w:noProof/>
            <w:webHidden/>
          </w:rPr>
          <w:tab/>
        </w:r>
        <w:r w:rsidR="00003DCA">
          <w:rPr>
            <w:noProof/>
            <w:webHidden/>
          </w:rPr>
          <w:fldChar w:fldCharType="begin"/>
        </w:r>
        <w:r w:rsidR="00003DCA">
          <w:rPr>
            <w:noProof/>
            <w:webHidden/>
          </w:rPr>
          <w:instrText xml:space="preserve"> PAGEREF _Toc161762428 \h </w:instrText>
        </w:r>
        <w:r w:rsidR="00003DCA">
          <w:rPr>
            <w:noProof/>
            <w:webHidden/>
          </w:rPr>
        </w:r>
        <w:r w:rsidR="00003DCA">
          <w:rPr>
            <w:noProof/>
            <w:webHidden/>
          </w:rPr>
          <w:fldChar w:fldCharType="separate"/>
        </w:r>
        <w:r w:rsidR="00B50BE2">
          <w:rPr>
            <w:noProof/>
            <w:webHidden/>
          </w:rPr>
          <w:t>75</w:t>
        </w:r>
        <w:r w:rsidR="00003DCA">
          <w:rPr>
            <w:noProof/>
            <w:webHidden/>
          </w:rPr>
          <w:fldChar w:fldCharType="end"/>
        </w:r>
      </w:hyperlink>
    </w:p>
    <w:p w:rsidR="00003DCA" w:rsidRDefault="00000000" w14:paraId="54A1BC2C" w14:textId="7D3E1894">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29">
        <w:r w:rsidRPr="00EC7249" w:rsidR="00003DCA">
          <w:rPr>
            <w:rStyle w:val="Hyperlink"/>
            <w:noProof/>
          </w:rPr>
          <w:t>19.4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Avis de modifications.</w:t>
        </w:r>
        <w:r w:rsidR="00003DCA">
          <w:rPr>
            <w:noProof/>
            <w:webHidden/>
          </w:rPr>
          <w:tab/>
        </w:r>
        <w:r w:rsidR="00003DCA">
          <w:rPr>
            <w:noProof/>
            <w:webHidden/>
          </w:rPr>
          <w:fldChar w:fldCharType="begin"/>
        </w:r>
        <w:r w:rsidR="00003DCA">
          <w:rPr>
            <w:noProof/>
            <w:webHidden/>
          </w:rPr>
          <w:instrText xml:space="preserve"> PAGEREF _Toc161762429 \h </w:instrText>
        </w:r>
        <w:r w:rsidR="00003DCA">
          <w:rPr>
            <w:noProof/>
            <w:webHidden/>
          </w:rPr>
        </w:r>
        <w:r w:rsidR="00003DCA">
          <w:rPr>
            <w:noProof/>
            <w:webHidden/>
          </w:rPr>
          <w:fldChar w:fldCharType="separate"/>
        </w:r>
        <w:r w:rsidR="00B50BE2">
          <w:rPr>
            <w:noProof/>
            <w:webHidden/>
          </w:rPr>
          <w:t>76</w:t>
        </w:r>
        <w:r w:rsidR="00003DCA">
          <w:rPr>
            <w:noProof/>
            <w:webHidden/>
          </w:rPr>
          <w:fldChar w:fldCharType="end"/>
        </w:r>
      </w:hyperlink>
    </w:p>
    <w:p w:rsidR="00003DCA" w:rsidRDefault="00000000" w14:paraId="5BBCD400" w14:textId="46BB3A6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0">
        <w:r w:rsidRPr="00EC7249" w:rsidR="00003DCA">
          <w:rPr>
            <w:rStyle w:val="Hyperlink"/>
            <w:noProof/>
          </w:rPr>
          <w:t>19.5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Procuration.</w:t>
        </w:r>
        <w:r w:rsidR="00003DCA">
          <w:rPr>
            <w:noProof/>
            <w:webHidden/>
          </w:rPr>
          <w:tab/>
        </w:r>
        <w:r w:rsidR="00003DCA">
          <w:rPr>
            <w:noProof/>
            <w:webHidden/>
          </w:rPr>
          <w:fldChar w:fldCharType="begin"/>
        </w:r>
        <w:r w:rsidR="00003DCA">
          <w:rPr>
            <w:noProof/>
            <w:webHidden/>
          </w:rPr>
          <w:instrText xml:space="preserve"> PAGEREF _Toc161762430 \h </w:instrText>
        </w:r>
        <w:r w:rsidR="00003DCA">
          <w:rPr>
            <w:noProof/>
            <w:webHidden/>
          </w:rPr>
        </w:r>
        <w:r w:rsidR="00003DCA">
          <w:rPr>
            <w:noProof/>
            <w:webHidden/>
          </w:rPr>
          <w:fldChar w:fldCharType="separate"/>
        </w:r>
        <w:r w:rsidR="00B50BE2">
          <w:rPr>
            <w:noProof/>
            <w:webHidden/>
          </w:rPr>
          <w:t>76</w:t>
        </w:r>
        <w:r w:rsidR="00003DCA">
          <w:rPr>
            <w:noProof/>
            <w:webHidden/>
          </w:rPr>
          <w:fldChar w:fldCharType="end"/>
        </w:r>
      </w:hyperlink>
    </w:p>
    <w:p w:rsidR="00003DCA" w:rsidRDefault="00000000" w14:paraId="761DF30A" w14:textId="4CB61A38">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1">
        <w:r w:rsidRPr="00EC7249" w:rsidR="00003DCA">
          <w:rPr>
            <w:rStyle w:val="Hyperlink"/>
            <w:noProof/>
          </w:rPr>
          <w:t>19.6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Procuration de portée ministérielle.</w:t>
        </w:r>
        <w:r w:rsidR="00003DCA">
          <w:rPr>
            <w:noProof/>
            <w:webHidden/>
          </w:rPr>
          <w:tab/>
        </w:r>
        <w:r w:rsidR="00003DCA">
          <w:rPr>
            <w:noProof/>
            <w:webHidden/>
          </w:rPr>
          <w:fldChar w:fldCharType="begin"/>
        </w:r>
        <w:r w:rsidR="00003DCA">
          <w:rPr>
            <w:noProof/>
            <w:webHidden/>
          </w:rPr>
          <w:instrText xml:space="preserve"> PAGEREF _Toc161762431 \h </w:instrText>
        </w:r>
        <w:r w:rsidR="00003DCA">
          <w:rPr>
            <w:noProof/>
            <w:webHidden/>
          </w:rPr>
        </w:r>
        <w:r w:rsidR="00003DCA">
          <w:rPr>
            <w:noProof/>
            <w:webHidden/>
          </w:rPr>
          <w:fldChar w:fldCharType="separate"/>
        </w:r>
        <w:r w:rsidR="00B50BE2">
          <w:rPr>
            <w:noProof/>
            <w:webHidden/>
          </w:rPr>
          <w:t>77</w:t>
        </w:r>
        <w:r w:rsidR="00003DCA">
          <w:rPr>
            <w:noProof/>
            <w:webHidden/>
          </w:rPr>
          <w:fldChar w:fldCharType="end"/>
        </w:r>
      </w:hyperlink>
    </w:p>
    <w:p w:rsidR="00003DCA" w:rsidRDefault="00000000" w14:paraId="7601CE2D" w14:textId="2E3109F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2">
        <w:r w:rsidRPr="00EC7249" w:rsidR="00003DCA">
          <w:rPr>
            <w:rStyle w:val="Hyperlink"/>
            <w:noProof/>
          </w:rPr>
          <w:t>19.7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Contraignant pour les Commanditaires.</w:t>
        </w:r>
        <w:r w:rsidR="00003DCA">
          <w:rPr>
            <w:noProof/>
            <w:webHidden/>
          </w:rPr>
          <w:tab/>
        </w:r>
        <w:r w:rsidR="00003DCA">
          <w:rPr>
            <w:noProof/>
            <w:webHidden/>
          </w:rPr>
          <w:fldChar w:fldCharType="begin"/>
        </w:r>
        <w:r w:rsidR="00003DCA">
          <w:rPr>
            <w:noProof/>
            <w:webHidden/>
          </w:rPr>
          <w:instrText xml:space="preserve"> PAGEREF _Toc161762432 \h </w:instrText>
        </w:r>
        <w:r w:rsidR="00003DCA">
          <w:rPr>
            <w:noProof/>
            <w:webHidden/>
          </w:rPr>
        </w:r>
        <w:r w:rsidR="00003DCA">
          <w:rPr>
            <w:noProof/>
            <w:webHidden/>
          </w:rPr>
          <w:fldChar w:fldCharType="separate"/>
        </w:r>
        <w:r w:rsidR="00B50BE2">
          <w:rPr>
            <w:noProof/>
            <w:webHidden/>
          </w:rPr>
          <w:t>77</w:t>
        </w:r>
        <w:r w:rsidR="00003DCA">
          <w:rPr>
            <w:noProof/>
            <w:webHidden/>
          </w:rPr>
          <w:fldChar w:fldCharType="end"/>
        </w:r>
      </w:hyperlink>
    </w:p>
    <w:p w:rsidR="00003DCA" w:rsidRDefault="00000000" w14:paraId="3E4F84D1" w14:textId="073AB69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3">
        <w:r w:rsidRPr="00EC7249" w:rsidR="00003DCA">
          <w:rPr>
            <w:rStyle w:val="Hyperlink"/>
            <w:noProof/>
          </w:rPr>
          <w:t>19.8</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Procuration irrévocable.</w:t>
        </w:r>
        <w:r w:rsidR="00003DCA">
          <w:rPr>
            <w:noProof/>
            <w:webHidden/>
          </w:rPr>
          <w:tab/>
        </w:r>
        <w:r w:rsidR="00003DCA">
          <w:rPr>
            <w:noProof/>
            <w:webHidden/>
          </w:rPr>
          <w:fldChar w:fldCharType="begin"/>
        </w:r>
        <w:r w:rsidR="00003DCA">
          <w:rPr>
            <w:noProof/>
            <w:webHidden/>
          </w:rPr>
          <w:instrText xml:space="preserve"> PAGEREF _Toc161762433 \h </w:instrText>
        </w:r>
        <w:r w:rsidR="00003DCA">
          <w:rPr>
            <w:noProof/>
            <w:webHidden/>
          </w:rPr>
        </w:r>
        <w:r w:rsidR="00003DCA">
          <w:rPr>
            <w:noProof/>
            <w:webHidden/>
          </w:rPr>
          <w:fldChar w:fldCharType="separate"/>
        </w:r>
        <w:r w:rsidR="00B50BE2">
          <w:rPr>
            <w:noProof/>
            <w:webHidden/>
          </w:rPr>
          <w:t>77</w:t>
        </w:r>
        <w:r w:rsidR="00003DCA">
          <w:rPr>
            <w:noProof/>
            <w:webHidden/>
          </w:rPr>
          <w:fldChar w:fldCharType="end"/>
        </w:r>
      </w:hyperlink>
    </w:p>
    <w:p w:rsidR="00003DCA" w:rsidRDefault="00000000" w14:paraId="0BA71222" w14:textId="64386090">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4">
        <w:r w:rsidRPr="00EC7249" w:rsidR="00003DCA">
          <w:rPr>
            <w:rStyle w:val="Hyperlink"/>
            <w:noProof/>
          </w:rPr>
          <w:t>19.9</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Signature de documents au nom d’un Commanditaire.</w:t>
        </w:r>
        <w:r w:rsidR="00003DCA">
          <w:rPr>
            <w:noProof/>
            <w:webHidden/>
          </w:rPr>
          <w:tab/>
        </w:r>
        <w:r w:rsidR="00003DCA">
          <w:rPr>
            <w:noProof/>
            <w:webHidden/>
          </w:rPr>
          <w:fldChar w:fldCharType="begin"/>
        </w:r>
        <w:r w:rsidR="00003DCA">
          <w:rPr>
            <w:noProof/>
            <w:webHidden/>
          </w:rPr>
          <w:instrText xml:space="preserve"> PAGEREF _Toc161762434 \h </w:instrText>
        </w:r>
        <w:r w:rsidR="00003DCA">
          <w:rPr>
            <w:noProof/>
            <w:webHidden/>
          </w:rPr>
        </w:r>
        <w:r w:rsidR="00003DCA">
          <w:rPr>
            <w:noProof/>
            <w:webHidden/>
          </w:rPr>
          <w:fldChar w:fldCharType="separate"/>
        </w:r>
        <w:r w:rsidR="00B50BE2">
          <w:rPr>
            <w:noProof/>
            <w:webHidden/>
          </w:rPr>
          <w:t>77</w:t>
        </w:r>
        <w:r w:rsidR="00003DCA">
          <w:rPr>
            <w:noProof/>
            <w:webHidden/>
          </w:rPr>
          <w:fldChar w:fldCharType="end"/>
        </w:r>
      </w:hyperlink>
    </w:p>
    <w:p w:rsidR="00003DCA" w:rsidRDefault="00000000" w14:paraId="236F4B6A" w14:textId="06C34987">
      <w:pPr>
        <w:pStyle w:val="TOC1"/>
        <w:rPr>
          <w:rFonts w:asciiTheme="minorHAnsi" w:hAnsiTheme="minorHAnsi" w:eastAsiaTheme="minorEastAsia"/>
          <w:b w:val="0"/>
          <w:caps w:val="0"/>
          <w:noProof/>
          <w:kern w:val="2"/>
          <w:szCs w:val="22"/>
          <w:lang w:val="en-CA" w:eastAsia="en-CA"/>
          <w14:ligatures w14:val="standardContextual"/>
        </w:rPr>
      </w:pPr>
      <w:hyperlink w:history="1" w:anchor="_Toc161762435">
        <w:r w:rsidRPr="00EC7249" w:rsidR="00003DCA">
          <w:rPr>
            <w:rStyle w:val="Hyperlink"/>
            <w:noProof/>
          </w:rPr>
          <w:t>Article 20 Divers</w:t>
        </w:r>
        <w:r w:rsidR="00003DCA">
          <w:rPr>
            <w:noProof/>
            <w:webHidden/>
          </w:rPr>
          <w:tab/>
        </w:r>
        <w:r w:rsidR="00003DCA">
          <w:rPr>
            <w:noProof/>
            <w:webHidden/>
          </w:rPr>
          <w:fldChar w:fldCharType="begin"/>
        </w:r>
        <w:r w:rsidR="00003DCA">
          <w:rPr>
            <w:noProof/>
            <w:webHidden/>
          </w:rPr>
          <w:instrText xml:space="preserve"> PAGEREF _Toc161762435 \h </w:instrText>
        </w:r>
        <w:r w:rsidR="00003DCA">
          <w:rPr>
            <w:noProof/>
            <w:webHidden/>
          </w:rPr>
        </w:r>
        <w:r w:rsidR="00003DCA">
          <w:rPr>
            <w:noProof/>
            <w:webHidden/>
          </w:rPr>
          <w:fldChar w:fldCharType="separate"/>
        </w:r>
        <w:r w:rsidR="00B50BE2">
          <w:rPr>
            <w:noProof/>
            <w:webHidden/>
          </w:rPr>
          <w:t>78</w:t>
        </w:r>
        <w:r w:rsidR="00003DCA">
          <w:rPr>
            <w:noProof/>
            <w:webHidden/>
          </w:rPr>
          <w:fldChar w:fldCharType="end"/>
        </w:r>
      </w:hyperlink>
    </w:p>
    <w:p w:rsidR="00003DCA" w:rsidRDefault="00000000" w14:paraId="7FACE9A9" w14:textId="4BE6CF86">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6">
        <w:r w:rsidRPr="00EC7249" w:rsidR="00003DCA">
          <w:rPr>
            <w:rStyle w:val="Hyperlink"/>
            <w:noProof/>
          </w:rPr>
          <w:t>20.1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Confidentialité.</w:t>
        </w:r>
        <w:r w:rsidR="00003DCA">
          <w:rPr>
            <w:noProof/>
            <w:webHidden/>
          </w:rPr>
          <w:tab/>
        </w:r>
        <w:r w:rsidR="00003DCA">
          <w:rPr>
            <w:noProof/>
            <w:webHidden/>
          </w:rPr>
          <w:fldChar w:fldCharType="begin"/>
        </w:r>
        <w:r w:rsidR="00003DCA">
          <w:rPr>
            <w:noProof/>
            <w:webHidden/>
          </w:rPr>
          <w:instrText xml:space="preserve"> PAGEREF _Toc161762436 \h </w:instrText>
        </w:r>
        <w:r w:rsidR="00003DCA">
          <w:rPr>
            <w:noProof/>
            <w:webHidden/>
          </w:rPr>
        </w:r>
        <w:r w:rsidR="00003DCA">
          <w:rPr>
            <w:noProof/>
            <w:webHidden/>
          </w:rPr>
          <w:fldChar w:fldCharType="separate"/>
        </w:r>
        <w:r w:rsidR="00B50BE2">
          <w:rPr>
            <w:noProof/>
            <w:webHidden/>
          </w:rPr>
          <w:t>78</w:t>
        </w:r>
        <w:r w:rsidR="00003DCA">
          <w:rPr>
            <w:noProof/>
            <w:webHidden/>
          </w:rPr>
          <w:fldChar w:fldCharType="end"/>
        </w:r>
      </w:hyperlink>
    </w:p>
    <w:p w:rsidR="00003DCA" w:rsidRDefault="00000000" w14:paraId="278CF587" w14:textId="49E9B7D1">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7">
        <w:r w:rsidRPr="00EC7249" w:rsidR="00003DCA">
          <w:rPr>
            <w:rStyle w:val="Hyperlink"/>
            <w:noProof/>
          </w:rPr>
          <w:t>20.2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Divulgations autorisées spécifiques.</w:t>
        </w:r>
        <w:r w:rsidR="00003DCA">
          <w:rPr>
            <w:noProof/>
            <w:webHidden/>
          </w:rPr>
          <w:tab/>
        </w:r>
        <w:r w:rsidR="00003DCA">
          <w:rPr>
            <w:noProof/>
            <w:webHidden/>
          </w:rPr>
          <w:fldChar w:fldCharType="begin"/>
        </w:r>
        <w:r w:rsidR="00003DCA">
          <w:rPr>
            <w:noProof/>
            <w:webHidden/>
          </w:rPr>
          <w:instrText xml:space="preserve"> PAGEREF _Toc161762437 \h </w:instrText>
        </w:r>
        <w:r w:rsidR="00003DCA">
          <w:rPr>
            <w:noProof/>
            <w:webHidden/>
          </w:rPr>
        </w:r>
        <w:r w:rsidR="00003DCA">
          <w:rPr>
            <w:noProof/>
            <w:webHidden/>
          </w:rPr>
          <w:fldChar w:fldCharType="separate"/>
        </w:r>
        <w:r w:rsidR="00B50BE2">
          <w:rPr>
            <w:noProof/>
            <w:webHidden/>
          </w:rPr>
          <w:t>79</w:t>
        </w:r>
        <w:r w:rsidR="00003DCA">
          <w:rPr>
            <w:noProof/>
            <w:webHidden/>
          </w:rPr>
          <w:fldChar w:fldCharType="end"/>
        </w:r>
      </w:hyperlink>
    </w:p>
    <w:p w:rsidR="00003DCA" w:rsidRDefault="00000000" w14:paraId="65B3FCB4" w14:textId="2473130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8">
        <w:r w:rsidRPr="00EC7249" w:rsidR="00003DCA">
          <w:rPr>
            <w:rStyle w:val="Hyperlink"/>
            <w:noProof/>
            <w:lang w:val="fr-CA"/>
          </w:rPr>
          <w:t>20.3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lang w:val="fr-CA"/>
          </w:rPr>
          <w:t>Loi sur les archives publiques et autres obligations de divulgation.</w:t>
        </w:r>
        <w:r w:rsidR="00003DCA">
          <w:rPr>
            <w:noProof/>
            <w:webHidden/>
          </w:rPr>
          <w:tab/>
        </w:r>
        <w:r w:rsidR="00003DCA">
          <w:rPr>
            <w:noProof/>
            <w:webHidden/>
          </w:rPr>
          <w:fldChar w:fldCharType="begin"/>
        </w:r>
        <w:r w:rsidR="00003DCA">
          <w:rPr>
            <w:noProof/>
            <w:webHidden/>
          </w:rPr>
          <w:instrText xml:space="preserve"> PAGEREF _Toc161762438 \h </w:instrText>
        </w:r>
        <w:r w:rsidR="00003DCA">
          <w:rPr>
            <w:noProof/>
            <w:webHidden/>
          </w:rPr>
        </w:r>
        <w:r w:rsidR="00003DCA">
          <w:rPr>
            <w:noProof/>
            <w:webHidden/>
          </w:rPr>
          <w:fldChar w:fldCharType="separate"/>
        </w:r>
        <w:r w:rsidR="00B50BE2">
          <w:rPr>
            <w:noProof/>
            <w:webHidden/>
          </w:rPr>
          <w:t>79</w:t>
        </w:r>
        <w:r w:rsidR="00003DCA">
          <w:rPr>
            <w:noProof/>
            <w:webHidden/>
          </w:rPr>
          <w:fldChar w:fldCharType="end"/>
        </w:r>
      </w:hyperlink>
    </w:p>
    <w:p w:rsidR="00003DCA" w:rsidRDefault="00000000" w14:paraId="44F27C3A" w14:textId="60B5BDC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39">
        <w:r w:rsidRPr="00EC7249" w:rsidR="00003DCA">
          <w:rPr>
            <w:rStyle w:val="Hyperlink"/>
            <w:noProof/>
          </w:rPr>
          <w:t>20.4</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Questions diverses de confidentialité.</w:t>
        </w:r>
        <w:r w:rsidR="00003DCA">
          <w:rPr>
            <w:noProof/>
            <w:webHidden/>
          </w:rPr>
          <w:tab/>
        </w:r>
        <w:r w:rsidR="00003DCA">
          <w:rPr>
            <w:noProof/>
            <w:webHidden/>
          </w:rPr>
          <w:fldChar w:fldCharType="begin"/>
        </w:r>
        <w:r w:rsidR="00003DCA">
          <w:rPr>
            <w:noProof/>
            <w:webHidden/>
          </w:rPr>
          <w:instrText xml:space="preserve"> PAGEREF _Toc161762439 \h </w:instrText>
        </w:r>
        <w:r w:rsidR="00003DCA">
          <w:rPr>
            <w:noProof/>
            <w:webHidden/>
          </w:rPr>
        </w:r>
        <w:r w:rsidR="00003DCA">
          <w:rPr>
            <w:noProof/>
            <w:webHidden/>
          </w:rPr>
          <w:fldChar w:fldCharType="separate"/>
        </w:r>
        <w:r w:rsidR="00B50BE2">
          <w:rPr>
            <w:noProof/>
            <w:webHidden/>
          </w:rPr>
          <w:t>79</w:t>
        </w:r>
        <w:r w:rsidR="00003DCA">
          <w:rPr>
            <w:noProof/>
            <w:webHidden/>
          </w:rPr>
          <w:fldChar w:fldCharType="end"/>
        </w:r>
      </w:hyperlink>
    </w:p>
    <w:p w:rsidR="00003DCA" w:rsidRDefault="00000000" w14:paraId="25949A0F" w14:textId="09CE830E">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0">
        <w:r w:rsidRPr="00EC7249" w:rsidR="00003DCA">
          <w:rPr>
            <w:rStyle w:val="Hyperlink"/>
            <w:noProof/>
          </w:rPr>
          <w:t>20.5</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Intégralité de la Convention.</w:t>
        </w:r>
        <w:r w:rsidR="00003DCA">
          <w:rPr>
            <w:noProof/>
            <w:webHidden/>
          </w:rPr>
          <w:tab/>
        </w:r>
        <w:r w:rsidR="00003DCA">
          <w:rPr>
            <w:noProof/>
            <w:webHidden/>
          </w:rPr>
          <w:fldChar w:fldCharType="begin"/>
        </w:r>
        <w:r w:rsidR="00003DCA">
          <w:rPr>
            <w:noProof/>
            <w:webHidden/>
          </w:rPr>
          <w:instrText xml:space="preserve"> PAGEREF _Toc161762440 \h </w:instrText>
        </w:r>
        <w:r w:rsidR="00003DCA">
          <w:rPr>
            <w:noProof/>
            <w:webHidden/>
          </w:rPr>
        </w:r>
        <w:r w:rsidR="00003DCA">
          <w:rPr>
            <w:noProof/>
            <w:webHidden/>
          </w:rPr>
          <w:fldChar w:fldCharType="separate"/>
        </w:r>
        <w:r w:rsidR="00B50BE2">
          <w:rPr>
            <w:noProof/>
            <w:webHidden/>
          </w:rPr>
          <w:t>80</w:t>
        </w:r>
        <w:r w:rsidR="00003DCA">
          <w:rPr>
            <w:noProof/>
            <w:webHidden/>
          </w:rPr>
          <w:fldChar w:fldCharType="end"/>
        </w:r>
      </w:hyperlink>
    </w:p>
    <w:p w:rsidR="00003DCA" w:rsidRDefault="00000000" w14:paraId="50E6F4E2" w14:textId="0BE7F77C">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1">
        <w:r w:rsidRPr="00EC7249" w:rsidR="00003DCA">
          <w:rPr>
            <w:rStyle w:val="Hyperlink"/>
            <w:noProof/>
          </w:rPr>
          <w:t>20.6</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Avis.</w:t>
        </w:r>
        <w:r w:rsidR="00003DCA">
          <w:rPr>
            <w:noProof/>
            <w:webHidden/>
          </w:rPr>
          <w:tab/>
        </w:r>
        <w:r w:rsidR="00003DCA">
          <w:rPr>
            <w:noProof/>
            <w:webHidden/>
          </w:rPr>
          <w:fldChar w:fldCharType="begin"/>
        </w:r>
        <w:r w:rsidR="00003DCA">
          <w:rPr>
            <w:noProof/>
            <w:webHidden/>
          </w:rPr>
          <w:instrText xml:space="preserve"> PAGEREF _Toc161762441 \h </w:instrText>
        </w:r>
        <w:r w:rsidR="00003DCA">
          <w:rPr>
            <w:noProof/>
            <w:webHidden/>
          </w:rPr>
        </w:r>
        <w:r w:rsidR="00003DCA">
          <w:rPr>
            <w:noProof/>
            <w:webHidden/>
          </w:rPr>
          <w:fldChar w:fldCharType="separate"/>
        </w:r>
        <w:r w:rsidR="00B50BE2">
          <w:rPr>
            <w:noProof/>
            <w:webHidden/>
          </w:rPr>
          <w:t>81</w:t>
        </w:r>
        <w:r w:rsidR="00003DCA">
          <w:rPr>
            <w:noProof/>
            <w:webHidden/>
          </w:rPr>
          <w:fldChar w:fldCharType="end"/>
        </w:r>
      </w:hyperlink>
    </w:p>
    <w:p w:rsidR="00003DCA" w:rsidRDefault="00000000" w14:paraId="474D6E39" w14:textId="7CB88836">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2">
        <w:r w:rsidRPr="00EC7249" w:rsidR="00003DCA">
          <w:rPr>
            <w:rStyle w:val="Hyperlink"/>
            <w:noProof/>
          </w:rPr>
          <w:t>20.7</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Exemplaires.</w:t>
        </w:r>
        <w:r w:rsidR="00003DCA">
          <w:rPr>
            <w:noProof/>
            <w:webHidden/>
          </w:rPr>
          <w:tab/>
        </w:r>
        <w:r w:rsidR="00003DCA">
          <w:rPr>
            <w:noProof/>
            <w:webHidden/>
          </w:rPr>
          <w:fldChar w:fldCharType="begin"/>
        </w:r>
        <w:r w:rsidR="00003DCA">
          <w:rPr>
            <w:noProof/>
            <w:webHidden/>
          </w:rPr>
          <w:instrText xml:space="preserve"> PAGEREF _Toc161762442 \h </w:instrText>
        </w:r>
        <w:r w:rsidR="00003DCA">
          <w:rPr>
            <w:noProof/>
            <w:webHidden/>
          </w:rPr>
        </w:r>
        <w:r w:rsidR="00003DCA">
          <w:rPr>
            <w:noProof/>
            <w:webHidden/>
          </w:rPr>
          <w:fldChar w:fldCharType="separate"/>
        </w:r>
        <w:r w:rsidR="00B50BE2">
          <w:rPr>
            <w:noProof/>
            <w:webHidden/>
          </w:rPr>
          <w:t>81</w:t>
        </w:r>
        <w:r w:rsidR="00003DCA">
          <w:rPr>
            <w:noProof/>
            <w:webHidden/>
          </w:rPr>
          <w:fldChar w:fldCharType="end"/>
        </w:r>
      </w:hyperlink>
    </w:p>
    <w:p w:rsidR="00003DCA" w:rsidRDefault="00000000" w14:paraId="008A5EAC" w14:textId="349BAC43">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3">
        <w:r w:rsidRPr="00EC7249" w:rsidR="00003DCA">
          <w:rPr>
            <w:rStyle w:val="Hyperlink"/>
            <w:noProof/>
          </w:rPr>
          <w:t>20.8</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Successeurs et ayants cause.</w:t>
        </w:r>
        <w:r w:rsidR="00003DCA">
          <w:rPr>
            <w:noProof/>
            <w:webHidden/>
          </w:rPr>
          <w:tab/>
        </w:r>
        <w:r w:rsidR="00003DCA">
          <w:rPr>
            <w:noProof/>
            <w:webHidden/>
          </w:rPr>
          <w:fldChar w:fldCharType="begin"/>
        </w:r>
        <w:r w:rsidR="00003DCA">
          <w:rPr>
            <w:noProof/>
            <w:webHidden/>
          </w:rPr>
          <w:instrText xml:space="preserve"> PAGEREF _Toc161762443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575E976B" w14:textId="65B815CF">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4">
        <w:r w:rsidRPr="00EC7249" w:rsidR="00003DCA">
          <w:rPr>
            <w:rStyle w:val="Hyperlink"/>
            <w:noProof/>
          </w:rPr>
          <w:t>20.9</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Invalidité.</w:t>
        </w:r>
        <w:r w:rsidR="00003DCA">
          <w:rPr>
            <w:noProof/>
            <w:webHidden/>
          </w:rPr>
          <w:tab/>
        </w:r>
        <w:r w:rsidR="00003DCA">
          <w:rPr>
            <w:noProof/>
            <w:webHidden/>
          </w:rPr>
          <w:fldChar w:fldCharType="begin"/>
        </w:r>
        <w:r w:rsidR="00003DCA">
          <w:rPr>
            <w:noProof/>
            <w:webHidden/>
          </w:rPr>
          <w:instrText xml:space="preserve"> PAGEREF _Toc161762444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62E3C0C8" w14:textId="6DA8EB39">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5">
        <w:r w:rsidRPr="00EC7249" w:rsidR="00003DCA">
          <w:rPr>
            <w:rStyle w:val="Hyperlink"/>
            <w:noProof/>
          </w:rPr>
          <w:t>20.10</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Aucun tiers bénéficiaire.</w:t>
        </w:r>
        <w:r w:rsidR="00003DCA">
          <w:rPr>
            <w:noProof/>
            <w:webHidden/>
          </w:rPr>
          <w:tab/>
        </w:r>
        <w:r w:rsidR="00003DCA">
          <w:rPr>
            <w:noProof/>
            <w:webHidden/>
          </w:rPr>
          <w:fldChar w:fldCharType="begin"/>
        </w:r>
        <w:r w:rsidR="00003DCA">
          <w:rPr>
            <w:noProof/>
            <w:webHidden/>
          </w:rPr>
          <w:instrText xml:space="preserve"> PAGEREF _Toc161762445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5667A6F3" w14:textId="48454553">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6">
        <w:r w:rsidRPr="00EC7249" w:rsidR="00003DCA">
          <w:rPr>
            <w:rStyle w:val="Hyperlink"/>
            <w:noProof/>
          </w:rPr>
          <w:t>20.11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Pas de renonciation.</w:t>
        </w:r>
        <w:r w:rsidR="00003DCA">
          <w:rPr>
            <w:noProof/>
            <w:webHidden/>
          </w:rPr>
          <w:tab/>
        </w:r>
        <w:r w:rsidR="00003DCA">
          <w:rPr>
            <w:noProof/>
            <w:webHidden/>
          </w:rPr>
          <w:fldChar w:fldCharType="begin"/>
        </w:r>
        <w:r w:rsidR="00003DCA">
          <w:rPr>
            <w:noProof/>
            <w:webHidden/>
          </w:rPr>
          <w:instrText xml:space="preserve"> PAGEREF _Toc161762446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617CA080" w14:textId="13611EDE">
      <w:pPr>
        <w:pStyle w:val="TOC1"/>
        <w:rPr>
          <w:rFonts w:asciiTheme="minorHAnsi" w:hAnsiTheme="minorHAnsi" w:eastAsiaTheme="minorEastAsia"/>
          <w:b w:val="0"/>
          <w:caps w:val="0"/>
          <w:noProof/>
          <w:kern w:val="2"/>
          <w:szCs w:val="22"/>
          <w:lang w:val="en-CA" w:eastAsia="en-CA"/>
          <w14:ligatures w14:val="standardContextual"/>
        </w:rPr>
      </w:pPr>
      <w:hyperlink w:history="1" w:anchor="_Toc161762447">
        <w:r w:rsidRPr="00EC7249" w:rsidR="00003DCA">
          <w:rPr>
            <w:rStyle w:val="Hyperlink"/>
            <w:noProof/>
          </w:rPr>
          <w:t>Article 21 Droit applicable et rÈglement des diffÉrends</w:t>
        </w:r>
        <w:r w:rsidR="00003DCA">
          <w:rPr>
            <w:noProof/>
            <w:webHidden/>
          </w:rPr>
          <w:tab/>
        </w:r>
        <w:r w:rsidR="00003DCA">
          <w:rPr>
            <w:noProof/>
            <w:webHidden/>
          </w:rPr>
          <w:fldChar w:fldCharType="begin"/>
        </w:r>
        <w:r w:rsidR="00003DCA">
          <w:rPr>
            <w:noProof/>
            <w:webHidden/>
          </w:rPr>
          <w:instrText xml:space="preserve"> PAGEREF _Toc161762447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052641BE" w14:textId="1CBB839D">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8">
        <w:r w:rsidRPr="00EC7249" w:rsidR="00003DCA">
          <w:rPr>
            <w:rStyle w:val="Hyperlink"/>
            <w:noProof/>
          </w:rPr>
          <w:t>21.1</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Rigueur des délais.</w:t>
        </w:r>
        <w:r w:rsidR="00003DCA">
          <w:rPr>
            <w:noProof/>
            <w:webHidden/>
          </w:rPr>
          <w:tab/>
        </w:r>
        <w:r w:rsidR="00003DCA">
          <w:rPr>
            <w:noProof/>
            <w:webHidden/>
          </w:rPr>
          <w:fldChar w:fldCharType="begin"/>
        </w:r>
        <w:r w:rsidR="00003DCA">
          <w:rPr>
            <w:noProof/>
            <w:webHidden/>
          </w:rPr>
          <w:instrText xml:space="preserve"> PAGEREF _Toc161762448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27B4D770" w14:textId="17B053E8">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49">
        <w:r w:rsidRPr="00EC7249" w:rsidR="00003DCA">
          <w:rPr>
            <w:rStyle w:val="Hyperlink"/>
            <w:noProof/>
          </w:rPr>
          <w:t>21.2</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Droit applicable.</w:t>
        </w:r>
        <w:r w:rsidR="00003DCA">
          <w:rPr>
            <w:noProof/>
            <w:webHidden/>
          </w:rPr>
          <w:tab/>
        </w:r>
        <w:r w:rsidR="00003DCA">
          <w:rPr>
            <w:noProof/>
            <w:webHidden/>
          </w:rPr>
          <w:fldChar w:fldCharType="begin"/>
        </w:r>
        <w:r w:rsidR="00003DCA">
          <w:rPr>
            <w:noProof/>
            <w:webHidden/>
          </w:rPr>
          <w:instrText xml:space="preserve"> PAGEREF _Toc161762449 \h </w:instrText>
        </w:r>
        <w:r w:rsidR="00003DCA">
          <w:rPr>
            <w:noProof/>
            <w:webHidden/>
          </w:rPr>
        </w:r>
        <w:r w:rsidR="00003DCA">
          <w:rPr>
            <w:noProof/>
            <w:webHidden/>
          </w:rPr>
          <w:fldChar w:fldCharType="separate"/>
        </w:r>
        <w:r w:rsidR="00B50BE2">
          <w:rPr>
            <w:noProof/>
            <w:webHidden/>
          </w:rPr>
          <w:t>82</w:t>
        </w:r>
        <w:r w:rsidR="00003DCA">
          <w:rPr>
            <w:noProof/>
            <w:webHidden/>
          </w:rPr>
          <w:fldChar w:fldCharType="end"/>
        </w:r>
      </w:hyperlink>
    </w:p>
    <w:p w:rsidR="00003DCA" w:rsidRDefault="00000000" w14:paraId="5FB9AD1E" w14:textId="3B9C20B5">
      <w:pPr>
        <w:pStyle w:val="TOC2"/>
        <w:tabs>
          <w:tab w:val="left" w:pos="1080"/>
        </w:tabs>
        <w:rPr>
          <w:rFonts w:asciiTheme="minorHAnsi" w:hAnsiTheme="minorHAnsi" w:eastAsiaTheme="minorEastAsia"/>
          <w:noProof/>
          <w:kern w:val="2"/>
          <w:szCs w:val="22"/>
          <w:lang w:val="en-CA" w:eastAsia="en-CA"/>
          <w14:ligatures w14:val="standardContextual"/>
        </w:rPr>
      </w:pPr>
      <w:hyperlink w:history="1" w:anchor="_Toc161762450">
        <w:r w:rsidRPr="00EC7249" w:rsidR="00003DCA">
          <w:rPr>
            <w:rStyle w:val="Hyperlink"/>
            <w:noProof/>
          </w:rPr>
          <w:t>21.3</w:t>
        </w:r>
        <w:r w:rsidR="00003DCA">
          <w:rPr>
            <w:rFonts w:asciiTheme="minorHAnsi" w:hAnsiTheme="minorHAnsi" w:eastAsiaTheme="minorEastAsia"/>
            <w:noProof/>
            <w:kern w:val="2"/>
            <w:szCs w:val="22"/>
            <w:lang w:val="en-CA" w:eastAsia="en-CA"/>
            <w14:ligatures w14:val="standardContextual"/>
          </w:rPr>
          <w:tab/>
        </w:r>
        <w:r w:rsidRPr="00EC7249" w:rsidR="00003DCA">
          <w:rPr>
            <w:rStyle w:val="Hyperlink"/>
            <w:noProof/>
          </w:rPr>
          <w:t>Juridiction.</w:t>
        </w:r>
        <w:r w:rsidR="00003DCA">
          <w:rPr>
            <w:noProof/>
            <w:webHidden/>
          </w:rPr>
          <w:tab/>
        </w:r>
        <w:r w:rsidR="00003DCA">
          <w:rPr>
            <w:noProof/>
            <w:webHidden/>
          </w:rPr>
          <w:fldChar w:fldCharType="begin"/>
        </w:r>
        <w:r w:rsidR="00003DCA">
          <w:rPr>
            <w:noProof/>
            <w:webHidden/>
          </w:rPr>
          <w:instrText xml:space="preserve"> PAGEREF _Toc161762450 \h </w:instrText>
        </w:r>
        <w:r w:rsidR="00003DCA">
          <w:rPr>
            <w:noProof/>
            <w:webHidden/>
          </w:rPr>
        </w:r>
        <w:r w:rsidR="00003DCA">
          <w:rPr>
            <w:noProof/>
            <w:webHidden/>
          </w:rPr>
          <w:fldChar w:fldCharType="separate"/>
        </w:r>
        <w:r w:rsidR="00B50BE2">
          <w:rPr>
            <w:noProof/>
            <w:webHidden/>
          </w:rPr>
          <w:t>83</w:t>
        </w:r>
        <w:r w:rsidR="00003DCA">
          <w:rPr>
            <w:noProof/>
            <w:webHidden/>
          </w:rPr>
          <w:fldChar w:fldCharType="end"/>
        </w:r>
      </w:hyperlink>
    </w:p>
    <w:p w:rsidR="00003DCA" w:rsidRDefault="00000000" w14:paraId="71333209" w14:textId="59ABC431">
      <w:pPr>
        <w:pStyle w:val="TOC3"/>
        <w:rPr>
          <w:rFonts w:asciiTheme="minorHAnsi" w:hAnsiTheme="minorHAnsi" w:eastAsiaTheme="minorEastAsia"/>
          <w:noProof/>
          <w:kern w:val="2"/>
          <w:szCs w:val="22"/>
          <w:lang w:val="en-CA" w:eastAsia="en-CA"/>
          <w14:ligatures w14:val="standardContextual"/>
        </w:rPr>
      </w:pPr>
      <w:hyperlink w:history="1" w:anchor="_Toc161762451">
        <w:r w:rsidRPr="00EC7249" w:rsidR="00003DCA">
          <w:rPr>
            <w:rStyle w:val="Hyperlink"/>
            <w:noProof/>
          </w:rPr>
          <w:t>Annexe 1</w:t>
        </w:r>
        <w:r w:rsidR="00003DCA">
          <w:rPr>
            <w:noProof/>
            <w:webHidden/>
          </w:rPr>
          <w:tab/>
        </w:r>
        <w:r w:rsidR="00003DCA">
          <w:rPr>
            <w:noProof/>
            <w:webHidden/>
          </w:rPr>
          <w:fldChar w:fldCharType="begin"/>
        </w:r>
        <w:r w:rsidR="00003DCA">
          <w:rPr>
            <w:noProof/>
            <w:webHidden/>
          </w:rPr>
          <w:instrText xml:space="preserve"> PAGEREF _Toc161762451 \h </w:instrText>
        </w:r>
        <w:r w:rsidR="00003DCA">
          <w:rPr>
            <w:noProof/>
            <w:webHidden/>
          </w:rPr>
        </w:r>
        <w:r w:rsidR="00003DCA">
          <w:rPr>
            <w:noProof/>
            <w:webHidden/>
          </w:rPr>
          <w:fldChar w:fldCharType="separate"/>
        </w:r>
        <w:r w:rsidR="00B50BE2">
          <w:rPr>
            <w:noProof/>
            <w:webHidden/>
          </w:rPr>
          <w:t>1</w:t>
        </w:r>
        <w:r w:rsidR="00003DCA">
          <w:rPr>
            <w:noProof/>
            <w:webHidden/>
          </w:rPr>
          <w:fldChar w:fldCharType="end"/>
        </w:r>
      </w:hyperlink>
    </w:p>
    <w:p w:rsidR="00003DCA" w:rsidRDefault="00000000" w14:paraId="541370D0" w14:textId="63F05AA5">
      <w:pPr>
        <w:pStyle w:val="TOC3"/>
        <w:rPr>
          <w:rFonts w:asciiTheme="minorHAnsi" w:hAnsiTheme="minorHAnsi" w:eastAsiaTheme="minorEastAsia"/>
          <w:noProof/>
          <w:kern w:val="2"/>
          <w:szCs w:val="22"/>
          <w:lang w:val="en-CA" w:eastAsia="en-CA"/>
          <w14:ligatures w14:val="standardContextual"/>
        </w:rPr>
      </w:pPr>
      <w:hyperlink w:history="1" w:anchor="_Toc161762452">
        <w:r w:rsidRPr="00EC7249" w:rsidR="00003DCA">
          <w:rPr>
            <w:rStyle w:val="Hyperlink"/>
            <w:noProof/>
          </w:rPr>
          <w:t>Annexe 2</w:t>
        </w:r>
        <w:r w:rsidR="00003DCA">
          <w:rPr>
            <w:noProof/>
            <w:webHidden/>
          </w:rPr>
          <w:tab/>
        </w:r>
        <w:r w:rsidR="00003DCA">
          <w:rPr>
            <w:noProof/>
            <w:webHidden/>
          </w:rPr>
          <w:fldChar w:fldCharType="begin"/>
        </w:r>
        <w:r w:rsidR="00003DCA">
          <w:rPr>
            <w:noProof/>
            <w:webHidden/>
          </w:rPr>
          <w:instrText xml:space="preserve"> PAGEREF _Toc161762452 \h </w:instrText>
        </w:r>
        <w:r w:rsidR="00003DCA">
          <w:rPr>
            <w:noProof/>
            <w:webHidden/>
          </w:rPr>
        </w:r>
        <w:r w:rsidR="00003DCA">
          <w:rPr>
            <w:noProof/>
            <w:webHidden/>
          </w:rPr>
          <w:fldChar w:fldCharType="separate"/>
        </w:r>
        <w:r w:rsidR="00B50BE2">
          <w:rPr>
            <w:noProof/>
            <w:webHidden/>
          </w:rPr>
          <w:t>1</w:t>
        </w:r>
        <w:r w:rsidR="00003DCA">
          <w:rPr>
            <w:noProof/>
            <w:webHidden/>
          </w:rPr>
          <w:fldChar w:fldCharType="end"/>
        </w:r>
      </w:hyperlink>
    </w:p>
    <w:p w:rsidRPr="006400F9" w:rsidR="00AE45E2" w:rsidP="00AE45E2" w:rsidRDefault="0081798A" w14:paraId="22CAB2B0" w14:textId="08DBCAFC">
      <w:pPr>
        <w:pStyle w:val="BodyText"/>
      </w:pPr>
      <w:r w:rsidRPr="006400F9">
        <w:fldChar w:fldCharType="end"/>
      </w:r>
    </w:p>
    <w:p w:rsidRPr="006400F9" w:rsidR="00AE45E2" w:rsidP="00AE45E2" w:rsidRDefault="00AE45E2" w14:paraId="5535D564" w14:textId="77777777">
      <w:pPr>
        <w:pStyle w:val="BodyText"/>
        <w:sectPr w:rsidRPr="006400F9" w:rsidR="00AE45E2" w:rsidSect="00F1116B">
          <w:headerReference w:type="default" r:id="rId12"/>
          <w:headerReference w:type="first" r:id="rId13"/>
          <w:pgSz w:w="12240" w:h="15840" w:code="1"/>
          <w:pgMar w:top="1440" w:right="1440" w:bottom="1440" w:left="1440" w:header="720" w:footer="720" w:gutter="0"/>
          <w:pgNumType w:fmt="lowerRoman" w:start="1"/>
          <w:cols w:space="720"/>
          <w:noEndnote/>
          <w:titlePg/>
        </w:sectPr>
      </w:pPr>
    </w:p>
    <w:p w:rsidR="0000160C" w:rsidRDefault="00C517ED" w14:paraId="0D4833CC" w14:textId="0200C160">
      <w:pPr>
        <w:pStyle w:val="BodyText"/>
        <w:jc w:val="center"/>
        <w:rPr>
          <w:b/>
        </w:rPr>
      </w:pPr>
      <w:r w:rsidRPr="004C0B11">
        <w:rPr>
          <w:b/>
          <w:highlight w:val="yellow"/>
        </w:rPr>
        <w:lastRenderedPageBreak/>
        <w:t>[</w:t>
      </w:r>
      <w:r w:rsidRPr="004C0B11" w:rsidR="004C0B11">
        <w:rPr>
          <w:b/>
          <w:highlight w:val="yellow"/>
        </w:rPr>
        <w:t>MODIFÉE ET MISE À JOUR</w:t>
      </w:r>
      <w:r w:rsidRPr="004C0B11">
        <w:rPr>
          <w:b/>
          <w:highlight w:val="yellow"/>
        </w:rPr>
        <w:t>]</w:t>
      </w:r>
      <w:r>
        <w:rPr>
          <w:b/>
        </w:rPr>
        <w:t xml:space="preserve"> </w:t>
      </w:r>
      <w:r>
        <w:rPr>
          <w:b/>
        </w:rPr>
        <w:br/>
      </w:r>
      <w:r w:rsidR="0082726A">
        <w:rPr>
          <w:b/>
        </w:rPr>
        <w:t>CONVENTION</w:t>
      </w:r>
      <w:r>
        <w:rPr>
          <w:b/>
        </w:rPr>
        <w:t xml:space="preserve"> DE SOCIÉTÉ EN COMMANDITE</w:t>
      </w:r>
    </w:p>
    <w:p w:rsidR="0000160C" w:rsidRDefault="00E06B01" w14:paraId="25F7E41D" w14:textId="05C1AC34">
      <w:pPr>
        <w:pStyle w:val="BodyText"/>
        <w:rPr>
          <w:caps/>
        </w:rPr>
      </w:pPr>
      <w:r>
        <w:rPr>
          <w:b/>
        </w:rPr>
        <w:t>LA PRÉSENTE CONVENTION</w:t>
      </w:r>
      <w:r w:rsidR="00C517ED">
        <w:rPr>
          <w:b/>
        </w:rPr>
        <w:t xml:space="preserve"> </w:t>
      </w:r>
      <w:r w:rsidR="004C0B11">
        <w:rPr>
          <w:b/>
        </w:rPr>
        <w:t>en date</w:t>
      </w:r>
      <w:r w:rsidR="00C517ED">
        <w:rPr>
          <w:b/>
        </w:rPr>
        <w:t xml:space="preserve"> du </w:t>
      </w:r>
      <w:r w:rsidR="00C517ED">
        <w:rPr>
          <w:b/>
          <w:caps/>
        </w:rPr>
        <w:t>[</w:t>
      </w:r>
      <w:r w:rsidR="00C517ED">
        <w:rPr>
          <w:b/>
          <w:caps/>
          <w:highlight w:val="yellow"/>
        </w:rPr>
        <w:t>__</w:t>
      </w:r>
      <w:r w:rsidR="00C517ED">
        <w:rPr>
          <w:b/>
          <w:caps/>
        </w:rPr>
        <w:t>]</w:t>
      </w:r>
      <w:r w:rsidR="00C517ED">
        <w:rPr>
          <w:caps/>
        </w:rPr>
        <w:t xml:space="preserve"> </w:t>
      </w:r>
      <w:r w:rsidR="00C517ED">
        <w:t>20</w:t>
      </w:r>
      <w:r w:rsidR="00C517ED">
        <w:rPr>
          <w:b/>
          <w:caps/>
        </w:rPr>
        <w:t>[</w:t>
      </w:r>
      <w:r w:rsidR="00C517ED">
        <w:rPr>
          <w:b/>
          <w:caps/>
          <w:highlight w:val="yellow"/>
        </w:rPr>
        <w:t>__</w:t>
      </w:r>
      <w:r w:rsidR="00C517ED">
        <w:rPr>
          <w:b/>
          <w:caps/>
        </w:rPr>
        <w:t>]</w:t>
      </w:r>
      <w:r w:rsidR="00C517ED">
        <w:rPr>
          <w:caps/>
        </w:rPr>
        <w:t>,</w:t>
      </w:r>
    </w:p>
    <w:p w:rsidR="0000160C" w:rsidRDefault="00C517ED" w14:paraId="31F6FF8F" w14:textId="77777777">
      <w:pPr>
        <w:pStyle w:val="BodyText"/>
        <w:rPr>
          <w:caps/>
        </w:rPr>
      </w:pPr>
      <w:r>
        <w:rPr>
          <w:b/>
          <w:caps/>
        </w:rPr>
        <w:t>ENTRE :</w:t>
      </w:r>
      <w:bookmarkStart w:name="_Ref113892751" w:id="2"/>
      <w:r>
        <w:rPr>
          <w:rStyle w:val="FootnoteReference"/>
        </w:rPr>
        <w:footnoteReference w:id="3"/>
      </w:r>
      <w:bookmarkEnd w:id="2"/>
    </w:p>
    <w:p w:rsidR="0000160C" w:rsidRDefault="00C517ED" w14:paraId="6BB6CE50" w14:textId="367C8127">
      <w:pPr>
        <w:pStyle w:val="BodyText"/>
        <w:ind w:left="1800" w:right="1620"/>
      </w:pPr>
      <w:r>
        <w:rPr>
          <w:b/>
        </w:rPr>
        <w:t>[</w:t>
      </w:r>
      <w:proofErr w:type="gramStart"/>
      <w:r>
        <w:rPr>
          <w:b/>
          <w:highlight w:val="yellow"/>
        </w:rPr>
        <w:t>nom</w:t>
      </w:r>
      <w:proofErr w:type="gramEnd"/>
      <w:r>
        <w:rPr>
          <w:b/>
          <w:highlight w:val="yellow"/>
        </w:rPr>
        <w:t xml:space="preserve"> du commandité</w:t>
      </w:r>
      <w:r>
        <w:rPr>
          <w:b/>
        </w:rPr>
        <w:t>]</w:t>
      </w:r>
      <w:r>
        <w:t xml:space="preserve">, une </w:t>
      </w:r>
      <w:r>
        <w:rPr>
          <w:b/>
        </w:rPr>
        <w:t>[</w:t>
      </w:r>
      <w:r>
        <w:rPr>
          <w:b/>
          <w:highlight w:val="yellow"/>
        </w:rPr>
        <w:t>société</w:t>
      </w:r>
      <w:bookmarkStart w:name="_Ref113892752" w:id="3"/>
      <w:r>
        <w:rPr>
          <w:rStyle w:val="FootnoteReference"/>
          <w:b/>
        </w:rPr>
        <w:footnoteReference w:id="4"/>
      </w:r>
      <w:bookmarkEnd w:id="3"/>
      <w:r>
        <w:rPr>
          <w:b/>
          <w:highlight w:val="yellow"/>
        </w:rPr>
        <w:t xml:space="preserve"> constituée</w:t>
      </w:r>
      <w:r>
        <w:rPr>
          <w:b/>
        </w:rPr>
        <w:t xml:space="preserve">] </w:t>
      </w:r>
      <w:r>
        <w:t xml:space="preserve">en vertu des lois de la province </w:t>
      </w:r>
      <w:r>
        <w:rPr>
          <w:b/>
          <w:bCs/>
          <w:highlight w:val="yellow"/>
        </w:rPr>
        <w:t>[</w:t>
      </w:r>
      <w:r w:rsidR="0082726A">
        <w:rPr>
          <w:b/>
          <w:bCs/>
          <w:highlight w:val="yellow"/>
        </w:rPr>
        <w:t>de l’</w:t>
      </w:r>
      <w:r>
        <w:rPr>
          <w:b/>
          <w:bCs/>
          <w:highlight w:val="yellow"/>
        </w:rPr>
        <w:t>Ontario/</w:t>
      </w:r>
      <w:r w:rsidR="0082726A">
        <w:rPr>
          <w:b/>
          <w:bCs/>
          <w:highlight w:val="yellow"/>
        </w:rPr>
        <w:t xml:space="preserve">du </w:t>
      </w:r>
      <w:r>
        <w:rPr>
          <w:b/>
          <w:bCs/>
          <w:highlight w:val="yellow"/>
        </w:rPr>
        <w:t>Québec]</w:t>
      </w:r>
      <w:bookmarkStart w:name="_Ref113892753" w:id="4"/>
      <w:r>
        <w:rPr>
          <w:rStyle w:val="FootnoteReference"/>
        </w:rPr>
        <w:footnoteReference w:id="5"/>
      </w:r>
      <w:bookmarkEnd w:id="4"/>
    </w:p>
    <w:p w:rsidR="0000160C" w:rsidRDefault="00C517ED" w14:paraId="5F15CA32" w14:textId="618A2CBB">
      <w:pPr>
        <w:pStyle w:val="BodyText"/>
        <w:ind w:left="1800" w:right="1620"/>
      </w:pPr>
      <w:r>
        <w:t>(</w:t>
      </w:r>
      <w:proofErr w:type="gramStart"/>
      <w:r>
        <w:t>le</w:t>
      </w:r>
      <w:proofErr w:type="gramEnd"/>
      <w:r>
        <w:t xml:space="preserve"> « </w:t>
      </w:r>
      <w:r w:rsidR="00E06B01">
        <w:rPr>
          <w:b/>
        </w:rPr>
        <w:t>C</w:t>
      </w:r>
      <w:r>
        <w:rPr>
          <w:b/>
        </w:rPr>
        <w:t>ommandité</w:t>
      </w:r>
      <w:r>
        <w:rPr>
          <w:bCs/>
        </w:rPr>
        <w:t xml:space="preserve"> »</w:t>
      </w:r>
      <w:r>
        <w:t>)</w:t>
      </w:r>
    </w:p>
    <w:p w:rsidR="0000160C" w:rsidRDefault="00C517ED" w14:paraId="61FAD92C" w14:textId="77777777">
      <w:pPr>
        <w:pStyle w:val="BodyText"/>
        <w:ind w:left="3960" w:right="1620"/>
      </w:pPr>
      <w:r>
        <w:t>-et-</w:t>
      </w:r>
    </w:p>
    <w:p w:rsidR="0000160C" w:rsidRDefault="00C517ED" w14:paraId="6F6A543C" w14:textId="76FAE32D">
      <w:pPr>
        <w:pStyle w:val="BodyText"/>
        <w:ind w:left="1800" w:right="1620"/>
      </w:pPr>
      <w:r>
        <w:rPr>
          <w:b/>
        </w:rPr>
        <w:t>[</w:t>
      </w:r>
      <w:proofErr w:type="gramStart"/>
      <w:r>
        <w:rPr>
          <w:b/>
          <w:highlight w:val="yellow"/>
        </w:rPr>
        <w:t>nom</w:t>
      </w:r>
      <w:proofErr w:type="gramEnd"/>
      <w:r>
        <w:rPr>
          <w:b/>
          <w:highlight w:val="yellow"/>
        </w:rPr>
        <w:t xml:space="preserve"> du commanditaire initial</w:t>
      </w:r>
      <w:r>
        <w:rPr>
          <w:b/>
        </w:rPr>
        <w:t>]</w:t>
      </w:r>
      <w:r>
        <w:t xml:space="preserve">, une </w:t>
      </w:r>
      <w:r>
        <w:rPr>
          <w:b/>
        </w:rPr>
        <w:t>[</w:t>
      </w:r>
      <w:r>
        <w:rPr>
          <w:b/>
          <w:highlight w:val="yellow"/>
        </w:rPr>
        <w:t>société constituée</w:t>
      </w:r>
      <w:r>
        <w:rPr>
          <w:b/>
        </w:rPr>
        <w:t xml:space="preserve">] </w:t>
      </w:r>
      <w:r>
        <w:t xml:space="preserve">en vertu des lois de la province </w:t>
      </w:r>
      <w:r>
        <w:rPr>
          <w:b/>
          <w:bCs/>
          <w:highlight w:val="yellow"/>
        </w:rPr>
        <w:t>[</w:t>
      </w:r>
      <w:r w:rsidR="0082726A">
        <w:rPr>
          <w:b/>
          <w:bCs/>
          <w:highlight w:val="yellow"/>
        </w:rPr>
        <w:t>de l’</w:t>
      </w:r>
      <w:r>
        <w:rPr>
          <w:b/>
          <w:bCs/>
          <w:highlight w:val="yellow"/>
        </w:rPr>
        <w:t>Ontario/</w:t>
      </w:r>
      <w:r w:rsidR="0082726A">
        <w:rPr>
          <w:b/>
          <w:bCs/>
          <w:highlight w:val="yellow"/>
        </w:rPr>
        <w:t xml:space="preserve">du </w:t>
      </w:r>
      <w:r>
        <w:rPr>
          <w:b/>
          <w:bCs/>
          <w:highlight w:val="yellow"/>
        </w:rPr>
        <w:t>Québec]</w:t>
      </w:r>
    </w:p>
    <w:p w:rsidR="0000160C" w:rsidRDefault="00C517ED" w14:paraId="5D2E672C" w14:textId="510A2122">
      <w:pPr>
        <w:pStyle w:val="BodyText"/>
        <w:ind w:left="1800" w:right="1620"/>
      </w:pPr>
      <w:r>
        <w:t>(</w:t>
      </w:r>
      <w:proofErr w:type="gramStart"/>
      <w:r>
        <w:t>le</w:t>
      </w:r>
      <w:proofErr w:type="gramEnd"/>
      <w:r>
        <w:t xml:space="preserve"> « </w:t>
      </w:r>
      <w:r w:rsidR="00E06B01">
        <w:rPr>
          <w:b/>
        </w:rPr>
        <w:t>Commanditaire</w:t>
      </w:r>
      <w:r>
        <w:rPr>
          <w:b/>
        </w:rPr>
        <w:t xml:space="preserve"> initial</w:t>
      </w:r>
      <w:r>
        <w:t xml:space="preserve"> »)</w:t>
      </w:r>
    </w:p>
    <w:p w:rsidR="0000160C" w:rsidRDefault="00C517ED" w14:paraId="5838FA0B" w14:textId="77777777">
      <w:pPr>
        <w:pStyle w:val="BodyText"/>
        <w:ind w:left="3960" w:right="1620"/>
      </w:pPr>
      <w:r>
        <w:t>-et-</w:t>
      </w:r>
    </w:p>
    <w:p w:rsidR="0000160C" w:rsidRDefault="00C517ED" w14:paraId="1CDD69E4" w14:textId="30C6C9A5">
      <w:pPr>
        <w:pStyle w:val="BodyText"/>
        <w:ind w:left="1800" w:right="1620"/>
      </w:pPr>
      <w:proofErr w:type="gramStart"/>
      <w:r>
        <w:t>les</w:t>
      </w:r>
      <w:proofErr w:type="gramEnd"/>
      <w:r>
        <w:t xml:space="preserve"> personnes qui, de temps à autre, sont admises au Fonds (</w:t>
      </w:r>
      <w:r w:rsidR="00D04A3C">
        <w:t>tel que défini</w:t>
      </w:r>
      <w:r>
        <w:t xml:space="preserve"> ci-</w:t>
      </w:r>
      <w:r w:rsidR="004C0B11">
        <w:t>après</w:t>
      </w:r>
      <w:r>
        <w:t>) en tant que commanditaires</w:t>
      </w:r>
    </w:p>
    <w:p w:rsidR="0000160C" w:rsidRDefault="00C517ED" w14:paraId="753406E6" w14:textId="77777777">
      <w:pPr>
        <w:pStyle w:val="BodyText"/>
        <w:ind w:left="3960" w:right="1620"/>
      </w:pPr>
      <w:r>
        <w:t>-et-</w:t>
      </w:r>
    </w:p>
    <w:p w:rsidR="0000160C" w:rsidRDefault="00C517ED" w14:paraId="67F992CC" w14:textId="5D857C58">
      <w:pPr>
        <w:pStyle w:val="BodyText"/>
        <w:ind w:left="1800" w:right="1620"/>
      </w:pPr>
      <w:r>
        <w:rPr>
          <w:b/>
        </w:rPr>
        <w:t>[</w:t>
      </w:r>
      <w:proofErr w:type="gramStart"/>
      <w:r>
        <w:rPr>
          <w:b/>
          <w:highlight w:val="yellow"/>
        </w:rPr>
        <w:t>nom</w:t>
      </w:r>
      <w:proofErr w:type="gramEnd"/>
      <w:r>
        <w:rPr>
          <w:b/>
          <w:highlight w:val="yellow"/>
        </w:rPr>
        <w:t xml:space="preserve"> du gestionnaire d</w:t>
      </w:r>
      <w:r w:rsidR="0031681D">
        <w:rPr>
          <w:b/>
          <w:highlight w:val="yellow"/>
        </w:rPr>
        <w:t>e</w:t>
      </w:r>
      <w:r>
        <w:rPr>
          <w:b/>
          <w:highlight w:val="yellow"/>
        </w:rPr>
        <w:t xml:space="preserve"> </w:t>
      </w:r>
      <w:r w:rsidRPr="00D04A3C">
        <w:rPr>
          <w:b/>
          <w:highlight w:val="yellow"/>
        </w:rPr>
        <w:t>fonds d</w:t>
      </w:r>
      <w:r w:rsidRPr="00D04A3C" w:rsidR="00D04A3C">
        <w:rPr>
          <w:b/>
          <w:highlight w:val="yellow"/>
        </w:rPr>
        <w:t>’investissement</w:t>
      </w:r>
      <w:r>
        <w:rPr>
          <w:b/>
        </w:rPr>
        <w:t>]</w:t>
      </w:r>
      <w:r>
        <w:t xml:space="preserve">, une </w:t>
      </w:r>
      <w:r>
        <w:rPr>
          <w:b/>
        </w:rPr>
        <w:t>[</w:t>
      </w:r>
      <w:r>
        <w:rPr>
          <w:b/>
          <w:highlight w:val="yellow"/>
        </w:rPr>
        <w:t>société</w:t>
      </w:r>
      <w:bookmarkStart w:name="_Ref113892754" w:id="5"/>
      <w:r>
        <w:rPr>
          <w:rStyle w:val="FootnoteReference"/>
          <w:b/>
        </w:rPr>
        <w:footnoteReference w:id="6"/>
      </w:r>
      <w:bookmarkEnd w:id="5"/>
      <w:r>
        <w:rPr>
          <w:b/>
          <w:highlight w:val="yellow"/>
        </w:rPr>
        <w:t xml:space="preserve"> constituée</w:t>
      </w:r>
      <w:r>
        <w:rPr>
          <w:b/>
        </w:rPr>
        <w:t xml:space="preserve">] </w:t>
      </w:r>
      <w:r>
        <w:t xml:space="preserve">en vertu des lois de la province </w:t>
      </w:r>
      <w:r>
        <w:rPr>
          <w:b/>
          <w:bCs/>
          <w:highlight w:val="yellow"/>
        </w:rPr>
        <w:t>[</w:t>
      </w:r>
      <w:r w:rsidR="0082726A">
        <w:rPr>
          <w:b/>
          <w:bCs/>
          <w:highlight w:val="yellow"/>
        </w:rPr>
        <w:t>de l’</w:t>
      </w:r>
      <w:r>
        <w:rPr>
          <w:b/>
          <w:bCs/>
          <w:highlight w:val="yellow"/>
        </w:rPr>
        <w:t>Ontario/</w:t>
      </w:r>
      <w:r w:rsidR="0082726A">
        <w:rPr>
          <w:b/>
          <w:bCs/>
          <w:highlight w:val="yellow"/>
        </w:rPr>
        <w:t xml:space="preserve">du </w:t>
      </w:r>
      <w:r>
        <w:rPr>
          <w:b/>
          <w:bCs/>
          <w:highlight w:val="yellow"/>
        </w:rPr>
        <w:t>Québec]</w:t>
      </w:r>
    </w:p>
    <w:p w:rsidR="0000160C" w:rsidRDefault="00C517ED" w14:paraId="6C819604" w14:textId="4B873E61">
      <w:pPr>
        <w:pStyle w:val="BodyText"/>
        <w:ind w:left="1800"/>
        <w:rPr>
          <w:b/>
        </w:rPr>
      </w:pPr>
      <w:r>
        <w:t>(</w:t>
      </w:r>
      <w:proofErr w:type="gramStart"/>
      <w:r>
        <w:t>le</w:t>
      </w:r>
      <w:proofErr w:type="gramEnd"/>
      <w:r>
        <w:t xml:space="preserve"> </w:t>
      </w:r>
      <w:r w:rsidR="00D04A3C">
        <w:t>« </w:t>
      </w:r>
      <w:r w:rsidR="00D04A3C">
        <w:rPr>
          <w:b/>
        </w:rPr>
        <w:t>G</w:t>
      </w:r>
      <w:r>
        <w:rPr>
          <w:b/>
        </w:rPr>
        <w:t>estionnaire</w:t>
      </w:r>
      <w:r w:rsidR="00D04A3C">
        <w:t> »</w:t>
      </w:r>
      <w:r>
        <w:t>)</w:t>
      </w:r>
      <w:bookmarkStart w:name="_Ref113892755" w:id="6"/>
      <w:r>
        <w:rPr>
          <w:rStyle w:val="FootnoteReference"/>
        </w:rPr>
        <w:footnoteReference w:id="7"/>
      </w:r>
      <w:bookmarkStart w:name="_Ref113892756" w:id="7"/>
      <w:bookmarkEnd w:id="6"/>
      <w:r>
        <w:rPr>
          <w:vertAlign w:val="superscript"/>
        </w:rPr>
        <w:t>,</w:t>
      </w:r>
      <w:r>
        <w:rPr>
          <w:rStyle w:val="FootnoteReference"/>
        </w:rPr>
        <w:footnoteReference w:id="8"/>
      </w:r>
      <w:bookmarkEnd w:id="7"/>
    </w:p>
    <w:p w:rsidR="0000160C" w:rsidRDefault="00D04A3C" w14:paraId="42650599" w14:textId="1190D264">
      <w:pPr>
        <w:pStyle w:val="BodyText"/>
        <w:jc w:val="left"/>
        <w:rPr>
          <w:b/>
        </w:rPr>
      </w:pPr>
      <w:r>
        <w:rPr>
          <w:b/>
        </w:rPr>
        <w:t>PRÉAMBULE</w:t>
      </w:r>
      <w:r w:rsidR="00C517ED">
        <w:rPr>
          <w:b/>
        </w:rPr>
        <w:t xml:space="preserve"> :</w:t>
      </w:r>
    </w:p>
    <w:p w:rsidR="0000160C" w:rsidRDefault="00C517ED" w14:paraId="38949905" w14:textId="3E7C169A">
      <w:pPr>
        <w:pStyle w:val="BodyText"/>
        <w:numPr>
          <w:ilvl w:val="0"/>
          <w:numId w:val="8"/>
        </w:numPr>
        <w:ind w:left="360"/>
        <w:rPr>
          <w:b/>
          <w:caps/>
        </w:rPr>
      </w:pPr>
      <w:bookmarkStart w:name="_Ref64491515" w:id="8"/>
      <w:r w:rsidRPr="0082726A">
        <w:rPr>
          <w:b/>
          <w:highlight w:val="yellow"/>
        </w:rPr>
        <w:t>[nom du Fonds]</w:t>
      </w:r>
      <w:r>
        <w:rPr>
          <w:b/>
        </w:rPr>
        <w:t xml:space="preserve"> </w:t>
      </w:r>
      <w:r w:rsidRPr="009F38A1">
        <w:rPr>
          <w:bCs/>
        </w:rPr>
        <w:t xml:space="preserve">(le « </w:t>
      </w:r>
      <w:r w:rsidRPr="009F38A1">
        <w:rPr>
          <w:b/>
        </w:rPr>
        <w:t>Fonds</w:t>
      </w:r>
      <w:r w:rsidRPr="009F38A1">
        <w:rPr>
          <w:bCs/>
        </w:rPr>
        <w:t xml:space="preserve"> ») </w:t>
      </w:r>
      <w:r w:rsidRPr="009F38A1" w:rsidR="00D04A3C">
        <w:rPr>
          <w:bCs/>
        </w:rPr>
        <w:t>est une</w:t>
      </w:r>
      <w:r w:rsidRPr="009F38A1">
        <w:rPr>
          <w:bCs/>
        </w:rPr>
        <w:t xml:space="preserve"> société en commandite</w:t>
      </w:r>
      <w:r w:rsidRPr="009F38A1" w:rsidR="00D04A3C">
        <w:rPr>
          <w:bCs/>
        </w:rPr>
        <w:t xml:space="preserve"> constituée</w:t>
      </w:r>
      <w:r w:rsidRPr="009F38A1">
        <w:rPr>
          <w:bCs/>
        </w:rPr>
        <w:t xml:space="preserve"> en vertu des lois de la province </w:t>
      </w:r>
      <w:r w:rsidRPr="009F38A1">
        <w:rPr>
          <w:b/>
          <w:highlight w:val="yellow"/>
        </w:rPr>
        <w:t>[</w:t>
      </w:r>
      <w:r w:rsidR="0082726A">
        <w:rPr>
          <w:b/>
          <w:highlight w:val="yellow"/>
        </w:rPr>
        <w:t>de l’</w:t>
      </w:r>
      <w:r w:rsidRPr="009F38A1">
        <w:rPr>
          <w:b/>
          <w:highlight w:val="yellow"/>
        </w:rPr>
        <w:t>Ontario/</w:t>
      </w:r>
      <w:r w:rsidR="0082726A">
        <w:rPr>
          <w:b/>
          <w:highlight w:val="yellow"/>
        </w:rPr>
        <w:t xml:space="preserve">du </w:t>
      </w:r>
      <w:r w:rsidRPr="009F38A1">
        <w:rPr>
          <w:b/>
          <w:highlight w:val="yellow"/>
        </w:rPr>
        <w:t>Québec]</w:t>
      </w:r>
      <w:r w:rsidRPr="009F38A1">
        <w:rPr>
          <w:bCs/>
        </w:rPr>
        <w:t xml:space="preserve"> le</w:t>
      </w:r>
      <w:r w:rsidRPr="009F38A1">
        <w:rPr>
          <w:b/>
          <w:bCs/>
        </w:rPr>
        <w:t xml:space="preserve"> </w:t>
      </w:r>
      <w:r>
        <w:rPr>
          <w:b/>
          <w:caps/>
        </w:rPr>
        <w:t>[</w:t>
      </w:r>
      <w:r w:rsidRPr="009F38A1">
        <w:rPr>
          <w:b/>
          <w:caps/>
          <w:highlight w:val="yellow"/>
        </w:rPr>
        <w:t>__</w:t>
      </w:r>
      <w:r>
        <w:rPr>
          <w:b/>
          <w:caps/>
        </w:rPr>
        <w:t xml:space="preserve">] </w:t>
      </w:r>
      <w:r>
        <w:t>20[</w:t>
      </w:r>
      <w:r>
        <w:rPr>
          <w:b/>
          <w:caps/>
          <w:highlight w:val="yellow"/>
        </w:rPr>
        <w:t>___</w:t>
      </w:r>
      <w:r w:rsidRPr="009F38A1">
        <w:rPr>
          <w:b/>
          <w:caps/>
        </w:rPr>
        <w:t>]</w:t>
      </w:r>
      <w:r>
        <w:t xml:space="preserve"> par </w:t>
      </w:r>
      <w:r w:rsidR="00D04A3C">
        <w:t>la signature</w:t>
      </w:r>
      <w:r>
        <w:t xml:space="preserve"> et la </w:t>
      </w:r>
      <w:r w:rsidR="00D04A3C">
        <w:t>remise</w:t>
      </w:r>
      <w:r>
        <w:t xml:space="preserve"> de la </w:t>
      </w:r>
      <w:r w:rsidR="00D04A3C">
        <w:t>C</w:t>
      </w:r>
      <w:r>
        <w:t>onvention initiale (telle que définie ci-</w:t>
      </w:r>
      <w:r w:rsidR="004C0B11">
        <w:t>après</w:t>
      </w:r>
      <w:r>
        <w:t xml:space="preserve">) et par </w:t>
      </w:r>
      <w:r w:rsidRPr="009F38A1">
        <w:rPr>
          <w:b/>
          <w:bCs/>
          <w:highlight w:val="yellow"/>
        </w:rPr>
        <w:t>[</w:t>
      </w:r>
      <w:r w:rsidR="0082726A">
        <w:rPr>
          <w:b/>
          <w:bCs/>
          <w:highlight w:val="yellow"/>
        </w:rPr>
        <w:t xml:space="preserve">le dépôt de </w:t>
      </w:r>
      <w:r w:rsidRPr="009F38A1">
        <w:rPr>
          <w:b/>
          <w:bCs/>
          <w:highlight w:val="yellow"/>
        </w:rPr>
        <w:t xml:space="preserve">la déclaration de société en commandite du </w:t>
      </w:r>
      <w:r>
        <w:rPr>
          <w:b/>
          <w:bCs/>
          <w:highlight w:val="yellow"/>
        </w:rPr>
        <w:lastRenderedPageBreak/>
        <w:t xml:space="preserve">Fonds signée par le </w:t>
      </w:r>
      <w:r w:rsidR="009F38A1">
        <w:rPr>
          <w:b/>
          <w:bCs/>
          <w:highlight w:val="yellow"/>
        </w:rPr>
        <w:t>C</w:t>
      </w:r>
      <w:r>
        <w:rPr>
          <w:b/>
          <w:bCs/>
          <w:highlight w:val="yellow"/>
        </w:rPr>
        <w:t xml:space="preserve">ommandité et déposée en vertu de la </w:t>
      </w:r>
      <w:r w:rsidRPr="009F38A1">
        <w:rPr>
          <w:b/>
          <w:bCs/>
          <w:i/>
          <w:iCs/>
          <w:highlight w:val="yellow"/>
        </w:rPr>
        <w:t>Loi sur les sociétés en commandite</w:t>
      </w:r>
      <w:r>
        <w:rPr>
          <w:b/>
          <w:bCs/>
          <w:highlight w:val="yellow"/>
        </w:rPr>
        <w:t xml:space="preserve"> (Ontario)</w:t>
      </w:r>
      <w:r w:rsidR="00E66A70">
        <w:rPr>
          <w:rStyle w:val="FootnoteReference"/>
          <w:b/>
          <w:bCs/>
          <w:highlight w:val="yellow"/>
        </w:rPr>
        <w:footnoteReference w:id="9"/>
      </w:r>
      <w:r>
        <w:rPr>
          <w:b/>
          <w:bCs/>
          <w:highlight w:val="yellow"/>
        </w:rPr>
        <w:t xml:space="preserve"> / </w:t>
      </w:r>
      <w:r w:rsidR="0082726A">
        <w:rPr>
          <w:b/>
          <w:bCs/>
          <w:highlight w:val="yellow"/>
        </w:rPr>
        <w:t xml:space="preserve">la production de </w:t>
      </w:r>
      <w:r>
        <w:rPr>
          <w:b/>
          <w:bCs/>
          <w:highlight w:val="yellow"/>
        </w:rPr>
        <w:t xml:space="preserve">la </w:t>
      </w:r>
      <w:r w:rsidRPr="00A616DA">
        <w:rPr>
          <w:b/>
          <w:bCs/>
          <w:highlight w:val="yellow"/>
          <w:lang w:val="fr-CA"/>
        </w:rPr>
        <w:t xml:space="preserve">déclaration </w:t>
      </w:r>
      <w:r w:rsidR="009F38A1">
        <w:rPr>
          <w:b/>
          <w:bCs/>
          <w:highlight w:val="yellow"/>
          <w:lang w:val="fr-CA"/>
        </w:rPr>
        <w:t>d’immatriculation</w:t>
      </w:r>
      <w:r w:rsidRPr="00A616DA">
        <w:rPr>
          <w:b/>
          <w:bCs/>
          <w:highlight w:val="yellow"/>
          <w:lang w:val="fr-CA"/>
        </w:rPr>
        <w:t xml:space="preserve"> du Fonds déposée en vertu du </w:t>
      </w:r>
      <w:r w:rsidRPr="009F38A1">
        <w:rPr>
          <w:b/>
          <w:bCs/>
          <w:i/>
          <w:iCs/>
          <w:highlight w:val="yellow"/>
          <w:lang w:val="fr-CA"/>
        </w:rPr>
        <w:t>Code civil du Québec</w:t>
      </w:r>
      <w:r w:rsidRPr="00A616DA">
        <w:rPr>
          <w:b/>
          <w:bCs/>
          <w:highlight w:val="yellow"/>
          <w:lang w:val="fr-CA"/>
        </w:rPr>
        <w:t xml:space="preserve"> et de la </w:t>
      </w:r>
      <w:r w:rsidRPr="009F38A1">
        <w:rPr>
          <w:b/>
          <w:bCs/>
          <w:i/>
          <w:iCs/>
          <w:highlight w:val="yellow"/>
          <w:lang w:val="fr-CA"/>
        </w:rPr>
        <w:t>Loi sur la publicité légale des entreprises</w:t>
      </w:r>
      <w:r w:rsidRPr="00A616DA">
        <w:rPr>
          <w:b/>
          <w:bCs/>
          <w:highlight w:val="yellow"/>
          <w:lang w:val="fr-CA"/>
        </w:rPr>
        <w:t xml:space="preserve"> (Québec)</w:t>
      </w:r>
      <w:bookmarkStart w:name="_Ref113892757" w:id="9"/>
      <w:r w:rsidRPr="00E66A70" w:rsidR="00E66A70">
        <w:rPr>
          <w:rStyle w:val="FootnoteReference"/>
          <w:b/>
          <w:bCs/>
          <w:highlight w:val="yellow"/>
          <w:lang w:val="en-CA"/>
        </w:rPr>
        <w:footnoteReference w:id="10"/>
      </w:r>
      <w:bookmarkEnd w:id="9"/>
      <w:r w:rsidRPr="00E66A70">
        <w:rPr>
          <w:b/>
          <w:bCs/>
          <w:highlight w:val="yellow"/>
          <w:lang w:val="fr-CA"/>
        </w:rPr>
        <w:t>]</w:t>
      </w:r>
      <w:r w:rsidRPr="009F38A1">
        <w:rPr>
          <w:b/>
          <w:bCs/>
        </w:rPr>
        <w:t xml:space="preserve"> </w:t>
      </w:r>
      <w:r w:rsidRPr="009F38A1" w:rsidR="009F38A1">
        <w:t>le</w:t>
      </w:r>
      <w:r w:rsidRPr="009F38A1">
        <w:rPr>
          <w:b/>
          <w:bCs/>
        </w:rPr>
        <w:t xml:space="preserve"> [</w:t>
      </w:r>
      <w:r w:rsidRPr="009F38A1">
        <w:rPr>
          <w:b/>
          <w:bCs/>
          <w:highlight w:val="yellow"/>
        </w:rPr>
        <w:t>___</w:t>
      </w:r>
      <w:r w:rsidRPr="009F38A1" w:rsidR="009F38A1">
        <w:rPr>
          <w:b/>
          <w:bCs/>
        </w:rPr>
        <w:t>]</w:t>
      </w:r>
      <w:r w:rsidRPr="009F38A1">
        <w:rPr>
          <w:b/>
          <w:bCs/>
        </w:rPr>
        <w:t xml:space="preserve"> </w:t>
      </w:r>
      <w:r w:rsidR="009F38A1">
        <w:t>(la « </w:t>
      </w:r>
      <w:r w:rsidRPr="009F38A1">
        <w:rPr>
          <w:b/>
          <w:bCs/>
        </w:rPr>
        <w:t xml:space="preserve">Déclaration </w:t>
      </w:r>
      <w:r w:rsidRPr="009F38A1">
        <w:t>»);</w:t>
      </w:r>
      <w:bookmarkEnd w:id="8"/>
    </w:p>
    <w:p w:rsidR="0000160C" w:rsidRDefault="00C517ED" w14:paraId="37BF37DF" w14:textId="085F443C">
      <w:pPr>
        <w:pStyle w:val="BodyText"/>
        <w:numPr>
          <w:ilvl w:val="0"/>
          <w:numId w:val="8"/>
        </w:numPr>
        <w:ind w:left="360"/>
      </w:pPr>
      <w:bookmarkStart w:name="_Ref113892354" w:id="10"/>
      <w:proofErr w:type="gramStart"/>
      <w:r>
        <w:t>le</w:t>
      </w:r>
      <w:proofErr w:type="gramEnd"/>
      <w:r>
        <w:t xml:space="preserve"> </w:t>
      </w:r>
      <w:r w:rsidR="004C0B11">
        <w:t>C</w:t>
      </w:r>
      <w:r>
        <w:t xml:space="preserve">ommandité et le </w:t>
      </w:r>
      <w:r w:rsidR="004C0B11">
        <w:t>Commanditaire</w:t>
      </w:r>
      <w:r>
        <w:t xml:space="preserve"> initial ont conclu une convention de société en commandite </w:t>
      </w:r>
      <w:r w:rsidR="004C0B11">
        <w:t xml:space="preserve">en date </w:t>
      </w:r>
      <w:r>
        <w:t>du [</w:t>
      </w:r>
      <w:r>
        <w:rPr>
          <w:b/>
          <w:caps/>
          <w:highlight w:val="yellow"/>
        </w:rPr>
        <w:t>__]</w:t>
      </w:r>
      <w:r>
        <w:rPr>
          <w:caps/>
        </w:rPr>
        <w:t xml:space="preserve"> </w:t>
      </w:r>
      <w:r>
        <w:t>20</w:t>
      </w:r>
      <w:r>
        <w:rPr>
          <w:b/>
          <w:caps/>
        </w:rPr>
        <w:t>[</w:t>
      </w:r>
      <w:r>
        <w:rPr>
          <w:b/>
          <w:caps/>
          <w:highlight w:val="yellow"/>
        </w:rPr>
        <w:t>__</w:t>
      </w:r>
      <w:r>
        <w:rPr>
          <w:b/>
          <w:caps/>
        </w:rPr>
        <w:t xml:space="preserve">] </w:t>
      </w:r>
      <w:r>
        <w:t xml:space="preserve">(la « </w:t>
      </w:r>
      <w:r w:rsidR="004C0B11">
        <w:rPr>
          <w:b/>
        </w:rPr>
        <w:t>C</w:t>
      </w:r>
      <w:r>
        <w:rPr>
          <w:b/>
        </w:rPr>
        <w:t>onvention initiale</w:t>
      </w:r>
      <w:r>
        <w:t xml:space="preserve"> ») régissant les activités et les affaires du Fonds;</w:t>
      </w:r>
      <w:bookmarkEnd w:id="10"/>
    </w:p>
    <w:p w:rsidR="0000160C" w:rsidRDefault="00C517ED" w14:paraId="3DCF44CC" w14:textId="14C7AC8A">
      <w:pPr>
        <w:pStyle w:val="BodyText"/>
        <w:numPr>
          <w:ilvl w:val="0"/>
          <w:numId w:val="8"/>
        </w:numPr>
        <w:ind w:left="360"/>
        <w:rPr>
          <w:b/>
          <w:caps/>
        </w:rPr>
      </w:pPr>
      <w:bookmarkStart w:name="_Ref113892355" w:id="11"/>
      <w:proofErr w:type="gramStart"/>
      <w:r>
        <w:t>les</w:t>
      </w:r>
      <w:proofErr w:type="gramEnd"/>
      <w:r>
        <w:t xml:space="preserve"> parties souhaitent </w:t>
      </w:r>
      <w:r w:rsidR="004C0B11">
        <w:t>modifier et mettre à jour</w:t>
      </w:r>
      <w:r>
        <w:t xml:space="preserve"> </w:t>
      </w:r>
      <w:r w:rsidR="004C0B11">
        <w:t>la Convention initiale</w:t>
      </w:r>
      <w:r>
        <w:t xml:space="preserve"> afin de refléter le retrait du </w:t>
      </w:r>
      <w:r w:rsidR="004C0B11">
        <w:t>Commanditaire</w:t>
      </w:r>
      <w:r>
        <w:t xml:space="preserve"> initial, d</w:t>
      </w:r>
      <w:r w:rsidR="00E27310">
        <w:t>’</w:t>
      </w:r>
      <w:r>
        <w:t xml:space="preserve">admettre des </w:t>
      </w:r>
      <w:r w:rsidR="004C0B11">
        <w:t>Commanditaires</w:t>
      </w:r>
      <w:r>
        <w:t xml:space="preserve"> supplémentaires et d</w:t>
      </w:r>
      <w:r w:rsidR="00E27310">
        <w:t>’</w:t>
      </w:r>
      <w:r>
        <w:t>apporter les modifications indiquées ci-dessous;</w:t>
      </w:r>
      <w:bookmarkEnd w:id="11"/>
      <w:r>
        <w:t xml:space="preserve"> et</w:t>
      </w:r>
    </w:p>
    <w:p w:rsidR="0000160C" w:rsidRDefault="00C517ED" w14:paraId="538F1755" w14:textId="4CE7350E">
      <w:pPr>
        <w:pStyle w:val="BodyText"/>
        <w:numPr>
          <w:ilvl w:val="0"/>
          <w:numId w:val="8"/>
        </w:numPr>
        <w:ind w:left="360"/>
        <w:rPr>
          <w:caps/>
        </w:rPr>
      </w:pPr>
      <w:bookmarkStart w:name="_Ref113892356" w:id="12"/>
      <w:proofErr w:type="gramStart"/>
      <w:r>
        <w:t>chaque</w:t>
      </w:r>
      <w:proofErr w:type="gramEnd"/>
      <w:r>
        <w:t xml:space="preserve"> </w:t>
      </w:r>
      <w:r w:rsidR="004C0B11">
        <w:t>C</w:t>
      </w:r>
      <w:r>
        <w:t>ommanditaire (tel que défini ci-après) a signé un</w:t>
      </w:r>
      <w:r w:rsidR="004C0B11">
        <w:t xml:space="preserve">e Convention </w:t>
      </w:r>
      <w:r>
        <w:t>de souscription (tel que défini ci-après) prévoyant, entre autres, l</w:t>
      </w:r>
      <w:r w:rsidR="00E27310">
        <w:t>’</w:t>
      </w:r>
      <w:r>
        <w:t xml:space="preserve">engagement de capital par ledit </w:t>
      </w:r>
      <w:r w:rsidR="0082726A">
        <w:t>C</w:t>
      </w:r>
      <w:r>
        <w:t xml:space="preserve">ommanditaire </w:t>
      </w:r>
      <w:r w:rsidR="00462DA1">
        <w:t>dans</w:t>
      </w:r>
      <w:r>
        <w:t xml:space="preserve"> le Fonds</w:t>
      </w:r>
      <w:bookmarkEnd w:id="12"/>
      <w:r>
        <w:t>.</w:t>
      </w:r>
    </w:p>
    <w:p w:rsidR="0000160C" w:rsidRDefault="00462DA1" w14:paraId="337EEDD3" w14:textId="1509EABB">
      <w:pPr>
        <w:pStyle w:val="BodyText"/>
      </w:pPr>
      <w:r>
        <w:t>PAR CONSÉQUENT</w:t>
      </w:r>
      <w:r w:rsidR="00C517ED">
        <w:t xml:space="preserve">, </w:t>
      </w:r>
      <w:r w:rsidR="00C517ED">
        <w:rPr>
          <w:b/>
          <w:bCs/>
          <w:highlight w:val="yellow"/>
        </w:rPr>
        <w:t xml:space="preserve">[compte tenu des promesses et des </w:t>
      </w:r>
      <w:r w:rsidR="009117AE">
        <w:rPr>
          <w:b/>
          <w:bCs/>
          <w:highlight w:val="yellow"/>
        </w:rPr>
        <w:t>ententes</w:t>
      </w:r>
      <w:r w:rsidR="00C517ED">
        <w:rPr>
          <w:b/>
          <w:bCs/>
          <w:highlight w:val="yellow"/>
        </w:rPr>
        <w:t xml:space="preserve"> mutuel</w:t>
      </w:r>
      <w:r w:rsidR="009117AE">
        <w:rPr>
          <w:b/>
          <w:bCs/>
          <w:highlight w:val="yellow"/>
        </w:rPr>
        <w:t>le</w:t>
      </w:r>
      <w:r w:rsidR="00C517ED">
        <w:rPr>
          <w:b/>
          <w:bCs/>
          <w:highlight w:val="yellow"/>
        </w:rPr>
        <w:t xml:space="preserve">s </w:t>
      </w:r>
      <w:r w:rsidR="009117AE">
        <w:rPr>
          <w:b/>
          <w:highlight w:val="yellow"/>
        </w:rPr>
        <w:t>faites aux présentes</w:t>
      </w:r>
      <w:r w:rsidR="00C517ED">
        <w:rPr>
          <w:b/>
          <w:bCs/>
          <w:highlight w:val="yellow"/>
        </w:rPr>
        <w:t xml:space="preserve"> et </w:t>
      </w:r>
      <w:r w:rsidR="009117AE">
        <w:rPr>
          <w:b/>
          <w:bCs/>
          <w:highlight w:val="yellow"/>
        </w:rPr>
        <w:t>avec</w:t>
      </w:r>
      <w:r w:rsidR="00C517ED">
        <w:rPr>
          <w:b/>
          <w:bCs/>
          <w:highlight w:val="yellow"/>
        </w:rPr>
        <w:t xml:space="preserve"> l</w:t>
      </w:r>
      <w:r w:rsidR="00E27310">
        <w:rPr>
          <w:b/>
          <w:bCs/>
          <w:highlight w:val="yellow"/>
        </w:rPr>
        <w:t>’</w:t>
      </w:r>
      <w:r w:rsidR="00C517ED">
        <w:rPr>
          <w:b/>
          <w:bCs/>
          <w:highlight w:val="yellow"/>
        </w:rPr>
        <w:t>intention d</w:t>
      </w:r>
      <w:r w:rsidR="00E27310">
        <w:rPr>
          <w:b/>
          <w:bCs/>
          <w:highlight w:val="yellow"/>
        </w:rPr>
        <w:t>’</w:t>
      </w:r>
      <w:r w:rsidR="00C517ED">
        <w:rPr>
          <w:b/>
          <w:bCs/>
          <w:highlight w:val="yellow"/>
        </w:rPr>
        <w:t xml:space="preserve">être </w:t>
      </w:r>
      <w:r w:rsidR="009117AE">
        <w:rPr>
          <w:b/>
          <w:bCs/>
          <w:highlight w:val="yellow"/>
        </w:rPr>
        <w:t>légalement</w:t>
      </w:r>
      <w:r w:rsidR="00C517ED">
        <w:rPr>
          <w:b/>
          <w:bCs/>
          <w:highlight w:val="yellow"/>
        </w:rPr>
        <w:t xml:space="preserve"> lié</w:t>
      </w:r>
      <w:r w:rsidR="009117AE">
        <w:rPr>
          <w:b/>
          <w:bCs/>
          <w:highlight w:val="yellow"/>
        </w:rPr>
        <w:t>e</w:t>
      </w:r>
      <w:r w:rsidR="00C517ED">
        <w:rPr>
          <w:b/>
          <w:bCs/>
          <w:highlight w:val="yellow"/>
        </w:rPr>
        <w:t>s par les présentes]</w:t>
      </w:r>
      <w:bookmarkStart w:name="_Ref113892758" w:id="13"/>
      <w:r w:rsidR="00C517ED">
        <w:rPr>
          <w:rStyle w:val="FootnoteReference"/>
          <w:b/>
          <w:bCs/>
        </w:rPr>
        <w:footnoteReference w:id="11"/>
      </w:r>
      <w:bookmarkEnd w:id="13"/>
      <w:r w:rsidR="00C517ED">
        <w:t xml:space="preserve">, les parties conviennent de modifier et de </w:t>
      </w:r>
      <w:r w:rsidR="009117AE">
        <w:t>mettre à jour</w:t>
      </w:r>
      <w:r w:rsidR="00C517ED">
        <w:t xml:space="preserve"> </w:t>
      </w:r>
      <w:r w:rsidR="009117AE">
        <w:t>la Convention</w:t>
      </w:r>
      <w:r w:rsidR="00C517ED">
        <w:t xml:space="preserve"> initial</w:t>
      </w:r>
      <w:r w:rsidR="009117AE">
        <w:t>e</w:t>
      </w:r>
      <w:r w:rsidR="00C517ED">
        <w:t xml:space="preserve"> dans son intégralité comme suit :</w:t>
      </w:r>
    </w:p>
    <w:p w:rsidR="0000160C" w:rsidRDefault="00C517ED" w14:paraId="2776783E" w14:textId="2B6568B1">
      <w:pPr>
        <w:pStyle w:val="ArtBJStyL1"/>
      </w:pPr>
      <w:r>
        <w:br/>
      </w:r>
      <w:bookmarkStart w:name="_Ref113892357" w:id="14"/>
      <w:bookmarkStart w:name="_Toc161762305" w:id="15"/>
      <w:r>
        <w:t>D</w:t>
      </w:r>
      <w:r w:rsidR="009117AE">
        <w:t>É</w:t>
      </w:r>
      <w:r>
        <w:t>finitions et interpr</w:t>
      </w:r>
      <w:r w:rsidR="009117AE">
        <w:t>É</w:t>
      </w:r>
      <w:r>
        <w:t>tation</w:t>
      </w:r>
      <w:bookmarkEnd w:id="14"/>
      <w:bookmarkEnd w:id="15"/>
    </w:p>
    <w:p w:rsidRPr="00A1154D" w:rsidR="0000160C" w:rsidRDefault="00C517ED" w14:paraId="06EFAC08" w14:textId="4E45D6F6">
      <w:pPr>
        <w:pStyle w:val="ArtBJStyL2"/>
        <w:rPr>
          <w:lang w:val="en-CA"/>
        </w:rPr>
      </w:pPr>
      <w:bookmarkStart w:name="_Ref113892358" w:id="16"/>
      <w:bookmarkStart w:name="_Toc161762306" w:id="17"/>
      <w:r w:rsidRPr="00A1154D">
        <w:rPr>
          <w:lang w:val="en-CA"/>
        </w:rPr>
        <w:t xml:space="preserve">Dispositions </w:t>
      </w:r>
      <w:proofErr w:type="spellStart"/>
      <w:r w:rsidRPr="00A1154D">
        <w:rPr>
          <w:lang w:val="en-CA"/>
        </w:rPr>
        <w:t>applicables</w:t>
      </w:r>
      <w:proofErr w:type="spellEnd"/>
      <w:r w:rsidRPr="00A1154D">
        <w:rPr>
          <w:lang w:val="en-CA"/>
        </w:rPr>
        <w:t>.</w:t>
      </w:r>
      <w:bookmarkEnd w:id="16"/>
      <w:bookmarkEnd w:id="17"/>
    </w:p>
    <w:p w:rsidR="0000160C" w:rsidRDefault="00C517ED" w14:paraId="33A769A7" w14:textId="3C0283AB">
      <w:pPr>
        <w:pStyle w:val="ArtBJStyCont2"/>
        <w:keepNext/>
      </w:pPr>
      <w:r>
        <w:t xml:space="preserve">Dans </w:t>
      </w:r>
      <w:r w:rsidR="00FC07F3">
        <w:t>la présente Convention</w:t>
      </w:r>
      <w:r>
        <w:t xml:space="preserve"> (y compris </w:t>
      </w:r>
      <w:r w:rsidR="00F173DB">
        <w:t>le préambule</w:t>
      </w:r>
      <w:r>
        <w:t xml:space="preserve"> et </w:t>
      </w:r>
      <w:r w:rsidR="00F173DB">
        <w:t>les</w:t>
      </w:r>
      <w:r>
        <w:t xml:space="preserve"> annexes) :</w:t>
      </w:r>
    </w:p>
    <w:p w:rsidR="007E6A4A" w:rsidRDefault="007E6A4A" w14:paraId="5B886562" w14:textId="77777777">
      <w:pPr>
        <w:pStyle w:val="BodyText"/>
      </w:pPr>
      <w:r>
        <w:t xml:space="preserve">« </w:t>
      </w:r>
      <w:r>
        <w:rPr>
          <w:b/>
        </w:rPr>
        <w:t>Abris fiscal déterminé</w:t>
      </w:r>
      <w:r>
        <w:t xml:space="preserve"> » désigne un « abris fiscal déterminé » au sens du paragraphe </w:t>
      </w:r>
      <w:bookmarkStart w:name="DocXTextRef25" w:id="18"/>
      <w:r>
        <w:t>143.2(1)</w:t>
      </w:r>
      <w:bookmarkEnd w:id="18"/>
      <w:r>
        <w:t xml:space="preserve"> </w:t>
      </w:r>
      <w:r w:rsidRPr="00926BB9">
        <w:t>de la Loi de l’impôt.</w:t>
      </w:r>
    </w:p>
    <w:p w:rsidR="007E6A4A" w:rsidRDefault="007E6A4A" w14:paraId="69D1657A" w14:textId="212EFA0D">
      <w:pPr>
        <w:pStyle w:val="BodyText"/>
      </w:pPr>
      <w:r>
        <w:t>« </w:t>
      </w:r>
      <w:r>
        <w:rPr>
          <w:b/>
        </w:rPr>
        <w:t>Apport de capital</w:t>
      </w:r>
      <w:r>
        <w:t xml:space="preserve"> » désigne, à l’égard de chaque Associé et sauf disposition contraire des présentes, tout montant </w:t>
      </w:r>
      <w:proofErr w:type="gramStart"/>
      <w:r>
        <w:t>versé</w:t>
      </w:r>
      <w:proofErr w:type="gramEnd"/>
      <w:r>
        <w:t xml:space="preserve"> au Fonds ou le montant global ainsi versé (selon le contexte) conformément aux modalités de la présente Convention.</w:t>
      </w:r>
    </w:p>
    <w:p w:rsidR="005E02FD" w:rsidP="005E02FD" w:rsidRDefault="005E02FD" w14:paraId="611EAD98" w14:textId="21536EBD">
      <w:pPr>
        <w:pStyle w:val="BodyText"/>
      </w:pPr>
      <w:r>
        <w:t>« </w:t>
      </w:r>
      <w:r>
        <w:rPr>
          <w:b/>
        </w:rPr>
        <w:t>Assemblée générale</w:t>
      </w:r>
      <w:r>
        <w:t xml:space="preserve"> » a le sens attribué à ce terme à l’article </w:t>
      </w:r>
      <w:r w:rsidRPr="006400F9">
        <w:fldChar w:fldCharType="begin"/>
      </w:r>
      <w:r w:rsidRPr="006400F9">
        <w:instrText xml:space="preserve"> REF _Ref48201894 \r \h  \* MERGEFORMAT </w:instrText>
      </w:r>
      <w:r w:rsidRPr="006400F9">
        <w:fldChar w:fldCharType="separate"/>
      </w:r>
      <w:r w:rsidR="00B50BE2">
        <w:t>12.1</w:t>
      </w:r>
      <w:r w:rsidRPr="006400F9">
        <w:fldChar w:fldCharType="end"/>
      </w:r>
      <w:r>
        <w:t xml:space="preserve"> (</w:t>
      </w:r>
      <w:r w:rsidRPr="006D0835">
        <w:rPr>
          <w:i/>
        </w:rPr>
        <w:fldChar w:fldCharType="begin"/>
      </w:r>
      <w:r w:rsidRPr="006D0835">
        <w:rPr>
          <w:i/>
        </w:rPr>
        <w:instrText xml:space="preserve"> REF _Ref48201894 \h  \* MERGEFORMAT </w:instrText>
      </w:r>
      <w:r w:rsidRPr="006D0835">
        <w:rPr>
          <w:i/>
        </w:rPr>
      </w:r>
      <w:r w:rsidRPr="006D0835">
        <w:rPr>
          <w:i/>
        </w:rPr>
        <w:fldChar w:fldCharType="separate"/>
      </w:r>
      <w:r w:rsidRPr="00B50BE2" w:rsidR="00B50BE2">
        <w:rPr>
          <w:i/>
        </w:rPr>
        <w:t>Assemblées générales.</w:t>
      </w:r>
      <w:r w:rsidRPr="006D0835">
        <w:rPr>
          <w:i/>
        </w:rPr>
        <w:fldChar w:fldCharType="end"/>
      </w:r>
      <w:r>
        <w:t>).</w:t>
      </w:r>
    </w:p>
    <w:p w:rsidRPr="00742027" w:rsidR="005E02FD" w:rsidP="005E02FD" w:rsidRDefault="005E02FD" w14:paraId="3B171EB9" w14:textId="331B2EE1">
      <w:pPr>
        <w:pStyle w:val="BodyText"/>
        <w:rPr>
          <w:b/>
          <w:bCs/>
          <w:lang w:val="fr-CA"/>
        </w:rPr>
      </w:pPr>
      <w:r>
        <w:t>« </w:t>
      </w:r>
      <w:r>
        <w:rPr>
          <w:b/>
        </w:rPr>
        <w:t>Associé affilié</w:t>
      </w:r>
      <w:r>
        <w:t xml:space="preserve"> » désigne tout Associé qui est une Personne intéressée.</w:t>
      </w:r>
    </w:p>
    <w:p w:rsidR="007E6A4A" w:rsidP="007E6A4A" w:rsidRDefault="007E6A4A" w14:paraId="1AA639C5" w14:textId="3560C79C">
      <w:pPr>
        <w:pStyle w:val="BodyText"/>
      </w:pPr>
      <w:r>
        <w:t xml:space="preserve">« </w:t>
      </w:r>
      <w:r>
        <w:rPr>
          <w:b/>
        </w:rPr>
        <w:t>Associé d’une Clôture subséquente</w:t>
      </w:r>
      <w:r>
        <w:t xml:space="preserve"> » a le sens attribué à ce terme à l’article </w:t>
      </w:r>
      <w:r w:rsidRPr="00BD2FE6">
        <w:fldChar w:fldCharType="begin"/>
      </w:r>
      <w:r w:rsidRPr="00BD2FE6">
        <w:instrText xml:space="preserve"> REF _Ref40802404 \w \h  \* MERGEFORMAT </w:instrText>
      </w:r>
      <w:r w:rsidRPr="00BD2FE6">
        <w:fldChar w:fldCharType="separate"/>
      </w:r>
      <w:r w:rsidR="00B50BE2">
        <w:t>5.4(a)</w:t>
      </w:r>
      <w:r w:rsidRPr="00BD2FE6">
        <w:fldChar w:fldCharType="end"/>
      </w:r>
      <w:r>
        <w:t xml:space="preserve"> (</w:t>
      </w:r>
      <w:r w:rsidRPr="00BD2FE6">
        <w:rPr>
          <w:i/>
        </w:rPr>
        <w:fldChar w:fldCharType="begin"/>
      </w:r>
      <w:r w:rsidRPr="00BD2FE6">
        <w:rPr>
          <w:i/>
        </w:rPr>
        <w:instrText xml:space="preserve"> REF _Ref113882647 \h  \* MERGEFORMAT </w:instrText>
      </w:r>
      <w:r w:rsidRPr="00BD2FE6">
        <w:rPr>
          <w:i/>
        </w:rPr>
      </w:r>
      <w:r w:rsidRPr="00BD2FE6">
        <w:rPr>
          <w:i/>
        </w:rPr>
        <w:fldChar w:fldCharType="separate"/>
      </w:r>
      <w:r w:rsidRPr="00B50BE2" w:rsidR="00B50BE2">
        <w:rPr>
          <w:i/>
        </w:rPr>
        <w:t>Clôtures subséquentes</w:t>
      </w:r>
      <w:r w:rsidR="00B50BE2">
        <w:t>.</w:t>
      </w:r>
      <w:r w:rsidRPr="00BD2FE6">
        <w:fldChar w:fldCharType="end"/>
      </w:r>
      <w:r>
        <w:t>).</w:t>
      </w:r>
    </w:p>
    <w:p w:rsidR="007E6A4A" w:rsidP="007E6A4A" w:rsidRDefault="007E6A4A" w14:paraId="6A532394" w14:textId="4D8DA1B7">
      <w:pPr>
        <w:pStyle w:val="BodyText"/>
      </w:pPr>
      <w:r>
        <w:t xml:space="preserve"> « </w:t>
      </w:r>
      <w:r>
        <w:rPr>
          <w:b/>
        </w:rPr>
        <w:t>Associé de substitution</w:t>
      </w:r>
      <w:r>
        <w:t xml:space="preserve"> » a le sens attribué à ce terme à l’article </w:t>
      </w:r>
      <w:r w:rsidRPr="00BD2FE6">
        <w:fldChar w:fldCharType="begin"/>
      </w:r>
      <w:r w:rsidRPr="00BD2FE6">
        <w:instrText xml:space="preserve"> REF _Ref40802434 \w \h  \* MERGEFORMAT </w:instrText>
      </w:r>
      <w:r w:rsidRPr="00BD2FE6">
        <w:fldChar w:fldCharType="separate"/>
      </w:r>
      <w:r w:rsidR="00B50BE2">
        <w:t>17.2(b)</w:t>
      </w:r>
      <w:r w:rsidRPr="00BD2FE6">
        <w:fldChar w:fldCharType="end"/>
      </w:r>
      <w:r>
        <w:t xml:space="preserve"> (</w:t>
      </w:r>
      <w:r w:rsidRPr="00BD2FE6">
        <w:rPr>
          <w:i/>
        </w:rPr>
        <w:fldChar w:fldCharType="begin"/>
      </w:r>
      <w:r w:rsidRPr="00BD2FE6">
        <w:rPr>
          <w:i/>
        </w:rPr>
        <w:instrText xml:space="preserve"> REF _Ref40806234 \h  \* MERGEFORMAT </w:instrText>
      </w:r>
      <w:r w:rsidRPr="00BD2FE6">
        <w:rPr>
          <w:i/>
        </w:rPr>
      </w:r>
      <w:r w:rsidRPr="00BD2FE6">
        <w:rPr>
          <w:i/>
        </w:rPr>
        <w:fldChar w:fldCharType="separate"/>
      </w:r>
      <w:r w:rsidRPr="00B50BE2" w:rsidR="00B50BE2">
        <w:rPr>
          <w:i/>
        </w:rPr>
        <w:t>Conditions de Transfert</w:t>
      </w:r>
      <w:r w:rsidR="00B50BE2">
        <w:t>.</w:t>
      </w:r>
      <w:r w:rsidRPr="00BD2FE6">
        <w:fldChar w:fldCharType="end"/>
      </w:r>
      <w:r>
        <w:t>).</w:t>
      </w:r>
    </w:p>
    <w:p w:rsidR="005E02FD" w:rsidP="007E6A4A" w:rsidRDefault="005E02FD" w14:paraId="58D8FCC9" w14:textId="7BD3E715">
      <w:pPr>
        <w:pStyle w:val="BodyText"/>
      </w:pPr>
      <w:r>
        <w:t>« </w:t>
      </w:r>
      <w:r>
        <w:rPr>
          <w:b/>
        </w:rPr>
        <w:t>Associé défaillant</w:t>
      </w:r>
      <w:r>
        <w:t xml:space="preserve"> » a le sens attribué à ce terme à l’article </w:t>
      </w:r>
      <w:r w:rsidRPr="006400F9">
        <w:fldChar w:fldCharType="begin"/>
      </w:r>
      <w:r w:rsidRPr="006400F9">
        <w:instrText xml:space="preserve"> REF _Ref40801099 \w \h  \* MERGEFORMAT </w:instrText>
      </w:r>
      <w:r w:rsidRPr="006400F9">
        <w:fldChar w:fldCharType="separate"/>
      </w:r>
      <w:r w:rsidR="00B50BE2">
        <w:t>6.6(a)</w:t>
      </w:r>
      <w:r w:rsidRPr="006400F9">
        <w:fldChar w:fldCharType="end"/>
      </w:r>
      <w:r>
        <w:t xml:space="preserve"> (</w:t>
      </w:r>
      <w:r w:rsidRPr="00BD2FE6">
        <w:rPr>
          <w:i/>
        </w:rPr>
        <w:fldChar w:fldCharType="begin"/>
      </w:r>
      <w:r w:rsidRPr="00BD2FE6">
        <w:rPr>
          <w:i/>
        </w:rPr>
        <w:instrText xml:space="preserve"> REF _Ref40803112 \h  \* MERGEFORMAT </w:instrText>
      </w:r>
      <w:r w:rsidRPr="00BD2FE6">
        <w:rPr>
          <w:i/>
        </w:rPr>
      </w:r>
      <w:r w:rsidRPr="00BD2FE6">
        <w:rPr>
          <w:i/>
        </w:rPr>
        <w:fldChar w:fldCharType="separate"/>
      </w:r>
      <w:r w:rsidRPr="00B50BE2" w:rsidR="00B50BE2">
        <w:rPr>
          <w:i/>
        </w:rPr>
        <w:t>Associés défaillants</w:t>
      </w:r>
      <w:r w:rsidR="00B50BE2">
        <w:t>.</w:t>
      </w:r>
      <w:r w:rsidRPr="00BD2FE6">
        <w:fldChar w:fldCharType="end"/>
      </w:r>
      <w:r>
        <w:t>).</w:t>
      </w:r>
    </w:p>
    <w:p w:rsidR="007E6A4A" w:rsidRDefault="007E6A4A" w14:paraId="1288D5FC" w14:textId="7C69ACC1">
      <w:pPr>
        <w:pStyle w:val="BodyText"/>
      </w:pPr>
      <w:r>
        <w:t>« </w:t>
      </w:r>
      <w:r>
        <w:rPr>
          <w:b/>
        </w:rPr>
        <w:t>Associé réglementé</w:t>
      </w:r>
      <w:r>
        <w:t> » a le sens attribué à ce terme à l’article </w:t>
      </w:r>
      <w:r w:rsidRPr="006400F9">
        <w:fldChar w:fldCharType="begin"/>
      </w:r>
      <w:r w:rsidRPr="006400F9">
        <w:instrText xml:space="preserve"> REF _Ref40802263 \w \h  \* MERGEFORMAT </w:instrText>
      </w:r>
      <w:r w:rsidRPr="006400F9">
        <w:fldChar w:fldCharType="separate"/>
      </w:r>
      <w:r w:rsidR="00B50BE2">
        <w:t>8.6(a)</w:t>
      </w:r>
      <w:r w:rsidRPr="006400F9">
        <w:fldChar w:fldCharType="end"/>
      </w:r>
      <w:r>
        <w:t xml:space="preserve"> (</w:t>
      </w:r>
      <w:r w:rsidRPr="00BD2FE6">
        <w:rPr>
          <w:i/>
        </w:rPr>
        <w:fldChar w:fldCharType="begin"/>
      </w:r>
      <w:r w:rsidRPr="00BD2FE6">
        <w:rPr>
          <w:i/>
        </w:rPr>
        <w:instrText xml:space="preserve"> REF _Ref113892518 \h  \* MERGEFORMAT </w:instrText>
      </w:r>
      <w:r w:rsidRPr="00BD2FE6">
        <w:rPr>
          <w:i/>
        </w:rPr>
      </w:r>
      <w:r w:rsidRPr="00BD2FE6">
        <w:rPr>
          <w:i/>
        </w:rPr>
        <w:fldChar w:fldCharType="separate"/>
      </w:r>
      <w:r w:rsidRPr="00B50BE2" w:rsidR="00B50BE2">
        <w:rPr>
          <w:i/>
        </w:rPr>
        <w:t>Questions relatives aux Associés réglementés</w:t>
      </w:r>
      <w:r w:rsidR="00B50BE2">
        <w:t>.</w:t>
      </w:r>
      <w:r w:rsidRPr="00BD2FE6">
        <w:fldChar w:fldCharType="end"/>
      </w:r>
      <w:r>
        <w:t>).</w:t>
      </w:r>
    </w:p>
    <w:p w:rsidR="005E02FD" w:rsidRDefault="005E02FD" w14:paraId="10D62902" w14:textId="02EFE61B">
      <w:pPr>
        <w:pStyle w:val="BodyText"/>
      </w:pPr>
      <w:r>
        <w:lastRenderedPageBreak/>
        <w:t>« </w:t>
      </w:r>
      <w:r>
        <w:rPr>
          <w:b/>
        </w:rPr>
        <w:t>Associés</w:t>
      </w:r>
      <w:r>
        <w:t xml:space="preserve"> » désigne le Commandité et les Commanditaires et « </w:t>
      </w:r>
      <w:r>
        <w:rPr>
          <w:b/>
        </w:rPr>
        <w:t>Associé</w:t>
      </w:r>
      <w:r>
        <w:t xml:space="preserve"> » désigne l’un d’entre eux.</w:t>
      </w:r>
    </w:p>
    <w:p w:rsidR="007E6A4A" w:rsidRDefault="007E6A4A" w14:paraId="2685E9A2" w14:textId="027957C5">
      <w:pPr>
        <w:pStyle w:val="BodyText"/>
      </w:pPr>
      <w:r>
        <w:t>« </w:t>
      </w:r>
      <w:r>
        <w:rPr>
          <w:b/>
        </w:rPr>
        <w:t>Associés antérieurs</w:t>
      </w:r>
      <w:r>
        <w:t xml:space="preserve"> » </w:t>
      </w:r>
      <w:proofErr w:type="gramStart"/>
      <w:r>
        <w:t>a</w:t>
      </w:r>
      <w:proofErr w:type="gramEnd"/>
      <w:r>
        <w:t xml:space="preserve"> le sens attribué à ce terme à l’article </w:t>
      </w:r>
      <w:r w:rsidRPr="006400F9">
        <w:fldChar w:fldCharType="begin"/>
      </w:r>
      <w:r w:rsidRPr="006400F9">
        <w:instrText xml:space="preserve"> REF _Ref40802201 \w \h  \* MERGEFORMAT </w:instrText>
      </w:r>
      <w:r w:rsidRPr="006400F9">
        <w:fldChar w:fldCharType="separate"/>
      </w:r>
      <w:r w:rsidR="00B50BE2">
        <w:t>5.4(d)</w:t>
      </w:r>
      <w:r w:rsidRPr="006400F9">
        <w:fldChar w:fldCharType="end"/>
      </w:r>
      <w:r>
        <w:t xml:space="preserve"> (</w:t>
      </w:r>
      <w:r w:rsidRPr="00BD2FE6">
        <w:rPr>
          <w:i/>
        </w:rPr>
        <w:fldChar w:fldCharType="begin"/>
      </w:r>
      <w:r w:rsidRPr="00BD2FE6">
        <w:rPr>
          <w:i/>
        </w:rPr>
        <w:instrText xml:space="preserve"> REF _Ref113882647 \h  \* MERGEFORMAT </w:instrText>
      </w:r>
      <w:r w:rsidRPr="00BD2FE6">
        <w:rPr>
          <w:i/>
        </w:rPr>
      </w:r>
      <w:r w:rsidRPr="00BD2FE6">
        <w:rPr>
          <w:i/>
        </w:rPr>
        <w:fldChar w:fldCharType="separate"/>
      </w:r>
      <w:r w:rsidRPr="00B50BE2" w:rsidR="00B50BE2">
        <w:rPr>
          <w:i/>
        </w:rPr>
        <w:t>Clôtures subséquentes</w:t>
      </w:r>
      <w:r w:rsidR="00B50BE2">
        <w:t>.</w:t>
      </w:r>
      <w:r w:rsidRPr="00BD2FE6">
        <w:fldChar w:fldCharType="end"/>
      </w:r>
      <w:r>
        <w:t>).</w:t>
      </w:r>
    </w:p>
    <w:p w:rsidRPr="00023149" w:rsidR="005E02FD" w:rsidRDefault="005E02FD" w14:paraId="625C5553" w14:textId="11EB1E24">
      <w:pPr>
        <w:pStyle w:val="BodyText"/>
        <w:rPr>
          <w:lang w:val="fr-CA"/>
        </w:rPr>
      </w:pPr>
      <w:r>
        <w:t>« </w:t>
      </w:r>
      <w:r>
        <w:rPr>
          <w:b/>
        </w:rPr>
        <w:t>Associés non défaillants</w:t>
      </w:r>
      <w:r>
        <w:t xml:space="preserve"> » </w:t>
      </w:r>
      <w:proofErr w:type="gramStart"/>
      <w:r>
        <w:t>a</w:t>
      </w:r>
      <w:proofErr w:type="gramEnd"/>
      <w:r>
        <w:t xml:space="preserve"> le sens attribué à ce terme à l’article </w:t>
      </w:r>
      <w:r w:rsidRPr="006400F9">
        <w:fldChar w:fldCharType="begin"/>
      </w:r>
      <w:r w:rsidRPr="006400F9">
        <w:instrText xml:space="preserve"> REF _Ref40802108 \w \h  \* MERGEFORMAT </w:instrText>
      </w:r>
      <w:r w:rsidRPr="006400F9">
        <w:fldChar w:fldCharType="separate"/>
      </w:r>
      <w:r w:rsidR="00B50BE2">
        <w:t>6.6(c)</w:t>
      </w:r>
      <w:r w:rsidRPr="006400F9">
        <w:fldChar w:fldCharType="end"/>
      </w:r>
      <w:r>
        <w:t xml:space="preserve"> (</w:t>
      </w:r>
      <w:r w:rsidRPr="00841AFD">
        <w:rPr>
          <w:i/>
        </w:rPr>
        <w:fldChar w:fldCharType="begin"/>
      </w:r>
      <w:r w:rsidRPr="00841AFD">
        <w:rPr>
          <w:i/>
        </w:rPr>
        <w:instrText xml:space="preserve"> REF _Ref40803112 \h  \* MERGEFORMAT </w:instrText>
      </w:r>
      <w:r w:rsidRPr="00841AFD">
        <w:rPr>
          <w:i/>
        </w:rPr>
      </w:r>
      <w:r w:rsidRPr="00841AFD">
        <w:rPr>
          <w:i/>
        </w:rPr>
        <w:fldChar w:fldCharType="separate"/>
      </w:r>
      <w:r w:rsidRPr="00B50BE2" w:rsidR="00B50BE2">
        <w:rPr>
          <w:i/>
        </w:rPr>
        <w:t>Associés défaillants.</w:t>
      </w:r>
      <w:r w:rsidRPr="00841AFD">
        <w:rPr>
          <w:i/>
        </w:rPr>
        <w:fldChar w:fldCharType="end"/>
      </w:r>
      <w:r>
        <w:t>).</w:t>
      </w:r>
    </w:p>
    <w:p w:rsidR="005E02FD" w:rsidRDefault="005E02FD" w14:paraId="3FA5266B" w14:textId="5AD7353B">
      <w:pPr>
        <w:pStyle w:val="BodyText"/>
      </w:pPr>
      <w:r>
        <w:t>« </w:t>
      </w:r>
      <w:r>
        <w:rPr>
          <w:b/>
        </w:rPr>
        <w:t xml:space="preserve">Avis d’appel de versement </w:t>
      </w:r>
      <w:r>
        <w:t>» a le sens attribué à ce terme à l’article </w:t>
      </w:r>
      <w:r w:rsidRPr="006400F9">
        <w:fldChar w:fldCharType="begin"/>
      </w:r>
      <w:r w:rsidRPr="006400F9">
        <w:instrText xml:space="preserve"> REF _Ref40801295 \w \h  \* MERGEFORMAT </w:instrText>
      </w:r>
      <w:r w:rsidRPr="006400F9">
        <w:fldChar w:fldCharType="separate"/>
      </w:r>
      <w:r w:rsidR="00B50BE2">
        <w:t>6.2(a)</w:t>
      </w:r>
      <w:r w:rsidRPr="006400F9">
        <w:fldChar w:fldCharType="end"/>
      </w:r>
      <w:r>
        <w:t xml:space="preserve"> (</w:t>
      </w:r>
      <w:r w:rsidRPr="006D0835">
        <w:rPr>
          <w:i/>
        </w:rPr>
        <w:fldChar w:fldCharType="begin"/>
      </w:r>
      <w:r w:rsidRPr="006D0835">
        <w:rPr>
          <w:i/>
        </w:rPr>
        <w:instrText xml:space="preserve"> REF _Ref40801274 \h  \* MERGEFORMAT </w:instrText>
      </w:r>
      <w:r w:rsidRPr="006D0835">
        <w:rPr>
          <w:i/>
        </w:rPr>
      </w:r>
      <w:r w:rsidRPr="006D0835">
        <w:rPr>
          <w:i/>
        </w:rPr>
        <w:fldChar w:fldCharType="separate"/>
      </w:r>
      <w:proofErr w:type="gramStart"/>
      <w:r w:rsidRPr="00B50BE2" w:rsidR="00B50BE2">
        <w:rPr>
          <w:i/>
        </w:rPr>
        <w:t>Modalités;</w:t>
      </w:r>
      <w:proofErr w:type="gramEnd"/>
      <w:r w:rsidRPr="00B50BE2" w:rsidR="00B50BE2">
        <w:rPr>
          <w:i/>
        </w:rPr>
        <w:t xml:space="preserve"> Apports de capital.</w:t>
      </w:r>
      <w:r w:rsidRPr="006D0835">
        <w:rPr>
          <w:i/>
        </w:rPr>
        <w:fldChar w:fldCharType="end"/>
      </w:r>
      <w:r>
        <w:t>).</w:t>
      </w:r>
    </w:p>
    <w:p w:rsidR="005E02FD" w:rsidRDefault="005E02FD" w14:paraId="072E70E3" w14:textId="580C2AB1">
      <w:pPr>
        <w:pStyle w:val="BodyText"/>
      </w:pPr>
      <w:r>
        <w:t>« </w:t>
      </w:r>
      <w:r>
        <w:rPr>
          <w:b/>
        </w:rPr>
        <w:t>Avis de défaut</w:t>
      </w:r>
      <w:r>
        <w:t xml:space="preserve"> » a le sens attribué à ce terme à l’article </w:t>
      </w:r>
      <w:r w:rsidRPr="006400F9">
        <w:fldChar w:fldCharType="begin"/>
      </w:r>
      <w:r w:rsidRPr="006400F9">
        <w:instrText xml:space="preserve"> REF _Ref40801099 \w \h  \* MERGEFORMAT </w:instrText>
      </w:r>
      <w:r w:rsidRPr="006400F9">
        <w:fldChar w:fldCharType="separate"/>
      </w:r>
      <w:r w:rsidR="00B50BE2">
        <w:t>6.6(a)</w:t>
      </w:r>
      <w:r w:rsidRPr="006400F9">
        <w:fldChar w:fldCharType="end"/>
      </w:r>
      <w:r>
        <w:t xml:space="preserve"> (</w:t>
      </w:r>
      <w:r w:rsidRPr="00BD2FE6">
        <w:rPr>
          <w:i/>
        </w:rPr>
        <w:fldChar w:fldCharType="begin"/>
      </w:r>
      <w:r w:rsidRPr="00BD2FE6">
        <w:rPr>
          <w:i/>
        </w:rPr>
        <w:instrText xml:space="preserve"> REF _Ref40803112 \h  \* MERGEFORMAT </w:instrText>
      </w:r>
      <w:r w:rsidRPr="00BD2FE6">
        <w:rPr>
          <w:i/>
        </w:rPr>
      </w:r>
      <w:r w:rsidRPr="00BD2FE6">
        <w:rPr>
          <w:i/>
        </w:rPr>
        <w:fldChar w:fldCharType="separate"/>
      </w:r>
      <w:r w:rsidRPr="00B50BE2" w:rsidR="00B50BE2">
        <w:rPr>
          <w:i/>
        </w:rPr>
        <w:t>Associés défaillants</w:t>
      </w:r>
      <w:r w:rsidR="00B50BE2">
        <w:t>.</w:t>
      </w:r>
      <w:r w:rsidRPr="00BD2FE6">
        <w:fldChar w:fldCharType="end"/>
      </w:r>
      <w:r>
        <w:t>).</w:t>
      </w:r>
    </w:p>
    <w:p w:rsidR="007E6A4A" w:rsidP="007E6A4A" w:rsidRDefault="007E6A4A" w14:paraId="13C45C38" w14:textId="680F11E7">
      <w:pPr>
        <w:pStyle w:val="BodyText"/>
      </w:pPr>
      <w:r>
        <w:t xml:space="preserve">« </w:t>
      </w:r>
      <w:r>
        <w:rPr>
          <w:b/>
        </w:rPr>
        <w:t>Avis de destitution pour motif valable</w:t>
      </w:r>
      <w:r>
        <w:t xml:space="preserve"> » a le sens attribué à ce terme à l’article </w:t>
      </w:r>
      <w:r w:rsidRPr="006400F9">
        <w:fldChar w:fldCharType="begin"/>
      </w:r>
      <w:r w:rsidRPr="006400F9">
        <w:instrText xml:space="preserve"> REF _Ref40802345 \w \h  \* MERGEFORMAT </w:instrText>
      </w:r>
      <w:r w:rsidRPr="006400F9">
        <w:fldChar w:fldCharType="separate"/>
      </w:r>
      <w:r w:rsidR="00B50BE2">
        <w:t>10.1(b)(i)</w:t>
      </w:r>
      <w:r w:rsidRPr="006400F9">
        <w:fldChar w:fldCharType="end"/>
      </w:r>
      <w:r>
        <w:t xml:space="preserve"> (</w:t>
      </w:r>
      <w:r w:rsidRPr="00BD2FE6">
        <w:rPr>
          <w:i/>
        </w:rPr>
        <w:fldChar w:fldCharType="begin"/>
      </w:r>
      <w:r w:rsidRPr="00BD2FE6">
        <w:rPr>
          <w:i/>
        </w:rPr>
        <w:instrText xml:space="preserve"> REF _Ref40804069 \h  \* MERGEFORMAT </w:instrText>
      </w:r>
      <w:r w:rsidRPr="00BD2FE6">
        <w:rPr>
          <w:i/>
        </w:rPr>
      </w:r>
      <w:r w:rsidRPr="00BD2FE6">
        <w:rPr>
          <w:i/>
        </w:rPr>
        <w:fldChar w:fldCharType="separate"/>
      </w:r>
      <w:r w:rsidRPr="00B50BE2" w:rsidR="00B50BE2">
        <w:rPr>
          <w:i/>
        </w:rPr>
        <w:t>Avis de destitution/résiliation.</w:t>
      </w:r>
      <w:r w:rsidRPr="00BD2FE6">
        <w:rPr>
          <w:i/>
        </w:rPr>
        <w:fldChar w:fldCharType="end"/>
      </w:r>
      <w:r>
        <w:t>).</w:t>
      </w:r>
    </w:p>
    <w:p w:rsidR="007E6A4A" w:rsidP="007E6A4A" w:rsidRDefault="007E6A4A" w14:paraId="2AB8EF62" w14:textId="45D8910C">
      <w:pPr>
        <w:pStyle w:val="BodyText"/>
      </w:pPr>
      <w:r>
        <w:t xml:space="preserve"> « </w:t>
      </w:r>
      <w:r>
        <w:rPr>
          <w:b/>
        </w:rPr>
        <w:t>Avis de destitution sans motif valable</w:t>
      </w:r>
      <w:r>
        <w:t xml:space="preserve"> » a le sens attribué à ce terme à l’article </w:t>
      </w:r>
      <w:r w:rsidRPr="006400F9">
        <w:fldChar w:fldCharType="begin"/>
      </w:r>
      <w:r w:rsidRPr="006400F9">
        <w:instrText xml:space="preserve"> REF _Ref40802362 \w \h  \* MERGEFORMAT </w:instrText>
      </w:r>
      <w:r w:rsidRPr="006400F9">
        <w:fldChar w:fldCharType="separate"/>
      </w:r>
      <w:r w:rsidR="00B50BE2">
        <w:t>10.1(b)(ii)</w:t>
      </w:r>
      <w:r w:rsidRPr="006400F9">
        <w:fldChar w:fldCharType="end"/>
      </w:r>
      <w:r>
        <w:t xml:space="preserve"> (</w:t>
      </w:r>
      <w:r w:rsidRPr="00BD2FE6">
        <w:rPr>
          <w:i/>
        </w:rPr>
        <w:fldChar w:fldCharType="begin"/>
      </w:r>
      <w:r w:rsidRPr="00BD2FE6">
        <w:rPr>
          <w:i/>
        </w:rPr>
        <w:instrText xml:space="preserve"> REF _Ref40804069 \h  \* MERGEFORMAT </w:instrText>
      </w:r>
      <w:r w:rsidRPr="00BD2FE6">
        <w:rPr>
          <w:i/>
        </w:rPr>
      </w:r>
      <w:r w:rsidRPr="00BD2FE6">
        <w:rPr>
          <w:i/>
        </w:rPr>
        <w:fldChar w:fldCharType="separate"/>
      </w:r>
      <w:r w:rsidRPr="00B50BE2" w:rsidR="00B50BE2">
        <w:rPr>
          <w:i/>
        </w:rPr>
        <w:t>Avis de destitution</w:t>
      </w:r>
      <w:r w:rsidR="00B50BE2">
        <w:t>/</w:t>
      </w:r>
      <w:r w:rsidRPr="00B50BE2" w:rsidR="00B50BE2">
        <w:rPr>
          <w:i/>
        </w:rPr>
        <w:t>résiliation</w:t>
      </w:r>
      <w:r w:rsidR="00B50BE2">
        <w:t>.</w:t>
      </w:r>
      <w:r w:rsidRPr="00BD2FE6">
        <w:fldChar w:fldCharType="end"/>
      </w:r>
      <w:r>
        <w:t>).</w:t>
      </w:r>
    </w:p>
    <w:p w:rsidR="007E6A4A" w:rsidP="007E6A4A" w:rsidRDefault="005E02FD" w14:paraId="29F90E97" w14:textId="00AA481A">
      <w:pPr>
        <w:pStyle w:val="BodyText"/>
      </w:pPr>
      <w:r>
        <w:t>« </w:t>
      </w:r>
      <w:r>
        <w:rPr>
          <w:b/>
        </w:rPr>
        <w:t>Cédant</w:t>
      </w:r>
      <w:r>
        <w:t xml:space="preserve"> » a le sens attribué à ce terme à l’article </w:t>
      </w:r>
      <w:r w:rsidRPr="00BD2FE6">
        <w:fldChar w:fldCharType="begin"/>
      </w:r>
      <w:r w:rsidRPr="00BD2FE6">
        <w:instrText xml:space="preserve"> REF _Ref40802506 \w \h  \* MERGEFORMAT </w:instrText>
      </w:r>
      <w:r w:rsidRPr="00BD2FE6">
        <w:fldChar w:fldCharType="separate"/>
      </w:r>
      <w:r w:rsidR="00B50BE2">
        <w:t>17.2(a)</w:t>
      </w:r>
      <w:r w:rsidRPr="00BD2FE6">
        <w:fldChar w:fldCharType="end"/>
      </w:r>
      <w:r>
        <w:t xml:space="preserve"> (</w:t>
      </w:r>
      <w:r w:rsidRPr="00BD2FE6">
        <w:fldChar w:fldCharType="begin"/>
      </w:r>
      <w:r w:rsidRPr="00BD2FE6">
        <w:instrText xml:space="preserve"> REF _Ref40806234 \h  \* MERGEFORMAT </w:instrText>
      </w:r>
      <w:r w:rsidRPr="00BD2FE6">
        <w:fldChar w:fldCharType="separate"/>
      </w:r>
      <w:r w:rsidRPr="00B50BE2" w:rsidR="00B50BE2">
        <w:rPr>
          <w:i/>
        </w:rPr>
        <w:t>Conditions de Transfert</w:t>
      </w:r>
      <w:r w:rsidR="00B50BE2">
        <w:t>.</w:t>
      </w:r>
      <w:r w:rsidRPr="00BD2FE6">
        <w:fldChar w:fldCharType="end"/>
      </w:r>
      <w:r>
        <w:t>).</w:t>
      </w:r>
    </w:p>
    <w:p w:rsidR="005E02FD" w:rsidP="005E02FD" w:rsidRDefault="005E02FD" w14:paraId="2C0D5B15" w14:textId="4271198A">
      <w:pPr>
        <w:pStyle w:val="BodyText"/>
      </w:pPr>
      <w:r>
        <w:t>« </w:t>
      </w:r>
      <w:r>
        <w:rPr>
          <w:b/>
        </w:rPr>
        <w:t>Cessionnaire</w:t>
      </w:r>
      <w:r>
        <w:t xml:space="preserve"> » a le sens attribué à ce terme à l’article </w:t>
      </w:r>
      <w:r w:rsidRPr="00BD2FE6">
        <w:fldChar w:fldCharType="begin"/>
      </w:r>
      <w:r w:rsidRPr="00BD2FE6">
        <w:instrText xml:space="preserve"> REF _Ref40802506 \w \h  \* MERGEFORMAT </w:instrText>
      </w:r>
      <w:r w:rsidRPr="00BD2FE6">
        <w:fldChar w:fldCharType="separate"/>
      </w:r>
      <w:r w:rsidR="00B50BE2">
        <w:t>17.2(a)</w:t>
      </w:r>
      <w:r w:rsidRPr="00BD2FE6">
        <w:fldChar w:fldCharType="end"/>
      </w:r>
      <w:r>
        <w:t xml:space="preserve"> (</w:t>
      </w:r>
      <w:r w:rsidRPr="00BD2FE6">
        <w:fldChar w:fldCharType="begin"/>
      </w:r>
      <w:r w:rsidRPr="00BD2FE6">
        <w:instrText xml:space="preserve"> REF _Ref40806234 \h  \* MERGEFORMAT </w:instrText>
      </w:r>
      <w:r w:rsidRPr="00BD2FE6">
        <w:fldChar w:fldCharType="separate"/>
      </w:r>
      <w:r w:rsidRPr="00B50BE2" w:rsidR="00B50BE2">
        <w:rPr>
          <w:i/>
        </w:rPr>
        <w:t>Conditions de Transfert</w:t>
      </w:r>
      <w:r w:rsidR="00B50BE2">
        <w:t>.</w:t>
      </w:r>
      <w:r w:rsidRPr="00BD2FE6">
        <w:fldChar w:fldCharType="end"/>
      </w:r>
      <w:r>
        <w:t>).</w:t>
      </w:r>
    </w:p>
    <w:p w:rsidR="005E02FD" w:rsidP="005E02FD" w:rsidRDefault="005E02FD" w14:paraId="3D75A7E8" w14:textId="77777777">
      <w:pPr>
        <w:pStyle w:val="BodyText"/>
      </w:pPr>
      <w:r>
        <w:t>« </w:t>
      </w:r>
      <w:r>
        <w:rPr>
          <w:b/>
        </w:rPr>
        <w:t>Changement de contrôle</w:t>
      </w:r>
      <w:r>
        <w:t xml:space="preserve"> »</w:t>
      </w:r>
      <w:bookmarkStart w:name="_Ref113892765" w:id="19"/>
      <w:r>
        <w:rPr>
          <w:szCs w:val="22"/>
          <w:vertAlign w:val="superscript"/>
        </w:rPr>
        <w:footnoteReference w:id="12"/>
      </w:r>
      <w:bookmarkEnd w:id="19"/>
      <w:r>
        <w:t xml:space="preserve"> désigne toute conduite qui a pour conséquence directe ou indirecte </w:t>
      </w:r>
      <w:bookmarkStart w:name="DocXTextRef7" w:id="20"/>
      <w:r>
        <w:t>(i)</w:t>
      </w:r>
      <w:bookmarkEnd w:id="20"/>
      <w:r>
        <w:t xml:space="preserve"> que les Personnes-clés cessent de contrôler le Commandité et le Gestionnaire, ou </w:t>
      </w:r>
      <w:bookmarkStart w:name="DocXTextRef8" w:id="21"/>
      <w:r>
        <w:t>(ii)</w:t>
      </w:r>
      <w:bookmarkEnd w:id="21"/>
      <w:r>
        <w:t xml:space="preserve"> que les Personnes-clés </w:t>
      </w:r>
      <w:r>
        <w:rPr>
          <w:b/>
          <w:highlight w:val="yellow"/>
        </w:rPr>
        <w:t>[et les employés du Commandité, du Gestionnaire et des Membres respectifs du même groupe que l’une des Personnes précédentes]</w:t>
      </w:r>
      <w:r>
        <w:t xml:space="preserve"> aient ensemble, légalement et à titre de bénéficiaire, droit à moins de </w:t>
      </w:r>
      <w:r>
        <w:rPr>
          <w:b/>
        </w:rPr>
        <w:t>[</w:t>
      </w:r>
      <w:proofErr w:type="gramStart"/>
      <w:r>
        <w:rPr>
          <w:b/>
          <w:highlight w:val="yellow"/>
        </w:rPr>
        <w:t>75</w:t>
      </w:r>
      <w:r>
        <w:rPr>
          <w:b/>
        </w:rPr>
        <w:t>]</w:t>
      </w:r>
      <w:r>
        <w:t>%</w:t>
      </w:r>
      <w:proofErr w:type="gramEnd"/>
      <w:r>
        <w:t xml:space="preserve"> des Distributions spéciales. Selon la présente définition, « contrôle » à l’égard d’une Personne désigne la possession, directe ou indirecte, du pouvoir de diriger ou de faire diriger la conduite, la gestion ou les politiques de la Personne, que ce soit par la propriété de Titres, par contrat, entente ou autrement.</w:t>
      </w:r>
      <w:bookmarkStart w:name="_Ref113892766" w:id="22"/>
      <w:r>
        <w:rPr>
          <w:rStyle w:val="FootnoteReference"/>
        </w:rPr>
        <w:footnoteReference w:id="13"/>
      </w:r>
      <w:bookmarkEnd w:id="22"/>
    </w:p>
    <w:p w:rsidR="005E02FD" w:rsidP="005E02FD" w:rsidRDefault="005E02FD" w14:paraId="579CD366" w14:textId="0A031EE5">
      <w:pPr>
        <w:pStyle w:val="BodyText"/>
      </w:pPr>
      <w:r>
        <w:t>« </w:t>
      </w:r>
      <w:r>
        <w:rPr>
          <w:b/>
        </w:rPr>
        <w:t>Clôture subséquente</w:t>
      </w:r>
      <w:r>
        <w:t xml:space="preserve"> » a le sens attribué à ce terme à l’article </w:t>
      </w:r>
      <w:r w:rsidRPr="00BD2FE6">
        <w:fldChar w:fldCharType="begin"/>
      </w:r>
      <w:r w:rsidRPr="00BD2FE6">
        <w:instrText xml:space="preserve"> REF _Ref40802404 \w \h  \* MERGEFORMAT </w:instrText>
      </w:r>
      <w:r w:rsidRPr="00BD2FE6">
        <w:fldChar w:fldCharType="separate"/>
      </w:r>
      <w:r w:rsidR="00B50BE2">
        <w:t>5.4(a)</w:t>
      </w:r>
      <w:r w:rsidRPr="00BD2FE6">
        <w:fldChar w:fldCharType="end"/>
      </w:r>
      <w:r>
        <w:t xml:space="preserve"> (</w:t>
      </w:r>
      <w:r w:rsidRPr="00BD2FE6">
        <w:rPr>
          <w:i/>
        </w:rPr>
        <w:fldChar w:fldCharType="begin"/>
      </w:r>
      <w:r w:rsidRPr="00BD2FE6">
        <w:rPr>
          <w:i/>
        </w:rPr>
        <w:instrText xml:space="preserve"> REF _Ref113882647 \h  \* MERGEFORMAT </w:instrText>
      </w:r>
      <w:r w:rsidRPr="00BD2FE6">
        <w:rPr>
          <w:i/>
        </w:rPr>
      </w:r>
      <w:r w:rsidRPr="00BD2FE6">
        <w:rPr>
          <w:i/>
        </w:rPr>
        <w:fldChar w:fldCharType="separate"/>
      </w:r>
      <w:r w:rsidRPr="00B50BE2" w:rsidR="00B50BE2">
        <w:rPr>
          <w:i/>
        </w:rPr>
        <w:t>Clôtures subséquentes</w:t>
      </w:r>
      <w:r w:rsidR="00B50BE2">
        <w:t>.</w:t>
      </w:r>
      <w:r w:rsidRPr="00BD2FE6">
        <w:fldChar w:fldCharType="end"/>
      </w:r>
      <w:r>
        <w:t>).</w:t>
      </w:r>
    </w:p>
    <w:p w:rsidR="007E6A4A" w:rsidP="007E6A4A" w:rsidRDefault="005E02FD" w14:paraId="7CB93F72" w14:textId="16534EBD">
      <w:pPr>
        <w:pStyle w:val="BodyText"/>
      </w:pPr>
      <w:r>
        <w:t>« </w:t>
      </w:r>
      <w:r>
        <w:rPr>
          <w:b/>
        </w:rPr>
        <w:t>Comité consultatif des Commanditaires</w:t>
      </w:r>
      <w:r>
        <w:t xml:space="preserve"> » a le sens attribué à ce terme à l’article </w:t>
      </w:r>
      <w:r w:rsidRPr="006400F9">
        <w:fldChar w:fldCharType="begin"/>
      </w:r>
      <w:r w:rsidRPr="006400F9">
        <w:instrText xml:space="preserve"> REF _Ref40800864 \w \h  \* MERGEFORMAT </w:instrText>
      </w:r>
      <w:r w:rsidRPr="006400F9">
        <w:fldChar w:fldCharType="separate"/>
      </w:r>
      <w:r w:rsidR="00B50BE2">
        <w:t>13.1(a)</w:t>
      </w:r>
      <w:r w:rsidRPr="006400F9">
        <w:fldChar w:fldCharType="end"/>
      </w:r>
      <w:r>
        <w:t xml:space="preserve"> (</w:t>
      </w:r>
      <w:r w:rsidRPr="00841AFD">
        <w:rPr>
          <w:i/>
        </w:rPr>
        <w:fldChar w:fldCharType="begin"/>
      </w:r>
      <w:r w:rsidRPr="00841AFD">
        <w:rPr>
          <w:i/>
        </w:rPr>
        <w:instrText xml:space="preserve"> REF _Ref113892565 \h  \* MERGEFORMAT </w:instrText>
      </w:r>
      <w:r w:rsidRPr="00841AFD">
        <w:rPr>
          <w:i/>
        </w:rPr>
      </w:r>
      <w:r w:rsidRPr="00841AFD">
        <w:rPr>
          <w:i/>
        </w:rPr>
        <w:fldChar w:fldCharType="separate"/>
      </w:r>
      <w:r w:rsidRPr="00B50BE2" w:rsidR="00B50BE2">
        <w:rPr>
          <w:i/>
        </w:rPr>
        <w:t>Nomination et remplacement des membres.</w:t>
      </w:r>
      <w:r w:rsidRPr="00841AFD">
        <w:rPr>
          <w:i/>
        </w:rPr>
        <w:fldChar w:fldCharType="end"/>
      </w:r>
      <w:r>
        <w:t>).</w:t>
      </w:r>
    </w:p>
    <w:p w:rsidR="005E02FD" w:rsidP="005E02FD" w:rsidRDefault="005E02FD" w14:paraId="7F1A1161" w14:textId="77777777">
      <w:pPr>
        <w:pStyle w:val="BodyText"/>
      </w:pPr>
      <w:r>
        <w:t>« </w:t>
      </w:r>
      <w:r>
        <w:rPr>
          <w:b/>
        </w:rPr>
        <w:t>Commanditaire</w:t>
      </w:r>
      <w:r>
        <w:t xml:space="preserve"> » désigne toute personne admise au Fonds en tant que </w:t>
      </w:r>
      <w:bookmarkStart w:name="_Ref113892782" w:id="23"/>
      <w:r w:rsidRPr="00B34A19">
        <w:t>commanditaire</w:t>
      </w:r>
      <w:r w:rsidRPr="00A70422">
        <w:rPr>
          <w:rStyle w:val="FootnoteReference"/>
        </w:rPr>
        <w:footnoteReference w:id="14"/>
      </w:r>
      <w:bookmarkEnd w:id="23"/>
      <w:r w:rsidRPr="00A70422">
        <w:t xml:space="preserve"> </w:t>
      </w:r>
      <w:r>
        <w:t>et toute personne admise au Fonds en tant que Commanditaire remplaçant ou supplémentaire conformément à la présente Convention.</w:t>
      </w:r>
    </w:p>
    <w:p w:rsidR="005E02FD" w:rsidP="005E02FD" w:rsidRDefault="005E02FD" w14:paraId="1623AFE2" w14:textId="263281D3">
      <w:pPr>
        <w:pStyle w:val="BodyText"/>
      </w:pPr>
      <w:r>
        <w:t xml:space="preserve">« </w:t>
      </w:r>
      <w:r>
        <w:rPr>
          <w:b/>
        </w:rPr>
        <w:t>Commanditaire dispensé</w:t>
      </w:r>
      <w:r>
        <w:t xml:space="preserve"> » a le sens attribué à ce terme à l’article </w:t>
      </w:r>
      <w:r w:rsidRPr="006400F9">
        <w:fldChar w:fldCharType="begin"/>
      </w:r>
      <w:r w:rsidRPr="006400F9">
        <w:instrText xml:space="preserve"> REF _Ref40801502 \w \h  \* MERGEFORMAT </w:instrText>
      </w:r>
      <w:r w:rsidRPr="006400F9">
        <w:fldChar w:fldCharType="separate"/>
      </w:r>
      <w:r w:rsidR="00B50BE2">
        <w:t>6.7(c)</w:t>
      </w:r>
      <w:r w:rsidRPr="006400F9">
        <w:fldChar w:fldCharType="end"/>
      </w:r>
      <w:r>
        <w:t xml:space="preserve"> (</w:t>
      </w:r>
      <w:r w:rsidRPr="006D0835">
        <w:rPr>
          <w:i/>
        </w:rPr>
        <w:fldChar w:fldCharType="begin"/>
      </w:r>
      <w:r w:rsidRPr="006D0835">
        <w:rPr>
          <w:i/>
        </w:rPr>
        <w:instrText xml:space="preserve"> REF _Ref40802008 \h  \* MERGEFORMAT </w:instrText>
      </w:r>
      <w:r w:rsidRPr="006D0835">
        <w:rPr>
          <w:i/>
        </w:rPr>
      </w:r>
      <w:r w:rsidRPr="006D0835">
        <w:rPr>
          <w:i/>
        </w:rPr>
        <w:fldChar w:fldCharType="separate"/>
      </w:r>
      <w:r w:rsidRPr="00B50BE2" w:rsidR="00B50BE2">
        <w:rPr>
          <w:i/>
        </w:rPr>
        <w:t>Commanditaires dispensés.</w:t>
      </w:r>
      <w:r w:rsidRPr="006D0835">
        <w:rPr>
          <w:i/>
        </w:rPr>
        <w:fldChar w:fldCharType="end"/>
      </w:r>
      <w:r>
        <w:t>).</w:t>
      </w:r>
    </w:p>
    <w:p w:rsidR="007E6A4A" w:rsidP="007E6A4A" w:rsidRDefault="005E02FD" w14:paraId="7CF1823A" w14:textId="4E5C2924">
      <w:pPr>
        <w:pStyle w:val="BodyText"/>
      </w:pPr>
      <w:r>
        <w:t xml:space="preserve">« </w:t>
      </w:r>
      <w:r>
        <w:rPr>
          <w:b/>
        </w:rPr>
        <w:t>Commanditaire initial</w:t>
      </w:r>
      <w:r>
        <w:t xml:space="preserve"> » désigne </w:t>
      </w:r>
      <w:r>
        <w:rPr>
          <w:b/>
        </w:rPr>
        <w:t>[</w:t>
      </w:r>
      <w:r>
        <w:rPr>
          <w:b/>
          <w:highlight w:val="yellow"/>
        </w:rPr>
        <w:t>________________</w:t>
      </w:r>
      <w:r>
        <w:rPr>
          <w:b/>
        </w:rPr>
        <w:t>]</w:t>
      </w:r>
      <w:r>
        <w:t>.</w:t>
      </w:r>
      <w:bookmarkStart w:name="_Ref113892777" w:id="24"/>
      <w:r>
        <w:rPr>
          <w:szCs w:val="22"/>
          <w:vertAlign w:val="superscript"/>
        </w:rPr>
        <w:footnoteReference w:id="15"/>
      </w:r>
      <w:bookmarkEnd w:id="24"/>
    </w:p>
    <w:p w:rsidR="005E02FD" w:rsidP="005E02FD" w:rsidRDefault="005E02FD" w14:paraId="5B157735" w14:textId="3C4A4F27">
      <w:pPr>
        <w:pStyle w:val="BodyText"/>
      </w:pPr>
      <w:r>
        <w:t>« </w:t>
      </w:r>
      <w:r>
        <w:rPr>
          <w:b/>
        </w:rPr>
        <w:t>Commandité</w:t>
      </w:r>
      <w:r>
        <w:t xml:space="preserve"> » désigne </w:t>
      </w:r>
      <w:r>
        <w:rPr>
          <w:b/>
        </w:rPr>
        <w:t>[</w:t>
      </w:r>
      <w:r>
        <w:rPr>
          <w:highlight w:val="yellow"/>
        </w:rPr>
        <w:t>__</w:t>
      </w:r>
      <w:r>
        <w:rPr>
          <w:b/>
        </w:rPr>
        <w:t>]</w:t>
      </w:r>
      <w:r>
        <w:t xml:space="preserve"> ou tout commandité remplaçant nommé conformément à l’</w:t>
      </w:r>
      <w:r w:rsidRPr="006400F9">
        <w:fldChar w:fldCharType="begin"/>
      </w:r>
      <w:r w:rsidRPr="006400F9">
        <w:instrText xml:space="preserve"> REF _Ref40806970 \w \h  \* MERGEFORMAT </w:instrText>
      </w:r>
      <w:r w:rsidRPr="006400F9">
        <w:fldChar w:fldCharType="separate"/>
      </w:r>
      <w:r w:rsidR="00B50BE2">
        <w:t>Article 10</w:t>
      </w:r>
      <w:r w:rsidRPr="006400F9">
        <w:fldChar w:fldCharType="end"/>
      </w:r>
      <w:r>
        <w:t xml:space="preserve"> (</w:t>
      </w:r>
      <w:proofErr w:type="spellStart"/>
      <w:r w:rsidRPr="00BD2FE6">
        <w:rPr>
          <w:i/>
        </w:rPr>
        <w:fldChar w:fldCharType="begin"/>
      </w:r>
      <w:r w:rsidRPr="00BD2FE6">
        <w:rPr>
          <w:i/>
        </w:rPr>
        <w:instrText xml:space="preserve"> REF _Ref40806970 \h  \* MERGEFORMAT </w:instrText>
      </w:r>
      <w:r w:rsidRPr="00BD2FE6">
        <w:rPr>
          <w:i/>
        </w:rPr>
      </w:r>
      <w:r w:rsidRPr="00BD2FE6">
        <w:rPr>
          <w:i/>
        </w:rPr>
        <w:fldChar w:fldCharType="separate"/>
      </w:r>
      <w:r w:rsidRPr="00B50BE2" w:rsidR="00B50BE2">
        <w:rPr>
          <w:i/>
        </w:rPr>
        <w:t>Destition</w:t>
      </w:r>
      <w:proofErr w:type="spellEnd"/>
      <w:r w:rsidRPr="00B50BE2" w:rsidR="00B50BE2">
        <w:rPr>
          <w:i/>
        </w:rPr>
        <w:t xml:space="preserve"> du </w:t>
      </w:r>
      <w:proofErr w:type="gramStart"/>
      <w:r w:rsidRPr="00B50BE2" w:rsidR="00B50BE2">
        <w:rPr>
          <w:i/>
        </w:rPr>
        <w:t>commandité;</w:t>
      </w:r>
      <w:proofErr w:type="gramEnd"/>
      <w:r w:rsidRPr="00B50BE2" w:rsidR="00B50BE2">
        <w:rPr>
          <w:i/>
        </w:rPr>
        <w:t xml:space="preserve"> R</w:t>
      </w:r>
      <w:r w:rsidRPr="00BD2FE6">
        <w:rPr>
          <w:i/>
        </w:rPr>
        <w:fldChar w:fldCharType="end"/>
      </w:r>
      <w:r>
        <w:t>)</w:t>
      </w:r>
      <w:r>
        <w:rPr>
          <w:i/>
        </w:rPr>
        <w:t>.</w:t>
      </w:r>
    </w:p>
    <w:p w:rsidRPr="00EC47A5" w:rsidR="005E02FD" w:rsidP="005E02FD" w:rsidRDefault="005E02FD" w14:paraId="0DBECAC7" w14:textId="1A92235F">
      <w:pPr>
        <w:pStyle w:val="BodyText"/>
        <w:rPr>
          <w:b/>
          <w:lang w:val="fr-CA"/>
        </w:rPr>
      </w:pPr>
      <w:r w:rsidRPr="00742027">
        <w:rPr>
          <w:b/>
          <w:highlight w:val="yellow"/>
        </w:rPr>
        <w:lastRenderedPageBreak/>
        <w:t xml:space="preserve">[« Compte d’entiercement » a le </w:t>
      </w:r>
      <w:r>
        <w:rPr>
          <w:b/>
          <w:highlight w:val="yellow"/>
        </w:rPr>
        <w:t>sens attribué à ce terme à l’article </w:t>
      </w:r>
      <w:r w:rsidRPr="00E46B99">
        <w:rPr>
          <w:b/>
          <w:highlight w:val="yellow"/>
        </w:rPr>
        <w:fldChar w:fldCharType="begin"/>
      </w:r>
      <w:r w:rsidRPr="00E46B99">
        <w:rPr>
          <w:b/>
          <w:highlight w:val="yellow"/>
        </w:rPr>
        <w:instrText xml:space="preserve"> REF _Ref40801365 \w \h  \* MERGEFORMAT </w:instrText>
      </w:r>
      <w:r w:rsidRPr="00E46B99">
        <w:rPr>
          <w:b/>
          <w:highlight w:val="yellow"/>
        </w:rPr>
      </w:r>
      <w:r w:rsidRPr="00E46B99">
        <w:rPr>
          <w:b/>
          <w:highlight w:val="yellow"/>
        </w:rPr>
        <w:fldChar w:fldCharType="separate"/>
      </w:r>
      <w:r w:rsidR="00B50BE2">
        <w:rPr>
          <w:b/>
          <w:highlight w:val="yellow"/>
        </w:rPr>
        <w:t>14.7(b)</w:t>
      </w:r>
      <w:r w:rsidRPr="00E46B99">
        <w:rPr>
          <w:b/>
          <w:highlight w:val="yellow"/>
        </w:rPr>
        <w:fldChar w:fldCharType="end"/>
      </w:r>
      <w:r>
        <w:rPr>
          <w:b/>
          <w:highlight w:val="yellow"/>
        </w:rPr>
        <w:t xml:space="preserve"> (</w:t>
      </w:r>
      <w:r w:rsidRPr="00E46B99">
        <w:rPr>
          <w:b/>
          <w:i/>
          <w:highlight w:val="yellow"/>
        </w:rPr>
        <w:fldChar w:fldCharType="begin"/>
      </w:r>
      <w:r w:rsidRPr="00E46B99">
        <w:rPr>
          <w:b/>
          <w:i/>
          <w:highlight w:val="yellow"/>
        </w:rPr>
        <w:instrText xml:space="preserve"> REF _Ref85271165 \h  \* MERGEFORMAT </w:instrText>
      </w:r>
      <w:r w:rsidRPr="00E46B99">
        <w:rPr>
          <w:b/>
          <w:i/>
          <w:highlight w:val="yellow"/>
        </w:rPr>
      </w:r>
      <w:r w:rsidRPr="00E46B99">
        <w:rPr>
          <w:b/>
          <w:i/>
          <w:highlight w:val="yellow"/>
        </w:rPr>
        <w:fldChar w:fldCharType="separate"/>
      </w:r>
      <w:r w:rsidRPr="00B50BE2" w:rsidR="00B50BE2">
        <w:rPr>
          <w:b/>
          <w:i/>
          <w:highlight w:val="yellow"/>
        </w:rPr>
        <w:t>Recouvrement.</w:t>
      </w:r>
      <w:r w:rsidRPr="00E46B99">
        <w:rPr>
          <w:b/>
          <w:i/>
          <w:highlight w:val="yellow"/>
        </w:rPr>
        <w:fldChar w:fldCharType="end"/>
      </w:r>
      <w:r>
        <w:rPr>
          <w:b/>
          <w:highlight w:val="yellow"/>
        </w:rPr>
        <w:t>).]</w:t>
      </w:r>
      <w:r w:rsidR="00825D9C">
        <w:rPr>
          <w:b/>
        </w:rPr>
        <w:t xml:space="preserve"> </w:t>
      </w:r>
    </w:p>
    <w:p w:rsidR="005E02FD" w:rsidP="005E02FD" w:rsidRDefault="005E02FD" w14:paraId="03FE701D" w14:textId="41A62FB9">
      <w:pPr>
        <w:pStyle w:val="BodyText"/>
        <w:rPr>
          <w:b/>
        </w:rPr>
      </w:pPr>
      <w:r>
        <w:t>« </w:t>
      </w:r>
      <w:r>
        <w:rPr>
          <w:b/>
        </w:rPr>
        <w:t>Compte de capital</w:t>
      </w:r>
      <w:r>
        <w:t xml:space="preserve"> » a le sens attribué à ce terme à l’article </w:t>
      </w:r>
      <w:r w:rsidRPr="006400F9">
        <w:fldChar w:fldCharType="begin"/>
      </w:r>
      <w:r w:rsidRPr="006400F9">
        <w:instrText xml:space="preserve"> REF _Ref48201893 \r \h  \* MERGEFORMAT </w:instrText>
      </w:r>
      <w:r w:rsidRPr="006400F9">
        <w:fldChar w:fldCharType="separate"/>
      </w:r>
      <w:r w:rsidR="00B50BE2">
        <w:t>14.8</w:t>
      </w:r>
      <w:r w:rsidRPr="006400F9">
        <w:fldChar w:fldCharType="end"/>
      </w:r>
      <w:r>
        <w:t xml:space="preserve"> (</w:t>
      </w:r>
      <w:r w:rsidRPr="006D0835">
        <w:rPr>
          <w:i/>
        </w:rPr>
        <w:fldChar w:fldCharType="begin"/>
      </w:r>
      <w:r w:rsidRPr="006D0835">
        <w:rPr>
          <w:i/>
        </w:rPr>
        <w:instrText xml:space="preserve"> REF _Ref48201893 \h </w:instrText>
      </w:r>
      <w:r>
        <w:rPr>
          <w:i/>
        </w:rPr>
        <w:instrText xml:space="preserve"> \* MERGEFORMAT </w:instrText>
      </w:r>
      <w:r w:rsidRPr="006D0835">
        <w:rPr>
          <w:i/>
        </w:rPr>
      </w:r>
      <w:r w:rsidRPr="006D0835">
        <w:rPr>
          <w:i/>
        </w:rPr>
        <w:fldChar w:fldCharType="separate"/>
      </w:r>
      <w:r w:rsidRPr="00B50BE2" w:rsidR="00B50BE2">
        <w:rPr>
          <w:i/>
        </w:rPr>
        <w:t>Comptes de capital.</w:t>
      </w:r>
      <w:r w:rsidRPr="006D0835">
        <w:rPr>
          <w:i/>
        </w:rPr>
        <w:fldChar w:fldCharType="end"/>
      </w:r>
      <w:r>
        <w:t>).</w:t>
      </w:r>
    </w:p>
    <w:p w:rsidR="005E02FD" w:rsidP="005E02FD" w:rsidRDefault="005E02FD" w14:paraId="567C5D38" w14:textId="77777777">
      <w:pPr>
        <w:pStyle w:val="BodyText"/>
        <w:keepNext/>
        <w:rPr>
          <w:b/>
        </w:rPr>
      </w:pPr>
      <w:r>
        <w:t>« </w:t>
      </w:r>
      <w:r>
        <w:rPr>
          <w:b/>
        </w:rPr>
        <w:t>Conduite sujette à destitution</w:t>
      </w:r>
      <w:r>
        <w:t xml:space="preserve"> » désigne l’une des circonstances </w:t>
      </w:r>
      <w:bookmarkStart w:name="_Ref113892793" w:id="25"/>
      <w:r>
        <w:t>suivantes :</w:t>
      </w:r>
      <w:r>
        <w:rPr>
          <w:szCs w:val="22"/>
          <w:vertAlign w:val="superscript"/>
        </w:rPr>
        <w:footnoteReference w:id="16"/>
      </w:r>
      <w:bookmarkEnd w:id="25"/>
      <w:r>
        <w:t xml:space="preserve"> </w:t>
      </w:r>
    </w:p>
    <w:p w:rsidR="005E02FD" w:rsidP="005E02FD" w:rsidRDefault="005E02FD" w14:paraId="7C11192A" w14:textId="77777777">
      <w:pPr>
        <w:pStyle w:val="BodyTextIndent"/>
      </w:pPr>
      <w:r>
        <w:rPr>
          <w:color w:val="000000"/>
        </w:rPr>
        <w:t>a)</w:t>
      </w:r>
      <w:r>
        <w:rPr>
          <w:color w:val="000000"/>
        </w:rPr>
        <w:tab/>
      </w:r>
      <w:r>
        <w:t>en ce qui concerne le Commandité, le Gestionnaire, toute Personne-clé et tout Membre respectif du même groupe que l’une des Personnes précédentes,</w:t>
      </w:r>
      <w:r>
        <w:rPr>
          <w:color w:val="000000"/>
        </w:rPr>
        <w:t xml:space="preserve"> toute conduite ou absence de conduite qui constitue l’une des situations suivantes</w:t>
      </w:r>
      <w:r>
        <w:t xml:space="preserve"> :</w:t>
      </w:r>
    </w:p>
    <w:p w:rsidR="005E02FD" w:rsidP="005E02FD" w:rsidRDefault="005E02FD" w14:paraId="36FF542C" w14:textId="77777777">
      <w:pPr>
        <w:pStyle w:val="BodyTextIndent2"/>
      </w:pPr>
      <w:r>
        <w:rPr>
          <w:color w:val="000000"/>
        </w:rPr>
        <w:t>i)</w:t>
      </w:r>
      <w:r>
        <w:rPr>
          <w:color w:val="000000"/>
        </w:rPr>
        <w:tab/>
        <w:t xml:space="preserve">une </w:t>
      </w:r>
      <w:r>
        <w:t xml:space="preserve">fraude, mauvaise foi, </w:t>
      </w:r>
      <w:r>
        <w:rPr>
          <w:b/>
          <w:bCs/>
          <w:highlight w:val="yellow"/>
        </w:rPr>
        <w:t>[inconduite délibérée,] [faute lourde ou intentionnelle,]</w:t>
      </w:r>
      <w:bookmarkStart w:name="_Ref113892794" w:id="26"/>
      <w:r>
        <w:rPr>
          <w:rStyle w:val="FootnoteReference"/>
          <w:bCs/>
        </w:rPr>
        <w:footnoteReference w:id="17"/>
      </w:r>
      <w:bookmarkEnd w:id="26"/>
      <w:r>
        <w:t xml:space="preserve"> vol, détournement de biens, détournement de fonds ou abus de confiance, [</w:t>
      </w:r>
      <w:r>
        <w:rPr>
          <w:b/>
          <w:highlight w:val="yellow"/>
        </w:rPr>
        <w:t>déterminé par un jugement définitif et sans appel rendu par un tribunal compétent</w:t>
      </w:r>
      <w:proofErr w:type="gramStart"/>
      <w:r>
        <w:rPr>
          <w:b/>
        </w:rPr>
        <w:t>];</w:t>
      </w:r>
      <w:proofErr w:type="gramEnd"/>
      <w:r>
        <w:t xml:space="preserve"> </w:t>
      </w:r>
    </w:p>
    <w:p w:rsidR="005E02FD" w:rsidP="005E02FD" w:rsidRDefault="005E02FD" w14:paraId="7C4CF5D2" w14:textId="77777777">
      <w:pPr>
        <w:pStyle w:val="BodyTextIndent2"/>
      </w:pPr>
      <w:r>
        <w:rPr>
          <w:color w:val="000000"/>
        </w:rPr>
        <w:t>ii)</w:t>
      </w:r>
      <w:r>
        <w:rPr>
          <w:color w:val="000000"/>
        </w:rPr>
        <w:tab/>
        <w:t xml:space="preserve">une </w:t>
      </w:r>
      <w:r>
        <w:rPr>
          <w:bCs/>
          <w:color w:val="000000"/>
        </w:rPr>
        <w:t>négligence</w:t>
      </w:r>
      <w:bookmarkStart w:name="_Ref113892795" w:id="27"/>
      <w:r>
        <w:rPr>
          <w:rStyle w:val="FootnoteReference"/>
        </w:rPr>
        <w:footnoteReference w:id="18"/>
      </w:r>
      <w:bookmarkEnd w:id="27"/>
      <w:r w:rsidRPr="0028764C">
        <w:rPr>
          <w:b/>
          <w:color w:val="000000"/>
        </w:rPr>
        <w:t xml:space="preserve"> </w:t>
      </w:r>
      <w:r>
        <w:rPr>
          <w:b/>
          <w:color w:val="000000"/>
          <w:highlight w:val="yellow"/>
        </w:rPr>
        <w:t>[grossière] [ou faute intentionnelle ou lourde]</w:t>
      </w:r>
      <w:bookmarkStart w:name="_Ref113892796" w:id="28"/>
      <w:r>
        <w:rPr>
          <w:rStyle w:val="FootnoteReference"/>
          <w:color w:val="000000"/>
        </w:rPr>
        <w:footnoteReference w:id="19"/>
      </w:r>
      <w:bookmarkEnd w:id="28"/>
      <w:r>
        <w:t xml:space="preserve"> en rapport avec les activités du Fonds [</w:t>
      </w:r>
      <w:r>
        <w:rPr>
          <w:b/>
          <w:highlight w:val="yellow"/>
        </w:rPr>
        <w:t>déterminée par un jugement définitif et sans appel rendu par un tribunal compétent</w:t>
      </w:r>
      <w:proofErr w:type="gramStart"/>
      <w:r>
        <w:rPr>
          <w:b/>
        </w:rPr>
        <w:t>]</w:t>
      </w:r>
      <w:r>
        <w:t>;</w:t>
      </w:r>
      <w:proofErr w:type="gramEnd"/>
    </w:p>
    <w:p w:rsidR="005E02FD" w:rsidP="005E02FD" w:rsidRDefault="005E02FD" w14:paraId="2F7F7153" w14:textId="6835D031">
      <w:pPr>
        <w:pStyle w:val="BodyTextIndent2"/>
      </w:pPr>
      <w:r>
        <w:rPr>
          <w:color w:val="000000"/>
        </w:rPr>
        <w:t>iii)</w:t>
      </w:r>
      <w:r>
        <w:rPr>
          <w:color w:val="000000"/>
        </w:rPr>
        <w:tab/>
      </w:r>
      <w:r>
        <w:t xml:space="preserve">soit </w:t>
      </w:r>
      <w:bookmarkStart w:name="DocXTextRef22" w:id="29"/>
      <w:r>
        <w:t>(A)</w:t>
      </w:r>
      <w:bookmarkEnd w:id="29"/>
      <w:r>
        <w:t xml:space="preserve"> un manquement à l’article </w:t>
      </w:r>
      <w:r w:rsidRPr="006400F9">
        <w:fldChar w:fldCharType="begin"/>
      </w:r>
      <w:r w:rsidRPr="006400F9">
        <w:instrText xml:space="preserve"> REF _Ref48208467 \w \h  \* MERGEFORMAT </w:instrText>
      </w:r>
      <w:r w:rsidRPr="006400F9">
        <w:fldChar w:fldCharType="separate"/>
      </w:r>
      <w:r w:rsidR="00B50BE2">
        <w:t>8.3</w:t>
      </w:r>
      <w:r w:rsidRPr="006400F9">
        <w:fldChar w:fldCharType="end"/>
      </w:r>
      <w:r>
        <w:t xml:space="preserve"> (</w:t>
      </w:r>
      <w:r w:rsidRPr="00BD2FE6">
        <w:rPr>
          <w:i/>
        </w:rPr>
        <w:fldChar w:fldCharType="begin"/>
      </w:r>
      <w:r w:rsidRPr="00BD2FE6">
        <w:rPr>
          <w:i/>
        </w:rPr>
        <w:instrText xml:space="preserve"> REF _Ref113892513 \h  \* MERGEFORMAT </w:instrText>
      </w:r>
      <w:r w:rsidRPr="00BD2FE6">
        <w:rPr>
          <w:i/>
        </w:rPr>
      </w:r>
      <w:r w:rsidRPr="00BD2FE6">
        <w:rPr>
          <w:i/>
        </w:rPr>
        <w:fldChar w:fldCharType="separate"/>
      </w:r>
      <w:r w:rsidRPr="00B50BE2" w:rsidR="00B50BE2">
        <w:rPr>
          <w:i/>
        </w:rPr>
        <w:t>Norme de diligence</w:t>
      </w:r>
      <w:r w:rsidR="00B50BE2">
        <w:t>.</w:t>
      </w:r>
      <w:r w:rsidRPr="00BD2FE6">
        <w:fldChar w:fldCharType="end"/>
      </w:r>
      <w:r>
        <w:t xml:space="preserve">) ou </w:t>
      </w:r>
      <w:bookmarkStart w:name="DocXTextRef23" w:id="30"/>
      <w:r>
        <w:t>(B)</w:t>
      </w:r>
      <w:bookmarkEnd w:id="30"/>
      <w:r>
        <w:t xml:space="preserve"> un manquement important à l’une des autres modalités de la présente Convention ou de l’Entente de gestion </w:t>
      </w:r>
      <w:r>
        <w:rPr>
          <w:b/>
        </w:rPr>
        <w:t>[</w:t>
      </w:r>
      <w:r>
        <w:rPr>
          <w:b/>
          <w:highlight w:val="yellow"/>
        </w:rPr>
        <w:t>ou de tout autre Document du Fonds</w:t>
      </w:r>
      <w:r>
        <w:rPr>
          <w:b/>
        </w:rPr>
        <w:t>]</w:t>
      </w:r>
      <w:r>
        <w:t xml:space="preserve">, qui, si elle est susceptible d’être corrigée, n’a l’a pas été dans les </w:t>
      </w:r>
      <w:r>
        <w:rPr>
          <w:b/>
          <w:highlight w:val="yellow"/>
        </w:rPr>
        <w:t>[60]</w:t>
      </w:r>
      <w:r>
        <w:t xml:space="preserve"> jours suivant la remise d’un avis écrit du manquement au Commandité par le Comité consultatif des </w:t>
      </w:r>
      <w:proofErr w:type="gramStart"/>
      <w:r>
        <w:t>Commanditaires;</w:t>
      </w:r>
      <w:proofErr w:type="gramEnd"/>
    </w:p>
    <w:p w:rsidR="005E02FD" w:rsidP="005E02FD" w:rsidRDefault="005E02FD" w14:paraId="472B56B1" w14:textId="77777777">
      <w:pPr>
        <w:pStyle w:val="BodyTextIndent2"/>
      </w:pPr>
      <w:r>
        <w:rPr>
          <w:color w:val="000000"/>
        </w:rPr>
        <w:t>iv)</w:t>
      </w:r>
      <w:r>
        <w:rPr>
          <w:color w:val="000000"/>
        </w:rPr>
        <w:tab/>
      </w:r>
      <w:r>
        <w:t xml:space="preserve">une violation importante des lois, règles ou règlements relatifs aux valeurs mobilières, aux marchandises, à la lutte contre le blanchiment d’argent ou à la corruption, à condition que, sauf dans le cas des Personnes-clés, ces violations soient limitées à la conduite ou à l’absence de conduite en rapport avec les activités du </w:t>
      </w:r>
      <w:proofErr w:type="gramStart"/>
      <w:r>
        <w:t>Fonds;</w:t>
      </w:r>
      <w:proofErr w:type="gramEnd"/>
    </w:p>
    <w:p w:rsidR="005E02FD" w:rsidP="005E02FD" w:rsidRDefault="005E02FD" w14:paraId="64A9A076" w14:textId="09A8959A">
      <w:pPr>
        <w:pStyle w:val="BodyTextIndent2"/>
      </w:pPr>
      <w:r>
        <w:rPr>
          <w:color w:val="000000"/>
        </w:rPr>
        <w:t>v)</w:t>
      </w:r>
      <w:r>
        <w:rPr>
          <w:color w:val="000000"/>
        </w:rPr>
        <w:tab/>
      </w:r>
      <w:r>
        <w:t xml:space="preserve">une conduite criminelle à condition que, sauf dans le cas des Personnes-clés, cette conduite soit limitée aux crimes liés et importants pour les devoirs envers et à l’égard du Commandité, du Gestionnaire ou de tout Véhicule de fonds, et pour lesquels la peine maximale est supérieure à une </w:t>
      </w:r>
      <w:proofErr w:type="gramStart"/>
      <w:r>
        <w:t>amende;</w:t>
      </w:r>
      <w:proofErr w:type="gramEnd"/>
      <w:r>
        <w:t xml:space="preserve"> ou</w:t>
      </w:r>
    </w:p>
    <w:p w:rsidR="005E02FD" w:rsidP="005E02FD" w:rsidRDefault="005E02FD" w14:paraId="5A7DB8BD" w14:textId="77777777">
      <w:pPr>
        <w:pStyle w:val="BodyTextIndent2"/>
      </w:pPr>
      <w:r>
        <w:rPr>
          <w:color w:val="000000"/>
        </w:rPr>
        <w:t>vi)</w:t>
      </w:r>
      <w:r>
        <w:rPr>
          <w:color w:val="000000"/>
        </w:rPr>
        <w:tab/>
      </w:r>
      <w:r>
        <w:t xml:space="preserve">toute ordonnance, tout jugement ou tout décret d’une cour, d’un tribunal d’arbitrage ou d’une autorité de réglementation qui interdit, empêche ou </w:t>
      </w:r>
      <w:r>
        <w:lastRenderedPageBreak/>
        <w:t xml:space="preserve">compromet de manière importante l’exercice par cette Personne de ses devoirs ou de ses obligations à l’égard du </w:t>
      </w:r>
      <w:proofErr w:type="gramStart"/>
      <w:r>
        <w:t>Fonds;</w:t>
      </w:r>
      <w:proofErr w:type="gramEnd"/>
      <w:r>
        <w:t xml:space="preserve"> et</w:t>
      </w:r>
    </w:p>
    <w:p w:rsidR="005E02FD" w:rsidP="005E02FD" w:rsidRDefault="005E02FD" w14:paraId="24251DC1" w14:textId="77777777">
      <w:pPr>
        <w:pStyle w:val="BodyTextIndent"/>
      </w:pPr>
      <w:r>
        <w:rPr>
          <w:bCs/>
          <w:color w:val="000000"/>
        </w:rPr>
        <w:t>b)</w:t>
      </w:r>
      <w:r>
        <w:rPr>
          <w:bCs/>
          <w:color w:val="000000"/>
        </w:rPr>
        <w:tab/>
      </w:r>
      <w:r>
        <w:t>en ce qui concerne le Commandité et le Gestionnaire, l’insolvabilité, l’administration, la dissolution, la liquidation, la réorganisation involontaire, la faillite ou la suspension des paiements (ou l’équivalent en vertu du droit étranger).</w:t>
      </w:r>
    </w:p>
    <w:p w:rsidR="005E02FD" w:rsidP="005E02FD" w:rsidRDefault="005E02FD" w14:paraId="07E91ACC" w14:textId="77777777">
      <w:pPr>
        <w:pStyle w:val="BodyText"/>
      </w:pPr>
      <w:r>
        <w:t>« </w:t>
      </w:r>
      <w:r>
        <w:rPr>
          <w:b/>
        </w:rPr>
        <w:t>Convention</w:t>
      </w:r>
      <w:r>
        <w:t xml:space="preserve"> » désigne la présente Convention de société en commandite modifiée et mise à jour, y compris toutes les annexes, telle qu’elle peut être modifiée, mise à jour ou complétée de temps à autre conformément à ses modalités.</w:t>
      </w:r>
    </w:p>
    <w:p w:rsidR="005E02FD" w:rsidP="005E02FD" w:rsidRDefault="005E02FD" w14:paraId="18A0CC24" w14:textId="14B5B364">
      <w:pPr>
        <w:pStyle w:val="BodyText"/>
      </w:pPr>
      <w:r>
        <w:t>« </w:t>
      </w:r>
      <w:r>
        <w:rPr>
          <w:b/>
        </w:rPr>
        <w:t>Convention de souscription</w:t>
      </w:r>
      <w:r>
        <w:t xml:space="preserve"> » désigne la convention de souscription conclue par chaque Associé et Associé d’une Clôture subséquente dans le cadre de son achat, ou du Transfert, d’une Participation, et en vertu de laquelle l’Associé ou l’Associé d’une Clôture subséquente accepte de devenir partie à la présente Convention et d’être lié par celle-ci en ce qui concerne la Participation concernée.</w:t>
      </w:r>
    </w:p>
    <w:p w:rsidR="000F692A" w:rsidP="005E02FD" w:rsidRDefault="000F692A" w14:paraId="16299619" w14:textId="54700B62">
      <w:pPr>
        <w:pStyle w:val="BodyText"/>
      </w:pPr>
      <w:r>
        <w:t xml:space="preserve">« </w:t>
      </w:r>
      <w:bookmarkStart w:name="_Hlk161763335" w:id="31"/>
      <w:r>
        <w:rPr>
          <w:b/>
        </w:rPr>
        <w:t>Coût d’acquisition</w:t>
      </w:r>
      <w:r>
        <w:t xml:space="preserve"> </w:t>
      </w:r>
      <w:bookmarkEnd w:id="31"/>
      <w:r>
        <w:t>» désigne, à l’égard d’un Investissement de portefeuille, le montant global des Apports de capital qui ont été utilisés pour financer cet Investissement de portefeuille et toutes les dépenses raisonnablement et dûment attribuées à celui-ci.</w:t>
      </w:r>
    </w:p>
    <w:p w:rsidR="005E02FD" w:rsidP="005E02FD" w:rsidRDefault="005E02FD" w14:paraId="57C4EF20" w14:textId="32400036">
      <w:pPr>
        <w:pStyle w:val="BodyText"/>
      </w:pPr>
      <w:r>
        <w:t>« </w:t>
      </w:r>
      <w:r>
        <w:rPr>
          <w:b/>
        </w:rPr>
        <w:t>Date d’échéance</w:t>
      </w:r>
      <w:r>
        <w:t xml:space="preserve"> » a le sens attribué à ce terme à l’article </w:t>
      </w:r>
      <w:r w:rsidRPr="006400F9">
        <w:fldChar w:fldCharType="begin"/>
      </w:r>
      <w:r w:rsidRPr="006400F9">
        <w:instrText xml:space="preserve"> REF _Ref40801295 \w \h  \* MERGEFORMAT </w:instrText>
      </w:r>
      <w:r w:rsidRPr="006400F9">
        <w:fldChar w:fldCharType="separate"/>
      </w:r>
      <w:r w:rsidR="00B50BE2">
        <w:t>6.2(a)</w:t>
      </w:r>
      <w:r w:rsidRPr="006400F9">
        <w:fldChar w:fldCharType="end"/>
      </w:r>
      <w:r>
        <w:t xml:space="preserve"> (</w:t>
      </w:r>
      <w:r w:rsidRPr="006D0835">
        <w:rPr>
          <w:i/>
        </w:rPr>
        <w:fldChar w:fldCharType="begin"/>
      </w:r>
      <w:r w:rsidRPr="006D0835">
        <w:rPr>
          <w:i/>
        </w:rPr>
        <w:instrText xml:space="preserve"> REF _Ref40801274 \h  \* MERGEFORMAT </w:instrText>
      </w:r>
      <w:r w:rsidRPr="006D0835">
        <w:rPr>
          <w:i/>
        </w:rPr>
      </w:r>
      <w:r w:rsidRPr="006D0835">
        <w:rPr>
          <w:i/>
        </w:rPr>
        <w:fldChar w:fldCharType="separate"/>
      </w:r>
      <w:proofErr w:type="gramStart"/>
      <w:r w:rsidRPr="00B50BE2" w:rsidR="00B50BE2">
        <w:rPr>
          <w:i/>
        </w:rPr>
        <w:t>Modalités;</w:t>
      </w:r>
      <w:proofErr w:type="gramEnd"/>
      <w:r w:rsidRPr="00B50BE2" w:rsidR="00B50BE2">
        <w:rPr>
          <w:i/>
        </w:rPr>
        <w:t xml:space="preserve"> Apports de capital.</w:t>
      </w:r>
      <w:r w:rsidRPr="006D0835">
        <w:rPr>
          <w:i/>
        </w:rPr>
        <w:fldChar w:fldCharType="end"/>
      </w:r>
      <w:r>
        <w:t>).</w:t>
      </w:r>
    </w:p>
    <w:p w:rsidR="005E02FD" w:rsidP="005E02FD" w:rsidRDefault="005E02FD" w14:paraId="3916892C" w14:textId="77777777">
      <w:pPr>
        <w:pStyle w:val="BodyText"/>
      </w:pPr>
      <w:r>
        <w:t>« </w:t>
      </w:r>
      <w:r>
        <w:rPr>
          <w:b/>
        </w:rPr>
        <w:t>Date de clôture finale</w:t>
      </w:r>
      <w:r>
        <w:t xml:space="preserve"> » désigne la date qui se situe </w:t>
      </w:r>
      <w:r>
        <w:rPr>
          <w:b/>
          <w:highlight w:val="yellow"/>
        </w:rPr>
        <w:t>[12 mois]</w:t>
      </w:r>
      <w:bookmarkStart w:name="_Ref113892772" w:id="32"/>
      <w:r>
        <w:rPr>
          <w:rStyle w:val="FootnoteReference"/>
        </w:rPr>
        <w:footnoteReference w:id="20"/>
      </w:r>
      <w:bookmarkEnd w:id="32"/>
      <w:r>
        <w:t xml:space="preserve"> après la Date de clôture initiale.</w:t>
      </w:r>
    </w:p>
    <w:p w:rsidR="005E02FD" w:rsidP="005E02FD" w:rsidRDefault="005E02FD" w14:paraId="30994210" w14:textId="77777777">
      <w:pPr>
        <w:pStyle w:val="BodyText"/>
      </w:pPr>
      <w:r>
        <w:t>« </w:t>
      </w:r>
      <w:r>
        <w:rPr>
          <w:b/>
        </w:rPr>
        <w:t>Date de clôture initiale</w:t>
      </w:r>
      <w:r>
        <w:t xml:space="preserve"> » désigne la date de la présente Convention, qui ne peut être antérieure à la date à laquelle les Engagements globaux sont égaux ou supérieurs à </w:t>
      </w:r>
      <w:r>
        <w:rPr>
          <w:b/>
        </w:rPr>
        <w:t>[</w:t>
      </w:r>
      <w:r>
        <w:rPr>
          <w:highlight w:val="yellow"/>
        </w:rPr>
        <w:t>__</w:t>
      </w:r>
      <w:r>
        <w:rPr>
          <w:b/>
        </w:rPr>
        <w:t>]</w:t>
      </w:r>
      <w:r>
        <w:t>.</w:t>
      </w:r>
      <w:bookmarkStart w:name="_Ref113892776" w:id="33"/>
      <w:r>
        <w:rPr>
          <w:rStyle w:val="FootnoteReference"/>
        </w:rPr>
        <w:footnoteReference w:id="21"/>
      </w:r>
      <w:bookmarkEnd w:id="33"/>
    </w:p>
    <w:p w:rsidRPr="00B70075" w:rsidR="005E02FD" w:rsidP="005E02FD" w:rsidRDefault="005E02FD" w14:paraId="02883AEE" w14:textId="4BED995D">
      <w:pPr>
        <w:pStyle w:val="BodyText"/>
        <w:rPr>
          <w:lang w:val="en-CA"/>
        </w:rPr>
      </w:pPr>
      <w:r>
        <w:t>« </w:t>
      </w:r>
      <w:r>
        <w:rPr>
          <w:b/>
        </w:rPr>
        <w:t>Date de destitution</w:t>
      </w:r>
      <w:r>
        <w:t xml:space="preserve"> » a le sens attribué à ce terme à l’article </w:t>
      </w:r>
      <w:r w:rsidRPr="006400F9">
        <w:fldChar w:fldCharType="begin"/>
      </w:r>
      <w:r w:rsidRPr="006400F9">
        <w:instrText xml:space="preserve"> REF _Ref40802328 \w \h  \* MERGEFORMAT </w:instrText>
      </w:r>
      <w:r w:rsidRPr="006400F9">
        <w:fldChar w:fldCharType="separate"/>
      </w:r>
      <w:r w:rsidR="00B50BE2">
        <w:t>10.2(a)</w:t>
      </w:r>
      <w:r w:rsidRPr="006400F9">
        <w:fldChar w:fldCharType="end"/>
      </w:r>
      <w:r>
        <w:t xml:space="preserve"> (</w:t>
      </w:r>
      <w:r w:rsidRPr="00BD2FE6">
        <w:fldChar w:fldCharType="begin"/>
      </w:r>
      <w:r w:rsidRPr="00BD2FE6">
        <w:instrText xml:space="preserve"> REF _Ref40803862 \h  \* MERGEFORMAT </w:instrText>
      </w:r>
      <w:r w:rsidRPr="00BD2FE6">
        <w:fldChar w:fldCharType="separate"/>
      </w:r>
      <w:r w:rsidRPr="00B50BE2" w:rsidR="00B50BE2">
        <w:rPr>
          <w:i/>
        </w:rPr>
        <w:t>Conséquences de l’avis de destitution</w:t>
      </w:r>
      <w:r w:rsidR="00B50BE2">
        <w:t>.</w:t>
      </w:r>
      <w:r w:rsidRPr="00BD2FE6">
        <w:fldChar w:fldCharType="end"/>
      </w:r>
      <w:r>
        <w:t>).</w:t>
      </w:r>
      <w:r w:rsidR="00B70075">
        <w:t xml:space="preserve"> </w:t>
      </w:r>
      <w:r w:rsidRPr="00B70075" w:rsidR="00B70075">
        <w:rPr>
          <w:b/>
          <w:bCs/>
          <w:highlight w:val="cyan"/>
          <w:lang w:val="en-CA"/>
        </w:rPr>
        <w:t>[</w:t>
      </w:r>
      <w:r w:rsidRPr="00B70075" w:rsidR="00B70075">
        <w:rPr>
          <w:b/>
          <w:bCs/>
          <w:highlight w:val="cyan"/>
          <w:u w:val="single"/>
          <w:lang w:val="en-CA"/>
        </w:rPr>
        <w:t xml:space="preserve">Note to </w:t>
      </w:r>
      <w:proofErr w:type="gramStart"/>
      <w:r w:rsidRPr="00B70075" w:rsidR="00B70075">
        <w:rPr>
          <w:b/>
          <w:bCs/>
          <w:highlight w:val="cyan"/>
          <w:u w:val="single"/>
          <w:lang w:val="en-CA"/>
        </w:rPr>
        <w:t>CVCA :</w:t>
      </w:r>
      <w:proofErr w:type="gramEnd"/>
      <w:r w:rsidRPr="00B70075" w:rsidR="00B70075">
        <w:rPr>
          <w:b/>
          <w:bCs/>
          <w:highlight w:val="cyan"/>
          <w:lang w:val="en-CA"/>
        </w:rPr>
        <w:t xml:space="preserve"> We note that the defined term « Removal Date » does not appear in the definition section of the English version of this document. We believe such term should be added to the definition section.]</w:t>
      </w:r>
    </w:p>
    <w:p w:rsidR="005E02FD" w:rsidP="005E02FD" w:rsidRDefault="005E02FD" w14:paraId="3F496B24" w14:textId="77777777">
      <w:pPr>
        <w:pStyle w:val="BodyText"/>
      </w:pPr>
      <w:r w:rsidRPr="00B70075">
        <w:rPr>
          <w:lang w:val="en-CA"/>
        </w:rPr>
        <w:t xml:space="preserve"> </w:t>
      </w:r>
      <w:r>
        <w:t>« </w:t>
      </w:r>
      <w:r>
        <w:rPr>
          <w:b/>
        </w:rPr>
        <w:t>Date de l’investissement initial</w:t>
      </w:r>
      <w:r>
        <w:t xml:space="preserve"> » désigne la date à laquelle le Fonds acquiert son premier Investissement de portefeuille autre qu’un Investissement temporaire.</w:t>
      </w:r>
    </w:p>
    <w:p w:rsidR="005E02FD" w:rsidP="005E02FD" w:rsidRDefault="005E02FD" w14:paraId="7EA02423" w14:textId="4C79C280">
      <w:pPr>
        <w:pStyle w:val="BodyText"/>
      </w:pPr>
      <w:r>
        <w:t>« </w:t>
      </w:r>
      <w:r>
        <w:rPr>
          <w:b/>
        </w:rPr>
        <w:t>Date de paiement</w:t>
      </w:r>
      <w:r>
        <w:t xml:space="preserve"> » a le sens attribué à ce terme à l’article </w:t>
      </w:r>
      <w:r w:rsidRPr="006400F9">
        <w:fldChar w:fldCharType="begin"/>
      </w:r>
      <w:r w:rsidRPr="006400F9">
        <w:instrText xml:space="preserve"> REF _Ref40802024 \w \h  \* MERGEFORMAT </w:instrText>
      </w:r>
      <w:r w:rsidRPr="006400F9">
        <w:fldChar w:fldCharType="separate"/>
      </w:r>
      <w:r w:rsidR="00B50BE2">
        <w:t>8.4(a)</w:t>
      </w:r>
      <w:r w:rsidRPr="006400F9">
        <w:fldChar w:fldCharType="end"/>
      </w:r>
      <w:r>
        <w:t xml:space="preserve"> (</w:t>
      </w:r>
      <w:r w:rsidRPr="00BD2FE6">
        <w:rPr>
          <w:i/>
        </w:rPr>
        <w:fldChar w:fldCharType="begin"/>
      </w:r>
      <w:r w:rsidRPr="00BD2FE6">
        <w:rPr>
          <w:i/>
        </w:rPr>
        <w:instrText xml:space="preserve"> REF _Ref96457888 \h  \* MERGEFORMAT </w:instrText>
      </w:r>
      <w:r w:rsidRPr="00BD2FE6">
        <w:rPr>
          <w:i/>
        </w:rPr>
      </w:r>
      <w:r w:rsidRPr="00BD2FE6">
        <w:rPr>
          <w:i/>
        </w:rPr>
        <w:fldChar w:fldCharType="separate"/>
      </w:r>
      <w:r w:rsidRPr="00B50BE2" w:rsidR="00B50BE2">
        <w:rPr>
          <w:i/>
        </w:rPr>
        <w:t>Frais de gestion</w:t>
      </w:r>
      <w:r w:rsidR="00B50BE2">
        <w:t>.</w:t>
      </w:r>
      <w:r w:rsidRPr="00BD2FE6">
        <w:fldChar w:fldCharType="end"/>
      </w:r>
      <w:r>
        <w:t>).</w:t>
      </w:r>
    </w:p>
    <w:p w:rsidR="005E02FD" w:rsidP="005E02FD" w:rsidRDefault="005E02FD" w14:paraId="60973E4F" w14:textId="7645D698">
      <w:pPr>
        <w:pStyle w:val="BodyText"/>
      </w:pPr>
      <w:r>
        <w:t>« </w:t>
      </w:r>
      <w:r>
        <w:rPr>
          <w:b/>
        </w:rPr>
        <w:t>Défaut</w:t>
      </w:r>
      <w:r>
        <w:t xml:space="preserve"> » a le sens attribué à ce terme à l’article </w:t>
      </w:r>
      <w:r w:rsidRPr="006400F9">
        <w:fldChar w:fldCharType="begin"/>
      </w:r>
      <w:r w:rsidRPr="006400F9">
        <w:instrText xml:space="preserve"> REF _Ref40801099 \w \h  \* MERGEFORMAT </w:instrText>
      </w:r>
      <w:r w:rsidRPr="006400F9">
        <w:fldChar w:fldCharType="separate"/>
      </w:r>
      <w:r w:rsidR="00B50BE2">
        <w:t>6.6(a)</w:t>
      </w:r>
      <w:r w:rsidRPr="006400F9">
        <w:fldChar w:fldCharType="end"/>
      </w:r>
      <w:r>
        <w:t xml:space="preserve"> (</w:t>
      </w:r>
      <w:r w:rsidRPr="00BD2FE6">
        <w:rPr>
          <w:i/>
        </w:rPr>
        <w:fldChar w:fldCharType="begin"/>
      </w:r>
      <w:r w:rsidRPr="00BD2FE6">
        <w:rPr>
          <w:i/>
        </w:rPr>
        <w:instrText xml:space="preserve"> REF _Ref40803112 \h  \* MERGEFORMAT </w:instrText>
      </w:r>
      <w:r w:rsidRPr="00BD2FE6">
        <w:rPr>
          <w:i/>
        </w:rPr>
      </w:r>
      <w:r w:rsidRPr="00BD2FE6">
        <w:rPr>
          <w:i/>
        </w:rPr>
        <w:fldChar w:fldCharType="separate"/>
      </w:r>
      <w:r w:rsidRPr="00B50BE2" w:rsidR="00B50BE2">
        <w:rPr>
          <w:i/>
        </w:rPr>
        <w:t>Associés défaillants</w:t>
      </w:r>
      <w:r w:rsidR="00B50BE2">
        <w:t>.</w:t>
      </w:r>
      <w:r w:rsidRPr="00BD2FE6">
        <w:fldChar w:fldCharType="end"/>
      </w:r>
      <w:r>
        <w:t>).</w:t>
      </w:r>
    </w:p>
    <w:p w:rsidR="005E02FD" w:rsidP="007E6A4A" w:rsidRDefault="005E02FD" w14:paraId="0508AA7D" w14:textId="59E6B145">
      <w:pPr>
        <w:pStyle w:val="BodyText"/>
        <w:rPr>
          <w:i/>
        </w:rPr>
      </w:pPr>
      <w:r>
        <w:t xml:space="preserve">« </w:t>
      </w:r>
      <w:r>
        <w:rPr>
          <w:b/>
        </w:rPr>
        <w:t>Dépenses du Commandité</w:t>
      </w:r>
      <w:r>
        <w:t xml:space="preserve"> » a le sens attribué à ce terme à l’article </w:t>
      </w:r>
      <w:r w:rsidRPr="006400F9">
        <w:fldChar w:fldCharType="begin"/>
      </w:r>
      <w:r w:rsidRPr="006400F9">
        <w:instrText xml:space="preserve"> REF _Ref40801957 \w \h  \* MERGEFORMAT </w:instrText>
      </w:r>
      <w:r w:rsidRPr="006400F9">
        <w:fldChar w:fldCharType="separate"/>
      </w:r>
      <w:r w:rsidR="00B50BE2">
        <w:t>2.5</w:t>
      </w:r>
      <w:r w:rsidRPr="006400F9">
        <w:fldChar w:fldCharType="end"/>
      </w:r>
      <w:r>
        <w:t xml:space="preserve"> (</w:t>
      </w:r>
      <w:r w:rsidRPr="00BD2FE6">
        <w:rPr>
          <w:i/>
        </w:rPr>
        <w:fldChar w:fldCharType="begin"/>
      </w:r>
      <w:r w:rsidRPr="00BD2FE6">
        <w:rPr>
          <w:i/>
        </w:rPr>
        <w:instrText xml:space="preserve"> REF _Ref40801957 \h  \* MERGEFORMAT </w:instrText>
      </w:r>
      <w:r w:rsidRPr="00BD2FE6">
        <w:rPr>
          <w:i/>
        </w:rPr>
      </w:r>
      <w:r w:rsidRPr="00BD2FE6">
        <w:rPr>
          <w:i/>
        </w:rPr>
        <w:fldChar w:fldCharType="separate"/>
      </w:r>
      <w:r w:rsidRPr="00B50BE2" w:rsidR="00B50BE2">
        <w:rPr>
          <w:i/>
        </w:rPr>
        <w:t>Dépenses du Commandité.</w:t>
      </w:r>
      <w:r w:rsidRPr="00BD2FE6">
        <w:rPr>
          <w:i/>
        </w:rPr>
        <w:fldChar w:fldCharType="end"/>
      </w:r>
      <w:r>
        <w:t>)</w:t>
      </w:r>
      <w:r>
        <w:rPr>
          <w:i/>
        </w:rPr>
        <w:t>.</w:t>
      </w:r>
    </w:p>
    <w:p w:rsidR="005E02FD" w:rsidP="007E6A4A" w:rsidRDefault="005E02FD" w14:paraId="388137B5" w14:textId="393D5A90">
      <w:pPr>
        <w:pStyle w:val="BodyText"/>
      </w:pPr>
      <w:r>
        <w:t xml:space="preserve">« </w:t>
      </w:r>
      <w:r>
        <w:rPr>
          <w:b/>
        </w:rPr>
        <w:t>Dépenses du Fonds</w:t>
      </w:r>
      <w:r>
        <w:t xml:space="preserve"> » a le sens attribué à ce terme à l’article </w:t>
      </w:r>
      <w:r w:rsidRPr="006400F9">
        <w:fldChar w:fldCharType="begin"/>
      </w:r>
      <w:r w:rsidRPr="006400F9">
        <w:instrText xml:space="preserve"> REF _Ref40801926 \w \h  \* MERGEFORMAT </w:instrText>
      </w:r>
      <w:r w:rsidRPr="006400F9">
        <w:fldChar w:fldCharType="separate"/>
      </w:r>
      <w:r w:rsidR="00B50BE2">
        <w:t>2.4(a)</w:t>
      </w:r>
      <w:r w:rsidRPr="006400F9">
        <w:fldChar w:fldCharType="end"/>
      </w:r>
      <w:r>
        <w:t xml:space="preserve"> </w:t>
      </w:r>
      <w:r>
        <w:rPr>
          <w:i/>
        </w:rPr>
        <w:t>(</w:t>
      </w:r>
      <w:r w:rsidRPr="00BD2FE6">
        <w:rPr>
          <w:i/>
        </w:rPr>
        <w:fldChar w:fldCharType="begin"/>
      </w:r>
      <w:r w:rsidRPr="00BD2FE6">
        <w:rPr>
          <w:i/>
        </w:rPr>
        <w:instrText xml:space="preserve"> REF _Ref113883213 \h  \* MERGEFORMAT </w:instrText>
      </w:r>
      <w:r w:rsidRPr="00BD2FE6">
        <w:rPr>
          <w:i/>
        </w:rPr>
      </w:r>
      <w:r w:rsidRPr="00BD2FE6">
        <w:rPr>
          <w:i/>
        </w:rPr>
        <w:fldChar w:fldCharType="separate"/>
      </w:r>
      <w:r w:rsidRPr="00B50BE2" w:rsidR="00B50BE2">
        <w:rPr>
          <w:i/>
        </w:rPr>
        <w:t>Dépenses du Fonds</w:t>
      </w:r>
      <w:r w:rsidR="00B50BE2">
        <w:t>.</w:t>
      </w:r>
      <w:r w:rsidRPr="00BD2FE6">
        <w:fldChar w:fldCharType="end"/>
      </w:r>
      <w:r>
        <w:t>).</w:t>
      </w:r>
    </w:p>
    <w:p w:rsidR="005E02FD" w:rsidP="005E02FD" w:rsidRDefault="005E02FD" w14:paraId="75CB03DF" w14:textId="63359BD9">
      <w:pPr>
        <w:pStyle w:val="BodyText"/>
      </w:pPr>
      <w:r>
        <w:t>« </w:t>
      </w:r>
      <w:r>
        <w:rPr>
          <w:b/>
        </w:rPr>
        <w:t>Dépenses organisationnelles</w:t>
      </w:r>
      <w:r>
        <w:t xml:space="preserve"> » désigne tous les frais, coûts et dépenses raisonnablement et adéquatement engagés par le Commandité ou les Membres du même groupe que le Commandité dans le cadre de la constitution, de l’offre et du financement du Fonds, du Commandité, des Véhicules parallèles et de leurs commandités respectifs, selon le cas, y compris les dépenses juridiques, de consultation, de comptabilité, </w:t>
      </w:r>
      <w:r>
        <w:lastRenderedPageBreak/>
        <w:t xml:space="preserve">de dépôt de documents réglementaires, d’impression, de voyage, de repas et d’hébergement </w:t>
      </w:r>
      <w:r>
        <w:rPr>
          <w:b/>
          <w:highlight w:val="yellow"/>
        </w:rPr>
        <w:t>[à l’exclusion des dépenses de divertissement ou de transport aérien privé supérieurs au tarif commercial en classe affaires]</w:t>
      </w:r>
      <w:r>
        <w:t xml:space="preserve"> et y compris les dépenses liées à la préparation ou à la modification des documents constitutifs du Fonds et de tout Véhicule parallèle et la documentation auxiliaire connexe</w:t>
      </w:r>
      <w:r>
        <w:rPr>
          <w:b/>
          <w:highlight w:val="yellow"/>
        </w:rPr>
        <w:t>[, les coûts de conformité au processus de la « nation la plus favorisée »]</w:t>
      </w:r>
      <w:r>
        <w:t>, à l’exclusion des frais ou dépenses de tout agent de placement.</w:t>
      </w:r>
      <w:r>
        <w:rPr>
          <w:rStyle w:val="FootnoteReference"/>
        </w:rPr>
        <w:footnoteReference w:id="22"/>
      </w:r>
    </w:p>
    <w:p w:rsidR="005E02FD" w:rsidP="000C4FA4" w:rsidRDefault="005E02FD" w14:paraId="5042DA5E" w14:textId="77777777">
      <w:pPr>
        <w:pStyle w:val="BodyText"/>
      </w:pPr>
      <w:r>
        <w:t xml:space="preserve">« </w:t>
      </w:r>
      <w:r>
        <w:rPr>
          <w:b/>
          <w:bCs/>
        </w:rPr>
        <w:t>Déprécié de manière permanente</w:t>
      </w:r>
      <w:r>
        <w:t xml:space="preserve"> » désigne, dans le cas d’un Investissement de portefeuille, que l’Investissement de portefeuille a été déprécié dans les livres comptables du Fonds à un niveau inférieur à </w:t>
      </w:r>
      <w:r>
        <w:rPr>
          <w:b/>
        </w:rPr>
        <w:t>[</w:t>
      </w:r>
      <w:r>
        <w:rPr>
          <w:b/>
          <w:highlight w:val="yellow"/>
        </w:rPr>
        <w:t>50</w:t>
      </w:r>
      <w:r>
        <w:rPr>
          <w:b/>
          <w:bCs/>
        </w:rPr>
        <w:t>]</w:t>
      </w:r>
      <w:r>
        <w:t xml:space="preserve"> % de son Coût d’acquisition initial et qu’il n’a pas été par la suite réévalué à un niveau supérieur à </w:t>
      </w:r>
      <w:r>
        <w:rPr>
          <w:b/>
        </w:rPr>
        <w:t>[</w:t>
      </w:r>
      <w:r>
        <w:rPr>
          <w:b/>
          <w:highlight w:val="yellow"/>
        </w:rPr>
        <w:t>50</w:t>
      </w:r>
      <w:r>
        <w:rPr>
          <w:b/>
          <w:bCs/>
        </w:rPr>
        <w:t>]</w:t>
      </w:r>
      <w:r>
        <w:t xml:space="preserve"> % de son Coût d’acquisition initial.</w:t>
      </w:r>
      <w:bookmarkStart w:name="_Ref113892790" w:id="34"/>
      <w:r>
        <w:rPr>
          <w:rStyle w:val="FootnoteReference"/>
        </w:rPr>
        <w:footnoteReference w:id="23"/>
      </w:r>
      <w:bookmarkEnd w:id="34"/>
    </w:p>
    <w:p w:rsidR="005E02FD" w:rsidP="007E6A4A" w:rsidRDefault="005E02FD" w14:paraId="7D7DD1AE" w14:textId="0FF8FD66">
      <w:pPr>
        <w:pStyle w:val="BodyText"/>
      </w:pPr>
      <w:r>
        <w:t>« </w:t>
      </w:r>
      <w:r>
        <w:rPr>
          <w:b/>
        </w:rPr>
        <w:t>Distributions spéciales</w:t>
      </w:r>
      <w:r>
        <w:t xml:space="preserve"> » désigne les distributions globales reçues par le Commandité conformément à l’article </w:t>
      </w:r>
      <w:r w:rsidRPr="00BD2FE6">
        <w:fldChar w:fldCharType="begin"/>
      </w:r>
      <w:r w:rsidRPr="00BD2FE6">
        <w:instrText xml:space="preserve"> REF _Ref40800986 \w \h  \* MERGEFORMAT </w:instrText>
      </w:r>
      <w:r w:rsidRPr="00BD2FE6">
        <w:fldChar w:fldCharType="separate"/>
      </w:r>
      <w:r w:rsidR="00B50BE2">
        <w:t>14.3(c)</w:t>
      </w:r>
      <w:r w:rsidRPr="00BD2FE6">
        <w:fldChar w:fldCharType="end"/>
      </w:r>
      <w:r>
        <w:t xml:space="preserve"> (</w:t>
      </w:r>
      <w:r w:rsidRPr="00BD2FE6">
        <w:rPr>
          <w:i/>
        </w:rPr>
        <w:fldChar w:fldCharType="begin"/>
      </w:r>
      <w:r w:rsidRPr="00BD2FE6">
        <w:rPr>
          <w:i/>
        </w:rPr>
        <w:instrText xml:space="preserve"> REF _Ref40803030 \h  \* MERGEFORMAT </w:instrText>
      </w:r>
      <w:r w:rsidRPr="00BD2FE6">
        <w:rPr>
          <w:i/>
        </w:rPr>
      </w:r>
      <w:r w:rsidRPr="00BD2FE6">
        <w:rPr>
          <w:i/>
        </w:rPr>
        <w:fldChar w:fldCharType="separate"/>
      </w:r>
      <w:r w:rsidRPr="00B50BE2" w:rsidR="00B50BE2">
        <w:rPr>
          <w:i/>
        </w:rPr>
        <w:t>Distributions des Produits distribuables</w:t>
      </w:r>
      <w:r w:rsidR="00B50BE2">
        <w:t>.</w:t>
      </w:r>
      <w:r w:rsidRPr="00BD2FE6">
        <w:fldChar w:fldCharType="end"/>
      </w:r>
      <w:r>
        <w:t xml:space="preserve">) et à l’article </w:t>
      </w:r>
      <w:r w:rsidRPr="00BD2FE6">
        <w:fldChar w:fldCharType="begin"/>
      </w:r>
      <w:r w:rsidRPr="00BD2FE6">
        <w:instrText xml:space="preserve"> REF _Ref40801003 \w \h  \* MERGEFORMAT </w:instrText>
      </w:r>
      <w:r w:rsidRPr="00BD2FE6">
        <w:fldChar w:fldCharType="separate"/>
      </w:r>
      <w:r w:rsidR="00B50BE2">
        <w:t>14.3(d)</w:t>
      </w:r>
      <w:r w:rsidRPr="00BD2FE6">
        <w:fldChar w:fldCharType="end"/>
      </w:r>
      <w:r>
        <w:t xml:space="preserve"> (</w:t>
      </w:r>
      <w:r w:rsidRPr="00BD2FE6">
        <w:rPr>
          <w:i/>
        </w:rPr>
        <w:fldChar w:fldCharType="begin"/>
      </w:r>
      <w:r w:rsidRPr="00BD2FE6">
        <w:rPr>
          <w:i/>
        </w:rPr>
        <w:instrText xml:space="preserve"> REF _Ref40803030 \h  \* MERGEFORMAT </w:instrText>
      </w:r>
      <w:r w:rsidRPr="00BD2FE6">
        <w:rPr>
          <w:i/>
        </w:rPr>
      </w:r>
      <w:r w:rsidRPr="00BD2FE6">
        <w:rPr>
          <w:i/>
        </w:rPr>
        <w:fldChar w:fldCharType="separate"/>
      </w:r>
      <w:r w:rsidRPr="00B50BE2" w:rsidR="00B50BE2">
        <w:rPr>
          <w:i/>
        </w:rPr>
        <w:t>Distributions des Produits distribuables</w:t>
      </w:r>
      <w:r w:rsidR="00B50BE2">
        <w:t>.</w:t>
      </w:r>
      <w:r w:rsidRPr="00BD2FE6">
        <w:fldChar w:fldCharType="end"/>
      </w:r>
      <w:r>
        <w:t xml:space="preserve">) et toutes les distributions reçues par le Commandité relativement à ces articles conformément à l’article </w:t>
      </w:r>
      <w:r w:rsidRPr="00BD2FE6">
        <w:fldChar w:fldCharType="begin"/>
      </w:r>
      <w:r w:rsidRPr="00BD2FE6">
        <w:instrText xml:space="preserve"> REF _Ref40801023 \w \h  \* MERGEFORMAT </w:instrText>
      </w:r>
      <w:r w:rsidRPr="00BD2FE6">
        <w:fldChar w:fldCharType="separate"/>
      </w:r>
      <w:r w:rsidR="00B50BE2">
        <w:t>14.5</w:t>
      </w:r>
      <w:r w:rsidRPr="00BD2FE6">
        <w:fldChar w:fldCharType="end"/>
      </w:r>
      <w:r>
        <w:t xml:space="preserve"> (</w:t>
      </w:r>
      <w:r w:rsidRPr="00BD2FE6">
        <w:rPr>
          <w:i/>
        </w:rPr>
        <w:fldChar w:fldCharType="begin"/>
      </w:r>
      <w:r w:rsidRPr="00BD2FE6">
        <w:rPr>
          <w:i/>
        </w:rPr>
        <w:instrText xml:space="preserve"> REF _Ref40801023 \h  \* MERGEFORMAT </w:instrText>
      </w:r>
      <w:r w:rsidRPr="00BD2FE6">
        <w:rPr>
          <w:i/>
        </w:rPr>
      </w:r>
      <w:r w:rsidRPr="00BD2FE6">
        <w:rPr>
          <w:i/>
        </w:rPr>
        <w:fldChar w:fldCharType="separate"/>
      </w:r>
      <w:r w:rsidRPr="00B50BE2" w:rsidR="00B50BE2">
        <w:rPr>
          <w:i/>
        </w:rPr>
        <w:t>Distributions d’impôts</w:t>
      </w:r>
      <w:r w:rsidR="00B50BE2">
        <w:t>.</w:t>
      </w:r>
      <w:r w:rsidRPr="00BD2FE6">
        <w:fldChar w:fldCharType="end"/>
      </w:r>
      <w:r>
        <w:t>).</w:t>
      </w:r>
      <w:bookmarkStart w:name="_Ref113892761" w:id="35"/>
      <w:r>
        <w:rPr>
          <w:rStyle w:val="FootnoteReference"/>
        </w:rPr>
        <w:footnoteReference w:id="24"/>
      </w:r>
      <w:bookmarkEnd w:id="35"/>
      <w:r>
        <w:t xml:space="preserve"> </w:t>
      </w:r>
    </w:p>
    <w:p w:rsidR="005E02FD" w:rsidP="007E6A4A" w:rsidRDefault="005E02FD" w14:paraId="5EE1F83F" w14:textId="77777777">
      <w:pPr>
        <w:pStyle w:val="BodyText"/>
      </w:pPr>
      <w:r>
        <w:t>« </w:t>
      </w:r>
      <w:r>
        <w:rPr>
          <w:b/>
        </w:rPr>
        <w:t>Documents du Fonds</w:t>
      </w:r>
      <w:r>
        <w:t xml:space="preserve"> » désigne la présente Convention, chaque Convention de souscription, </w:t>
      </w:r>
      <w:r>
        <w:rPr>
          <w:b/>
        </w:rPr>
        <w:t>[</w:t>
      </w:r>
      <w:r>
        <w:rPr>
          <w:b/>
          <w:color w:val="000000"/>
          <w:highlight w:val="yellow"/>
        </w:rPr>
        <w:t xml:space="preserve">chaque </w:t>
      </w:r>
      <w:r w:rsidRPr="00E039D3">
        <w:rPr>
          <w:b/>
          <w:color w:val="000000"/>
          <w:highlight w:val="yellow"/>
        </w:rPr>
        <w:t>Entente accessoire</w:t>
      </w:r>
      <w:r>
        <w:rPr>
          <w:b/>
        </w:rPr>
        <w:t>]</w:t>
      </w:r>
      <w:r>
        <w:t>, l’Entente de gestion et toute autre entente ou convention, écrite ou autre, concernant ou affectant le Fonds.</w:t>
      </w:r>
      <w:bookmarkStart w:name="_Ref113892773" w:id="36"/>
      <w:r>
        <w:rPr>
          <w:caps/>
          <w:szCs w:val="22"/>
          <w:vertAlign w:val="superscript"/>
        </w:rPr>
        <w:footnoteReference w:id="25"/>
      </w:r>
      <w:bookmarkEnd w:id="36"/>
    </w:p>
    <w:p w:rsidR="005E02FD" w:rsidP="007E6A4A" w:rsidRDefault="005E02FD" w14:paraId="1DFD626E" w14:textId="3CC32218">
      <w:pPr>
        <w:pStyle w:val="BodyText"/>
        <w:rPr>
          <w:b/>
        </w:rPr>
      </w:pPr>
      <w:r>
        <w:t>« </w:t>
      </w:r>
      <w:r>
        <w:rPr>
          <w:b/>
        </w:rPr>
        <w:t>Dommages</w:t>
      </w:r>
      <w:r>
        <w:t xml:space="preserve"> » </w:t>
      </w:r>
      <w:proofErr w:type="gramStart"/>
      <w:r>
        <w:t>a</w:t>
      </w:r>
      <w:proofErr w:type="gramEnd"/>
      <w:r>
        <w:t xml:space="preserve"> le sens attribué à ce terme à l’article </w:t>
      </w:r>
      <w:r w:rsidRPr="006400F9">
        <w:fldChar w:fldCharType="begin"/>
      </w:r>
      <w:r w:rsidRPr="006400F9">
        <w:instrText xml:space="preserve"> REF _Ref40801087 \w \h  \* MERGEFORMAT </w:instrText>
      </w:r>
      <w:r w:rsidRPr="006400F9">
        <w:fldChar w:fldCharType="separate"/>
      </w:r>
      <w:r w:rsidR="00B50BE2">
        <w:t>16.1</w:t>
      </w:r>
      <w:r w:rsidRPr="006400F9">
        <w:fldChar w:fldCharType="end"/>
      </w:r>
      <w:r>
        <w:t xml:space="preserve"> (</w:t>
      </w:r>
      <w:r w:rsidRPr="00BD2FE6">
        <w:rPr>
          <w:i/>
        </w:rPr>
        <w:fldChar w:fldCharType="begin"/>
      </w:r>
      <w:r w:rsidRPr="00BD2FE6">
        <w:rPr>
          <w:i/>
        </w:rPr>
        <w:instrText xml:space="preserve"> REF _Ref40801087 \h  \* MERGEFORMAT </w:instrText>
      </w:r>
      <w:r w:rsidRPr="00BD2FE6">
        <w:rPr>
          <w:i/>
        </w:rPr>
      </w:r>
      <w:r w:rsidRPr="00BD2FE6">
        <w:rPr>
          <w:i/>
        </w:rPr>
        <w:fldChar w:fldCharType="separate"/>
      </w:r>
      <w:r w:rsidRPr="00B50BE2" w:rsidR="00B50BE2">
        <w:rPr>
          <w:i/>
        </w:rPr>
        <w:t>Exonération des Personnes couvertes</w:t>
      </w:r>
      <w:r w:rsidR="00B50BE2">
        <w:t>.</w:t>
      </w:r>
      <w:r w:rsidRPr="00BD2FE6">
        <w:fldChar w:fldCharType="end"/>
      </w:r>
      <w:r>
        <w:t>).</w:t>
      </w:r>
    </w:p>
    <w:p w:rsidR="005E02FD" w:rsidP="007E6A4A" w:rsidRDefault="005E02FD" w14:paraId="1CB5CBC3" w14:textId="6EA05C78">
      <w:pPr>
        <w:pStyle w:val="BodyText"/>
      </w:pPr>
      <w:r>
        <w:t>« </w:t>
      </w:r>
      <w:r>
        <w:rPr>
          <w:b/>
        </w:rPr>
        <w:t>Durée</w:t>
      </w:r>
      <w:r>
        <w:t xml:space="preserve"> » a le sens attribué à ce terme à l’article </w:t>
      </w:r>
      <w:r w:rsidRPr="006400F9">
        <w:fldChar w:fldCharType="begin"/>
      </w:r>
      <w:r w:rsidRPr="006400F9">
        <w:instrText xml:space="preserve"> REF _Ref40802491 \w \h  \* MERGEFORMAT </w:instrText>
      </w:r>
      <w:r w:rsidRPr="006400F9">
        <w:fldChar w:fldCharType="separate"/>
      </w:r>
      <w:r w:rsidR="00B50BE2">
        <w:t>18.1</w:t>
      </w:r>
      <w:r w:rsidRPr="006400F9">
        <w:fldChar w:fldCharType="end"/>
      </w:r>
      <w:r>
        <w:t xml:space="preserve"> (</w:t>
      </w:r>
      <w:r w:rsidRPr="00BD2FE6">
        <w:rPr>
          <w:i/>
        </w:rPr>
        <w:fldChar w:fldCharType="begin"/>
      </w:r>
      <w:r w:rsidRPr="00BD2FE6">
        <w:rPr>
          <w:i/>
        </w:rPr>
        <w:instrText xml:space="preserve"> REF _Ref113892657 \h  \* MERGEFORMAT </w:instrText>
      </w:r>
      <w:r w:rsidRPr="00BD2FE6">
        <w:rPr>
          <w:i/>
        </w:rPr>
      </w:r>
      <w:r w:rsidRPr="00BD2FE6">
        <w:rPr>
          <w:i/>
        </w:rPr>
        <w:fldChar w:fldCharType="separate"/>
      </w:r>
      <w:r w:rsidRPr="00B50BE2" w:rsidR="00B50BE2">
        <w:rPr>
          <w:i/>
        </w:rPr>
        <w:t>Durée</w:t>
      </w:r>
      <w:r w:rsidR="00B50BE2">
        <w:t>.</w:t>
      </w:r>
      <w:r w:rsidRPr="00BD2FE6">
        <w:fldChar w:fldCharType="end"/>
      </w:r>
      <w:r>
        <w:t>).</w:t>
      </w:r>
    </w:p>
    <w:p w:rsidRPr="00023149" w:rsidR="005E02FD" w:rsidP="007E6A4A" w:rsidRDefault="005E02FD" w14:paraId="77478804" w14:textId="2366AE90">
      <w:pPr>
        <w:pStyle w:val="BodyText"/>
        <w:rPr>
          <w:lang w:val="fr-CA"/>
        </w:rPr>
      </w:pPr>
      <w:r>
        <w:t>« </w:t>
      </w:r>
      <w:r>
        <w:rPr>
          <w:b/>
        </w:rPr>
        <w:t>Effet défavorable important</w:t>
      </w:r>
      <w:r>
        <w:t xml:space="preserve"> »</w:t>
      </w:r>
      <w:bookmarkStart w:name="_Ref113892787" w:id="37"/>
      <w:r>
        <w:rPr>
          <w:szCs w:val="22"/>
          <w:vertAlign w:val="superscript"/>
        </w:rPr>
        <w:footnoteReference w:id="26"/>
      </w:r>
      <w:bookmarkEnd w:id="37"/>
      <w:r>
        <w:t xml:space="preserve"> désigne </w:t>
      </w:r>
      <w:bookmarkStart w:name="DocXTextRef18" w:id="38"/>
      <w:r>
        <w:t>(i)</w:t>
      </w:r>
      <w:bookmarkEnd w:id="38"/>
      <w:r>
        <w:t xml:space="preserve"> une violation d’une loi, d’une règle ou d’un règlement applicable à un Associé qui est raisonnablement susceptible d’avoir un effet défavorable important sur une Société d</w:t>
      </w:r>
      <w:r w:rsidR="00742027">
        <w:t>e</w:t>
      </w:r>
      <w:r>
        <w:t xml:space="preserve"> portefeuille, un Véhicule du Fonds, le Commandité, le Gestionnaire, un Associé ou l’un des Membres du même groupe que l’une des Personnes précédentes, </w:t>
      </w:r>
      <w:bookmarkStart w:name="DocXTextRef19" w:id="39"/>
      <w:r>
        <w:t>(ii)</w:t>
      </w:r>
      <w:bookmarkEnd w:id="39"/>
      <w:r>
        <w:t xml:space="preserve"> un événement qui est raisonnablement susceptible d’assujettir une Société d</w:t>
      </w:r>
      <w:r w:rsidR="00742027">
        <w:t>e</w:t>
      </w:r>
      <w:r>
        <w:t xml:space="preserve"> portefeuille, un Véhicule du Fonds, le Commandité, le Gestionnaire, un Associé ou l’un des Membres du même groupe que l’une des Personnes précédentes, à toute exigence non fiscale non réglementaire importante à laquelle elle ne serait pas autrement assujettie, ou qui est raisonnablement susceptible d’augmenter de manière importante une telle exigence réglementaire au-delà de ce qu’elle aurait autrement été, </w:t>
      </w:r>
      <w:bookmarkStart w:name="DocXTextRef20" w:id="40"/>
      <w:r>
        <w:t>(iii)</w:t>
      </w:r>
      <w:bookmarkEnd w:id="40"/>
      <w:r>
        <w:t xml:space="preserve"> un événement qui est raisonnablement susceptible d’entraîner une question réglementaire, ou </w:t>
      </w:r>
      <w:bookmarkStart w:name="DocXTextRef21" w:id="41"/>
      <w:r>
        <w:t>(iv)</w:t>
      </w:r>
      <w:bookmarkEnd w:id="41"/>
      <w:r>
        <w:t xml:space="preserve"> à l’égard d’un Commanditaire, une violation de toute politique écrite de ce Commanditaire dont le Commandité a convenue par écrit au plus tard à la date d’admission du </w:t>
      </w:r>
      <w:r>
        <w:lastRenderedPageBreak/>
        <w:t>Commanditaire au Fonds qui est susceptible d’avoir un effet défavorable important sur le Commanditaire (à condition que cette politique demeure en vigueur à la date à laquelle une détermination d’effet défavorable important est faite).</w:t>
      </w:r>
      <w:bookmarkStart w:name="_Ref113892786" w:id="42"/>
      <w:r>
        <w:rPr>
          <w:szCs w:val="22"/>
          <w:vertAlign w:val="superscript"/>
        </w:rPr>
        <w:footnoteReference w:id="27"/>
      </w:r>
      <w:bookmarkEnd w:id="42"/>
      <w:r w:rsidR="00AF22E2">
        <w:t xml:space="preserve"> </w:t>
      </w:r>
    </w:p>
    <w:p w:rsidR="005E02FD" w:rsidP="005E02FD" w:rsidRDefault="005E02FD" w14:paraId="43623066" w14:textId="5918BD9D">
      <w:pPr>
        <w:pStyle w:val="BodyText"/>
      </w:pPr>
      <w:r>
        <w:t>« </w:t>
      </w:r>
      <w:r>
        <w:rPr>
          <w:b/>
        </w:rPr>
        <w:t>Engagement</w:t>
      </w:r>
      <w:r>
        <w:t xml:space="preserve"> » désigne, en ce qui concerne chaque Associé, le montant en dollars que l’Associé s’est engagé à verser au Fonds, tel que défini dans la Convention de souscription de l’Associé et tel qu’accepté par ou pour le Fonds ou, dans le cas du Commandité, le montant en dollars indiqué à l’article </w:t>
      </w:r>
      <w:r w:rsidRPr="006400F9">
        <w:fldChar w:fldCharType="begin"/>
      </w:r>
      <w:r w:rsidRPr="006400F9">
        <w:instrText xml:space="preserve"> REF _Ref40801040 \w \h  \* MERGEFORMAT </w:instrText>
      </w:r>
      <w:r w:rsidRPr="006400F9">
        <w:fldChar w:fldCharType="separate"/>
      </w:r>
      <w:r w:rsidR="00B50BE2">
        <w:t>4.2</w:t>
      </w:r>
      <w:r w:rsidRPr="006400F9">
        <w:fldChar w:fldCharType="end"/>
      </w:r>
      <w:r>
        <w:t xml:space="preserve"> (</w:t>
      </w:r>
      <w:r w:rsidRPr="006D0835">
        <w:rPr>
          <w:i/>
        </w:rPr>
        <w:fldChar w:fldCharType="begin"/>
      </w:r>
      <w:r w:rsidRPr="006D0835">
        <w:rPr>
          <w:i/>
        </w:rPr>
        <w:instrText xml:space="preserve"> REF _Ref40801040 \h </w:instrText>
      </w:r>
      <w:r>
        <w:rPr>
          <w:i/>
        </w:rPr>
        <w:instrText xml:space="preserve"> \* MERGEFORMAT </w:instrText>
      </w:r>
      <w:r w:rsidRPr="006D0835">
        <w:rPr>
          <w:i/>
        </w:rPr>
      </w:r>
      <w:r w:rsidRPr="006D0835">
        <w:rPr>
          <w:i/>
        </w:rPr>
        <w:fldChar w:fldCharType="separate"/>
      </w:r>
      <w:r w:rsidRPr="00B50BE2" w:rsidR="00B50BE2">
        <w:rPr>
          <w:i/>
        </w:rPr>
        <w:t>Engagement du Commandité.</w:t>
      </w:r>
      <w:r w:rsidRPr="006D0835">
        <w:rPr>
          <w:i/>
        </w:rPr>
        <w:fldChar w:fldCharType="end"/>
      </w:r>
      <w:r>
        <w:t>), et dans chaque cas, l’Engagement de chaque Associé doit être indiqué</w:t>
      </w:r>
      <w:r w:rsidR="00ED24D3">
        <w:t xml:space="preserve"> à côté </w:t>
      </w:r>
      <w:r>
        <w:t>de son nom dans l’</w:t>
      </w:r>
      <w:r w:rsidRPr="00764AE3">
        <w:fldChar w:fldCharType="begin"/>
      </w:r>
      <w:r w:rsidRPr="00764AE3">
        <w:instrText xml:space="preserve"> REF _Ref40807563 \h  \* MERGEFORMAT </w:instrText>
      </w:r>
      <w:r w:rsidRPr="00764AE3">
        <w:fldChar w:fldCharType="separate"/>
      </w:r>
      <w:r w:rsidR="00B50BE2">
        <w:t>Annexe 1</w:t>
      </w:r>
      <w:r w:rsidRPr="00764AE3">
        <w:fldChar w:fldCharType="end"/>
      </w:r>
      <w:r>
        <w:t xml:space="preserve"> (</w:t>
      </w:r>
      <w:r>
        <w:rPr>
          <w:i/>
        </w:rPr>
        <w:t>Engagements des Associés</w:t>
      </w:r>
      <w:r>
        <w:t xml:space="preserve">), tel que ce montant peut être augmenté par l’Associé conformément à l’article </w:t>
      </w:r>
      <w:r w:rsidRPr="006400F9">
        <w:fldChar w:fldCharType="begin"/>
      </w:r>
      <w:r w:rsidRPr="006400F9">
        <w:instrText xml:space="preserve"> REF _Ref53076728 \w \h  \* MERGEFORMAT </w:instrText>
      </w:r>
      <w:r w:rsidRPr="006400F9">
        <w:fldChar w:fldCharType="separate"/>
      </w:r>
      <w:r w:rsidR="00B50BE2">
        <w:t>5.4</w:t>
      </w:r>
      <w:r w:rsidRPr="006400F9">
        <w:fldChar w:fldCharType="end"/>
      </w:r>
      <w:r>
        <w:t xml:space="preserve"> (</w:t>
      </w:r>
      <w:r w:rsidRPr="006D0835">
        <w:rPr>
          <w:i/>
        </w:rPr>
        <w:fldChar w:fldCharType="begin"/>
      </w:r>
      <w:r w:rsidRPr="006D0835">
        <w:rPr>
          <w:i/>
        </w:rPr>
        <w:instrText xml:space="preserve"> REF _Ref113882647 \h </w:instrText>
      </w:r>
      <w:r>
        <w:rPr>
          <w:i/>
        </w:rPr>
        <w:instrText xml:space="preserve"> \* MERGEFORMAT </w:instrText>
      </w:r>
      <w:r w:rsidRPr="006D0835">
        <w:rPr>
          <w:i/>
        </w:rPr>
      </w:r>
      <w:r w:rsidRPr="006D0835">
        <w:rPr>
          <w:i/>
        </w:rPr>
        <w:fldChar w:fldCharType="separate"/>
      </w:r>
      <w:r w:rsidRPr="00B50BE2" w:rsidR="00B50BE2">
        <w:rPr>
          <w:i/>
        </w:rPr>
        <w:t>Clôtures subséquentes.</w:t>
      </w:r>
      <w:r w:rsidRPr="006D0835">
        <w:rPr>
          <w:i/>
        </w:rPr>
        <w:fldChar w:fldCharType="end"/>
      </w:r>
      <w:r>
        <w:t>).</w:t>
      </w:r>
    </w:p>
    <w:p w:rsidR="005E02FD" w:rsidP="005E02FD" w:rsidRDefault="005E02FD" w14:paraId="5B19A442" w14:textId="77777777">
      <w:pPr>
        <w:pStyle w:val="BodyText"/>
        <w:keepNext/>
      </w:pPr>
      <w:r>
        <w:t>« </w:t>
      </w:r>
      <w:r>
        <w:rPr>
          <w:b/>
        </w:rPr>
        <w:t>Engagement restant</w:t>
      </w:r>
      <w:r>
        <w:t xml:space="preserve"> » désigne, à l’égard d’un Associé, déterminé à une date quelconque, le montant de l’Engagement de l’Associé diminué du montant des Apports de capital de l’Associé, et augmenté du montant égal à toutes les distributions du Fonds à l’Associé dans la mesure où :</w:t>
      </w:r>
    </w:p>
    <w:p w:rsidR="005E02FD" w:rsidP="005E02FD" w:rsidRDefault="005E02FD" w14:paraId="01BF7051" w14:textId="77777777">
      <w:pPr>
        <w:pStyle w:val="BodyTextIndent"/>
      </w:pPr>
      <w:r>
        <w:rPr>
          <w:color w:val="000000"/>
        </w:rPr>
        <w:t>a)</w:t>
      </w:r>
      <w:r>
        <w:rPr>
          <w:color w:val="000000"/>
        </w:rPr>
        <w:tab/>
      </w:r>
      <w:r>
        <w:t>ces distributions représentent les Apports de capital retournés à l’Associé :</w:t>
      </w:r>
    </w:p>
    <w:p w:rsidR="005E02FD" w:rsidP="005E02FD" w:rsidRDefault="005E02FD" w14:paraId="28447BF7" w14:textId="77777777">
      <w:pPr>
        <w:pStyle w:val="BodyTextIndent2"/>
      </w:pPr>
      <w:r>
        <w:rPr>
          <w:color w:val="000000"/>
        </w:rPr>
        <w:t>i)</w:t>
      </w:r>
      <w:r>
        <w:rPr>
          <w:color w:val="000000"/>
        </w:rPr>
        <w:tab/>
      </w:r>
      <w:r>
        <w:t xml:space="preserve">sans être utilisés par le </w:t>
      </w:r>
      <w:proofErr w:type="gramStart"/>
      <w:r>
        <w:t>Fonds;</w:t>
      </w:r>
      <w:proofErr w:type="gramEnd"/>
      <w:r>
        <w:t xml:space="preserve"> ou</w:t>
      </w:r>
    </w:p>
    <w:p w:rsidR="005E02FD" w:rsidP="005E02FD" w:rsidRDefault="005E02FD" w14:paraId="66547079" w14:textId="77777777">
      <w:pPr>
        <w:pStyle w:val="BodyTextIndent2"/>
      </w:pPr>
      <w:r>
        <w:rPr>
          <w:color w:val="000000"/>
        </w:rPr>
        <w:t>ii)</w:t>
      </w:r>
      <w:r>
        <w:rPr>
          <w:color w:val="000000"/>
        </w:rPr>
        <w:tab/>
      </w:r>
      <w:r>
        <w:t xml:space="preserve">dans le cadre de la réception d’un Paiement de péréquation lors de l’admission d’un Associé d’une Clôture subséquente au </w:t>
      </w:r>
      <w:proofErr w:type="gramStart"/>
      <w:r>
        <w:t>Fonds;</w:t>
      </w:r>
      <w:proofErr w:type="gramEnd"/>
      <w:r>
        <w:t xml:space="preserve"> ou</w:t>
      </w:r>
    </w:p>
    <w:p w:rsidR="005E02FD" w:rsidP="005E02FD" w:rsidRDefault="005E02FD" w14:paraId="5090B918" w14:textId="13397593">
      <w:pPr>
        <w:pStyle w:val="BodyText"/>
        <w:ind w:left="720"/>
      </w:pPr>
      <w:r>
        <w:rPr>
          <w:color w:val="000000"/>
        </w:rPr>
        <w:t>b)</w:t>
      </w:r>
      <w:r>
        <w:rPr>
          <w:color w:val="000000"/>
        </w:rPr>
        <w:tab/>
        <w:t xml:space="preserve">tel que </w:t>
      </w:r>
      <w:r>
        <w:t xml:space="preserve">prévu à l’article </w:t>
      </w:r>
      <w:r w:rsidRPr="006400F9">
        <w:fldChar w:fldCharType="begin"/>
      </w:r>
      <w:r w:rsidRPr="006400F9">
        <w:instrText xml:space="preserve"> REF _Ref40802292 \w \h  \* MERGEFORMAT </w:instrText>
      </w:r>
      <w:r w:rsidRPr="006400F9">
        <w:fldChar w:fldCharType="separate"/>
      </w:r>
      <w:r w:rsidR="00B50BE2">
        <w:t>6.4</w:t>
      </w:r>
      <w:r w:rsidRPr="006400F9">
        <w:fldChar w:fldCharType="end"/>
      </w:r>
      <w:r>
        <w:t xml:space="preserve"> (</w:t>
      </w:r>
      <w:r w:rsidRPr="00BD2FE6">
        <w:rPr>
          <w:i/>
        </w:rPr>
        <w:fldChar w:fldCharType="begin"/>
      </w:r>
      <w:r w:rsidRPr="00BD2FE6">
        <w:rPr>
          <w:i/>
        </w:rPr>
        <w:instrText xml:space="preserve"> REF _Ref40802292 \h  \* MERGEFORMAT </w:instrText>
      </w:r>
      <w:r w:rsidRPr="00BD2FE6">
        <w:rPr>
          <w:i/>
        </w:rPr>
      </w:r>
      <w:r w:rsidRPr="00BD2FE6">
        <w:rPr>
          <w:i/>
        </w:rPr>
        <w:fldChar w:fldCharType="separate"/>
      </w:r>
      <w:r w:rsidRPr="00B50BE2" w:rsidR="00B50BE2">
        <w:rPr>
          <w:i/>
        </w:rPr>
        <w:t>Réinvestissement</w:t>
      </w:r>
      <w:r w:rsidR="00B50BE2">
        <w:t>.</w:t>
      </w:r>
      <w:r w:rsidRPr="00BD2FE6">
        <w:fldChar w:fldCharType="end"/>
      </w:r>
      <w:r>
        <w:t>), afin d’éviter toute ambiguïté, uniquement à ces fins.</w:t>
      </w:r>
    </w:p>
    <w:p w:rsidR="005E02FD" w:rsidP="005E02FD" w:rsidRDefault="005E02FD" w14:paraId="7E8BC994" w14:textId="63D21D05">
      <w:pPr>
        <w:pStyle w:val="BodyText"/>
        <w:rPr>
          <w:b/>
        </w:rPr>
      </w:pPr>
      <w:r>
        <w:rPr>
          <w:b/>
          <w:highlight w:val="yellow"/>
        </w:rPr>
        <w:t xml:space="preserve">[« Entente accessoire » a le sens attribué à ce terme à l’article </w:t>
      </w:r>
      <w:r w:rsidRPr="00111D18">
        <w:rPr>
          <w:b/>
          <w:highlight w:val="yellow"/>
        </w:rPr>
        <w:fldChar w:fldCharType="begin"/>
      </w:r>
      <w:r w:rsidRPr="00111D18">
        <w:rPr>
          <w:b/>
          <w:highlight w:val="yellow"/>
        </w:rPr>
        <w:instrText xml:space="preserve"> REF _Ref40802388 \w \h  \* MERGEFORMAT </w:instrText>
      </w:r>
      <w:r w:rsidRPr="00111D18">
        <w:rPr>
          <w:b/>
          <w:highlight w:val="yellow"/>
        </w:rPr>
      </w:r>
      <w:r w:rsidRPr="00111D18">
        <w:rPr>
          <w:b/>
          <w:highlight w:val="yellow"/>
        </w:rPr>
        <w:fldChar w:fldCharType="separate"/>
      </w:r>
      <w:r w:rsidR="00B50BE2">
        <w:rPr>
          <w:b/>
          <w:highlight w:val="yellow"/>
        </w:rPr>
        <w:t>20.5(b)</w:t>
      </w:r>
      <w:r w:rsidRPr="00111D18">
        <w:rPr>
          <w:b/>
          <w:highlight w:val="yellow"/>
        </w:rPr>
        <w:fldChar w:fldCharType="end"/>
      </w:r>
      <w:r>
        <w:rPr>
          <w:b/>
          <w:highlight w:val="yellow"/>
        </w:rPr>
        <w:t xml:space="preserve"> (</w:t>
      </w:r>
      <w:r w:rsidRPr="00111D18">
        <w:rPr>
          <w:b/>
          <w:i/>
          <w:highlight w:val="yellow"/>
        </w:rPr>
        <w:fldChar w:fldCharType="begin"/>
      </w:r>
      <w:r w:rsidRPr="00111D18">
        <w:rPr>
          <w:b/>
          <w:i/>
          <w:highlight w:val="yellow"/>
        </w:rPr>
        <w:instrText xml:space="preserve"> REF _Ref113892712 \h  \* MERGEFORMAT </w:instrText>
      </w:r>
      <w:r w:rsidRPr="00111D18">
        <w:rPr>
          <w:b/>
          <w:i/>
          <w:highlight w:val="yellow"/>
        </w:rPr>
      </w:r>
      <w:r w:rsidRPr="00111D18">
        <w:rPr>
          <w:b/>
          <w:i/>
          <w:highlight w:val="yellow"/>
        </w:rPr>
        <w:fldChar w:fldCharType="separate"/>
      </w:r>
      <w:r w:rsidRPr="00B50BE2" w:rsidR="00B50BE2">
        <w:rPr>
          <w:b/>
          <w:i/>
          <w:highlight w:val="yellow"/>
        </w:rPr>
        <w:t>Intégralité de la Convention</w:t>
      </w:r>
      <w:r w:rsidRPr="00B50BE2" w:rsidR="00B50BE2">
        <w:rPr>
          <w:b/>
          <w:highlight w:val="yellow"/>
        </w:rPr>
        <w:t>.</w:t>
      </w:r>
      <w:r w:rsidRPr="00111D18">
        <w:rPr>
          <w:b/>
          <w:highlight w:val="yellow"/>
        </w:rPr>
        <w:fldChar w:fldCharType="end"/>
      </w:r>
      <w:r>
        <w:rPr>
          <w:b/>
          <w:highlight w:val="yellow"/>
        </w:rPr>
        <w:t>)]</w:t>
      </w:r>
      <w:bookmarkStart w:name="_Ref113892797" w:id="43"/>
      <w:r>
        <w:rPr>
          <w:rStyle w:val="FootnoteReference"/>
        </w:rPr>
        <w:footnoteReference w:id="28"/>
      </w:r>
      <w:bookmarkEnd w:id="43"/>
    </w:p>
    <w:p w:rsidR="005E02FD" w:rsidP="005E02FD" w:rsidRDefault="005E02FD" w14:paraId="34EDF627" w14:textId="77777777">
      <w:pPr>
        <w:pStyle w:val="BodyText"/>
      </w:pPr>
      <w:r>
        <w:t xml:space="preserve">« </w:t>
      </w:r>
      <w:r>
        <w:rPr>
          <w:b/>
          <w:bCs/>
        </w:rPr>
        <w:t>Entente</w:t>
      </w:r>
      <w:r w:rsidRPr="00B6002E">
        <w:rPr>
          <w:b/>
          <w:bCs/>
        </w:rPr>
        <w:t xml:space="preserve"> de gestion</w:t>
      </w:r>
      <w:r>
        <w:t xml:space="preserve"> » désigne l’entente de gestion des investissements en date du [</w:t>
      </w:r>
      <w:r>
        <w:rPr>
          <w:b/>
          <w:caps/>
          <w:highlight w:val="yellow"/>
        </w:rPr>
        <w:t>__</w:t>
      </w:r>
      <w:r>
        <w:rPr>
          <w:b/>
          <w:caps/>
        </w:rPr>
        <w:t>]</w:t>
      </w:r>
      <w:r>
        <w:rPr>
          <w:caps/>
        </w:rPr>
        <w:t xml:space="preserve"> </w:t>
      </w:r>
      <w:r>
        <w:t>20</w:t>
      </w:r>
      <w:r>
        <w:rPr>
          <w:b/>
          <w:caps/>
        </w:rPr>
        <w:t>[</w:t>
      </w:r>
      <w:r>
        <w:rPr>
          <w:b/>
          <w:caps/>
          <w:highlight w:val="yellow"/>
        </w:rPr>
        <w:t>__</w:t>
      </w:r>
      <w:r>
        <w:rPr>
          <w:b/>
          <w:caps/>
        </w:rPr>
        <w:t xml:space="preserve">] </w:t>
      </w:r>
      <w:r>
        <w:t>entre le Fonds, le Commandité et le Gestionnaire.</w:t>
      </w:r>
      <w:bookmarkStart w:name="_Ref113892783" w:id="44"/>
      <w:r>
        <w:rPr>
          <w:szCs w:val="22"/>
          <w:vertAlign w:val="superscript"/>
        </w:rPr>
        <w:footnoteReference w:id="29"/>
      </w:r>
      <w:bookmarkEnd w:id="44"/>
    </w:p>
    <w:p w:rsidR="005E02FD" w:rsidP="005E02FD" w:rsidRDefault="005E02FD" w14:paraId="36C4BF5C" w14:textId="1B256954">
      <w:pPr>
        <w:pStyle w:val="BodyText"/>
      </w:pPr>
      <w:r>
        <w:t>« </w:t>
      </w:r>
      <w:r>
        <w:rPr>
          <w:b/>
        </w:rPr>
        <w:t>Entité nourricière</w:t>
      </w:r>
      <w:r>
        <w:t xml:space="preserve"> » désigne un Commanditaire qui est géré et contrôlé par le Commandité au profit d’un ou de plusieurs investisseurs qui ne sont pas des Personnes intéressées.</w:t>
      </w:r>
      <w:bookmarkStart w:name="_Ref113892770" w:id="45"/>
      <w:r>
        <w:rPr>
          <w:rStyle w:val="FootnoteReference"/>
        </w:rPr>
        <w:footnoteReference w:id="30"/>
      </w:r>
      <w:bookmarkEnd w:id="45"/>
    </w:p>
    <w:p w:rsidR="005E02FD" w:rsidP="005E02FD" w:rsidRDefault="005E02FD" w14:paraId="4A7F5ADB" w14:textId="77777777">
      <w:pPr>
        <w:pStyle w:val="BodyText"/>
        <w:keepNext/>
      </w:pPr>
      <w:r>
        <w:lastRenderedPageBreak/>
        <w:t>« </w:t>
      </w:r>
      <w:r>
        <w:rPr>
          <w:b/>
        </w:rPr>
        <w:t>Événement d’exclusion de l’indemnisation</w:t>
      </w:r>
      <w:r>
        <w:t xml:space="preserve"> » désigne, en ce qui concerne la Personne couverte par le Commandité concernée :</w:t>
      </w:r>
    </w:p>
    <w:p w:rsidR="005E02FD" w:rsidP="005E02FD" w:rsidRDefault="005E02FD" w14:paraId="12CD5AEE" w14:textId="77777777">
      <w:pPr>
        <w:pStyle w:val="BodyTextIndent"/>
      </w:pPr>
      <w:r>
        <w:rPr>
          <w:color w:val="000000"/>
        </w:rPr>
        <w:t>a)</w:t>
      </w:r>
      <w:r>
        <w:rPr>
          <w:color w:val="000000"/>
        </w:rPr>
        <w:tab/>
      </w:r>
      <w:r>
        <w:t xml:space="preserve">tout Événement </w:t>
      </w:r>
      <w:proofErr w:type="gramStart"/>
      <w:r>
        <w:t>déclencheur;</w:t>
      </w:r>
      <w:proofErr w:type="gramEnd"/>
      <w:r>
        <w:t xml:space="preserve"> ou</w:t>
      </w:r>
    </w:p>
    <w:p w:rsidR="005E02FD" w:rsidP="005E02FD" w:rsidRDefault="005E02FD" w14:paraId="6B2607FE" w14:textId="77777777">
      <w:pPr>
        <w:pStyle w:val="BodyTextIndent"/>
      </w:pPr>
      <w:r>
        <w:rPr>
          <w:color w:val="000000"/>
        </w:rPr>
        <w:t>b)</w:t>
      </w:r>
      <w:r>
        <w:rPr>
          <w:color w:val="000000"/>
        </w:rPr>
        <w:tab/>
      </w:r>
      <w:r>
        <w:t>l’insolvabilité, l’administration, la dissolution, la liquidation, la réorganisation involontaire, la faillite ou la suspension des paiements (ou l’équivalent en vertu du droit étranger) de cette Personne couverte par le Commandité.</w:t>
      </w:r>
    </w:p>
    <w:p w:rsidRPr="00D35989" w:rsidR="007E6A4A" w:rsidP="007E6A4A" w:rsidRDefault="007E6A4A" w14:paraId="7B6E2CCC" w14:textId="4B72804A">
      <w:pPr>
        <w:pStyle w:val="BodyText"/>
      </w:pPr>
      <w:r>
        <w:t>« </w:t>
      </w:r>
      <w:r>
        <w:rPr>
          <w:b/>
        </w:rPr>
        <w:t>Événement déclencheur</w:t>
      </w:r>
      <w:r>
        <w:t xml:space="preserve"> » désigne, à l’égard de la Personne couverte par le Commandité, toute conduite ou absence de conduite </w:t>
      </w:r>
      <w:r w:rsidR="00ED24D3">
        <w:t>relative aux</w:t>
      </w:r>
      <w:r>
        <w:t xml:space="preserve"> activités du Fonds qui constitue l’un des éléments suivants :</w:t>
      </w:r>
      <w:bookmarkStart w:name="_Ref113892762" w:id="46"/>
      <w:r>
        <w:rPr>
          <w:rStyle w:val="FootnoteReference"/>
        </w:rPr>
        <w:footnoteReference w:id="31"/>
      </w:r>
      <w:bookmarkEnd w:id="46"/>
    </w:p>
    <w:p w:rsidR="007E6A4A" w:rsidP="007E6A4A" w:rsidRDefault="007E6A4A" w14:paraId="4CB978A8" w14:textId="77777777">
      <w:pPr>
        <w:pStyle w:val="BodyTextIndent"/>
      </w:pPr>
      <w:r>
        <w:rPr>
          <w:color w:val="000000"/>
        </w:rPr>
        <w:t>a)</w:t>
      </w:r>
      <w:r>
        <w:rPr>
          <w:color w:val="000000"/>
        </w:rPr>
        <w:tab/>
      </w:r>
      <w:r>
        <w:t xml:space="preserve">fraude, mauvaise foi ou inconduite </w:t>
      </w:r>
      <w:proofErr w:type="gramStart"/>
      <w:r>
        <w:t>délibérée;</w:t>
      </w:r>
      <w:proofErr w:type="gramEnd"/>
    </w:p>
    <w:p w:rsidR="007E6A4A" w:rsidP="007E6A4A" w:rsidRDefault="007E6A4A" w14:paraId="0256AA43" w14:textId="77777777">
      <w:pPr>
        <w:pStyle w:val="BodyTextIndent"/>
      </w:pPr>
      <w:r>
        <w:rPr>
          <w:color w:val="000000"/>
        </w:rPr>
        <w:t>b)</w:t>
      </w:r>
      <w:r>
        <w:rPr>
          <w:color w:val="000000"/>
        </w:rPr>
        <w:tab/>
      </w:r>
      <w:r>
        <w:t>négligence</w:t>
      </w:r>
      <w:bookmarkStart w:name="_Ref113892763" w:id="47"/>
      <w:r>
        <w:t xml:space="preserve"> </w:t>
      </w:r>
      <w:r w:rsidRPr="00851A4C">
        <w:rPr>
          <w:b/>
          <w:bCs/>
          <w:highlight w:val="yellow"/>
        </w:rPr>
        <w:t>[grossière]</w:t>
      </w:r>
      <w:r>
        <w:rPr>
          <w:szCs w:val="22"/>
          <w:vertAlign w:val="superscript"/>
        </w:rPr>
        <w:footnoteReference w:id="32"/>
      </w:r>
      <w:bookmarkEnd w:id="47"/>
      <w:r>
        <w:t xml:space="preserve"> </w:t>
      </w:r>
      <w:r>
        <w:rPr>
          <w:b/>
          <w:bCs/>
          <w:highlight w:val="yellow"/>
        </w:rPr>
        <w:t>[ou faute intentionnelle ou lourde]</w:t>
      </w:r>
      <w:bookmarkStart w:name="_Ref113892764" w:id="48"/>
      <w:r>
        <w:rPr>
          <w:rStyle w:val="FootnoteReference"/>
          <w:bCs/>
        </w:rPr>
        <w:footnoteReference w:id="33"/>
      </w:r>
      <w:bookmarkEnd w:id="48"/>
      <w:r>
        <w:t>;</w:t>
      </w:r>
    </w:p>
    <w:p w:rsidR="007E6A4A" w:rsidP="007E6A4A" w:rsidRDefault="007E6A4A" w14:paraId="51CE8F06" w14:textId="251C1287">
      <w:pPr>
        <w:pStyle w:val="BodyTextIndent"/>
      </w:pPr>
      <w:r>
        <w:rPr>
          <w:color w:val="000000"/>
        </w:rPr>
        <w:t>c)</w:t>
      </w:r>
      <w:r>
        <w:rPr>
          <w:color w:val="000000"/>
        </w:rPr>
        <w:tab/>
      </w:r>
      <w:r>
        <w:t xml:space="preserve">un manquement important à la présente Convention, y compris un manquement à l’article </w:t>
      </w:r>
      <w:r w:rsidRPr="006400F9">
        <w:fldChar w:fldCharType="begin"/>
      </w:r>
      <w:r w:rsidRPr="006400F9">
        <w:instrText xml:space="preserve"> REF _Ref48208467 \w \h  \* MERGEFORMAT </w:instrText>
      </w:r>
      <w:r w:rsidRPr="006400F9">
        <w:fldChar w:fldCharType="separate"/>
      </w:r>
      <w:r w:rsidR="00B50BE2">
        <w:t>8.3</w:t>
      </w:r>
      <w:r w:rsidRPr="006400F9">
        <w:fldChar w:fldCharType="end"/>
      </w:r>
      <w:r>
        <w:t xml:space="preserve"> (</w:t>
      </w:r>
      <w:r w:rsidRPr="006D0835">
        <w:rPr>
          <w:i/>
        </w:rPr>
        <w:fldChar w:fldCharType="begin"/>
      </w:r>
      <w:r w:rsidRPr="006D0835">
        <w:rPr>
          <w:i/>
        </w:rPr>
        <w:instrText xml:space="preserve"> REF _Ref113892513 \h </w:instrText>
      </w:r>
      <w:r>
        <w:rPr>
          <w:i/>
        </w:rPr>
        <w:instrText xml:space="preserve"> \* MERGEFORMAT </w:instrText>
      </w:r>
      <w:r w:rsidRPr="006D0835">
        <w:rPr>
          <w:i/>
        </w:rPr>
      </w:r>
      <w:r w:rsidRPr="006D0835">
        <w:rPr>
          <w:i/>
        </w:rPr>
        <w:fldChar w:fldCharType="separate"/>
      </w:r>
      <w:r w:rsidRPr="00B50BE2" w:rsidR="00B50BE2">
        <w:rPr>
          <w:i/>
        </w:rPr>
        <w:t>Norme de diligence.</w:t>
      </w:r>
      <w:r w:rsidRPr="006D0835">
        <w:rPr>
          <w:i/>
        </w:rPr>
        <w:fldChar w:fldCharType="end"/>
      </w:r>
      <w:r>
        <w:t xml:space="preserve">) ou tout autre Document du </w:t>
      </w:r>
      <w:proofErr w:type="gramStart"/>
      <w:r>
        <w:t>Fonds;</w:t>
      </w:r>
      <w:proofErr w:type="gramEnd"/>
    </w:p>
    <w:p w:rsidR="007E6A4A" w:rsidP="007E6A4A" w:rsidRDefault="007E6A4A" w14:paraId="7C51CC58" w14:textId="77777777">
      <w:pPr>
        <w:pStyle w:val="BodyTextIndent"/>
      </w:pPr>
      <w:r>
        <w:rPr>
          <w:color w:val="000000"/>
        </w:rPr>
        <w:t>d)</w:t>
      </w:r>
      <w:r>
        <w:rPr>
          <w:color w:val="000000"/>
        </w:rPr>
        <w:tab/>
      </w:r>
      <w:r>
        <w:t xml:space="preserve">une violation de toute loi, règlement, jugement, ordonnance ou de toute autre mesure exécutoire, nationale, étrangère ou multinationale, ou de toute autre conduite décrite à la clause </w:t>
      </w:r>
      <w:bookmarkStart w:name="DocXTextRef5" w:id="49"/>
      <w:r>
        <w:t>(iv)</w:t>
      </w:r>
      <w:bookmarkEnd w:id="49"/>
      <w:r>
        <w:t xml:space="preserve"> ou à la clause </w:t>
      </w:r>
      <w:bookmarkStart w:name="DocXTextRef6" w:id="50"/>
      <w:r>
        <w:t>(v)</w:t>
      </w:r>
      <w:bookmarkEnd w:id="50"/>
      <w:r>
        <w:t xml:space="preserve"> de la définition de « Conduite sujette à destitution </w:t>
      </w:r>
      <w:proofErr w:type="gramStart"/>
      <w:r>
        <w:t>»;</w:t>
      </w:r>
      <w:proofErr w:type="gramEnd"/>
    </w:p>
    <w:p w:rsidR="007E6A4A" w:rsidP="007E6A4A" w:rsidRDefault="007E6A4A" w14:paraId="691943C7" w14:textId="77777777">
      <w:pPr>
        <w:pStyle w:val="BodyTextIndent"/>
      </w:pPr>
      <w:r>
        <w:rPr>
          <w:color w:val="000000"/>
        </w:rPr>
        <w:t>e)</w:t>
      </w:r>
      <w:r>
        <w:rPr>
          <w:color w:val="000000"/>
        </w:rPr>
        <w:tab/>
      </w:r>
      <w:r>
        <w:t>toutes les questions fondées sur, découlant de ou autrement liées à toute Procédure entre ou parmi des Personnes couvertes par le Commandité ou des Personnes intéressées.</w:t>
      </w:r>
    </w:p>
    <w:p w:rsidR="007E6A4A" w:rsidP="007E6A4A" w:rsidRDefault="007E6A4A" w14:paraId="56393461" w14:textId="10C39BD6">
      <w:pPr>
        <w:pStyle w:val="BodyTextIndent"/>
        <w:ind w:left="0" w:firstLine="0"/>
      </w:pPr>
      <w:r>
        <w:t>« </w:t>
      </w:r>
      <w:r>
        <w:rPr>
          <w:b/>
        </w:rPr>
        <w:t>Événement visant les Personnes-clés</w:t>
      </w:r>
      <w:r>
        <w:t xml:space="preserve"> » désigne, à tout moment pendant la Période d’engagement</w:t>
      </w:r>
      <w:r w:rsidR="00ED24D3">
        <w:t>, les événements suivant :</w:t>
      </w:r>
      <w:r>
        <w:t xml:space="preserve"> </w:t>
      </w:r>
      <w:bookmarkStart w:name="DocXTextRef16" w:id="51"/>
      <w:r>
        <w:t>(i)</w:t>
      </w:r>
      <w:bookmarkEnd w:id="51"/>
      <w:r>
        <w:t xml:space="preserve"> </w:t>
      </w:r>
      <w:r>
        <w:rPr>
          <w:b/>
        </w:rPr>
        <w:t>[</w:t>
      </w:r>
      <w:r>
        <w:rPr>
          <w:highlight w:val="yellow"/>
        </w:rPr>
        <w:t>__</w:t>
      </w:r>
      <w:r>
        <w:rPr>
          <w:b/>
        </w:rPr>
        <w:t>]</w:t>
      </w:r>
      <w:bookmarkStart w:name="_Ref113892780" w:id="52"/>
      <w:r>
        <w:rPr>
          <w:szCs w:val="22"/>
          <w:vertAlign w:val="superscript"/>
        </w:rPr>
        <w:footnoteReference w:id="34"/>
      </w:r>
      <w:bookmarkEnd w:id="52"/>
      <w:r>
        <w:t xml:space="preserve"> cesse de consacrer du temps et de l’attention pour quelque raison que ce soit, y compris le décès, l’invalidité ou la retraite, comme l’exige l’article </w:t>
      </w:r>
      <w:r w:rsidRPr="006400F9">
        <w:fldChar w:fldCharType="begin"/>
      </w:r>
      <w:r w:rsidRPr="006400F9">
        <w:instrText xml:space="preserve"> REF _Ref53002326 \w \h  \* MERGEFORMAT </w:instrText>
      </w:r>
      <w:r w:rsidRPr="006400F9">
        <w:fldChar w:fldCharType="separate"/>
      </w:r>
      <w:r w:rsidR="00B50BE2">
        <w:t>9.2</w:t>
      </w:r>
      <w:r w:rsidRPr="006400F9">
        <w:fldChar w:fldCharType="end"/>
      </w:r>
      <w:r>
        <w:t xml:space="preserve"> (</w:t>
      </w:r>
      <w:r w:rsidRPr="00BD2FE6">
        <w:rPr>
          <w:i/>
        </w:rPr>
        <w:fldChar w:fldCharType="begin"/>
      </w:r>
      <w:r w:rsidRPr="00BD2FE6">
        <w:rPr>
          <w:i/>
        </w:rPr>
        <w:instrText xml:space="preserve"> REF _Ref53002326 \h  \* MERGEFORMAT </w:instrText>
      </w:r>
      <w:r w:rsidRPr="00BD2FE6">
        <w:rPr>
          <w:i/>
        </w:rPr>
      </w:r>
      <w:r w:rsidRPr="00BD2FE6">
        <w:rPr>
          <w:i/>
        </w:rPr>
        <w:fldChar w:fldCharType="separate"/>
      </w:r>
      <w:r w:rsidRPr="00B50BE2" w:rsidR="00B50BE2">
        <w:rPr>
          <w:i/>
        </w:rPr>
        <w:t>Temps et attention.</w:t>
      </w:r>
      <w:r w:rsidRPr="00BD2FE6">
        <w:rPr>
          <w:i/>
        </w:rPr>
        <w:fldChar w:fldCharType="end"/>
      </w:r>
      <w:r>
        <w:t>) au Fonds</w:t>
      </w:r>
      <w:r>
        <w:rPr>
          <w:b/>
          <w:highlight w:val="yellow"/>
        </w:rPr>
        <w:t>[, aux Fonds antérieurs]</w:t>
      </w:r>
      <w:r>
        <w:t xml:space="preserve"> et à tout Fonds de remplacement autorisé conformément à la présente Convention; ou </w:t>
      </w:r>
      <w:bookmarkStart w:name="DocXTextRef17" w:id="53"/>
      <w:r>
        <w:t>(ii)</w:t>
      </w:r>
      <w:bookmarkEnd w:id="53"/>
      <w:r>
        <w:t xml:space="preserve"> un Changement de contrôle.</w:t>
      </w:r>
    </w:p>
    <w:p w:rsidR="001A7D21" w:rsidP="001A7D21" w:rsidRDefault="001A7D21" w14:paraId="31C74A15" w14:textId="6D1B0CAC">
      <w:pPr>
        <w:pStyle w:val="BodyText"/>
        <w:rPr>
          <w:i/>
        </w:rPr>
      </w:pPr>
      <w:r>
        <w:t xml:space="preserve">« </w:t>
      </w:r>
      <w:r>
        <w:rPr>
          <w:b/>
        </w:rPr>
        <w:t>Exercice financier</w:t>
      </w:r>
      <w:r>
        <w:t xml:space="preserve"> » a le sens attribué à ce terme à l’article </w:t>
      </w:r>
      <w:r w:rsidRPr="006400F9">
        <w:fldChar w:fldCharType="begin"/>
      </w:r>
      <w:r w:rsidRPr="006400F9">
        <w:instrText xml:space="preserve"> REF _Ref40801913 \w \h  \* MERGEFORMAT </w:instrText>
      </w:r>
      <w:r w:rsidRPr="006400F9">
        <w:fldChar w:fldCharType="separate"/>
      </w:r>
      <w:r w:rsidR="00B50BE2">
        <w:t>2.3</w:t>
      </w:r>
      <w:r w:rsidRPr="006400F9">
        <w:fldChar w:fldCharType="end"/>
      </w:r>
      <w:r>
        <w:t xml:space="preserve"> (</w:t>
      </w:r>
      <w:r w:rsidRPr="00BD2FE6">
        <w:rPr>
          <w:i/>
        </w:rPr>
        <w:fldChar w:fldCharType="begin"/>
      </w:r>
      <w:r w:rsidRPr="00BD2FE6">
        <w:rPr>
          <w:i/>
        </w:rPr>
        <w:instrText xml:space="preserve"> REF _Ref40801913 \h  \* MERGEFORMAT </w:instrText>
      </w:r>
      <w:r w:rsidRPr="00BD2FE6">
        <w:rPr>
          <w:i/>
        </w:rPr>
      </w:r>
      <w:r w:rsidRPr="00BD2FE6">
        <w:rPr>
          <w:i/>
        </w:rPr>
        <w:fldChar w:fldCharType="separate"/>
      </w:r>
      <w:r w:rsidRPr="00B50BE2" w:rsidR="00B50BE2">
        <w:rPr>
          <w:i/>
        </w:rPr>
        <w:t>Exercice financier.</w:t>
      </w:r>
      <w:r w:rsidRPr="00BD2FE6">
        <w:rPr>
          <w:i/>
        </w:rPr>
        <w:fldChar w:fldCharType="end"/>
      </w:r>
      <w:r>
        <w:t>)</w:t>
      </w:r>
      <w:r>
        <w:rPr>
          <w:i/>
        </w:rPr>
        <w:t>.</w:t>
      </w:r>
    </w:p>
    <w:p w:rsidR="001A7D21" w:rsidP="000C4FA4" w:rsidRDefault="001A7D21" w14:paraId="21C1EE4F" w14:textId="21A1783F">
      <w:pPr>
        <w:pStyle w:val="BodyText"/>
      </w:pPr>
      <w:r>
        <w:t>« </w:t>
      </w:r>
      <w:r>
        <w:rPr>
          <w:b/>
        </w:rPr>
        <w:t>Facilité de crédit</w:t>
      </w:r>
      <w:r>
        <w:t xml:space="preserve"> » a le sens attribué à ce terme à l’article </w:t>
      </w:r>
      <w:r w:rsidRPr="006400F9">
        <w:fldChar w:fldCharType="begin"/>
      </w:r>
      <w:r w:rsidRPr="006400F9">
        <w:instrText xml:space="preserve"> REF _Ref40801069 \w \h  \* MERGEFORMAT </w:instrText>
      </w:r>
      <w:r w:rsidRPr="006400F9">
        <w:fldChar w:fldCharType="separate"/>
      </w:r>
      <w:r w:rsidR="00B50BE2">
        <w:t>7.2(b)</w:t>
      </w:r>
      <w:r w:rsidRPr="006400F9">
        <w:fldChar w:fldCharType="end"/>
      </w:r>
      <w:r>
        <w:t xml:space="preserve"> (</w:t>
      </w:r>
      <w:r w:rsidRPr="006D0835">
        <w:rPr>
          <w:i/>
        </w:rPr>
        <w:fldChar w:fldCharType="begin"/>
      </w:r>
      <w:r w:rsidRPr="006D0835">
        <w:rPr>
          <w:i/>
        </w:rPr>
        <w:instrText xml:space="preserve"> REF _Ref113892481 \h  \* MERGEFORMAT </w:instrText>
      </w:r>
      <w:r w:rsidRPr="006D0835">
        <w:rPr>
          <w:i/>
        </w:rPr>
      </w:r>
      <w:r w:rsidRPr="006D0835">
        <w:rPr>
          <w:i/>
        </w:rPr>
        <w:fldChar w:fldCharType="separate"/>
      </w:r>
      <w:r w:rsidRPr="00B50BE2" w:rsidR="00B50BE2">
        <w:rPr>
          <w:i/>
        </w:rPr>
        <w:t>Limitation de la dette.</w:t>
      </w:r>
      <w:r w:rsidRPr="006D0835">
        <w:rPr>
          <w:i/>
        </w:rPr>
        <w:fldChar w:fldCharType="end"/>
      </w:r>
      <w:r>
        <w:t>).</w:t>
      </w:r>
      <w:bookmarkStart w:name="_Ref113892769" w:id="54"/>
      <w:r>
        <w:rPr>
          <w:szCs w:val="22"/>
          <w:vertAlign w:val="superscript"/>
        </w:rPr>
        <w:footnoteReference w:id="35"/>
      </w:r>
      <w:bookmarkEnd w:id="54"/>
    </w:p>
    <w:p w:rsidR="001A7D21" w:rsidP="000C4FA4" w:rsidRDefault="001A7D21" w14:paraId="5B282557" w14:textId="77777777">
      <w:pPr>
        <w:pStyle w:val="BodyText"/>
      </w:pPr>
      <w:r>
        <w:t>« </w:t>
      </w:r>
      <w:r>
        <w:rPr>
          <w:b/>
        </w:rPr>
        <w:t>Fonds</w:t>
      </w:r>
      <w:r>
        <w:t> » a le sens attribué à ce terme au préambule.</w:t>
      </w:r>
    </w:p>
    <w:p w:rsidR="001A7D21" w:rsidP="000C4FA4" w:rsidRDefault="001A7D21" w14:paraId="0CC3354F" w14:textId="58332BA4">
      <w:pPr>
        <w:pStyle w:val="BodyText"/>
        <w:rPr>
          <w:b/>
        </w:rPr>
      </w:pPr>
      <w:r>
        <w:rPr>
          <w:b/>
          <w:highlight w:val="yellow"/>
        </w:rPr>
        <w:t>[« Fonds antérieurs » signifie [__].]</w:t>
      </w:r>
      <w:bookmarkStart w:name="_Ref113892792" w:id="55"/>
      <w:r>
        <w:rPr>
          <w:rStyle w:val="FootnoteReference"/>
          <w:b/>
        </w:rPr>
        <w:footnoteReference w:id="36"/>
      </w:r>
      <w:bookmarkEnd w:id="55"/>
    </w:p>
    <w:p w:rsidR="001A7D21" w:rsidP="000C4FA4" w:rsidRDefault="001A7D21" w14:paraId="5AD3596B" w14:textId="06C7E8A1">
      <w:pPr>
        <w:pStyle w:val="BodyText"/>
      </w:pPr>
      <w:r>
        <w:lastRenderedPageBreak/>
        <w:t>« </w:t>
      </w:r>
      <w:r>
        <w:rPr>
          <w:b/>
        </w:rPr>
        <w:t>Fonds de remplacement</w:t>
      </w:r>
      <w:r>
        <w:t xml:space="preserve"> » a le sens attribué à ce terme à l’article </w:t>
      </w:r>
      <w:r w:rsidRPr="00BD2FE6">
        <w:fldChar w:fldCharType="begin"/>
      </w:r>
      <w:r w:rsidRPr="00BD2FE6">
        <w:instrText xml:space="preserve"> REF _Ref40802451 \w \h  \* MERGEFORMAT </w:instrText>
      </w:r>
      <w:r w:rsidRPr="00BD2FE6">
        <w:fldChar w:fldCharType="separate"/>
      </w:r>
      <w:r w:rsidR="00B50BE2">
        <w:t>9.1</w:t>
      </w:r>
      <w:r w:rsidRPr="00BD2FE6">
        <w:fldChar w:fldCharType="end"/>
      </w:r>
      <w:r>
        <w:t xml:space="preserve"> (</w:t>
      </w:r>
      <w:r w:rsidRPr="00BD2FE6">
        <w:rPr>
          <w:i/>
        </w:rPr>
        <w:fldChar w:fldCharType="begin"/>
      </w:r>
      <w:r w:rsidRPr="00BD2FE6">
        <w:rPr>
          <w:i/>
        </w:rPr>
        <w:instrText xml:space="preserve"> REF _Ref40802451 \h  \* MERGEFORMAT </w:instrText>
      </w:r>
      <w:r w:rsidRPr="00BD2FE6">
        <w:rPr>
          <w:i/>
        </w:rPr>
      </w:r>
      <w:r w:rsidRPr="00BD2FE6">
        <w:rPr>
          <w:i/>
        </w:rPr>
        <w:fldChar w:fldCharType="separate"/>
      </w:r>
      <w:r w:rsidRPr="00B50BE2" w:rsidR="00B50BE2">
        <w:rPr>
          <w:i/>
        </w:rPr>
        <w:t>Fonds de remplacement.</w:t>
      </w:r>
      <w:r w:rsidRPr="00BD2FE6">
        <w:rPr>
          <w:i/>
        </w:rPr>
        <w:fldChar w:fldCharType="end"/>
      </w:r>
      <w:r>
        <w:t>).</w:t>
      </w:r>
    </w:p>
    <w:p w:rsidR="001A7D21" w:rsidP="007E6A4A" w:rsidRDefault="001A7D21" w14:paraId="2E2D6920" w14:textId="08312138">
      <w:pPr>
        <w:pStyle w:val="BodyText"/>
      </w:pPr>
      <w:r>
        <w:t>« </w:t>
      </w:r>
      <w:r>
        <w:rPr>
          <w:b/>
        </w:rPr>
        <w:t>Frais de gestion</w:t>
      </w:r>
      <w:r>
        <w:t xml:space="preserve"> » a le sens attribué à ce terme à l’article </w:t>
      </w:r>
      <w:r w:rsidRPr="006400F9">
        <w:fldChar w:fldCharType="begin"/>
      </w:r>
      <w:r w:rsidRPr="006400F9">
        <w:instrText xml:space="preserve"> REF _Ref40802024 \w \h  \* MERGEFORMAT </w:instrText>
      </w:r>
      <w:r w:rsidRPr="006400F9">
        <w:fldChar w:fldCharType="separate"/>
      </w:r>
      <w:r w:rsidR="00B50BE2">
        <w:t>8.4(a)</w:t>
      </w:r>
      <w:r w:rsidRPr="006400F9">
        <w:fldChar w:fldCharType="end"/>
      </w:r>
      <w:r>
        <w:t xml:space="preserve"> (</w:t>
      </w:r>
      <w:r w:rsidRPr="00841AFD">
        <w:rPr>
          <w:i/>
        </w:rPr>
        <w:fldChar w:fldCharType="begin"/>
      </w:r>
      <w:r w:rsidRPr="00841AFD">
        <w:rPr>
          <w:i/>
        </w:rPr>
        <w:instrText xml:space="preserve"> REF _Ref96457888 \h  \* MERGEFORMAT </w:instrText>
      </w:r>
      <w:r w:rsidRPr="00841AFD">
        <w:rPr>
          <w:i/>
        </w:rPr>
      </w:r>
      <w:r w:rsidRPr="00841AFD">
        <w:rPr>
          <w:i/>
        </w:rPr>
        <w:fldChar w:fldCharType="separate"/>
      </w:r>
      <w:r w:rsidRPr="00B50BE2" w:rsidR="00B50BE2">
        <w:rPr>
          <w:i/>
        </w:rPr>
        <w:t>Frais de gestion.</w:t>
      </w:r>
      <w:r w:rsidRPr="00841AFD">
        <w:rPr>
          <w:i/>
        </w:rPr>
        <w:fldChar w:fldCharType="end"/>
      </w:r>
      <w:r>
        <w:t>).</w:t>
      </w:r>
    </w:p>
    <w:p w:rsidR="007E6A4A" w:rsidP="007E6A4A" w:rsidRDefault="007E6A4A" w14:paraId="401F88DA" w14:textId="7B657E3E">
      <w:pPr>
        <w:pStyle w:val="BodyText"/>
      </w:pPr>
      <w:r>
        <w:t>« </w:t>
      </w:r>
      <w:r>
        <w:rPr>
          <w:b/>
        </w:rPr>
        <w:t>Gestionnaire</w:t>
      </w:r>
      <w:r>
        <w:t xml:space="preserve"> » désigne </w:t>
      </w:r>
      <w:r>
        <w:rPr>
          <w:b/>
        </w:rPr>
        <w:t>[</w:t>
      </w:r>
      <w:r>
        <w:rPr>
          <w:highlight w:val="yellow"/>
        </w:rPr>
        <w:t>__</w:t>
      </w:r>
      <w:r>
        <w:rPr>
          <w:b/>
        </w:rPr>
        <w:t>]</w:t>
      </w:r>
      <w:r>
        <w:t xml:space="preserve"> ou tout gestionnaire de fonds d’investissement remplaçant nommé conformément à l’</w:t>
      </w:r>
      <w:r w:rsidRPr="006400F9">
        <w:fldChar w:fldCharType="begin"/>
      </w:r>
      <w:r w:rsidRPr="006400F9">
        <w:instrText xml:space="preserve"> REF _Ref40806970 \w \h  \* MERGEFORMAT </w:instrText>
      </w:r>
      <w:r w:rsidRPr="006400F9">
        <w:fldChar w:fldCharType="separate"/>
      </w:r>
      <w:r w:rsidR="00B50BE2">
        <w:t>Article 10</w:t>
      </w:r>
      <w:r w:rsidRPr="006400F9">
        <w:fldChar w:fldCharType="end"/>
      </w:r>
      <w:r>
        <w:t xml:space="preserve"> (</w:t>
      </w:r>
      <w:proofErr w:type="spellStart"/>
      <w:r w:rsidRPr="00BD2FE6">
        <w:rPr>
          <w:i/>
        </w:rPr>
        <w:fldChar w:fldCharType="begin"/>
      </w:r>
      <w:r w:rsidRPr="00BD2FE6">
        <w:rPr>
          <w:i/>
        </w:rPr>
        <w:instrText xml:space="preserve"> REF _Ref40806970 \h  \* MERGEFORMAT </w:instrText>
      </w:r>
      <w:r w:rsidRPr="00BD2FE6">
        <w:rPr>
          <w:i/>
        </w:rPr>
      </w:r>
      <w:r w:rsidRPr="00BD2FE6">
        <w:rPr>
          <w:i/>
        </w:rPr>
        <w:fldChar w:fldCharType="separate"/>
      </w:r>
      <w:r w:rsidRPr="00B50BE2" w:rsidR="00B50BE2">
        <w:rPr>
          <w:i/>
        </w:rPr>
        <w:t>Destition</w:t>
      </w:r>
      <w:proofErr w:type="spellEnd"/>
      <w:r w:rsidRPr="00B50BE2" w:rsidR="00B50BE2">
        <w:rPr>
          <w:i/>
        </w:rPr>
        <w:t xml:space="preserve"> du </w:t>
      </w:r>
      <w:proofErr w:type="gramStart"/>
      <w:r w:rsidRPr="00B50BE2" w:rsidR="00B50BE2">
        <w:rPr>
          <w:i/>
        </w:rPr>
        <w:t>commandité;</w:t>
      </w:r>
      <w:proofErr w:type="gramEnd"/>
      <w:r w:rsidRPr="00B50BE2" w:rsidR="00B50BE2">
        <w:rPr>
          <w:i/>
        </w:rPr>
        <w:t xml:space="preserve"> R</w:t>
      </w:r>
      <w:r w:rsidRPr="00BD2FE6">
        <w:rPr>
          <w:i/>
        </w:rPr>
        <w:fldChar w:fldCharType="end"/>
      </w:r>
      <w:r>
        <w:t>).</w:t>
      </w:r>
      <w:bookmarkStart w:name="_Ref113892784" w:id="56"/>
      <w:r>
        <w:rPr>
          <w:szCs w:val="22"/>
          <w:vertAlign w:val="superscript"/>
        </w:rPr>
        <w:footnoteReference w:id="37"/>
      </w:r>
      <w:bookmarkEnd w:id="56"/>
    </w:p>
    <w:p w:rsidR="001A7D21" w:rsidP="000C4FA4" w:rsidRDefault="001A7D21" w14:paraId="38F8CEED" w14:textId="77777777">
      <w:pPr>
        <w:pStyle w:val="BodyText"/>
      </w:pPr>
      <w:r>
        <w:t xml:space="preserve">« </w:t>
      </w:r>
      <w:r>
        <w:rPr>
          <w:b/>
        </w:rPr>
        <w:t>Institution financière</w:t>
      </w:r>
      <w:r>
        <w:t xml:space="preserve"> » désigne une « institution financière » au sens attribué à ce terme au paragraphe </w:t>
      </w:r>
      <w:bookmarkStart w:name="DocXTextRef13" w:id="57"/>
      <w:r>
        <w:t>142.2(1)</w:t>
      </w:r>
      <w:bookmarkEnd w:id="57"/>
      <w:r>
        <w:t xml:space="preserve"> de la </w:t>
      </w:r>
      <w:r w:rsidRPr="00ED0495">
        <w:t>Loi de l’impôt</w:t>
      </w:r>
      <w:r>
        <w:t>.</w:t>
      </w:r>
    </w:p>
    <w:p w:rsidR="001A7D21" w:rsidP="000C4FA4" w:rsidRDefault="001A7D21" w14:paraId="45768194" w14:textId="77777777">
      <w:pPr>
        <w:pStyle w:val="BodyText"/>
      </w:pPr>
      <w:r>
        <w:t>« </w:t>
      </w:r>
      <w:r>
        <w:rPr>
          <w:b/>
        </w:rPr>
        <w:t>Investissement de suivi</w:t>
      </w:r>
      <w:r>
        <w:t xml:space="preserve"> » désigne un investissement direct ou indirect du Fonds dans les Titres d’une Société de portefeuille ou de ses filiales dans lesquels le Fonds détient des Titres au moment de l’investissement et dans lesquels le Commandité détermine qu’il est approprié ou nécessaire que le Fonds investisse dans le but de préserver ou d’améliorer l’investissement antérieur du Fonds dans la Société de portefeuille.</w:t>
      </w:r>
    </w:p>
    <w:p w:rsidR="001A7D21" w:rsidP="001A7D21" w:rsidRDefault="001A7D21" w14:paraId="63B9292E" w14:textId="77777777">
      <w:pPr>
        <w:pStyle w:val="BodyText"/>
      </w:pPr>
      <w:r>
        <w:t xml:space="preserve">« </w:t>
      </w:r>
      <w:r>
        <w:rPr>
          <w:b/>
        </w:rPr>
        <w:t>Investissement temporaire</w:t>
      </w:r>
      <w:r>
        <w:t xml:space="preserve"> » désigne les </w:t>
      </w:r>
      <w:r>
        <w:rPr>
          <w:szCs w:val="22"/>
        </w:rPr>
        <w:t>obligations, les débentures, les bons du Trésor ou autres titres de créance émis ou garantis par un gouvernement fédéral, provincial ou municipal canadien ou les dépôts en dollars canadiens auprès de banques à charte canadiennes de l’Annexe I ou de banques à charte canadiennes de l’Annexe III.</w:t>
      </w:r>
      <w:bookmarkStart w:name="_Ref113892800" w:id="58"/>
      <w:r>
        <w:rPr>
          <w:szCs w:val="22"/>
          <w:vertAlign w:val="superscript"/>
        </w:rPr>
        <w:footnoteReference w:id="38"/>
      </w:r>
      <w:bookmarkEnd w:id="58"/>
    </w:p>
    <w:p w:rsidR="001A7D21" w:rsidP="007E6A4A" w:rsidRDefault="001A7D21" w14:paraId="6E55D94A" w14:textId="0AD002BD">
      <w:pPr>
        <w:pStyle w:val="BodyText"/>
      </w:pPr>
      <w:r>
        <w:t>« </w:t>
      </w:r>
      <w:r>
        <w:rPr>
          <w:b/>
        </w:rPr>
        <w:t>Investissement-relais</w:t>
      </w:r>
      <w:r>
        <w:t xml:space="preserve"> » a le sens attribué à ce terme à l’article </w:t>
      </w:r>
      <w:r w:rsidRPr="006400F9">
        <w:fldChar w:fldCharType="begin"/>
      </w:r>
      <w:r w:rsidRPr="006400F9">
        <w:instrText xml:space="preserve"> REF _Ref40800945 \w \h  \* MERGEFORMAT </w:instrText>
      </w:r>
      <w:r w:rsidRPr="006400F9">
        <w:fldChar w:fldCharType="separate"/>
      </w:r>
      <w:r w:rsidR="00B50BE2">
        <w:t>7.5</w:t>
      </w:r>
      <w:r w:rsidRPr="006400F9">
        <w:fldChar w:fldCharType="end"/>
      </w:r>
      <w:r>
        <w:t xml:space="preserve"> (</w:t>
      </w:r>
      <w:r w:rsidRPr="006D0835">
        <w:rPr>
          <w:i/>
        </w:rPr>
        <w:fldChar w:fldCharType="begin"/>
      </w:r>
      <w:r w:rsidRPr="006D0835">
        <w:rPr>
          <w:i/>
        </w:rPr>
        <w:instrText xml:space="preserve"> REF _Ref40800945 \h </w:instrText>
      </w:r>
      <w:r>
        <w:rPr>
          <w:i/>
        </w:rPr>
        <w:instrText xml:space="preserve"> \* MERGEFORMAT </w:instrText>
      </w:r>
      <w:r w:rsidRPr="006D0835">
        <w:rPr>
          <w:i/>
        </w:rPr>
      </w:r>
      <w:r w:rsidRPr="006D0835">
        <w:rPr>
          <w:i/>
        </w:rPr>
        <w:fldChar w:fldCharType="separate"/>
      </w:r>
      <w:r w:rsidRPr="00B50BE2" w:rsidR="00B50BE2">
        <w:rPr>
          <w:i/>
        </w:rPr>
        <w:t>Investissements-relais.</w:t>
      </w:r>
      <w:r w:rsidRPr="006D0835">
        <w:rPr>
          <w:i/>
        </w:rPr>
        <w:fldChar w:fldCharType="end"/>
      </w:r>
      <w:r>
        <w:t>).</w:t>
      </w:r>
    </w:p>
    <w:p w:rsidR="001A7D21" w:rsidP="000C4FA4" w:rsidRDefault="001A7D21" w14:paraId="6E7DD382" w14:textId="77777777">
      <w:pPr>
        <w:pStyle w:val="BodyText"/>
      </w:pPr>
      <w:r>
        <w:t>« </w:t>
      </w:r>
      <w:r>
        <w:rPr>
          <w:b/>
        </w:rPr>
        <w:t>Investissements de portefeuille</w:t>
      </w:r>
      <w:r>
        <w:t xml:space="preserve"> » désigne les investissements effectués par le Fonds (y compris les Investissements temporaires, les Investissements de suivi et les Investissements-relais).</w:t>
      </w:r>
    </w:p>
    <w:p w:rsidR="001A7D21" w:rsidP="000C4FA4" w:rsidRDefault="001A7D21" w14:paraId="6C280428" w14:textId="77777777">
      <w:pPr>
        <w:pStyle w:val="BodyText"/>
      </w:pPr>
      <w:r>
        <w:t>« </w:t>
      </w:r>
      <w:r>
        <w:rPr>
          <w:b/>
        </w:rPr>
        <w:t>Investisseur</w:t>
      </w:r>
      <w:r>
        <w:t xml:space="preserve"> » désigne un </w:t>
      </w:r>
      <w:bookmarkStart w:name="DocXTextRef14" w:id="59"/>
      <w:r>
        <w:t>(i)</w:t>
      </w:r>
      <w:bookmarkEnd w:id="59"/>
      <w:r>
        <w:t xml:space="preserve"> Commanditaire, ou </w:t>
      </w:r>
      <w:bookmarkStart w:name="DocXTextRef15" w:id="60"/>
      <w:r>
        <w:t>(ii)</w:t>
      </w:r>
      <w:bookmarkEnd w:id="60"/>
      <w:r>
        <w:t xml:space="preserve"> un investisseur équivalent dans tout Véhicule parallèle.</w:t>
      </w:r>
    </w:p>
    <w:p w:rsidR="000C4FA4" w:rsidP="007E6A4A" w:rsidRDefault="000C4FA4" w14:paraId="3D695515" w14:textId="0CF1E711">
      <w:pPr>
        <w:pStyle w:val="BodyText"/>
      </w:pPr>
      <w:r>
        <w:t xml:space="preserve">« </w:t>
      </w:r>
      <w:r>
        <w:rPr>
          <w:b/>
        </w:rPr>
        <w:t>Jour ouvrable</w:t>
      </w:r>
      <w:r>
        <w:t xml:space="preserve"> » désigne tout jour, autre qu’un samedi, un dimanche ou un jour férié dans la province de </w:t>
      </w:r>
      <w:r>
        <w:rPr>
          <w:b/>
          <w:bCs/>
          <w:highlight w:val="yellow"/>
        </w:rPr>
        <w:t>[Ontario/Québec]</w:t>
      </w:r>
      <w:r>
        <w:t xml:space="preserve">, où des institutions financières commerciales de </w:t>
      </w:r>
      <w:r>
        <w:rPr>
          <w:b/>
          <w:bCs/>
          <w:highlight w:val="yellow"/>
        </w:rPr>
        <w:t>[Toronto, Ontario/Montréal, Québec]</w:t>
      </w:r>
      <w:r>
        <w:t xml:space="preserve"> sont ouvertes.</w:t>
      </w:r>
    </w:p>
    <w:p w:rsidR="0000160C" w:rsidRDefault="00C517ED" w14:paraId="11AF4537" w14:textId="7D1B5880">
      <w:pPr>
        <w:pStyle w:val="BodyText"/>
        <w:rPr>
          <w:bCs/>
          <w:szCs w:val="22"/>
        </w:rPr>
      </w:pPr>
      <w:r>
        <w:t xml:space="preserve">« </w:t>
      </w:r>
      <w:r w:rsidRPr="00FC07F3">
        <w:rPr>
          <w:b/>
          <w:bCs/>
        </w:rPr>
        <w:t>Loi</w:t>
      </w:r>
      <w:r>
        <w:t xml:space="preserve"> » </w:t>
      </w:r>
      <w:r w:rsidR="00F173DB">
        <w:t>désigne la</w:t>
      </w:r>
      <w:r>
        <w:t xml:space="preserve"> </w:t>
      </w:r>
      <w:r>
        <w:rPr>
          <w:b/>
          <w:bCs/>
          <w:highlight w:val="yellow"/>
        </w:rPr>
        <w:t>[</w:t>
      </w:r>
      <w:r>
        <w:rPr>
          <w:b/>
          <w:bCs/>
          <w:i/>
          <w:szCs w:val="22"/>
          <w:highlight w:val="yellow"/>
        </w:rPr>
        <w:t>Loi sur les sociétés en commandite</w:t>
      </w:r>
      <w:r>
        <w:rPr>
          <w:b/>
          <w:bCs/>
          <w:szCs w:val="22"/>
          <w:highlight w:val="yellow"/>
        </w:rPr>
        <w:t xml:space="preserve"> (Ontario</w:t>
      </w:r>
      <w:r>
        <w:rPr>
          <w:szCs w:val="22"/>
          <w:highlight w:val="yellow"/>
        </w:rPr>
        <w:t>)</w:t>
      </w:r>
      <w:r>
        <w:rPr>
          <w:b/>
          <w:bCs/>
          <w:szCs w:val="22"/>
          <w:highlight w:val="yellow"/>
        </w:rPr>
        <w:t>/</w:t>
      </w:r>
      <w:r>
        <w:rPr>
          <w:b/>
          <w:bCs/>
          <w:i/>
          <w:iCs/>
          <w:szCs w:val="22"/>
          <w:highlight w:val="yellow"/>
        </w:rPr>
        <w:t>Code civil du Québec</w:t>
      </w:r>
      <w:r>
        <w:rPr>
          <w:b/>
          <w:bCs/>
          <w:szCs w:val="22"/>
          <w:highlight w:val="yellow"/>
        </w:rPr>
        <w:t>]</w:t>
      </w:r>
      <w:r>
        <w:rPr>
          <w:bCs/>
          <w:szCs w:val="22"/>
        </w:rPr>
        <w:t>.</w:t>
      </w:r>
      <w:bookmarkStart w:name="_Ref113892759" w:id="61"/>
      <w:r>
        <w:rPr>
          <w:szCs w:val="22"/>
          <w:vertAlign w:val="superscript"/>
        </w:rPr>
        <w:footnoteReference w:id="39"/>
      </w:r>
      <w:bookmarkEnd w:id="61"/>
    </w:p>
    <w:p w:rsidR="001A7D21" w:rsidP="001A7D21" w:rsidRDefault="001A7D21" w14:paraId="72ED8CBC" w14:textId="77777777">
      <w:pPr>
        <w:pStyle w:val="BodyText"/>
      </w:pPr>
      <w:r>
        <w:t xml:space="preserve">« </w:t>
      </w:r>
      <w:r>
        <w:rPr>
          <w:b/>
        </w:rPr>
        <w:t>Loi de l’impôt</w:t>
      </w:r>
      <w:r>
        <w:t xml:space="preserve"> » désigne la </w:t>
      </w:r>
      <w:r>
        <w:rPr>
          <w:i/>
        </w:rPr>
        <w:t>Loi de l’impôt sur le revenu</w:t>
      </w:r>
      <w:r>
        <w:t xml:space="preserve"> (Canada), telle que modifiée de temps à autre, y compris les règlements promulgués en vertu de cette loi.</w:t>
      </w:r>
    </w:p>
    <w:p w:rsidR="000C4FA4" w:rsidP="000C4FA4" w:rsidRDefault="000C4FA4" w14:paraId="36528893" w14:textId="1FE9EF71">
      <w:pPr>
        <w:pStyle w:val="BodyText"/>
      </w:pPr>
      <w:r>
        <w:lastRenderedPageBreak/>
        <w:t>« </w:t>
      </w:r>
      <w:r>
        <w:rPr>
          <w:b/>
        </w:rPr>
        <w:t>Loi sur les archives publics</w:t>
      </w:r>
      <w:r>
        <w:t xml:space="preserve"> » désigne toute loi ou règlement de toute juridiction qui donne aux membres du public le droit, sur demande, de consulter ou d’obtenir les documents de tout organisme ou autorité gouvernemental ou entité apparentée qui ne sont pas autrement mis à la disposition du public.</w:t>
      </w:r>
    </w:p>
    <w:p w:rsidR="003038F7" w:rsidP="000C4FA4" w:rsidRDefault="003038F7" w14:paraId="35E02C07" w14:textId="7405E7D9">
      <w:pPr>
        <w:pStyle w:val="BodyText"/>
      </w:pPr>
      <w:r>
        <w:t>« </w:t>
      </w:r>
      <w:r>
        <w:rPr>
          <w:b/>
        </w:rPr>
        <w:t>Majorité (ou autre pourcentage spécifié) de Participations</w:t>
      </w:r>
      <w:r>
        <w:t xml:space="preserve"> » désigne une résolution écrite des Investisseurs (autres que les Associés affiliés et les Associés défaillants ou l’équivalent dans tout autre Véhicule du Fonds) qui, au moment en question, ont des Engagements et des engagements envers tout Véhicule parallèle totalisant plus de 50 % (ou tout autre pourcentage spécifié) des Engagements et des engagements envers tout Véhicule parallèle de tous les Investisseurs (autres que les Engagements des Associés affiliés et des Associés défaillants ou l’équivalent dans tout autre Véhicule du Fonds).</w:t>
      </w:r>
    </w:p>
    <w:p w:rsidR="0000160C" w:rsidRDefault="00FC07F3" w14:paraId="54C2A97F" w14:textId="44482135">
      <w:pPr>
        <w:pStyle w:val="BodyText"/>
      </w:pPr>
      <w:r>
        <w:t>« </w:t>
      </w:r>
      <w:r w:rsidR="00F173DB">
        <w:rPr>
          <w:b/>
        </w:rPr>
        <w:t>Membre du même groupe</w:t>
      </w:r>
      <w:r w:rsidR="00C517ED">
        <w:t xml:space="preserve"> » désigne, à l</w:t>
      </w:r>
      <w:r w:rsidR="00E27310">
        <w:t>’</w:t>
      </w:r>
      <w:r w:rsidR="00C517ED">
        <w:t>égard d</w:t>
      </w:r>
      <w:r w:rsidR="00E27310">
        <w:t>’</w:t>
      </w:r>
      <w:r w:rsidR="00C517ED">
        <w:t xml:space="preserve">une Personne spécifiée, une Personne qui, directement ou indirectement, par </w:t>
      </w:r>
      <w:r w:rsidR="00951E25">
        <w:t>l’entremise</w:t>
      </w:r>
      <w:r w:rsidR="00C517ED">
        <w:t xml:space="preserve"> d</w:t>
      </w:r>
      <w:r w:rsidR="00E27310">
        <w:t>’</w:t>
      </w:r>
      <w:r w:rsidR="00C517ED">
        <w:t xml:space="preserve">un ou de plusieurs intermédiaires, contrôle, est contrôlée par, ou est sous contrôle commun avec, la Personne spécifiée, à condition que </w:t>
      </w:r>
      <w:bookmarkStart w:name="DocXTextRef2" w:id="62"/>
      <w:r w:rsidR="00C517ED">
        <w:t>(i)</w:t>
      </w:r>
      <w:bookmarkEnd w:id="62"/>
      <w:r w:rsidR="00C517ED">
        <w:t xml:space="preserve"> les </w:t>
      </w:r>
      <w:r w:rsidR="00951E25">
        <w:t>S</w:t>
      </w:r>
      <w:r w:rsidR="00C517ED">
        <w:t xml:space="preserve">ociétés de portefeuille, les </w:t>
      </w:r>
      <w:r w:rsidR="009563EC">
        <w:t>V</w:t>
      </w:r>
      <w:r w:rsidR="00C517ED">
        <w:t>éhicules d</w:t>
      </w:r>
      <w:r w:rsidR="002D29D9">
        <w:t>u</w:t>
      </w:r>
      <w:r w:rsidR="00C517ED">
        <w:t xml:space="preserve"> </w:t>
      </w:r>
      <w:r w:rsidR="002D29D9">
        <w:t>F</w:t>
      </w:r>
      <w:r w:rsidR="00C517ED">
        <w:t xml:space="preserve">onds et les </w:t>
      </w:r>
      <w:r w:rsidR="009563EC">
        <w:t>E</w:t>
      </w:r>
      <w:r w:rsidR="00C517ED">
        <w:t xml:space="preserve">ntités nourricières soient réputés ne pas être des « </w:t>
      </w:r>
      <w:r w:rsidR="009563EC">
        <w:t>Membres du même groupe</w:t>
      </w:r>
      <w:r w:rsidR="00C517ED">
        <w:t xml:space="preserve"> » </w:t>
      </w:r>
      <w:r w:rsidR="009563EC">
        <w:t>que le Commandité</w:t>
      </w:r>
      <w:r w:rsidR="00C517ED">
        <w:t xml:space="preserve">, </w:t>
      </w:r>
      <w:r w:rsidR="009563EC">
        <w:t>le</w:t>
      </w:r>
      <w:r w:rsidR="00C517ED">
        <w:t xml:space="preserve"> Gestionnaire ou </w:t>
      </w:r>
      <w:r w:rsidR="009563EC">
        <w:t>le</w:t>
      </w:r>
      <w:r w:rsidR="00C517ED">
        <w:t xml:space="preserve"> Fonds, et </w:t>
      </w:r>
      <w:bookmarkStart w:name="DocXTextRef3" w:id="63"/>
      <w:r w:rsidR="00C517ED">
        <w:t>(ii)</w:t>
      </w:r>
      <w:bookmarkEnd w:id="63"/>
      <w:r w:rsidR="00C517ED">
        <w:t xml:space="preserve"> chaque Personne</w:t>
      </w:r>
      <w:r w:rsidR="009563EC">
        <w:t>-c</w:t>
      </w:r>
      <w:r w:rsidR="00C517ED">
        <w:t xml:space="preserve">lé, le </w:t>
      </w:r>
      <w:r w:rsidR="009563EC">
        <w:t>Commandité</w:t>
      </w:r>
      <w:r w:rsidR="00C517ED">
        <w:t xml:space="preserve"> et le Gestionnaire </w:t>
      </w:r>
      <w:r w:rsidR="009563EC">
        <w:t>seront</w:t>
      </w:r>
      <w:r w:rsidR="00C517ED">
        <w:t xml:space="preserve"> réputés être des </w:t>
      </w:r>
      <w:r w:rsidR="009563EC">
        <w:t>Membres du même groupe</w:t>
      </w:r>
      <w:r w:rsidR="00C517ED">
        <w:t xml:space="preserve"> </w:t>
      </w:r>
      <w:r w:rsidR="009563EC">
        <w:t>que les</w:t>
      </w:r>
      <w:r w:rsidR="00C517ED">
        <w:t xml:space="preserve"> autres. </w:t>
      </w:r>
      <w:r w:rsidR="009563EC">
        <w:t>Tel qu’utilisé dans</w:t>
      </w:r>
      <w:r w:rsidR="00C517ED">
        <w:t xml:space="preserve"> la présente définition, le</w:t>
      </w:r>
      <w:r w:rsidR="009563EC">
        <w:t xml:space="preserve"> terme</w:t>
      </w:r>
      <w:r w:rsidR="00C517ED">
        <w:t xml:space="preserve"> « contrôle » désigne le pouvoir de diriger la gestion ou les politiques d</w:t>
      </w:r>
      <w:r w:rsidR="00E27310">
        <w:t>’</w:t>
      </w:r>
      <w:r w:rsidR="00C517ED">
        <w:t xml:space="preserve">une </w:t>
      </w:r>
      <w:r w:rsidR="009563EC">
        <w:t>P</w:t>
      </w:r>
      <w:r w:rsidR="00C517ED">
        <w:t xml:space="preserve">ersonne, directement ou indirectement, que ce soit par la détention de </w:t>
      </w:r>
      <w:r w:rsidR="009154D8">
        <w:t>titres</w:t>
      </w:r>
      <w:r w:rsidR="00C517ED">
        <w:t>, par contrat ou autrement.</w:t>
      </w:r>
      <w:bookmarkStart w:name="_Ref113892760" w:id="64"/>
      <w:r w:rsidR="00C517ED">
        <w:rPr>
          <w:szCs w:val="22"/>
          <w:vertAlign w:val="superscript"/>
        </w:rPr>
        <w:footnoteReference w:id="40"/>
      </w:r>
      <w:bookmarkEnd w:id="64"/>
    </w:p>
    <w:p w:rsidR="000C4FA4" w:rsidRDefault="000C4FA4" w14:paraId="1530578F" w14:textId="7A9BCC9B">
      <w:pPr>
        <w:pStyle w:val="BodyText"/>
      </w:pPr>
      <w:r>
        <w:t xml:space="preserve">« </w:t>
      </w:r>
      <w:r>
        <w:rPr>
          <w:b/>
        </w:rPr>
        <w:t>Montant des impôts</w:t>
      </w:r>
      <w:r>
        <w:t xml:space="preserve"> » désigne, pour chaque Associé (sans tenir compte du fait qu’un Associé soit imposable ou non), un montant égal aux impôts réels payables par cet Associé relativement aux Produits distribuables cumulés attribués à cet Associé conformément à la présente Convention et non réduit par des attributions de pertes du Fonds et d’autres déductions attribuées au Fonds.</w:t>
      </w:r>
    </w:p>
    <w:p w:rsidR="003038F7" w:rsidRDefault="003038F7" w14:paraId="021FE61C" w14:textId="505294CD">
      <w:pPr>
        <w:pStyle w:val="BodyText"/>
      </w:pPr>
      <w:r>
        <w:t>« </w:t>
      </w:r>
      <w:r>
        <w:rPr>
          <w:b/>
        </w:rPr>
        <w:t>Objectifs d’investissement</w:t>
      </w:r>
      <w:r>
        <w:t xml:space="preserve"> » a le sens attribué à ce terme à l’article </w:t>
      </w:r>
      <w:r w:rsidRPr="006400F9">
        <w:fldChar w:fldCharType="begin"/>
      </w:r>
      <w:r w:rsidRPr="006400F9">
        <w:instrText xml:space="preserve"> REF _Ref40801971 \w \h  \* MERGEFORMAT </w:instrText>
      </w:r>
      <w:r w:rsidRPr="006400F9">
        <w:fldChar w:fldCharType="separate"/>
      </w:r>
      <w:r w:rsidR="00B50BE2">
        <w:t>2.2</w:t>
      </w:r>
      <w:r w:rsidRPr="006400F9">
        <w:fldChar w:fldCharType="end"/>
      </w:r>
      <w:r>
        <w:t xml:space="preserve"> (</w:t>
      </w:r>
      <w:r w:rsidRPr="00BD2FE6">
        <w:rPr>
          <w:i/>
        </w:rPr>
        <w:fldChar w:fldCharType="begin"/>
      </w:r>
      <w:r w:rsidRPr="00BD2FE6">
        <w:rPr>
          <w:i/>
        </w:rPr>
        <w:instrText xml:space="preserve"> REF _Ref40801971 \h  \* MERGEFORMAT </w:instrText>
      </w:r>
      <w:r w:rsidRPr="00BD2FE6">
        <w:rPr>
          <w:i/>
        </w:rPr>
      </w:r>
      <w:r w:rsidRPr="00BD2FE6">
        <w:rPr>
          <w:i/>
        </w:rPr>
        <w:fldChar w:fldCharType="separate"/>
      </w:r>
      <w:r w:rsidRPr="00B50BE2" w:rsidR="00B50BE2">
        <w:rPr>
          <w:i/>
        </w:rPr>
        <w:t>Objectifs.</w:t>
      </w:r>
      <w:r w:rsidRPr="00BD2FE6">
        <w:rPr>
          <w:i/>
        </w:rPr>
        <w:fldChar w:fldCharType="end"/>
      </w:r>
      <w:r>
        <w:t>).</w:t>
      </w:r>
    </w:p>
    <w:p w:rsidR="001A7D21" w:rsidP="001A7D21" w:rsidRDefault="001A7D21" w14:paraId="64604638" w14:textId="0B0F9D48">
      <w:pPr>
        <w:pStyle w:val="BodyText"/>
      </w:pPr>
      <w:r>
        <w:t>« </w:t>
      </w:r>
      <w:r>
        <w:rPr>
          <w:b/>
        </w:rPr>
        <w:t>Paiement de péréquation</w:t>
      </w:r>
      <w:r>
        <w:t> » a le sens attribué à ce terme à l’article </w:t>
      </w:r>
      <w:r w:rsidRPr="006400F9">
        <w:fldChar w:fldCharType="begin"/>
      </w:r>
      <w:r w:rsidRPr="006400F9">
        <w:instrText xml:space="preserve"> REF _Ref40801343 \w \h  \* MERGEFORMAT </w:instrText>
      </w:r>
      <w:r w:rsidRPr="006400F9">
        <w:fldChar w:fldCharType="separate"/>
      </w:r>
      <w:r w:rsidR="00B50BE2">
        <w:t>5.4(d)(i)</w:t>
      </w:r>
      <w:r w:rsidRPr="006400F9">
        <w:fldChar w:fldCharType="end"/>
      </w:r>
      <w:r>
        <w:t xml:space="preserve"> (</w:t>
      </w:r>
      <w:r w:rsidRPr="006D0835">
        <w:rPr>
          <w:i/>
        </w:rPr>
        <w:fldChar w:fldCharType="begin"/>
      </w:r>
      <w:r w:rsidRPr="006D0835">
        <w:rPr>
          <w:i/>
        </w:rPr>
        <w:instrText xml:space="preserve"> REF _Ref113882647 \h  \* MERGEFORMAT </w:instrText>
      </w:r>
      <w:r w:rsidRPr="006D0835">
        <w:rPr>
          <w:i/>
        </w:rPr>
      </w:r>
      <w:r w:rsidRPr="006D0835">
        <w:rPr>
          <w:i/>
        </w:rPr>
        <w:fldChar w:fldCharType="separate"/>
      </w:r>
      <w:r w:rsidRPr="00B50BE2" w:rsidR="00B50BE2">
        <w:rPr>
          <w:i/>
        </w:rPr>
        <w:t>Clôtures subséquentes.</w:t>
      </w:r>
      <w:r w:rsidRPr="006D0835">
        <w:rPr>
          <w:i/>
        </w:rPr>
        <w:fldChar w:fldCharType="end"/>
      </w:r>
      <w:r>
        <w:t>).</w:t>
      </w:r>
    </w:p>
    <w:p w:rsidR="000C4FA4" w:rsidP="000C4FA4" w:rsidRDefault="000C4FA4" w14:paraId="48879C65" w14:textId="71F29A46">
      <w:pPr>
        <w:pStyle w:val="BodyText"/>
      </w:pPr>
      <w:r>
        <w:t>« </w:t>
      </w:r>
      <w:bookmarkStart w:name="_Hlk161763379" w:id="65"/>
      <w:r>
        <w:rPr>
          <w:b/>
        </w:rPr>
        <w:t>Paiement supplémentaire</w:t>
      </w:r>
      <w:r>
        <w:t xml:space="preserve"> </w:t>
      </w:r>
      <w:bookmarkEnd w:id="65"/>
      <w:r>
        <w:t>» a le sens attribué à ce terme à l’article </w:t>
      </w:r>
      <w:r w:rsidRPr="006400F9">
        <w:fldChar w:fldCharType="begin"/>
      </w:r>
      <w:r w:rsidRPr="006400F9">
        <w:instrText xml:space="preserve"> REF _Ref40800830 \w \h  \* MERGEFORMAT </w:instrText>
      </w:r>
      <w:r w:rsidRPr="006400F9">
        <w:fldChar w:fldCharType="separate"/>
      </w:r>
      <w:r w:rsidR="00B50BE2">
        <w:t>5.4(d)(ii)</w:t>
      </w:r>
      <w:r w:rsidRPr="006400F9">
        <w:fldChar w:fldCharType="end"/>
      </w:r>
      <w:r>
        <w:t xml:space="preserve"> (</w:t>
      </w:r>
      <w:r w:rsidRPr="00BD2FE6">
        <w:rPr>
          <w:i/>
        </w:rPr>
        <w:fldChar w:fldCharType="begin"/>
      </w:r>
      <w:r w:rsidRPr="00BD2FE6">
        <w:rPr>
          <w:i/>
        </w:rPr>
        <w:instrText xml:space="preserve"> REF _Ref113882647 \h  \* MERGEFORMAT </w:instrText>
      </w:r>
      <w:r w:rsidRPr="00BD2FE6">
        <w:rPr>
          <w:i/>
        </w:rPr>
      </w:r>
      <w:r w:rsidRPr="00BD2FE6">
        <w:rPr>
          <w:i/>
        </w:rPr>
        <w:fldChar w:fldCharType="separate"/>
      </w:r>
      <w:r w:rsidRPr="00B50BE2" w:rsidR="00B50BE2">
        <w:rPr>
          <w:i/>
        </w:rPr>
        <w:t>Clôtures subséquentes</w:t>
      </w:r>
      <w:r w:rsidR="00B50BE2">
        <w:t>.</w:t>
      </w:r>
      <w:r w:rsidRPr="00BD2FE6">
        <w:fldChar w:fldCharType="end"/>
      </w:r>
      <w:r>
        <w:t>).</w:t>
      </w:r>
    </w:p>
    <w:p w:rsidR="001A7D21" w:rsidP="001A7D21" w:rsidRDefault="001A7D21" w14:paraId="44B17AD3" w14:textId="77777777">
      <w:pPr>
        <w:pStyle w:val="BodyText"/>
      </w:pPr>
      <w:r>
        <w:t>« </w:t>
      </w:r>
      <w:r>
        <w:rPr>
          <w:b/>
        </w:rPr>
        <w:t>Participation</w:t>
      </w:r>
      <w:r>
        <w:t xml:space="preserve"> » désigne la participation d’un Associé dans le Fonds à tout moment, y compris le droit de l’Associé à tous les avantages auxquels l’Associé aurait droit conformément à la présente Convention.</w:t>
      </w:r>
      <w:bookmarkStart w:name="_Ref113892778" w:id="66"/>
      <w:r>
        <w:rPr>
          <w:szCs w:val="22"/>
          <w:vertAlign w:val="superscript"/>
        </w:rPr>
        <w:footnoteReference w:id="41"/>
      </w:r>
      <w:bookmarkEnd w:id="66"/>
    </w:p>
    <w:p w:rsidR="001A7D21" w:rsidP="000C4FA4" w:rsidRDefault="001A7D21" w14:paraId="31CA9B38" w14:textId="72885DAA">
      <w:pPr>
        <w:pStyle w:val="BodyText"/>
      </w:pPr>
      <w:r>
        <w:t>« </w:t>
      </w:r>
      <w:r>
        <w:rPr>
          <w:b/>
        </w:rPr>
        <w:t>Parties au Fonds</w:t>
      </w:r>
      <w:r>
        <w:t xml:space="preserve"> » désigne le Fonds, le Commandité, le Gestionnaire et leurs successeurs et ayants </w:t>
      </w:r>
      <w:proofErr w:type="gramStart"/>
      <w:r>
        <w:t>cause respectifs</w:t>
      </w:r>
      <w:proofErr w:type="gramEnd"/>
      <w:r>
        <w:t>.</w:t>
      </w:r>
    </w:p>
    <w:p w:rsidRPr="007E6A4A" w:rsidR="001A7D21" w:rsidP="001A7D21" w:rsidRDefault="001A7D21" w14:paraId="1BD9CA29" w14:textId="44325472">
      <w:pPr>
        <w:pStyle w:val="BodyText"/>
        <w:rPr>
          <w:b/>
        </w:rPr>
      </w:pPr>
      <w:r>
        <w:t xml:space="preserve">« </w:t>
      </w:r>
      <w:r>
        <w:rPr>
          <w:b/>
        </w:rPr>
        <w:t>PCGR</w:t>
      </w:r>
      <w:r>
        <w:t xml:space="preserve"> » </w:t>
      </w:r>
      <w:r w:rsidR="00ED24D3">
        <w:t>désigne l</w:t>
      </w:r>
      <w:r>
        <w:t>es principes comptables généralement reconnus, tels qu’ils sont recommandés de temps à autre par les Comptables professionnels agréés du Canada ou toute entité qui leur succède.</w:t>
      </w:r>
      <w:bookmarkStart w:name="_Ref113892774" w:id="67"/>
      <w:r>
        <w:rPr>
          <w:rStyle w:val="FootnoteReference"/>
        </w:rPr>
        <w:footnoteReference w:id="42"/>
      </w:r>
      <w:bookmarkEnd w:id="67"/>
    </w:p>
    <w:p w:rsidR="000C4FA4" w:rsidP="000C4FA4" w:rsidRDefault="000C4FA4" w14:paraId="1A08F788" w14:textId="1B3670AA">
      <w:pPr>
        <w:pStyle w:val="BodyText"/>
      </w:pPr>
      <w:r>
        <w:t>« </w:t>
      </w:r>
      <w:r>
        <w:rPr>
          <w:b/>
        </w:rPr>
        <w:t>Période d’engagement</w:t>
      </w:r>
      <w:r>
        <w:t xml:space="preserve"> »</w:t>
      </w:r>
      <w:r w:rsidR="00ED24D3">
        <w:t xml:space="preserve"> désigne</w:t>
      </w:r>
      <w:r>
        <w:t xml:space="preserve"> la période commençant à la Date de clôture initiale et se terminant au plus tôt :</w:t>
      </w:r>
    </w:p>
    <w:p w:rsidR="000C4FA4" w:rsidP="000C4FA4" w:rsidRDefault="000C4FA4" w14:paraId="650CEADB" w14:textId="77777777">
      <w:pPr>
        <w:pStyle w:val="BodyTextIndent"/>
      </w:pPr>
      <w:r>
        <w:rPr>
          <w:color w:val="000000"/>
        </w:rPr>
        <w:lastRenderedPageBreak/>
        <w:t>(a)</w:t>
      </w:r>
      <w:r>
        <w:rPr>
          <w:color w:val="000000"/>
        </w:rPr>
        <w:tab/>
      </w:r>
      <w:r>
        <w:t xml:space="preserve">le </w:t>
      </w:r>
      <w:r>
        <w:rPr>
          <w:b/>
        </w:rPr>
        <w:t>[</w:t>
      </w:r>
      <w:r>
        <w:rPr>
          <w:b/>
          <w:highlight w:val="yellow"/>
        </w:rPr>
        <w:t>cinquième</w:t>
      </w:r>
      <w:r>
        <w:rPr>
          <w:b/>
        </w:rPr>
        <w:t>]</w:t>
      </w:r>
      <w:bookmarkStart w:name="_Ref113892767" w:id="68"/>
      <w:r>
        <w:rPr>
          <w:rFonts w:eastAsia="Times New Roman" w:cs="Times New Roman"/>
          <w:szCs w:val="22"/>
          <w:vertAlign w:val="superscript"/>
        </w:rPr>
        <w:footnoteReference w:id="43"/>
      </w:r>
      <w:bookmarkEnd w:id="68"/>
      <w:r>
        <w:rPr>
          <w:b/>
        </w:rPr>
        <w:t xml:space="preserve"> </w:t>
      </w:r>
      <w:r>
        <w:t xml:space="preserve">anniversaire de la Date de clôture initiale, étant entendu que cette période puisse être prolongée d’un an par le Commandité, avec le consentement préalable du Comité consultatif des Commanditaires ou d’une Majorité de </w:t>
      </w:r>
      <w:proofErr w:type="gramStart"/>
      <w:r>
        <w:t>Participations;</w:t>
      </w:r>
      <w:proofErr w:type="gramEnd"/>
    </w:p>
    <w:p w:rsidR="000C4FA4" w:rsidP="000C4FA4" w:rsidRDefault="000C4FA4" w14:paraId="3B9AB437" w14:textId="77777777">
      <w:pPr>
        <w:pStyle w:val="BodyTextIndent"/>
      </w:pPr>
      <w:r>
        <w:rPr>
          <w:color w:val="000000"/>
        </w:rPr>
        <w:t>(b)</w:t>
      </w:r>
      <w:r>
        <w:rPr>
          <w:color w:val="000000"/>
        </w:rPr>
        <w:tab/>
      </w:r>
      <w:r>
        <w:t xml:space="preserve">la première date à laquelle </w:t>
      </w:r>
      <w:r>
        <w:rPr>
          <w:b/>
        </w:rPr>
        <w:t>[</w:t>
      </w:r>
      <w:r>
        <w:rPr>
          <w:b/>
          <w:highlight w:val="yellow"/>
        </w:rPr>
        <w:t>80</w:t>
      </w:r>
      <w:r>
        <w:rPr>
          <w:b/>
        </w:rPr>
        <w:t>]</w:t>
      </w:r>
      <w:r>
        <w:t xml:space="preserve"> % des Engagements ont été versés et utilisés, ou réservés pour être utilisés, pour financer le Coût d’acquisition des Investissements de portefeuille, pour les Investissements de suivi ou pour créer des </w:t>
      </w:r>
      <w:proofErr w:type="gramStart"/>
      <w:r>
        <w:t>Réserves;</w:t>
      </w:r>
      <w:proofErr w:type="gramEnd"/>
      <w:r>
        <w:t xml:space="preserve"> et</w:t>
      </w:r>
      <w:bookmarkStart w:name="_Ref113892768" w:id="69"/>
      <w:r>
        <w:rPr>
          <w:rFonts w:eastAsia="Times New Roman" w:cs="Times New Roman"/>
          <w:szCs w:val="22"/>
          <w:vertAlign w:val="superscript"/>
        </w:rPr>
        <w:footnoteReference w:id="44"/>
      </w:r>
      <w:bookmarkEnd w:id="69"/>
    </w:p>
    <w:p w:rsidR="000C4FA4" w:rsidP="000C4FA4" w:rsidRDefault="000C4FA4" w14:paraId="390087F5" w14:textId="78EAB4D4">
      <w:pPr>
        <w:pStyle w:val="BodyTextIndent"/>
      </w:pPr>
      <w:r>
        <w:rPr>
          <w:color w:val="000000"/>
        </w:rPr>
        <w:t>(c)</w:t>
      </w:r>
      <w:r>
        <w:rPr>
          <w:color w:val="000000"/>
        </w:rPr>
        <w:tab/>
      </w:r>
      <w:r>
        <w:t>la date de toute résiliation anticipée de la Période d’engagement conformément à l’</w:t>
      </w:r>
      <w:r w:rsidRPr="006400F9">
        <w:fldChar w:fldCharType="begin"/>
      </w:r>
      <w:r w:rsidRPr="006400F9">
        <w:instrText xml:space="preserve"> REF _Ref40806952 \w \h  \* MERGEFORMAT </w:instrText>
      </w:r>
      <w:r w:rsidRPr="006400F9">
        <w:fldChar w:fldCharType="separate"/>
      </w:r>
      <w:r w:rsidR="00B50BE2">
        <w:t>Article 11</w:t>
      </w:r>
      <w:r w:rsidRPr="006400F9">
        <w:fldChar w:fldCharType="end"/>
      </w:r>
      <w:r>
        <w:t xml:space="preserve"> (</w:t>
      </w:r>
      <w:r w:rsidRPr="006D0835">
        <w:rPr>
          <w:i/>
        </w:rPr>
        <w:fldChar w:fldCharType="begin"/>
      </w:r>
      <w:r w:rsidRPr="006D0835">
        <w:rPr>
          <w:i/>
        </w:rPr>
        <w:instrText xml:space="preserve"> REF _Ref40806952 \h </w:instrText>
      </w:r>
      <w:r>
        <w:rPr>
          <w:i/>
        </w:rPr>
        <w:instrText xml:space="preserve"> \* MERGEFORMAT </w:instrText>
      </w:r>
      <w:r w:rsidRPr="006D0835">
        <w:rPr>
          <w:i/>
        </w:rPr>
      </w:r>
      <w:r w:rsidRPr="006D0835">
        <w:rPr>
          <w:i/>
        </w:rPr>
        <w:fldChar w:fldCharType="separate"/>
      </w:r>
      <w:r w:rsidRPr="00B50BE2" w:rsidR="00B50BE2">
        <w:rPr>
          <w:i/>
        </w:rPr>
        <w:t>Événement VISANT LES PERSONNES-</w:t>
      </w:r>
      <w:proofErr w:type="gramStart"/>
      <w:r w:rsidRPr="00B50BE2" w:rsidR="00B50BE2">
        <w:rPr>
          <w:i/>
        </w:rPr>
        <w:t>CLÉS;</w:t>
      </w:r>
      <w:proofErr w:type="gramEnd"/>
      <w:r w:rsidRPr="00B50BE2" w:rsidR="00B50BE2">
        <w:rPr>
          <w:i/>
        </w:rPr>
        <w:t xml:space="preserve"> Suspension</w:t>
      </w:r>
      <w:r w:rsidRPr="006D0835">
        <w:rPr>
          <w:i/>
        </w:rPr>
        <w:fldChar w:fldCharType="end"/>
      </w:r>
      <w:r>
        <w:t>).</w:t>
      </w:r>
    </w:p>
    <w:p w:rsidR="001A7D21" w:rsidP="001A7D21" w:rsidRDefault="001A7D21" w14:paraId="6ADB8084" w14:textId="2DD943FB">
      <w:pPr>
        <w:pStyle w:val="BodyTextIndent"/>
        <w:ind w:left="0" w:firstLine="0"/>
      </w:pPr>
      <w:r>
        <w:t>« </w:t>
      </w:r>
      <w:r>
        <w:rPr>
          <w:b/>
        </w:rPr>
        <w:t>Personne</w:t>
      </w:r>
      <w:r>
        <w:t xml:space="preserve"> » désigne toute personne ou entité, y compris une société, une société de personnes, une association, une société à responsabilité limitée, une société de personnes à responsabilité limitée, une association non constituée en personne morale, une fiducie, un gouvernement ou une agence ou autorité gouvernementale.</w:t>
      </w:r>
    </w:p>
    <w:p w:rsidR="000C4FA4" w:rsidP="000C4FA4" w:rsidRDefault="000C4FA4" w14:paraId="646CA402" w14:textId="0311CD94">
      <w:pPr>
        <w:pStyle w:val="BodyText"/>
      </w:pPr>
      <w:r>
        <w:t>« </w:t>
      </w:r>
      <w:r>
        <w:rPr>
          <w:b/>
        </w:rPr>
        <w:t>Personne couverte</w:t>
      </w:r>
      <w:r>
        <w:t xml:space="preserve"> » désigne chaque Personne couverte par le Commandité et chaque Personne couverte par le CCC.</w:t>
      </w:r>
    </w:p>
    <w:p w:rsidR="001A7D21" w:rsidP="000C4FA4" w:rsidRDefault="001A7D21" w14:paraId="6243838D" w14:textId="59DE7ABF">
      <w:pPr>
        <w:pStyle w:val="BodyText"/>
      </w:pPr>
      <w:r>
        <w:t>« </w:t>
      </w:r>
      <w:r>
        <w:rPr>
          <w:b/>
        </w:rPr>
        <w:t>Personne couverte par le CCC</w:t>
      </w:r>
      <w:r>
        <w:t xml:space="preserve"> » désigne toute personne siégeant, ou ayant siégé</w:t>
      </w:r>
      <w:r w:rsidR="00ED24D3">
        <w:t>e</w:t>
      </w:r>
      <w:r>
        <w:t>, au Comité consultatif des Commanditaires.</w:t>
      </w:r>
    </w:p>
    <w:p w:rsidR="000C4FA4" w:rsidP="000C4FA4" w:rsidRDefault="000C4FA4" w14:paraId="6B49FC15" w14:textId="7E3AD344">
      <w:pPr>
        <w:pStyle w:val="BodyText"/>
      </w:pPr>
      <w:r>
        <w:t>« </w:t>
      </w:r>
      <w:r>
        <w:rPr>
          <w:b/>
        </w:rPr>
        <w:t>Personne couverte par le Commandité</w:t>
      </w:r>
      <w:r>
        <w:t xml:space="preserve"> » désigne le Commandité, le Gestionnaire, les Membres respectifs du même groupe que l’une des Personnes précédentes, les partenaires, les membres, les employés, les administrateurs et les dirigeants respectifs, y compris les Personnes-clés.</w:t>
      </w:r>
    </w:p>
    <w:p w:rsidR="000C4FA4" w:rsidP="000C4FA4" w:rsidRDefault="000C4FA4" w14:paraId="10589E81" w14:textId="77777777">
      <w:pPr>
        <w:pStyle w:val="BodyText"/>
        <w:keepNext/>
      </w:pPr>
      <w:r>
        <w:t xml:space="preserve">« </w:t>
      </w:r>
      <w:r>
        <w:rPr>
          <w:b/>
        </w:rPr>
        <w:t>Personne inadmissible</w:t>
      </w:r>
      <w:r>
        <w:t xml:space="preserve"> » désigne, à un moment donné, une Personne qui :</w:t>
      </w:r>
    </w:p>
    <w:p w:rsidR="000C4FA4" w:rsidP="000C4FA4" w:rsidRDefault="000C4FA4" w14:paraId="32C56B7E" w14:textId="77777777">
      <w:pPr>
        <w:pStyle w:val="ArtBJStyL3"/>
      </w:pPr>
      <w:bookmarkStart w:name="_Ref113892359" w:id="70"/>
      <w:proofErr w:type="gramStart"/>
      <w:r>
        <w:t>est</w:t>
      </w:r>
      <w:proofErr w:type="gramEnd"/>
      <w:r>
        <w:t xml:space="preserve"> une Institution financière si, à la suite de l’acquisition d’une Participation par cette Personne, le Fonds serait une Institution financière;</w:t>
      </w:r>
      <w:bookmarkEnd w:id="70"/>
      <w:r>
        <w:t xml:space="preserve"> </w:t>
      </w:r>
    </w:p>
    <w:p w:rsidR="000C4FA4" w:rsidP="000C4FA4" w:rsidRDefault="000C4FA4" w14:paraId="5AB99631" w14:textId="77777777">
      <w:pPr>
        <w:pStyle w:val="ArtBJStyL3"/>
      </w:pPr>
      <w:bookmarkStart w:name="_Ref113892360" w:id="71"/>
      <w:proofErr w:type="gramStart"/>
      <w:r>
        <w:t>est</w:t>
      </w:r>
      <w:proofErr w:type="gramEnd"/>
      <w:r>
        <w:t xml:space="preserve"> un non-résident du Canada pour l’application de la </w:t>
      </w:r>
      <w:r w:rsidRPr="00ED0495">
        <w:t>Loi de l’impôt</w:t>
      </w:r>
      <w:r w:rsidRPr="000B5C8A">
        <w:rPr>
          <w:i/>
          <w:iCs/>
        </w:rPr>
        <w:t xml:space="preserve"> </w:t>
      </w:r>
      <w:r>
        <w:t>(ou une société de personnes qui n’est pas une société de personnes canadienne);</w:t>
      </w:r>
      <w:bookmarkEnd w:id="71"/>
      <w:r>
        <w:t xml:space="preserve"> </w:t>
      </w:r>
    </w:p>
    <w:p w:rsidR="000C4FA4" w:rsidP="000C4FA4" w:rsidRDefault="000C4FA4" w14:paraId="1CC3B257" w14:textId="77777777">
      <w:pPr>
        <w:pStyle w:val="ArtBJStyL3"/>
      </w:pPr>
      <w:bookmarkStart w:name="_Ref113892361" w:id="72"/>
      <w:proofErr w:type="gramStart"/>
      <w:r>
        <w:t>si</w:t>
      </w:r>
      <w:proofErr w:type="gramEnd"/>
      <w:r>
        <w:t>, par suite de l’acquisition d’une Participation par cette Personne, une participation dans le Fonds serait un Abris fiscal déterminé ; ou</w:t>
      </w:r>
      <w:bookmarkEnd w:id="72"/>
    </w:p>
    <w:p w:rsidR="000C4FA4" w:rsidP="000C4FA4" w:rsidRDefault="000C4FA4" w14:paraId="1A9D7399" w14:textId="77777777">
      <w:pPr>
        <w:pStyle w:val="ArtBJStyL3"/>
      </w:pPr>
      <w:bookmarkStart w:name="_Ref113892362" w:id="73"/>
      <w:proofErr w:type="gramStart"/>
      <w:r>
        <w:t>si</w:t>
      </w:r>
      <w:proofErr w:type="gramEnd"/>
      <w:r>
        <w:t>, par suite de l’acquisition d’une Participation par cette Personne, le Fonds serait une société de personnes intermédiaire de placement déterminée.</w:t>
      </w:r>
      <w:bookmarkStart w:name="_Ref113892775" w:id="74"/>
      <w:r>
        <w:rPr>
          <w:vertAlign w:val="superscript"/>
        </w:rPr>
        <w:footnoteReference w:id="45"/>
      </w:r>
      <w:bookmarkEnd w:id="73"/>
      <w:bookmarkEnd w:id="74"/>
    </w:p>
    <w:p w:rsidR="000C4FA4" w:rsidP="000C4FA4" w:rsidRDefault="000C4FA4" w14:paraId="25686CB5" w14:textId="77777777">
      <w:pPr>
        <w:pStyle w:val="BodyText"/>
      </w:pPr>
    </w:p>
    <w:p w:rsidR="000C4FA4" w:rsidP="000C4FA4" w:rsidRDefault="000C4FA4" w14:paraId="6CDFF8DF" w14:textId="6FCD4CFB">
      <w:pPr>
        <w:pStyle w:val="BodyText"/>
      </w:pPr>
      <w:r>
        <w:lastRenderedPageBreak/>
        <w:t>« </w:t>
      </w:r>
      <w:r>
        <w:rPr>
          <w:b/>
        </w:rPr>
        <w:t>Personne intéressée</w:t>
      </w:r>
      <w:r>
        <w:t xml:space="preserve"> » désigne le Commandité, le Gestionnaire, toute Personne-clé, tout membre du Comité d’investissement du Commandité ou du Gestionnaire, tout membre de leur famille, employés, administrateurs, dirigeants, membres, actionnaires et partenaires et tout Membre du même groupe que l’une des Personnes précédentes.</w:t>
      </w:r>
    </w:p>
    <w:p w:rsidR="000C4FA4" w:rsidP="000C4FA4" w:rsidRDefault="000C4FA4" w14:paraId="3670D298" w14:textId="77777777">
      <w:pPr>
        <w:pStyle w:val="BodyText"/>
      </w:pPr>
      <w:r>
        <w:t>« </w:t>
      </w:r>
      <w:r>
        <w:rPr>
          <w:b/>
        </w:rPr>
        <w:t>Personne-clé</w:t>
      </w:r>
      <w:r>
        <w:t xml:space="preserve"> » désigne chacun de </w:t>
      </w:r>
      <w:r>
        <w:rPr>
          <w:b/>
        </w:rPr>
        <w:t>[</w:t>
      </w:r>
      <w:r>
        <w:rPr>
          <w:highlight w:val="yellow"/>
        </w:rPr>
        <w:t>__</w:t>
      </w:r>
      <w:r>
        <w:rPr>
          <w:b/>
        </w:rPr>
        <w:t>]</w:t>
      </w:r>
      <w:r>
        <w:t xml:space="preserve"> et tout remplaçant de l’un d’entre eux approuvé par une Majorité de Participations à la suite d’un Événement visant les Personnes-clés.</w:t>
      </w:r>
      <w:bookmarkStart w:name="_Ref113892779" w:id="75"/>
      <w:r>
        <w:rPr>
          <w:szCs w:val="22"/>
          <w:vertAlign w:val="superscript"/>
        </w:rPr>
        <w:footnoteReference w:id="46"/>
      </w:r>
      <w:bookmarkEnd w:id="75"/>
    </w:p>
    <w:p w:rsidR="000C4FA4" w:rsidP="000C4FA4" w:rsidRDefault="001A7D21" w14:paraId="214BD388" w14:textId="067102A0">
      <w:pPr>
        <w:pStyle w:val="BodyText"/>
      </w:pPr>
      <w:r>
        <w:t xml:space="preserve">« </w:t>
      </w:r>
      <w:r w:rsidRPr="00167D67">
        <w:rPr>
          <w:b/>
          <w:bCs/>
        </w:rPr>
        <w:t>Plafond des Dépenses organisationnelles</w:t>
      </w:r>
      <w:r>
        <w:t xml:space="preserve"> » désigne un montant égal au moindre de </w:t>
      </w:r>
      <w:r>
        <w:rPr>
          <w:b/>
        </w:rPr>
        <w:t>[</w:t>
      </w:r>
      <w:r>
        <w:rPr>
          <w:highlight w:val="yellow"/>
        </w:rPr>
        <w:t>__</w:t>
      </w:r>
      <w:r>
        <w:rPr>
          <w:b/>
        </w:rPr>
        <w:t>]</w:t>
      </w:r>
      <w:r w:rsidR="00ED24D3">
        <w:rPr>
          <w:b/>
        </w:rPr>
        <w:t xml:space="preserve"> </w:t>
      </w:r>
      <w:r>
        <w:t xml:space="preserve">% </w:t>
      </w:r>
      <w:r w:rsidR="00ED24D3">
        <w:t xml:space="preserve">des </w:t>
      </w:r>
      <w:r>
        <w:t xml:space="preserve">Engagements globaux et de </w:t>
      </w:r>
      <w:r>
        <w:rPr>
          <w:b/>
        </w:rPr>
        <w:t>[</w:t>
      </w:r>
      <w:r>
        <w:rPr>
          <w:highlight w:val="yellow"/>
        </w:rPr>
        <w:t>__</w:t>
      </w:r>
      <w:r>
        <w:rPr>
          <w:b/>
        </w:rPr>
        <w:t>]</w:t>
      </w:r>
      <w:r>
        <w:t>.</w:t>
      </w:r>
      <w:bookmarkStart w:name="_Ref113892788" w:id="76"/>
      <w:r>
        <w:rPr>
          <w:szCs w:val="22"/>
          <w:vertAlign w:val="superscript"/>
        </w:rPr>
        <w:footnoteReference w:id="47"/>
      </w:r>
      <w:bookmarkEnd w:id="76"/>
    </w:p>
    <w:p w:rsidR="000C4FA4" w:rsidP="000C4FA4" w:rsidRDefault="000C4FA4" w14:paraId="5C756DF3" w14:textId="784C5E13">
      <w:pPr>
        <w:pStyle w:val="BodyText"/>
        <w:rPr>
          <w:b/>
        </w:rPr>
      </w:pPr>
      <w:proofErr w:type="gramStart"/>
      <w:r>
        <w:rPr>
          <w:b/>
          <w:highlight w:val="yellow"/>
        </w:rPr>
        <w:t>[</w:t>
      </w:r>
      <w:r>
        <w:rPr>
          <w:highlight w:val="yellow"/>
        </w:rPr>
        <w:t xml:space="preserve"> «</w:t>
      </w:r>
      <w:proofErr w:type="gramEnd"/>
      <w:r>
        <w:rPr>
          <w:highlight w:val="yellow"/>
        </w:rPr>
        <w:t> </w:t>
      </w:r>
      <w:r>
        <w:rPr>
          <w:b/>
          <w:highlight w:val="yellow"/>
        </w:rPr>
        <w:t>Politique d’investissement</w:t>
      </w:r>
      <w:r>
        <w:rPr>
          <w:highlight w:val="yellow"/>
        </w:rPr>
        <w:t xml:space="preserve"> » désigne la politique d’investissement du Fonds, si elle est adoptée par le Commandité ou le Gestionnaire, jointe à l’</w:t>
      </w:r>
      <w:r w:rsidRPr="00DA115B">
        <w:rPr>
          <w:highlight w:val="yellow"/>
        </w:rPr>
        <w:fldChar w:fldCharType="begin"/>
      </w:r>
      <w:r w:rsidRPr="00DA115B">
        <w:rPr>
          <w:highlight w:val="yellow"/>
        </w:rPr>
        <w:instrText xml:space="preserve"> REF _Ref40807572 \h  \* MERGEFORMAT </w:instrText>
      </w:r>
      <w:r w:rsidRPr="00DA115B">
        <w:rPr>
          <w:highlight w:val="yellow"/>
        </w:rPr>
      </w:r>
      <w:r w:rsidRPr="00DA115B">
        <w:rPr>
          <w:highlight w:val="yellow"/>
        </w:rPr>
        <w:fldChar w:fldCharType="separate"/>
      </w:r>
      <w:r w:rsidRPr="00B50BE2" w:rsidR="00B50BE2">
        <w:rPr>
          <w:highlight w:val="yellow"/>
        </w:rPr>
        <w:t>Annexe 2</w:t>
      </w:r>
      <w:r w:rsidRPr="00DA115B">
        <w:rPr>
          <w:highlight w:val="yellow"/>
        </w:rPr>
        <w:fldChar w:fldCharType="end"/>
      </w:r>
      <w:r>
        <w:rPr>
          <w:highlight w:val="yellow"/>
        </w:rPr>
        <w:t xml:space="preserve"> (</w:t>
      </w:r>
      <w:r w:rsidRPr="00DA115B">
        <w:rPr>
          <w:i/>
          <w:highlight w:val="yellow"/>
        </w:rPr>
        <w:fldChar w:fldCharType="begin"/>
      </w:r>
      <w:r w:rsidRPr="00DA115B">
        <w:rPr>
          <w:i/>
          <w:highlight w:val="yellow"/>
        </w:rPr>
        <w:instrText xml:space="preserve"> REF INVPol \h  \* MERGEFORMAT </w:instrText>
      </w:r>
      <w:r w:rsidRPr="00DA115B">
        <w:rPr>
          <w:i/>
          <w:highlight w:val="yellow"/>
        </w:rPr>
      </w:r>
      <w:r w:rsidRPr="00DA115B">
        <w:rPr>
          <w:i/>
          <w:highlight w:val="yellow"/>
        </w:rPr>
        <w:fldChar w:fldCharType="separate"/>
      </w:r>
      <w:r w:rsidRPr="00B50BE2" w:rsidR="00B50BE2">
        <w:rPr>
          <w:i/>
          <w:highlight w:val="yellow"/>
        </w:rPr>
        <w:t>Politique D’Investissement</w:t>
      </w:r>
      <w:r w:rsidRPr="00DA115B">
        <w:rPr>
          <w:i/>
          <w:highlight w:val="yellow"/>
        </w:rPr>
        <w:fldChar w:fldCharType="end"/>
      </w:r>
      <w:r>
        <w:rPr>
          <w:highlight w:val="yellow"/>
        </w:rPr>
        <w:t>)</w:t>
      </w:r>
      <w:r>
        <w:rPr>
          <w:i/>
          <w:highlight w:val="yellow"/>
        </w:rPr>
        <w:t>.</w:t>
      </w:r>
      <w:r>
        <w:rPr>
          <w:b/>
        </w:rPr>
        <w:t>]</w:t>
      </w:r>
    </w:p>
    <w:p w:rsidR="001A7D21" w:rsidP="001A7D21" w:rsidRDefault="001A7D21" w14:paraId="20FDE880" w14:textId="77777777">
      <w:pPr>
        <w:pStyle w:val="BodyText"/>
        <w:keepNext/>
        <w:rPr>
          <w:b/>
        </w:rPr>
      </w:pPr>
      <w:r>
        <w:t>« </w:t>
      </w:r>
      <w:r>
        <w:rPr>
          <w:b/>
        </w:rPr>
        <w:t>Pourcentage de partage</w:t>
      </w:r>
      <w:r>
        <w:t xml:space="preserve"> » désigne, en ce qui concerne un Associé et un Investissement de portefeuille, une fraction, exprimée en pourcentage :</w:t>
      </w:r>
    </w:p>
    <w:p w:rsidR="001A7D21" w:rsidP="001A7D21" w:rsidRDefault="001A7D21" w14:paraId="47CD4147" w14:textId="77777777">
      <w:pPr>
        <w:pStyle w:val="BodyTextIndent"/>
      </w:pPr>
      <w:r>
        <w:rPr>
          <w:color w:val="000000"/>
        </w:rPr>
        <w:t>a)</w:t>
      </w:r>
      <w:r>
        <w:rPr>
          <w:color w:val="000000"/>
        </w:rPr>
        <w:tab/>
      </w:r>
      <w:r>
        <w:t xml:space="preserve">dont le numérateur est le montant global des Apports de capital faits par l’Associé et utilisés pour financer le coût de l’Investissement de </w:t>
      </w:r>
      <w:proofErr w:type="gramStart"/>
      <w:r>
        <w:t>portefeuille;</w:t>
      </w:r>
      <w:proofErr w:type="gramEnd"/>
      <w:r>
        <w:t xml:space="preserve"> et</w:t>
      </w:r>
    </w:p>
    <w:p w:rsidR="003038F7" w:rsidP="001A7D21" w:rsidRDefault="001A7D21" w14:paraId="2577941B" w14:textId="284E2546">
      <w:pPr>
        <w:pStyle w:val="BodyText"/>
        <w:ind w:left="720"/>
      </w:pPr>
      <w:r>
        <w:rPr>
          <w:color w:val="000000"/>
        </w:rPr>
        <w:t>b)</w:t>
      </w:r>
      <w:r>
        <w:rPr>
          <w:color w:val="000000"/>
        </w:rPr>
        <w:tab/>
      </w:r>
      <w:r>
        <w:t>dont le dénominateur est le montant global des Apports de capital faits par tous les Associés et utilisés pour financer le coût de l’Investissement de portefeuille.</w:t>
      </w:r>
    </w:p>
    <w:p w:rsidR="003038F7" w:rsidP="003038F7" w:rsidRDefault="003038F7" w14:paraId="06007A84" w14:textId="58F8B828">
      <w:pPr>
        <w:pStyle w:val="BodyText"/>
      </w:pPr>
      <w:r>
        <w:t>« </w:t>
      </w:r>
      <w:r>
        <w:rPr>
          <w:b/>
        </w:rPr>
        <w:t>Procédure</w:t>
      </w:r>
      <w:r>
        <w:t xml:space="preserve"> » désigne toute enquête, action, poursuite, arbitrage, litige, réclamation ou autre procédure, civile ou pénale, administrative ou d’enquête.</w:t>
      </w:r>
    </w:p>
    <w:p w:rsidR="001A7D21" w:rsidP="001A7D21" w:rsidRDefault="001A7D21" w14:paraId="42499E06" w14:textId="58BDCC8B">
      <w:pPr>
        <w:pStyle w:val="BodyText"/>
      </w:pPr>
      <w:r>
        <w:t>« </w:t>
      </w:r>
      <w:r>
        <w:rPr>
          <w:b/>
        </w:rPr>
        <w:t>Produits distribuables</w:t>
      </w:r>
      <w:r>
        <w:t xml:space="preserve"> » désigne, à toute date, l’excédent </w:t>
      </w:r>
      <w:bookmarkStart w:name="DocXTextRef9" w:id="77"/>
      <w:r>
        <w:t>(i)</w:t>
      </w:r>
      <w:bookmarkEnd w:id="77"/>
      <w:r>
        <w:t xml:space="preserve"> des liquidités reçues par le Fonds à la suite de la vente ou d’une autre aliénation de, ou de dividendes, participations ou d’autres revenus provenant d’un Investissement de portefeuille ou se rapportant à un Investissement de portefeuille, ou autrement attribuable à un Investissement de portefeuille, ou autrement reçu par le Fonds de toute source (autre que les paiements effectués par les Associés du Fonds en vertu de la présente Convention), sur </w:t>
      </w:r>
      <w:bookmarkStart w:name="DocXTextRef10" w:id="78"/>
      <w:r>
        <w:t>(ii)</w:t>
      </w:r>
      <w:bookmarkEnd w:id="78"/>
      <w:r>
        <w:t xml:space="preserve"> la somme du montant de ces éléments qui est nécessaire pour </w:t>
      </w:r>
      <w:bookmarkStart w:name="DocXTextRef11" w:id="79"/>
      <w:r>
        <w:t>(A)</w:t>
      </w:r>
      <w:bookmarkEnd w:id="79"/>
      <w:r>
        <w:t xml:space="preserve"> le paiement des Dépenses du Fonds et </w:t>
      </w:r>
      <w:bookmarkStart w:name="DocXTextRef12" w:id="80"/>
      <w:r>
        <w:t>(B)</w:t>
      </w:r>
      <w:bookmarkEnd w:id="80"/>
      <w:r>
        <w:t xml:space="preserve"> l’établissement de Réserves.</w:t>
      </w:r>
    </w:p>
    <w:p w:rsidR="003038F7" w:rsidP="003038F7" w:rsidRDefault="003038F7" w14:paraId="439592C4" w14:textId="0DDF0A16">
      <w:pPr>
        <w:pStyle w:val="BodyText"/>
      </w:pPr>
      <w:r>
        <w:t xml:space="preserve">« </w:t>
      </w:r>
      <w:r>
        <w:rPr>
          <w:b/>
        </w:rPr>
        <w:t>Question réglementaire</w:t>
      </w:r>
      <w:r>
        <w:t xml:space="preserve"> » a le sens attribué à ce terme à l’article </w:t>
      </w:r>
      <w:r w:rsidRPr="00BD2FE6">
        <w:fldChar w:fldCharType="begin"/>
      </w:r>
      <w:r w:rsidRPr="00BD2FE6">
        <w:instrText xml:space="preserve"> REF _Ref40802263 \w \h  \* MERGEFORMAT </w:instrText>
      </w:r>
      <w:r w:rsidRPr="00BD2FE6">
        <w:fldChar w:fldCharType="separate"/>
      </w:r>
      <w:r w:rsidR="00B50BE2">
        <w:t>8.6(a)</w:t>
      </w:r>
      <w:r w:rsidRPr="00BD2FE6">
        <w:fldChar w:fldCharType="end"/>
      </w:r>
      <w:r>
        <w:t xml:space="preserve"> (</w:t>
      </w:r>
      <w:r w:rsidRPr="00BD2FE6">
        <w:fldChar w:fldCharType="begin"/>
      </w:r>
      <w:r w:rsidRPr="00BD2FE6">
        <w:instrText xml:space="preserve"> REF _Ref113892518 \h  \* MERGEFORMAT </w:instrText>
      </w:r>
      <w:r w:rsidRPr="00BD2FE6">
        <w:fldChar w:fldCharType="separate"/>
      </w:r>
      <w:r w:rsidRPr="00B50BE2" w:rsidR="00B50BE2">
        <w:rPr>
          <w:i/>
        </w:rPr>
        <w:t>Questions relatives aux Associés réglementés</w:t>
      </w:r>
      <w:r w:rsidR="00B50BE2">
        <w:t>.</w:t>
      </w:r>
      <w:r w:rsidRPr="00BD2FE6">
        <w:fldChar w:fldCharType="end"/>
      </w:r>
      <w:r>
        <w:t>).</w:t>
      </w:r>
    </w:p>
    <w:p w:rsidR="001A7D21" w:rsidP="000C4FA4" w:rsidRDefault="001A7D21" w14:paraId="692B6321" w14:textId="4086D675">
      <w:pPr>
        <w:pStyle w:val="BodyText"/>
      </w:pPr>
      <w:r>
        <w:lastRenderedPageBreak/>
        <w:t>« </w:t>
      </w:r>
      <w:r>
        <w:rPr>
          <w:b/>
        </w:rPr>
        <w:t>Région cible</w:t>
      </w:r>
      <w:r>
        <w:t xml:space="preserve"> » désigne </w:t>
      </w:r>
      <w:r>
        <w:rPr>
          <w:b/>
        </w:rPr>
        <w:t>[</w:t>
      </w:r>
      <w:r>
        <w:rPr>
          <w:b/>
          <w:highlight w:val="yellow"/>
        </w:rPr>
        <w:t>énumérer les pays de la Région cible</w:t>
      </w:r>
      <w:r>
        <w:rPr>
          <w:b/>
        </w:rPr>
        <w:t>]</w:t>
      </w:r>
      <w:r>
        <w:t>.</w:t>
      </w:r>
      <w:bookmarkStart w:name="_Ref113892799" w:id="81"/>
      <w:r>
        <w:rPr>
          <w:szCs w:val="22"/>
          <w:vertAlign w:val="superscript"/>
        </w:rPr>
        <w:footnoteReference w:id="48"/>
      </w:r>
      <w:bookmarkEnd w:id="81"/>
    </w:p>
    <w:p w:rsidR="001A7D21" w:rsidP="001A7D21" w:rsidRDefault="001A7D21" w14:paraId="16A8F76B" w14:textId="392CD978">
      <w:pPr>
        <w:pStyle w:val="BodyText"/>
      </w:pPr>
      <w:r>
        <w:t>« </w:t>
      </w:r>
      <w:r>
        <w:rPr>
          <w:b/>
        </w:rPr>
        <w:t>Registre</w:t>
      </w:r>
      <w:r>
        <w:t xml:space="preserve"> » a le sens attribué à ce terme à l’article </w:t>
      </w:r>
      <w:r w:rsidRPr="006400F9">
        <w:fldChar w:fldCharType="begin"/>
      </w:r>
      <w:r w:rsidRPr="006400F9">
        <w:instrText xml:space="preserve"> REF _Ref47459220 \r \h  \* MERGEFORMAT </w:instrText>
      </w:r>
      <w:r w:rsidRPr="006400F9">
        <w:fldChar w:fldCharType="separate"/>
      </w:r>
      <w:r w:rsidR="00B50BE2">
        <w:t>15.1</w:t>
      </w:r>
      <w:r w:rsidRPr="006400F9">
        <w:fldChar w:fldCharType="end"/>
      </w:r>
      <w:r>
        <w:t xml:space="preserve"> (</w:t>
      </w:r>
      <w:r w:rsidRPr="00BD2FE6">
        <w:fldChar w:fldCharType="begin"/>
      </w:r>
      <w:r w:rsidRPr="00BD2FE6">
        <w:instrText xml:space="preserve"> REF _Ref47459220 \h  \* MERGEFORMAT </w:instrText>
      </w:r>
      <w:r w:rsidRPr="00BD2FE6">
        <w:fldChar w:fldCharType="separate"/>
      </w:r>
      <w:r w:rsidRPr="00B50BE2" w:rsidR="00B50BE2">
        <w:rPr>
          <w:i/>
        </w:rPr>
        <w:t>Tenue des livres et registres</w:t>
      </w:r>
      <w:r w:rsidR="00B50BE2">
        <w:t>.</w:t>
      </w:r>
      <w:r w:rsidRPr="00BD2FE6">
        <w:fldChar w:fldCharType="end"/>
      </w:r>
      <w:r>
        <w:t>).</w:t>
      </w:r>
    </w:p>
    <w:p w:rsidR="001A7D21" w:rsidP="001A7D21" w:rsidRDefault="001A7D21" w14:paraId="05193AF0" w14:textId="77777777">
      <w:pPr>
        <w:pStyle w:val="BodyText"/>
      </w:pPr>
      <w:r>
        <w:t xml:space="preserve">« </w:t>
      </w:r>
      <w:r>
        <w:rPr>
          <w:b/>
        </w:rPr>
        <w:t>Rendement privilégié</w:t>
      </w:r>
      <w:r>
        <w:t xml:space="preserve"> » désigne, à l’égard de chaque Associé (autre qu’un Associé affilié), à toute date de détermination, un montant égal à un taux de rendement annuel de </w:t>
      </w:r>
      <w:r>
        <w:rPr>
          <w:b/>
        </w:rPr>
        <w:t>[</w:t>
      </w:r>
      <w:r>
        <w:rPr>
          <w:b/>
          <w:highlight w:val="yellow"/>
        </w:rPr>
        <w:t>8</w:t>
      </w:r>
      <w:r>
        <w:rPr>
          <w:b/>
        </w:rPr>
        <w:t>]</w:t>
      </w:r>
      <w:r>
        <w:t>%, composé annuellement et calculé quotidiennement sur les Apports de capital versés par le Commanditaire, calculé à partir de la date de réception de chaque Apport de capital par le Fonds et de l’accumulation du Rendement privilégié, et cessant à la date de distribution ou de distribution réputée par le Fonds au Commanditaire.</w:t>
      </w:r>
      <w:bookmarkStart w:name="_Ref113892791" w:id="82"/>
      <w:r>
        <w:rPr>
          <w:szCs w:val="22"/>
          <w:vertAlign w:val="superscript"/>
        </w:rPr>
        <w:footnoteReference w:id="49"/>
      </w:r>
      <w:bookmarkEnd w:id="82"/>
    </w:p>
    <w:p w:rsidR="001A7D21" w:rsidP="000C4FA4" w:rsidRDefault="001A7D21" w14:paraId="69F27CC1" w14:textId="1ACD62FD">
      <w:pPr>
        <w:pStyle w:val="BodyText"/>
      </w:pPr>
      <w:r>
        <w:t>« </w:t>
      </w:r>
      <w:r>
        <w:rPr>
          <w:b/>
        </w:rPr>
        <w:t>Réserves</w:t>
      </w:r>
      <w:r>
        <w:t xml:space="preserve"> » désigne les réserves appropriées pour le paiement des Dépenses du Fonds et des dettes du Fonds raisonnablement prévues.</w:t>
      </w:r>
    </w:p>
    <w:p w:rsidRPr="007E6A4A" w:rsidR="000C4FA4" w:rsidP="000C4FA4" w:rsidRDefault="000C4FA4" w14:paraId="57B8BC61" w14:textId="3BA684DD">
      <w:pPr>
        <w:pStyle w:val="BodyText"/>
        <w:rPr>
          <w:b/>
        </w:rPr>
      </w:pPr>
      <w:r>
        <w:t>« </w:t>
      </w:r>
      <w:r>
        <w:rPr>
          <w:b/>
        </w:rPr>
        <w:t xml:space="preserve">Revenu de frais </w:t>
      </w:r>
      <w:r>
        <w:t>» désigne tous les frais d’administrateur, de transaction, d’introduction, de prise ferme, de banque d’investissement, de rupture, de conseil, de surveillance, de diligence raisonnable, de référence, d’engagement, d’arrangement, de consultation, de résiliation ou autres frais ou rémunération</w:t>
      </w:r>
      <w:r w:rsidR="00ED24D3">
        <w:t>s</w:t>
      </w:r>
      <w:r>
        <w:t xml:space="preserve"> (à l’exclusion, pour éviter tout doute, des Frais de gestion et de toutes les dépenses relatives à l’obtention de ces Revenus de frais) reçus par le Commandité, le Gestionnaire, toute Personne-clé, leurs administrateurs, dirigeants, employés, membres, actionnaires ou partenaires, ou tout Membre du même groupe que l’une des Personnes précédentes en relation avec les activités du Fonds ou de tout Investissement de portefeuille actuel ou potentiel, y compris la Valeur de Titres, récompenses, options, bons de souscription ou autres rémunérations ou avantages non pécuniaires payés, accordés ou autrement transmis à une telle Personne relativement au Fonds ou à un Investissement de portefeuille actuel ou potentiel.</w:t>
      </w:r>
      <w:bookmarkStart w:name="_Ref113892771" w:id="83"/>
      <w:r>
        <w:rPr>
          <w:rStyle w:val="FootnoteReference"/>
        </w:rPr>
        <w:t xml:space="preserve"> </w:t>
      </w:r>
      <w:r>
        <w:rPr>
          <w:rStyle w:val="FootnoteReference"/>
        </w:rPr>
        <w:footnoteReference w:id="50"/>
      </w:r>
      <w:bookmarkEnd w:id="83"/>
    </w:p>
    <w:p w:rsidR="0000160C" w:rsidRDefault="000C4FA4" w14:paraId="354208A5" w14:textId="0F47B37B">
      <w:pPr>
        <w:pStyle w:val="BodyText"/>
      </w:pPr>
      <w:r>
        <w:t xml:space="preserve">« </w:t>
      </w:r>
      <w:r>
        <w:rPr>
          <w:b/>
        </w:rPr>
        <w:t>Revenus d’</w:t>
      </w:r>
      <w:r w:rsidR="000F692A">
        <w:rPr>
          <w:b/>
        </w:rPr>
        <w:t>i</w:t>
      </w:r>
      <w:r>
        <w:rPr>
          <w:b/>
        </w:rPr>
        <w:t>nvestissement temporaire</w:t>
      </w:r>
      <w:r>
        <w:t xml:space="preserve"> » désigne </w:t>
      </w:r>
      <w:bookmarkStart w:name="DocXTextRef27" w:id="84"/>
      <w:r>
        <w:t>(i)</w:t>
      </w:r>
      <w:bookmarkEnd w:id="84"/>
      <w:r>
        <w:t xml:space="preserve"> tous les revenus générés sur des Investissements temporaires, y compris les gains</w:t>
      </w:r>
      <w:r w:rsidR="00ED24D3">
        <w:t>,</w:t>
      </w:r>
      <w:r>
        <w:t xml:space="preserve"> et nets des pertes réalisées lors de l’aliénation d’Investissements temporaires et </w:t>
      </w:r>
      <w:bookmarkStart w:name="DocXTextRef28" w:id="85"/>
      <w:r>
        <w:t>(ii)</w:t>
      </w:r>
      <w:bookmarkEnd w:id="85"/>
      <w:r>
        <w:t xml:space="preserve"> tous les revenus générés sur des Investissements-relais, y compris les gains</w:t>
      </w:r>
      <w:r w:rsidR="00ED24D3">
        <w:t>,</w:t>
      </w:r>
      <w:r>
        <w:t xml:space="preserve"> et nets des pertes réalisées lors de l’aliénation d’Investissements-relais.</w:t>
      </w:r>
    </w:p>
    <w:p w:rsidR="0000160C" w:rsidRDefault="00C517ED" w14:paraId="47F5B754" w14:textId="61F9AB62">
      <w:pPr>
        <w:pStyle w:val="BodyText"/>
      </w:pPr>
      <w:r>
        <w:t xml:space="preserve">« </w:t>
      </w:r>
      <w:r>
        <w:rPr>
          <w:b/>
        </w:rPr>
        <w:t>Société de personnes canadienne</w:t>
      </w:r>
      <w:r>
        <w:t xml:space="preserve"> » </w:t>
      </w:r>
      <w:r w:rsidR="00FB3AC4">
        <w:t>désigne une « </w:t>
      </w:r>
      <w:r>
        <w:t>Société de personnes canadienne</w:t>
      </w:r>
      <w:r w:rsidR="00FB3AC4">
        <w:t> »</w:t>
      </w:r>
      <w:r>
        <w:t xml:space="preserve"> au sens de l</w:t>
      </w:r>
      <w:r w:rsidR="00E27310">
        <w:t>’</w:t>
      </w:r>
      <w:r>
        <w:t xml:space="preserve">article </w:t>
      </w:r>
      <w:bookmarkStart w:name="DocXTextRef4" w:id="86"/>
      <w:r>
        <w:t>102</w:t>
      </w:r>
      <w:bookmarkEnd w:id="86"/>
      <w:r>
        <w:t xml:space="preserve"> de la </w:t>
      </w:r>
      <w:r w:rsidRPr="00ED0495">
        <w:t>Loi de l</w:t>
      </w:r>
      <w:r w:rsidRPr="00ED0495" w:rsidR="00E27310">
        <w:t>’</w:t>
      </w:r>
      <w:r w:rsidRPr="00ED0495">
        <w:t>impô</w:t>
      </w:r>
      <w:r w:rsidRPr="00ED0495" w:rsidR="00ED0495">
        <w:t>t</w:t>
      </w:r>
      <w:r>
        <w:t>.</w:t>
      </w:r>
    </w:p>
    <w:p w:rsidR="003038F7" w:rsidP="003038F7" w:rsidRDefault="003038F7" w14:paraId="7382A606" w14:textId="77777777">
      <w:pPr>
        <w:pStyle w:val="BodyText"/>
        <w:rPr>
          <w:i/>
          <w:iCs/>
        </w:rPr>
      </w:pPr>
      <w:r>
        <w:t xml:space="preserve">« </w:t>
      </w:r>
      <w:r>
        <w:rPr>
          <w:b/>
        </w:rPr>
        <w:t>Société de personnes intermédiaire de placement déterminée</w:t>
      </w:r>
      <w:r>
        <w:t xml:space="preserve"> » désigne une « société de personnes intermédiaire de placement déterminée » au sens du paragraphe </w:t>
      </w:r>
      <w:bookmarkStart w:name="DocXTextRef24" w:id="87"/>
      <w:r>
        <w:t>197(1)</w:t>
      </w:r>
      <w:bookmarkEnd w:id="87"/>
      <w:r>
        <w:t xml:space="preserve"> de la </w:t>
      </w:r>
      <w:r w:rsidRPr="00ED0495">
        <w:t>Loi de l’impôt</w:t>
      </w:r>
      <w:bookmarkStart w:name="_Ref113892798" w:id="88"/>
      <w:r>
        <w:rPr>
          <w:i/>
          <w:iCs/>
        </w:rPr>
        <w:t>.</w:t>
      </w:r>
      <w:r>
        <w:rPr>
          <w:rStyle w:val="FootnoteReference"/>
        </w:rPr>
        <w:footnoteReference w:id="51"/>
      </w:r>
      <w:bookmarkEnd w:id="88"/>
    </w:p>
    <w:p w:rsidR="001A7D21" w:rsidP="001A7D21" w:rsidRDefault="001A7D21" w14:paraId="16094C8E" w14:textId="4E8AA204">
      <w:pPr>
        <w:pStyle w:val="BodyText"/>
      </w:pPr>
      <w:r>
        <w:lastRenderedPageBreak/>
        <w:t>« </w:t>
      </w:r>
      <w:r>
        <w:rPr>
          <w:b/>
        </w:rPr>
        <w:t>Société de portefeuille</w:t>
      </w:r>
      <w:r>
        <w:t xml:space="preserve"> » désigne toute Personne dans laquelle un Investissement de portefeuille est effectué, directement ou indirectement, </w:t>
      </w:r>
      <w:r w:rsidR="00ED24D3">
        <w:t>qui</w:t>
      </w:r>
      <w:r>
        <w:t xml:space="preserve"> continue d’être détenu par le Fonds.</w:t>
      </w:r>
    </w:p>
    <w:p w:rsidR="001A7D21" w:rsidP="001A7D21" w:rsidRDefault="001A7D21" w14:paraId="67986F3E" w14:textId="376A932D">
      <w:pPr>
        <w:pStyle w:val="BodyText"/>
      </w:pPr>
      <w:r>
        <w:t xml:space="preserve">« </w:t>
      </w:r>
      <w:r>
        <w:rPr>
          <w:b/>
        </w:rPr>
        <w:t>Taux préférentiel</w:t>
      </w:r>
      <w:r>
        <w:t xml:space="preserve"> » désigne, un jour donné, le taux coté ou publié par la Banque du Canada à 12 h (heure de Toronto) ce jour-là (ou, si ce jour n’est pas un Jour ouvrable, le Jour ouvrable </w:t>
      </w:r>
      <w:proofErr w:type="spellStart"/>
      <w:r w:rsidR="00960998">
        <w:t>précédent</w:t>
      </w:r>
      <w:proofErr w:type="spellEnd"/>
      <w:r>
        <w:t xml:space="preserve"> </w:t>
      </w:r>
      <w:r w:rsidR="00960998">
        <w:t>immédiatement ce jour</w:t>
      </w:r>
      <w:r>
        <w:t>) comme taux d’intérêt de référence pour les prêts commerciaux en dollars canadiens consentis au Canada.</w:t>
      </w:r>
    </w:p>
    <w:p w:rsidRPr="00EC47A5" w:rsidR="001A7D21" w:rsidRDefault="001A7D21" w14:paraId="0C5C07A6" w14:textId="2FE5AE79">
      <w:pPr>
        <w:pStyle w:val="BodyText"/>
        <w:rPr>
          <w:lang w:val="fr-CA"/>
        </w:rPr>
      </w:pPr>
      <w:r>
        <w:t>« </w:t>
      </w:r>
      <w:r>
        <w:rPr>
          <w:b/>
        </w:rPr>
        <w:t>Titres</w:t>
      </w:r>
      <w:r>
        <w:t xml:space="preserve"> » désigne les actions, les participations dans des sociétés de personnes, les participations dans des sociétés à responsabilité limitée, les bons de souscription, les options, les obligations, les prêts </w:t>
      </w:r>
      <w:r w:rsidRPr="00960998">
        <w:t xml:space="preserve">et les </w:t>
      </w:r>
      <w:r w:rsidR="00960998">
        <w:t xml:space="preserve">billets de prêt, </w:t>
      </w:r>
      <w:r>
        <w:t>les débentures, les billets à ordre et autres instruments de capitaux propres et de dette de quelque nature que ce soit, qu’ils soient facilement négociables ou non.</w:t>
      </w:r>
    </w:p>
    <w:p w:rsidR="0000160C" w:rsidRDefault="000C4FA4" w14:paraId="5C4C801F" w14:textId="3D3B33FA">
      <w:pPr>
        <w:pStyle w:val="BodyText"/>
      </w:pPr>
      <w:r>
        <w:t xml:space="preserve">« </w:t>
      </w:r>
      <w:r>
        <w:rPr>
          <w:b/>
        </w:rPr>
        <w:t>Titres négociables</w:t>
      </w:r>
      <w:r>
        <w:t xml:space="preserve"> » désigne Titres admis à une </w:t>
      </w:r>
      <w:r w:rsidRPr="007563BB">
        <w:rPr>
          <w:b/>
          <w:bCs/>
          <w:highlight w:val="yellow"/>
        </w:rPr>
        <w:t>[bourse reconnue canadienne</w:t>
      </w:r>
      <w:r>
        <w:rPr>
          <w:b/>
          <w:highlight w:val="yellow"/>
        </w:rPr>
        <w:t>, américaine ou non américaine, déclarée par l’intermédiaire d’un système de négociation de gré à gré établie au Canada, aux États-Unis ou à l’extérieur des États-Unis ou autrement négociés de gré à gré]</w:t>
      </w:r>
      <w:r>
        <w:t xml:space="preserve"> qui ne sont assujettis à aucune restriction légale ou contractuelle en matière de Transfert et qui sont facilement vendables à leur Valeur déterminée conformément à l’article </w:t>
      </w:r>
      <w:r w:rsidRPr="006400F9">
        <w:fldChar w:fldCharType="begin"/>
      </w:r>
      <w:r w:rsidRPr="006400F9">
        <w:instrText xml:space="preserve"> REF _Ref40802045 \w \h  \* MERGEFORMAT </w:instrText>
      </w:r>
      <w:r w:rsidRPr="006400F9">
        <w:fldChar w:fldCharType="separate"/>
      </w:r>
      <w:r w:rsidR="00B50BE2">
        <w:t>14.4(c)</w:t>
      </w:r>
      <w:r w:rsidRPr="006400F9">
        <w:fldChar w:fldCharType="end"/>
      </w:r>
      <w:r>
        <w:t xml:space="preserve"> (</w:t>
      </w:r>
      <w:r w:rsidRPr="00841AFD">
        <w:rPr>
          <w:i/>
        </w:rPr>
        <w:fldChar w:fldCharType="begin"/>
      </w:r>
      <w:r w:rsidRPr="00841AFD">
        <w:rPr>
          <w:i/>
        </w:rPr>
        <w:instrText xml:space="preserve"> REF _Ref113892604 \h  \* MERGEFORMAT </w:instrText>
      </w:r>
      <w:r w:rsidRPr="00841AFD">
        <w:rPr>
          <w:i/>
        </w:rPr>
      </w:r>
      <w:r w:rsidRPr="00841AFD">
        <w:rPr>
          <w:i/>
        </w:rPr>
        <w:fldChar w:fldCharType="separate"/>
      </w:r>
      <w:r w:rsidRPr="00B50BE2" w:rsidR="00B50BE2">
        <w:rPr>
          <w:i/>
        </w:rPr>
        <w:t>Distributions en nature.</w:t>
      </w:r>
      <w:r w:rsidRPr="00841AFD">
        <w:rPr>
          <w:i/>
        </w:rPr>
        <w:fldChar w:fldCharType="end"/>
      </w:r>
      <w:r>
        <w:t>).</w:t>
      </w:r>
      <w:bookmarkStart w:name="_Ref113892785" w:id="89"/>
      <w:r>
        <w:rPr>
          <w:szCs w:val="22"/>
          <w:vertAlign w:val="superscript"/>
        </w:rPr>
        <w:footnoteReference w:id="52"/>
      </w:r>
      <w:bookmarkEnd w:id="89"/>
    </w:p>
    <w:p w:rsidR="001A7D21" w:rsidP="001A7D21" w:rsidRDefault="001A7D21" w14:paraId="24353553" w14:textId="77777777">
      <w:pPr>
        <w:pStyle w:val="BodyText"/>
      </w:pPr>
      <w:r>
        <w:t>« </w:t>
      </w:r>
      <w:r>
        <w:rPr>
          <w:b/>
        </w:rPr>
        <w:t>Transfert</w:t>
      </w:r>
      <w:r>
        <w:t xml:space="preserve"> » désigne tout transfert direct ou indirect, mise en gage, charge ou autre cession sous quelque forme que ce soit.</w:t>
      </w:r>
    </w:p>
    <w:p w:rsidR="0000160C" w:rsidRDefault="00287C65" w14:paraId="70228CFF" w14:textId="3031D113">
      <w:pPr>
        <w:pStyle w:val="BodyText"/>
      </w:pPr>
      <w:r>
        <w:t>« </w:t>
      </w:r>
      <w:r w:rsidR="00C517ED">
        <w:rPr>
          <w:b/>
        </w:rPr>
        <w:t>Valeur</w:t>
      </w:r>
      <w:r w:rsidR="003038F7">
        <w:t xml:space="preserve"> </w:t>
      </w:r>
      <w:r w:rsidR="00C517ED">
        <w:t xml:space="preserve">» </w:t>
      </w:r>
      <w:r w:rsidR="0056751D">
        <w:t>désigne</w:t>
      </w:r>
      <w:r w:rsidR="00C517ED">
        <w:t xml:space="preserve"> (sous réserve de l</w:t>
      </w:r>
      <w:r w:rsidR="00E27310">
        <w:t>’</w:t>
      </w:r>
      <w:r w:rsidR="00C517ED">
        <w:t>article </w:t>
      </w:r>
      <w:r w:rsidRPr="006400F9" w:rsidR="00C517ED">
        <w:fldChar w:fldCharType="begin"/>
      </w:r>
      <w:r w:rsidRPr="006400F9" w:rsidR="00C517ED">
        <w:instrText xml:space="preserve"> REF _Ref40802541 \w \h </w:instrText>
      </w:r>
      <w:r w:rsidRPr="006400F9" w:rsidR="00791303">
        <w:instrText xml:space="preserve"> \* MERGEFORMAT </w:instrText>
      </w:r>
      <w:r w:rsidRPr="006400F9" w:rsidR="00C517ED">
        <w:fldChar w:fldCharType="separate"/>
      </w:r>
      <w:r w:rsidR="00B50BE2">
        <w:t>8.5(b)</w:t>
      </w:r>
      <w:r w:rsidRPr="006400F9" w:rsidR="00C517ED">
        <w:fldChar w:fldCharType="end"/>
      </w:r>
      <w:r w:rsidR="00C517ED">
        <w:t xml:space="preserve"> (</w:t>
      </w:r>
      <w:r w:rsidRPr="00BD2FE6" w:rsidR="00841AFD">
        <w:rPr>
          <w:i/>
        </w:rPr>
        <w:fldChar w:fldCharType="begin"/>
      </w:r>
      <w:r w:rsidRPr="00BD2FE6" w:rsidR="00841AFD">
        <w:rPr>
          <w:i/>
        </w:rPr>
        <w:instrText xml:space="preserve"> REF _Ref40803617 \h  \* MERGEFORMAT </w:instrText>
      </w:r>
      <w:r w:rsidRPr="00BD2FE6" w:rsidR="00841AFD">
        <w:rPr>
          <w:i/>
        </w:rPr>
      </w:r>
      <w:r w:rsidRPr="00BD2FE6" w:rsidR="00841AFD">
        <w:rPr>
          <w:i/>
        </w:rPr>
        <w:fldChar w:fldCharType="separate"/>
      </w:r>
      <w:r w:rsidRPr="00B50BE2" w:rsidR="00B50BE2">
        <w:rPr>
          <w:i/>
        </w:rPr>
        <w:t>Réduction des Frais de gestion</w:t>
      </w:r>
      <w:r w:rsidR="00B50BE2">
        <w:t>.</w:t>
      </w:r>
      <w:r w:rsidRPr="00BD2FE6" w:rsidR="00841AFD">
        <w:fldChar w:fldCharType="end"/>
      </w:r>
      <w:r w:rsidR="00C517ED">
        <w:t xml:space="preserve">) et </w:t>
      </w:r>
      <w:r w:rsidR="0056751D">
        <w:t>de l’article</w:t>
      </w:r>
      <w:r w:rsidR="00C517ED">
        <w:t> </w:t>
      </w:r>
      <w:r w:rsidRPr="006400F9" w:rsidR="00C517ED">
        <w:fldChar w:fldCharType="begin"/>
      </w:r>
      <w:r w:rsidRPr="006400F9" w:rsidR="00C517ED">
        <w:instrText xml:space="preserve"> REF _Ref40802561 \w \h </w:instrText>
      </w:r>
      <w:r w:rsidRPr="006400F9" w:rsidR="00791303">
        <w:instrText xml:space="preserve"> \* MERGEFORMAT </w:instrText>
      </w:r>
      <w:r w:rsidRPr="006400F9" w:rsidR="00C517ED">
        <w:fldChar w:fldCharType="separate"/>
      </w:r>
      <w:r w:rsidR="00B50BE2">
        <w:t>13.2(d)(v)</w:t>
      </w:r>
      <w:r w:rsidRPr="006400F9" w:rsidR="00C517ED">
        <w:fldChar w:fldCharType="end"/>
      </w:r>
      <w:r w:rsidR="00C517ED">
        <w:t xml:space="preserve"> (</w:t>
      </w:r>
      <w:r w:rsidRPr="00841AFD" w:rsidR="00841AFD">
        <w:rPr>
          <w:i/>
        </w:rPr>
        <w:fldChar w:fldCharType="begin"/>
      </w:r>
      <w:r w:rsidRPr="00841AFD" w:rsidR="00841AFD">
        <w:rPr>
          <w:i/>
        </w:rPr>
        <w:instrText xml:space="preserve"> REF _Ref113882794 \h  \* MERGEFORMAT </w:instrText>
      </w:r>
      <w:r w:rsidRPr="00841AFD" w:rsidR="00841AFD">
        <w:rPr>
          <w:i/>
        </w:rPr>
      </w:r>
      <w:r w:rsidRPr="00841AFD" w:rsidR="00841AFD">
        <w:rPr>
          <w:i/>
        </w:rPr>
        <w:fldChar w:fldCharType="separate"/>
      </w:r>
      <w:r w:rsidRPr="00B50BE2" w:rsidR="00B50BE2">
        <w:rPr>
          <w:i/>
        </w:rPr>
        <w:t>Étendue des pouvoirs.</w:t>
      </w:r>
      <w:r w:rsidRPr="00841AFD" w:rsidR="00841AFD">
        <w:rPr>
          <w:i/>
        </w:rPr>
        <w:fldChar w:fldCharType="end"/>
      </w:r>
      <w:r w:rsidR="00C517ED">
        <w:t xml:space="preserve">)) la valeur déterminée par le </w:t>
      </w:r>
      <w:r w:rsidR="0056751D">
        <w:t>C</w:t>
      </w:r>
      <w:r w:rsidR="00C517ED">
        <w:t>ommandité,</w:t>
      </w:r>
      <w:bookmarkStart w:name="_Ref113892801" w:id="90"/>
      <w:r w:rsidR="00C517ED">
        <w:rPr>
          <w:szCs w:val="22"/>
          <w:vertAlign w:val="superscript"/>
        </w:rPr>
        <w:footnoteReference w:id="53"/>
      </w:r>
      <w:bookmarkEnd w:id="90"/>
      <w:r w:rsidR="00C517ED">
        <w:t xml:space="preserve"> à condition que toutes ces valeurs soient communiquées au </w:t>
      </w:r>
      <w:r w:rsidR="0056751D">
        <w:t>C</w:t>
      </w:r>
      <w:r w:rsidR="00C517ED">
        <w:t xml:space="preserve">omité consultatif </w:t>
      </w:r>
      <w:r w:rsidR="0056751D">
        <w:t>des Commanditaires</w:t>
      </w:r>
      <w:r w:rsidR="00C517ED">
        <w:t xml:space="preserve"> lors de la réunion suivante du </w:t>
      </w:r>
      <w:r w:rsidR="0056751D">
        <w:t>C</w:t>
      </w:r>
      <w:r w:rsidR="00C517ED">
        <w:t xml:space="preserve">omité consultatif </w:t>
      </w:r>
      <w:r w:rsidR="0056751D">
        <w:t>des Commanditaires</w:t>
      </w:r>
      <w:r w:rsidR="00C517ED">
        <w:t xml:space="preserve"> après la détermination de cette valeur.</w:t>
      </w:r>
    </w:p>
    <w:p w:rsidR="000C4FA4" w:rsidP="000C4FA4" w:rsidRDefault="000C4FA4" w14:paraId="4F70107B" w14:textId="25A2833B">
      <w:pPr>
        <w:pStyle w:val="BodyText"/>
      </w:pPr>
      <w:r>
        <w:t>« </w:t>
      </w:r>
      <w:r>
        <w:rPr>
          <w:b/>
        </w:rPr>
        <w:t>Véhicule alternatif</w:t>
      </w:r>
      <w:r>
        <w:t xml:space="preserve"> » a le sens attribué à ce terme à l’article </w:t>
      </w:r>
      <w:r w:rsidRPr="006400F9">
        <w:fldChar w:fldCharType="begin"/>
      </w:r>
      <w:r w:rsidRPr="006400F9">
        <w:instrText xml:space="preserve"> REF _Ref40800878 \w \h  \* MERGEFORMAT </w:instrText>
      </w:r>
      <w:r w:rsidRPr="006400F9">
        <w:fldChar w:fldCharType="separate"/>
      </w:r>
      <w:r w:rsidR="00B50BE2">
        <w:t>2.8</w:t>
      </w:r>
      <w:r w:rsidRPr="006400F9">
        <w:fldChar w:fldCharType="end"/>
      </w:r>
      <w:r>
        <w:t xml:space="preserve"> (</w:t>
      </w:r>
      <w:r w:rsidRPr="006D0835">
        <w:rPr>
          <w:i/>
        </w:rPr>
        <w:fldChar w:fldCharType="begin"/>
      </w:r>
      <w:r w:rsidRPr="006D0835">
        <w:rPr>
          <w:i/>
        </w:rPr>
        <w:instrText xml:space="preserve"> REF _Ref40800878 \h </w:instrText>
      </w:r>
      <w:r>
        <w:rPr>
          <w:i/>
        </w:rPr>
        <w:instrText xml:space="preserve"> \* MERGEFORMAT </w:instrText>
      </w:r>
      <w:r w:rsidRPr="006D0835">
        <w:rPr>
          <w:i/>
        </w:rPr>
      </w:r>
      <w:r w:rsidRPr="006D0835">
        <w:rPr>
          <w:i/>
        </w:rPr>
        <w:fldChar w:fldCharType="separate"/>
      </w:r>
      <w:r w:rsidRPr="00B50BE2" w:rsidR="00B50BE2">
        <w:rPr>
          <w:i/>
        </w:rPr>
        <w:t>Véhicules alternatifs.</w:t>
      </w:r>
      <w:r w:rsidRPr="006D0835">
        <w:rPr>
          <w:i/>
        </w:rPr>
        <w:fldChar w:fldCharType="end"/>
      </w:r>
      <w:r>
        <w:t>).</w:t>
      </w:r>
    </w:p>
    <w:p w:rsidR="001A7D21" w:rsidP="001A7D21" w:rsidRDefault="001A7D21" w14:paraId="5A43C4DE" w14:textId="77777777">
      <w:pPr>
        <w:pStyle w:val="BodyText"/>
      </w:pPr>
      <w:r>
        <w:t>« </w:t>
      </w:r>
      <w:r>
        <w:rPr>
          <w:b/>
        </w:rPr>
        <w:t>Véhicule du Fonds</w:t>
      </w:r>
      <w:r>
        <w:t xml:space="preserve"> » désigne le Fonds, chaque Véhicule parallèle et chaque Véhicule alternatif.</w:t>
      </w:r>
    </w:p>
    <w:p w:rsidR="001A7D21" w:rsidP="001A7D21" w:rsidRDefault="001A7D21" w14:paraId="0DDA313F" w14:textId="75A2434C">
      <w:pPr>
        <w:pStyle w:val="BodyText"/>
      </w:pPr>
      <w:r>
        <w:t>« </w:t>
      </w:r>
      <w:r>
        <w:rPr>
          <w:b/>
        </w:rPr>
        <w:t>Véhicule parallèle</w:t>
      </w:r>
      <w:r>
        <w:t xml:space="preserve"> » a le sens attribué à ce terme à l’article </w:t>
      </w:r>
      <w:r w:rsidRPr="006400F9">
        <w:fldChar w:fldCharType="begin"/>
      </w:r>
      <w:r w:rsidRPr="006400F9">
        <w:instrText xml:space="preserve"> REF _Ref40802124 \w \h  \* MERGEFORMAT </w:instrText>
      </w:r>
      <w:r w:rsidRPr="006400F9">
        <w:fldChar w:fldCharType="separate"/>
      </w:r>
      <w:r w:rsidR="00B50BE2">
        <w:t>2.7(a)</w:t>
      </w:r>
      <w:r w:rsidRPr="006400F9">
        <w:fldChar w:fldCharType="end"/>
      </w:r>
      <w:r>
        <w:t xml:space="preserve"> (</w:t>
      </w:r>
      <w:r w:rsidRPr="00841AFD">
        <w:rPr>
          <w:i/>
        </w:rPr>
        <w:fldChar w:fldCharType="begin"/>
      </w:r>
      <w:r w:rsidRPr="00841AFD">
        <w:rPr>
          <w:i/>
        </w:rPr>
        <w:instrText xml:space="preserve"> REF _Ref113892407 \h  \* MERGEFORMAT </w:instrText>
      </w:r>
      <w:r w:rsidRPr="00841AFD">
        <w:rPr>
          <w:i/>
        </w:rPr>
      </w:r>
      <w:r w:rsidRPr="00841AFD">
        <w:rPr>
          <w:i/>
        </w:rPr>
        <w:fldChar w:fldCharType="separate"/>
      </w:r>
      <w:r w:rsidRPr="00B50BE2" w:rsidR="00B50BE2">
        <w:rPr>
          <w:i/>
        </w:rPr>
        <w:t>Véhicules parallèles.</w:t>
      </w:r>
      <w:r w:rsidRPr="00841AFD">
        <w:rPr>
          <w:i/>
        </w:rPr>
        <w:fldChar w:fldCharType="end"/>
      </w:r>
      <w:r>
        <w:t>).</w:t>
      </w:r>
      <w:bookmarkStart w:name="_Ref113892789" w:id="91"/>
      <w:r>
        <w:rPr>
          <w:szCs w:val="22"/>
          <w:vertAlign w:val="superscript"/>
        </w:rPr>
        <w:footnoteReference w:id="54"/>
      </w:r>
      <w:bookmarkEnd w:id="91"/>
    </w:p>
    <w:p w:rsidR="000C4FA4" w:rsidP="000C4FA4" w:rsidRDefault="000C4FA4" w14:paraId="034D8190" w14:textId="19352E1B">
      <w:pPr>
        <w:pStyle w:val="BodyText"/>
      </w:pPr>
      <w:r>
        <w:t>« </w:t>
      </w:r>
      <w:r>
        <w:rPr>
          <w:b/>
        </w:rPr>
        <w:t>Vérificateur</w:t>
      </w:r>
      <w:r>
        <w:t xml:space="preserve"> » désigne </w:t>
      </w:r>
      <w:r>
        <w:rPr>
          <w:b/>
          <w:caps/>
          <w:szCs w:val="22"/>
        </w:rPr>
        <w:t>[</w:t>
      </w:r>
      <w:r>
        <w:rPr>
          <w:b/>
          <w:caps/>
          <w:szCs w:val="22"/>
          <w:highlight w:val="yellow"/>
        </w:rPr>
        <w:t>__</w:t>
      </w:r>
      <w:r>
        <w:rPr>
          <w:b/>
          <w:caps/>
          <w:szCs w:val="22"/>
        </w:rPr>
        <w:t xml:space="preserve">] </w:t>
      </w:r>
      <w:r>
        <w:t>ou tout autre cabinet de vérification reconnu au niveau national ou international et approuvé par le Comité consultatif des Commanditaires.</w:t>
      </w:r>
    </w:p>
    <w:p w:rsidR="000C4FA4" w:rsidP="000C4FA4" w:rsidRDefault="000C4FA4" w14:paraId="2064BFCD" w14:textId="0004BACC">
      <w:pPr>
        <w:pStyle w:val="BodyText"/>
      </w:pPr>
      <w:r>
        <w:t>« </w:t>
      </w:r>
      <w:r>
        <w:rPr>
          <w:b/>
        </w:rPr>
        <w:t>Versement</w:t>
      </w:r>
      <w:r>
        <w:t xml:space="preserve"> » désigne chaque Apport de capital fait ou à faire au Fonds en vertu de l’article </w:t>
      </w:r>
      <w:r w:rsidRPr="006400F9">
        <w:fldChar w:fldCharType="begin"/>
      </w:r>
      <w:r w:rsidRPr="006400F9">
        <w:instrText xml:space="preserve"> REF _Ref40801274 \w \h  \* MERGEFORMAT </w:instrText>
      </w:r>
      <w:r w:rsidRPr="006400F9">
        <w:fldChar w:fldCharType="separate"/>
      </w:r>
      <w:r w:rsidR="00B50BE2">
        <w:t>6.2</w:t>
      </w:r>
      <w:r w:rsidRPr="006400F9">
        <w:fldChar w:fldCharType="end"/>
      </w:r>
      <w:r>
        <w:t xml:space="preserve"> (</w:t>
      </w:r>
      <w:r w:rsidRPr="006D0835">
        <w:rPr>
          <w:i/>
        </w:rPr>
        <w:fldChar w:fldCharType="begin"/>
      </w:r>
      <w:r w:rsidRPr="006D0835">
        <w:rPr>
          <w:i/>
        </w:rPr>
        <w:instrText xml:space="preserve"> REF _Ref40801274 \h </w:instrText>
      </w:r>
      <w:r>
        <w:rPr>
          <w:i/>
        </w:rPr>
        <w:instrText xml:space="preserve"> \* MERGEFORMAT </w:instrText>
      </w:r>
      <w:r w:rsidRPr="006D0835">
        <w:rPr>
          <w:i/>
        </w:rPr>
      </w:r>
      <w:r w:rsidRPr="006D0835">
        <w:rPr>
          <w:i/>
        </w:rPr>
        <w:fldChar w:fldCharType="separate"/>
      </w:r>
      <w:proofErr w:type="gramStart"/>
      <w:r w:rsidRPr="00B50BE2" w:rsidR="00B50BE2">
        <w:rPr>
          <w:i/>
        </w:rPr>
        <w:t>Modalités;</w:t>
      </w:r>
      <w:proofErr w:type="gramEnd"/>
      <w:r w:rsidRPr="00B50BE2" w:rsidR="00B50BE2">
        <w:rPr>
          <w:i/>
        </w:rPr>
        <w:t xml:space="preserve"> Apports de capital.</w:t>
      </w:r>
      <w:r w:rsidRPr="006D0835">
        <w:rPr>
          <w:i/>
        </w:rPr>
        <w:fldChar w:fldCharType="end"/>
      </w:r>
      <w:r>
        <w:t>) de temps à autre par les Associés conformément à un Avis d’appel de versement.</w:t>
      </w:r>
    </w:p>
    <w:p w:rsidR="0000160C" w:rsidRDefault="0056751D" w14:paraId="78880B91" w14:textId="78BAE3BF">
      <w:pPr>
        <w:pStyle w:val="ArtBJStyL2"/>
      </w:pPr>
      <w:bookmarkStart w:name="_Ref113892363" w:id="92"/>
      <w:bookmarkStart w:name="_Toc161762307" w:id="93"/>
      <w:r>
        <w:lastRenderedPageBreak/>
        <w:t>Interprétation</w:t>
      </w:r>
      <w:r w:rsidR="00C517ED">
        <w:t>.</w:t>
      </w:r>
      <w:bookmarkEnd w:id="92"/>
      <w:bookmarkEnd w:id="93"/>
    </w:p>
    <w:p w:rsidR="0000160C" w:rsidRDefault="00C517ED" w14:paraId="1630C07A" w14:textId="1FBE9326">
      <w:pPr>
        <w:pStyle w:val="ArtBJStyL3"/>
        <w:keepNext/>
      </w:pPr>
      <w:bookmarkStart w:name="_Ref113892364" w:id="94"/>
      <w:r>
        <w:t xml:space="preserve">Sauf indication contraire, une référence dans </w:t>
      </w:r>
      <w:r w:rsidR="0056751D">
        <w:t>la présente Convention</w:t>
      </w:r>
      <w:r>
        <w:t xml:space="preserve"> (y compris </w:t>
      </w:r>
      <w:r w:rsidR="0056751D">
        <w:t xml:space="preserve">le préambule </w:t>
      </w:r>
      <w:r>
        <w:t xml:space="preserve">et </w:t>
      </w:r>
      <w:r w:rsidR="0056751D">
        <w:t xml:space="preserve">les </w:t>
      </w:r>
      <w:r>
        <w:t>annexes) à :</w:t>
      </w:r>
      <w:bookmarkEnd w:id="94"/>
    </w:p>
    <w:p w:rsidR="0000160C" w:rsidRDefault="00C517ED" w14:paraId="6754B31A" w14:textId="23B333E1">
      <w:pPr>
        <w:pStyle w:val="ArtBJStyL4"/>
      </w:pPr>
      <w:bookmarkStart w:name="_Ref113892365" w:id="95"/>
      <w:proofErr w:type="gramStart"/>
      <w:r>
        <w:t>un</w:t>
      </w:r>
      <w:proofErr w:type="gramEnd"/>
      <w:r>
        <w:t xml:space="preserve"> « </w:t>
      </w:r>
      <w:r w:rsidR="00E536D5">
        <w:rPr>
          <w:b/>
        </w:rPr>
        <w:t>Article</w:t>
      </w:r>
      <w:r>
        <w:t xml:space="preserve"> » ou </w:t>
      </w:r>
      <w:r w:rsidR="00960998">
        <w:t xml:space="preserve">une </w:t>
      </w:r>
      <w:r>
        <w:t xml:space="preserve">« </w:t>
      </w:r>
      <w:r>
        <w:rPr>
          <w:b/>
        </w:rPr>
        <w:t>Annexe</w:t>
      </w:r>
      <w:r>
        <w:t xml:space="preserve"> » fait référence à un</w:t>
      </w:r>
      <w:r w:rsidR="00E536D5">
        <w:t xml:space="preserve"> Article de la présente Convention</w:t>
      </w:r>
      <w:r>
        <w:t xml:space="preserve"> ou à une Annexe </w:t>
      </w:r>
      <w:r w:rsidR="00E536D5">
        <w:t>de la présente Convention</w:t>
      </w:r>
      <w:r>
        <w:t>;</w:t>
      </w:r>
      <w:bookmarkEnd w:id="95"/>
    </w:p>
    <w:p w:rsidR="0000160C" w:rsidRDefault="00C517ED" w14:paraId="3767E1C9" w14:textId="78A40E8F">
      <w:pPr>
        <w:pStyle w:val="ArtBJStyL4"/>
      </w:pPr>
      <w:bookmarkStart w:name="_Ref113892366" w:id="96"/>
      <w:r>
        <w:t xml:space="preserve"> </w:t>
      </w:r>
      <w:r w:rsidR="00E536D5">
        <w:t>« </w:t>
      </w:r>
      <w:proofErr w:type="gramStart"/>
      <w:r>
        <w:rPr>
          <w:b/>
        </w:rPr>
        <w:t>y</w:t>
      </w:r>
      <w:proofErr w:type="gramEnd"/>
      <w:r>
        <w:rPr>
          <w:b/>
        </w:rPr>
        <w:t xml:space="preserve"> compris</w:t>
      </w:r>
      <w:r>
        <w:t xml:space="preserve"> » ne doit pas être interprété de manière restrictive mais signifie « y compris mais sans limiter la généralité de ce qui précède » et le mot « </w:t>
      </w:r>
      <w:r>
        <w:rPr>
          <w:b/>
        </w:rPr>
        <w:t>y compris</w:t>
      </w:r>
      <w:r w:rsidR="00E536D5">
        <w:t> »</w:t>
      </w:r>
      <w:r>
        <w:t xml:space="preserve"> et ses dérivés seront interprétés en conséquence;</w:t>
      </w:r>
      <w:bookmarkEnd w:id="96"/>
    </w:p>
    <w:p w:rsidR="0000160C" w:rsidRDefault="00C517ED" w14:paraId="274DA0BB" w14:textId="1B5E0896">
      <w:pPr>
        <w:pStyle w:val="ArtBJStyL4"/>
      </w:pPr>
      <w:bookmarkStart w:name="_Ref113892367" w:id="97"/>
      <w:proofErr w:type="gramStart"/>
      <w:r>
        <w:t>une</w:t>
      </w:r>
      <w:proofErr w:type="gramEnd"/>
      <w:r>
        <w:t xml:space="preserve"> « </w:t>
      </w:r>
      <w:r>
        <w:rPr>
          <w:b/>
        </w:rPr>
        <w:t>Partie</w:t>
      </w:r>
      <w:r>
        <w:t xml:space="preserve"> » ou toute autre « </w:t>
      </w:r>
      <w:r>
        <w:rPr>
          <w:b/>
        </w:rPr>
        <w:t>Personne</w:t>
      </w:r>
      <w:r>
        <w:t xml:space="preserve"> » comprend ses </w:t>
      </w:r>
      <w:r w:rsidR="00E536D5">
        <w:t>successeurs en titre et les C</w:t>
      </w:r>
      <w:r>
        <w:t>essionnaires autorisés;</w:t>
      </w:r>
      <w:bookmarkEnd w:id="97"/>
    </w:p>
    <w:p w:rsidR="0000160C" w:rsidRDefault="00C517ED" w14:paraId="681BEF10" w14:textId="1201335D">
      <w:pPr>
        <w:pStyle w:val="ArtBJStyL4"/>
      </w:pPr>
      <w:bookmarkStart w:name="_Ref113892368" w:id="98"/>
      <w:proofErr w:type="gramStart"/>
      <w:r>
        <w:t>un</w:t>
      </w:r>
      <w:proofErr w:type="gramEnd"/>
      <w:r>
        <w:t xml:space="preserve"> « </w:t>
      </w:r>
      <w:r>
        <w:rPr>
          <w:b/>
        </w:rPr>
        <w:t>règlement</w:t>
      </w:r>
      <w:r>
        <w:t xml:space="preserve"> » comprend tout règlement, règle, directive officielle, demande ou </w:t>
      </w:r>
      <w:r w:rsidR="00E536D5">
        <w:t>ligne directrice</w:t>
      </w:r>
      <w:r>
        <w:t xml:space="preserve"> </w:t>
      </w:r>
      <w:r>
        <w:rPr>
          <w:b/>
          <w:bCs/>
          <w:highlight w:val="yellow"/>
        </w:rPr>
        <w:t xml:space="preserve">[(ayant ou non force de </w:t>
      </w:r>
      <w:r w:rsidR="00475E67">
        <w:rPr>
          <w:b/>
          <w:bCs/>
          <w:highlight w:val="yellow"/>
        </w:rPr>
        <w:t>droit</w:t>
      </w:r>
      <w:r>
        <w:rPr>
          <w:b/>
          <w:bCs/>
          <w:highlight w:val="yellow"/>
        </w:rPr>
        <w:t>)]</w:t>
      </w:r>
      <w:r>
        <w:t xml:space="preserve"> d</w:t>
      </w:r>
      <w:r w:rsidR="00E27310">
        <w:t>’</w:t>
      </w:r>
      <w:r>
        <w:t>un organisme, d</w:t>
      </w:r>
      <w:r w:rsidR="00E27310">
        <w:t>’</w:t>
      </w:r>
      <w:r>
        <w:t>une agence, d</w:t>
      </w:r>
      <w:r w:rsidR="00E27310">
        <w:t>’</w:t>
      </w:r>
      <w:r>
        <w:t>un ministère ou d</w:t>
      </w:r>
      <w:r w:rsidR="00E27310">
        <w:t>’</w:t>
      </w:r>
      <w:r>
        <w:t>une autorité de réglementation, d</w:t>
      </w:r>
      <w:r w:rsidR="00E27310">
        <w:t>’</w:t>
      </w:r>
      <w:r>
        <w:t>autoréglementation ou autre autorité ou organisation gouvernemental, intergouvernemental ou supranational;</w:t>
      </w:r>
      <w:bookmarkEnd w:id="98"/>
    </w:p>
    <w:p w:rsidR="0000160C" w:rsidRDefault="00C517ED" w14:paraId="12AF1D72" w14:textId="79C06196">
      <w:pPr>
        <w:pStyle w:val="ArtBJStyL4"/>
      </w:pPr>
      <w:bookmarkStart w:name="_Ref113892369" w:id="99"/>
      <w:proofErr w:type="gramStart"/>
      <w:r>
        <w:t>une</w:t>
      </w:r>
      <w:proofErr w:type="gramEnd"/>
      <w:r>
        <w:t xml:space="preserve"> disposition législative ou réglementaire est une référence à cette disposition telle qu</w:t>
      </w:r>
      <w:r w:rsidR="00E27310">
        <w:t>’</w:t>
      </w:r>
      <w:r>
        <w:t xml:space="preserve">elle est modifiée, complétée ou </w:t>
      </w:r>
      <w:r w:rsidR="00475E67">
        <w:t>réadoptée</w:t>
      </w:r>
      <w:r>
        <w:t xml:space="preserve"> de temps à autre;</w:t>
      </w:r>
      <w:bookmarkEnd w:id="99"/>
    </w:p>
    <w:p w:rsidR="0000160C" w:rsidRDefault="00C517ED" w14:paraId="63094FB7" w14:textId="58DAB486">
      <w:pPr>
        <w:pStyle w:val="ArtBJStyL4"/>
      </w:pPr>
      <w:bookmarkStart w:name="_Ref113892370" w:id="100"/>
      <w:proofErr w:type="gramStart"/>
      <w:r>
        <w:t>la</w:t>
      </w:r>
      <w:proofErr w:type="gramEnd"/>
      <w:r>
        <w:t xml:space="preserve"> conjonction « </w:t>
      </w:r>
      <w:r>
        <w:rPr>
          <w:b/>
        </w:rPr>
        <w:t>ou</w:t>
      </w:r>
      <w:r>
        <w:t xml:space="preserve"> » n</w:t>
      </w:r>
      <w:r w:rsidR="00E27310">
        <w:t>’</w:t>
      </w:r>
      <w:r>
        <w:t>est pas exclusive et signifie « et » et « ou »;</w:t>
      </w:r>
      <w:bookmarkEnd w:id="100"/>
    </w:p>
    <w:p w:rsidR="0000160C" w:rsidRDefault="00C517ED" w14:paraId="77440D3F" w14:textId="013A0EAB">
      <w:pPr>
        <w:pStyle w:val="ArtBJStyL4"/>
      </w:pPr>
      <w:bookmarkStart w:name="_Ref113892371" w:id="101"/>
      <w:proofErr w:type="gramStart"/>
      <w:r>
        <w:t>les</w:t>
      </w:r>
      <w:proofErr w:type="gramEnd"/>
      <w:r>
        <w:t xml:space="preserve"> références à l</w:t>
      </w:r>
      <w:r w:rsidR="00475E67">
        <w:t>’ « </w:t>
      </w:r>
      <w:r w:rsidR="00475E67">
        <w:rPr>
          <w:b/>
        </w:rPr>
        <w:t>écrit</w:t>
      </w:r>
      <w:r w:rsidR="00475E67">
        <w:t> »</w:t>
      </w:r>
      <w:r>
        <w:t xml:space="preserve"> comprennent le courriel ou tout autre format électronique.</w:t>
      </w:r>
      <w:bookmarkEnd w:id="101"/>
    </w:p>
    <w:p w:rsidR="0000160C" w:rsidRDefault="00C517ED" w14:paraId="08BD2E10" w14:textId="277DFBAE">
      <w:pPr>
        <w:pStyle w:val="ArtBJStyL3"/>
      </w:pPr>
      <w:bookmarkStart w:name="_Ref113892372" w:id="102"/>
      <w:r>
        <w:t xml:space="preserve">La table des matières et les titres des </w:t>
      </w:r>
      <w:r w:rsidR="00475E67">
        <w:t>articles</w:t>
      </w:r>
      <w:r>
        <w:t xml:space="preserve"> et </w:t>
      </w:r>
      <w:r w:rsidR="00475E67">
        <w:t>des paragraphes</w:t>
      </w:r>
      <w:r>
        <w:t xml:space="preserve"> </w:t>
      </w:r>
      <w:r w:rsidR="00E536D5">
        <w:t>de la présente Convention</w:t>
      </w:r>
      <w:r>
        <w:t xml:space="preserve"> sont insérés à titre de référence seulement et ne </w:t>
      </w:r>
      <w:r w:rsidR="00475E67">
        <w:t>sont pas réputés</w:t>
      </w:r>
      <w:r>
        <w:t xml:space="preserve"> </w:t>
      </w:r>
      <w:r w:rsidR="00475E67">
        <w:t>constituer</w:t>
      </w:r>
      <w:r>
        <w:t xml:space="preserve"> une partie </w:t>
      </w:r>
      <w:r w:rsidR="00E536D5">
        <w:t>de la présente Convention</w:t>
      </w:r>
      <w:r w:rsidR="00475E67">
        <w:t xml:space="preserve"> ou ayant une incidence sur l’interprétation de celle-ci</w:t>
      </w:r>
      <w:r>
        <w:t>.</w:t>
      </w:r>
      <w:bookmarkEnd w:id="102"/>
    </w:p>
    <w:p w:rsidR="0000160C" w:rsidRDefault="00C517ED" w14:paraId="5C9CDF2C" w14:textId="0DCD0446">
      <w:pPr>
        <w:pStyle w:val="ArtBJStyL3"/>
      </w:pPr>
      <w:bookmarkStart w:name="_Ref113892373" w:id="103"/>
      <w:r>
        <w:t xml:space="preserve">Dans </w:t>
      </w:r>
      <w:r w:rsidR="00475E67">
        <w:t>la présente Convention</w:t>
      </w:r>
      <w:r>
        <w:t xml:space="preserve"> (y compris </w:t>
      </w:r>
      <w:r w:rsidR="00475E67">
        <w:t>le préambule</w:t>
      </w:r>
      <w:r>
        <w:t xml:space="preserve"> et </w:t>
      </w:r>
      <w:r w:rsidR="00475E67">
        <w:t xml:space="preserve">les </w:t>
      </w:r>
      <w:r>
        <w:t xml:space="preserve">annexes), les mots et expressions </w:t>
      </w:r>
      <w:r w:rsidR="00475E67">
        <w:t>au</w:t>
      </w:r>
      <w:r>
        <w:t xml:space="preserve"> singulier, lorsque le contexte le permet ou l</w:t>
      </w:r>
      <w:r w:rsidR="00E27310">
        <w:t>’</w:t>
      </w:r>
      <w:r>
        <w:t xml:space="preserve">exige, comprennent le pluriel et inversement et les mots et expressions </w:t>
      </w:r>
      <w:r w:rsidR="00475E67">
        <w:t>au</w:t>
      </w:r>
      <w:r>
        <w:t xml:space="preserve"> masculin, lorsque le contexte le permet ou l</w:t>
      </w:r>
      <w:r w:rsidR="00E27310">
        <w:t>’</w:t>
      </w:r>
      <w:r>
        <w:t>exige, comprennent le féminin et le neutre et inversement.</w:t>
      </w:r>
      <w:bookmarkEnd w:id="103"/>
    </w:p>
    <w:p w:rsidR="0000160C" w:rsidRDefault="00C517ED" w14:paraId="092A8024" w14:textId="77777777">
      <w:pPr>
        <w:pStyle w:val="ArtBJStyL1"/>
      </w:pPr>
      <w:r>
        <w:br/>
      </w:r>
      <w:bookmarkStart w:name="_Ref113892374" w:id="104"/>
      <w:bookmarkStart w:name="_Toc161762308" w:id="105"/>
      <w:r>
        <w:t>DISPOSITIONS GÉNÉRALES</w:t>
      </w:r>
      <w:bookmarkEnd w:id="104"/>
      <w:bookmarkEnd w:id="105"/>
    </w:p>
    <w:p w:rsidR="0000160C" w:rsidRDefault="00475E67" w14:paraId="3E82A0CC" w14:textId="43A631B1">
      <w:pPr>
        <w:pStyle w:val="ArtBJStyL2"/>
      </w:pPr>
      <w:bookmarkStart w:name="_Ref113892375" w:id="106"/>
      <w:bookmarkStart w:name="_Toc161762309" w:id="107"/>
      <w:proofErr w:type="gramStart"/>
      <w:r>
        <w:t>Nom</w:t>
      </w:r>
      <w:r w:rsidR="00C517ED">
        <w:t>;</w:t>
      </w:r>
      <w:proofErr w:type="gramEnd"/>
      <w:r w:rsidR="00C517ED">
        <w:t xml:space="preserve"> </w:t>
      </w:r>
      <w:r w:rsidR="00960998">
        <w:t>S</w:t>
      </w:r>
      <w:r w:rsidR="00C517ED">
        <w:t>iège social.</w:t>
      </w:r>
      <w:bookmarkEnd w:id="106"/>
      <w:bookmarkEnd w:id="107"/>
    </w:p>
    <w:p w:rsidRPr="00960998" w:rsidR="0000160C" w:rsidRDefault="00C517ED" w14:paraId="345F8308" w14:textId="34F5633D">
      <w:pPr>
        <w:pStyle w:val="ArtBJStyL3"/>
        <w:rPr>
          <w:lang w:val="fr-CA"/>
        </w:rPr>
      </w:pPr>
      <w:bookmarkStart w:name="_Ref113892376" w:id="108"/>
      <w:r>
        <w:t xml:space="preserve">Le Fonds </w:t>
      </w:r>
      <w:r w:rsidR="00782150">
        <w:t>doit exercer</w:t>
      </w:r>
      <w:r>
        <w:t xml:space="preserve"> ses activités sous le nom </w:t>
      </w:r>
      <w:r>
        <w:rPr>
          <w:b/>
          <w:caps/>
          <w:szCs w:val="22"/>
        </w:rPr>
        <w:t>[</w:t>
      </w:r>
      <w:r>
        <w:rPr>
          <w:b/>
          <w:caps/>
          <w:szCs w:val="22"/>
          <w:highlight w:val="yellow"/>
        </w:rPr>
        <w:t>__</w:t>
      </w:r>
      <w:r>
        <w:rPr>
          <w:b/>
          <w:caps/>
          <w:szCs w:val="22"/>
        </w:rPr>
        <w:t>]</w:t>
      </w:r>
      <w:bookmarkStart w:name="_Ref113892802" w:id="109"/>
      <w:r>
        <w:rPr>
          <w:rStyle w:val="FootnoteReference"/>
          <w:b/>
          <w:caps/>
          <w:szCs w:val="22"/>
          <w:lang w:eastAsia="en-GB"/>
        </w:rPr>
        <w:footnoteReference w:id="55"/>
      </w:r>
      <w:bookmarkEnd w:id="109"/>
      <w:r>
        <w:rPr>
          <w:b/>
          <w:caps/>
          <w:szCs w:val="22"/>
        </w:rPr>
        <w:t xml:space="preserve"> </w:t>
      </w:r>
      <w:r>
        <w:t xml:space="preserve">ou sous tout autre nom que le </w:t>
      </w:r>
      <w:r w:rsidR="00782150">
        <w:t>C</w:t>
      </w:r>
      <w:r>
        <w:t xml:space="preserve">ommandité jugera approprié de temps à autre, y compris afin de se conformer aux lois des juridictions dans lesquelles le Fonds peut exercer ces activités. </w:t>
      </w:r>
      <w:r w:rsidRPr="00960998" w:rsidR="00960998">
        <w:rPr>
          <w:b/>
          <w:bCs/>
          <w:highlight w:val="yellow"/>
        </w:rPr>
        <w:t>[</w:t>
      </w:r>
      <w:r w:rsidRPr="00960998">
        <w:rPr>
          <w:b/>
          <w:bCs/>
          <w:highlight w:val="yellow"/>
        </w:rPr>
        <w:t>Le Fonds peut également utiliser la forme française de ce nom.</w:t>
      </w:r>
      <w:r w:rsidRPr="00960998" w:rsidR="00960998">
        <w:rPr>
          <w:b/>
          <w:bCs/>
          <w:highlight w:val="yellow"/>
        </w:rPr>
        <w:t>]</w:t>
      </w:r>
      <w:r w:rsidRPr="0096084C" w:rsidR="00960998">
        <w:rPr>
          <w:rStyle w:val="FootnoteReference"/>
          <w:b/>
          <w:bCs/>
        </w:rPr>
        <w:footnoteReference w:id="56"/>
      </w:r>
      <w:r>
        <w:t xml:space="preserve"> Le </w:t>
      </w:r>
      <w:r w:rsidR="00B63FD1">
        <w:t>C</w:t>
      </w:r>
      <w:r>
        <w:t xml:space="preserve">ommandité doit aviser chaque </w:t>
      </w:r>
      <w:r w:rsidR="00B63FD1">
        <w:lastRenderedPageBreak/>
        <w:t>C</w:t>
      </w:r>
      <w:r>
        <w:t xml:space="preserve">ommanditaire de tout changement de nom du Fonds dans les 20 </w:t>
      </w:r>
      <w:r w:rsidR="00B63FD1">
        <w:t>J</w:t>
      </w:r>
      <w:r>
        <w:t>ours ouvrables suivant ce changement.</w:t>
      </w:r>
      <w:bookmarkStart w:name="_Ref113892803" w:id="110"/>
      <w:r>
        <w:rPr>
          <w:rStyle w:val="FootnoteReference"/>
        </w:rPr>
        <w:footnoteReference w:id="57"/>
      </w:r>
      <w:bookmarkEnd w:id="108"/>
      <w:bookmarkEnd w:id="110"/>
    </w:p>
    <w:p w:rsidR="0000160C" w:rsidRDefault="00C517ED" w14:paraId="4F32AA57" w14:textId="2970B28C">
      <w:pPr>
        <w:pStyle w:val="ArtBJStyL3"/>
      </w:pPr>
      <w:bookmarkStart w:name="_Ref113892377" w:id="111"/>
      <w:r>
        <w:t xml:space="preserve">Le Fonds est </w:t>
      </w:r>
      <w:r>
        <w:rPr>
          <w:b/>
          <w:bCs/>
          <w:highlight w:val="yellow"/>
        </w:rPr>
        <w:t xml:space="preserve">[une société en commandite </w:t>
      </w:r>
      <w:r w:rsidR="00B63FD1">
        <w:rPr>
          <w:b/>
          <w:bCs/>
          <w:highlight w:val="yellow"/>
        </w:rPr>
        <w:t>de l’</w:t>
      </w:r>
      <w:r>
        <w:rPr>
          <w:b/>
          <w:bCs/>
          <w:szCs w:val="22"/>
          <w:highlight w:val="yellow"/>
        </w:rPr>
        <w:t>Ontario/</w:t>
      </w:r>
      <w:r w:rsidR="00B63FD1">
        <w:rPr>
          <w:b/>
          <w:bCs/>
          <w:szCs w:val="22"/>
          <w:highlight w:val="yellow"/>
        </w:rPr>
        <w:t xml:space="preserve">du </w:t>
      </w:r>
      <w:r>
        <w:rPr>
          <w:b/>
          <w:bCs/>
          <w:szCs w:val="22"/>
          <w:highlight w:val="yellow"/>
        </w:rPr>
        <w:t>Québec]</w:t>
      </w:r>
      <w:r>
        <w:t xml:space="preserve"> et est autorisé à </w:t>
      </w:r>
      <w:r w:rsidR="00B63FD1">
        <w:t>exercer ses activités</w:t>
      </w:r>
      <w:r>
        <w:t xml:space="preserve"> </w:t>
      </w:r>
      <w:r w:rsidR="00B63FD1">
        <w:t>à ce titre</w:t>
      </w:r>
      <w:r>
        <w:t xml:space="preserve"> en vertu de la </w:t>
      </w:r>
      <w:r>
        <w:rPr>
          <w:szCs w:val="22"/>
        </w:rPr>
        <w:t xml:space="preserve">Loi </w:t>
      </w:r>
      <w:r>
        <w:t xml:space="preserve">et </w:t>
      </w:r>
      <w:r w:rsidR="00B63FD1">
        <w:t>de ses</w:t>
      </w:r>
      <w:r>
        <w:t xml:space="preserve"> règlements </w:t>
      </w:r>
      <w:r w:rsidR="00B63FD1">
        <w:t>d’application</w:t>
      </w:r>
      <w:r>
        <w:t xml:space="preserve">. Le </w:t>
      </w:r>
      <w:r w:rsidR="00B63FD1">
        <w:t>C</w:t>
      </w:r>
      <w:r>
        <w:t xml:space="preserve">ommandité est </w:t>
      </w:r>
      <w:r w:rsidRPr="00B63FD1" w:rsidR="00B63FD1">
        <w:rPr>
          <w:b/>
          <w:szCs w:val="22"/>
          <w:highlight w:val="yellow"/>
        </w:rPr>
        <w:t>[______________</w:t>
      </w:r>
      <w:r w:rsidRPr="00B63FD1" w:rsidR="00B63FD1">
        <w:rPr>
          <w:b/>
          <w:caps/>
          <w:szCs w:val="22"/>
          <w:highlight w:val="yellow"/>
        </w:rPr>
        <w:t>]</w:t>
      </w:r>
      <w:r w:rsidRPr="00B63FD1" w:rsidR="00B63FD1">
        <w:rPr>
          <w:b/>
          <w:bCs/>
        </w:rPr>
        <w:t xml:space="preserve"> </w:t>
      </w:r>
      <w:r>
        <w:rPr>
          <w:b/>
          <w:bCs/>
          <w:highlight w:val="yellow"/>
        </w:rPr>
        <w:t>[</w:t>
      </w:r>
      <w:r w:rsidR="00B63FD1">
        <w:rPr>
          <w:b/>
          <w:bCs/>
          <w:highlight w:val="yellow"/>
        </w:rPr>
        <w:t>de l’</w:t>
      </w:r>
      <w:r>
        <w:rPr>
          <w:b/>
          <w:bCs/>
          <w:szCs w:val="22"/>
          <w:highlight w:val="yellow"/>
        </w:rPr>
        <w:t>Ontario/</w:t>
      </w:r>
      <w:r w:rsidR="00B63FD1">
        <w:rPr>
          <w:b/>
          <w:bCs/>
          <w:szCs w:val="22"/>
          <w:highlight w:val="yellow"/>
        </w:rPr>
        <w:t>du</w:t>
      </w:r>
      <w:r>
        <w:rPr>
          <w:b/>
          <w:bCs/>
          <w:szCs w:val="22"/>
          <w:highlight w:val="yellow"/>
        </w:rPr>
        <w:t xml:space="preserve"> Québec]</w:t>
      </w:r>
      <w:r w:rsidR="00B63FD1">
        <w:rPr>
          <w:b/>
          <w:bCs/>
          <w:szCs w:val="22"/>
        </w:rPr>
        <w:t xml:space="preserve"> </w:t>
      </w:r>
      <w:r>
        <w:t xml:space="preserve">et est autorisé à exercer ses activités en tant que tel en vertu </w:t>
      </w:r>
      <w:r w:rsidR="00B63FD1">
        <w:t>de la</w:t>
      </w:r>
      <w:r>
        <w:t xml:space="preserve"> [</w:t>
      </w:r>
      <w:r>
        <w:rPr>
          <w:highlight w:val="yellow"/>
        </w:rPr>
        <w:t>___</w:t>
      </w:r>
      <w:r>
        <w:t xml:space="preserve">]. Le </w:t>
      </w:r>
      <w:r w:rsidR="00B63FD1">
        <w:t>Ge</w:t>
      </w:r>
      <w:r>
        <w:t xml:space="preserve">stionnaire est </w:t>
      </w:r>
      <w:r w:rsidRPr="00B63FD1" w:rsidR="00B63FD1">
        <w:rPr>
          <w:b/>
          <w:szCs w:val="22"/>
          <w:highlight w:val="yellow"/>
        </w:rPr>
        <w:t>[______________</w:t>
      </w:r>
      <w:r w:rsidRPr="00B63FD1" w:rsidR="00B63FD1">
        <w:rPr>
          <w:b/>
          <w:caps/>
          <w:szCs w:val="22"/>
          <w:highlight w:val="yellow"/>
        </w:rPr>
        <w:t>]</w:t>
      </w:r>
      <w:r w:rsidRPr="00B63FD1" w:rsidR="00B63FD1">
        <w:rPr>
          <w:b/>
          <w:bCs/>
        </w:rPr>
        <w:t xml:space="preserve"> </w:t>
      </w:r>
      <w:r w:rsidR="00B63FD1">
        <w:rPr>
          <w:b/>
          <w:bCs/>
          <w:highlight w:val="yellow"/>
        </w:rPr>
        <w:t>[de l’</w:t>
      </w:r>
      <w:r w:rsidR="00B63FD1">
        <w:rPr>
          <w:b/>
          <w:bCs/>
          <w:szCs w:val="22"/>
          <w:highlight w:val="yellow"/>
        </w:rPr>
        <w:t>Ontario/du Québec]</w:t>
      </w:r>
      <w:r>
        <w:t xml:space="preserve"> et est autorisé à exercer ses activités en tant que tel en vertu </w:t>
      </w:r>
      <w:r w:rsidR="00B63FD1">
        <w:t>de la</w:t>
      </w:r>
      <w:r>
        <w:t xml:space="preserve"> </w:t>
      </w:r>
      <w:r>
        <w:rPr>
          <w:b/>
        </w:rPr>
        <w:t>[</w:t>
      </w:r>
      <w:r>
        <w:rPr>
          <w:b/>
          <w:highlight w:val="yellow"/>
        </w:rPr>
        <w:t>___</w:t>
      </w:r>
      <w:r>
        <w:rPr>
          <w:b/>
        </w:rPr>
        <w:t>]</w:t>
      </w:r>
      <w:r>
        <w:t>.</w:t>
      </w:r>
      <w:bookmarkStart w:name="_Ref113892804" w:id="112"/>
      <w:r>
        <w:rPr>
          <w:rStyle w:val="FootnoteReference"/>
        </w:rPr>
        <w:footnoteReference w:id="58"/>
      </w:r>
      <w:bookmarkEnd w:id="111"/>
      <w:bookmarkEnd w:id="112"/>
    </w:p>
    <w:p w:rsidR="0000160C" w:rsidRDefault="00C517ED" w14:paraId="65BD9CAD" w14:textId="37B0DB4C">
      <w:pPr>
        <w:pStyle w:val="ArtBJStyL3"/>
      </w:pPr>
      <w:bookmarkStart w:name="_Ref113892378" w:id="113"/>
      <w:r>
        <w:t>L</w:t>
      </w:r>
      <w:r w:rsidR="00E27310">
        <w:t>’</w:t>
      </w:r>
      <w:r>
        <w:t>adresse du siège social d</w:t>
      </w:r>
      <w:r w:rsidR="00B63FD1">
        <w:t xml:space="preserve">u Fonds </w:t>
      </w:r>
      <w:r>
        <w:t xml:space="preserve">est </w:t>
      </w:r>
      <w:r>
        <w:rPr>
          <w:b/>
          <w:caps/>
          <w:szCs w:val="22"/>
        </w:rPr>
        <w:t>[</w:t>
      </w:r>
      <w:r>
        <w:rPr>
          <w:b/>
          <w:caps/>
          <w:szCs w:val="22"/>
          <w:highlight w:val="yellow"/>
        </w:rPr>
        <w:t>__</w:t>
      </w:r>
      <w:r>
        <w:rPr>
          <w:b/>
          <w:caps/>
          <w:szCs w:val="22"/>
        </w:rPr>
        <w:t>]</w:t>
      </w:r>
      <w:r>
        <w:rPr>
          <w:caps/>
          <w:szCs w:val="22"/>
        </w:rPr>
        <w:t xml:space="preserve">, </w:t>
      </w:r>
      <w:r>
        <w:t>o</w:t>
      </w:r>
      <w:r w:rsidR="00B63FD1">
        <w:t>u tout</w:t>
      </w:r>
      <w:r>
        <w:t xml:space="preserve"> autre </w:t>
      </w:r>
      <w:r w:rsidR="00B63FD1">
        <w:t>agent</w:t>
      </w:r>
      <w:r>
        <w:t xml:space="preserve">, </w:t>
      </w:r>
      <w:r w:rsidR="0082726A">
        <w:t>mandataire, fondé de pouvoir</w:t>
      </w:r>
      <w:r>
        <w:t xml:space="preserve"> ou bureau dans la province </w:t>
      </w:r>
      <w:r>
        <w:rPr>
          <w:b/>
          <w:bCs/>
          <w:highlight w:val="yellow"/>
        </w:rPr>
        <w:t>[</w:t>
      </w:r>
      <w:r w:rsidR="00F65DBE">
        <w:rPr>
          <w:b/>
          <w:bCs/>
          <w:highlight w:val="yellow"/>
        </w:rPr>
        <w:t>de l’</w:t>
      </w:r>
      <w:r>
        <w:rPr>
          <w:b/>
          <w:bCs/>
          <w:highlight w:val="yellow"/>
        </w:rPr>
        <w:t>Ontario/</w:t>
      </w:r>
      <w:r w:rsidR="00F65DBE">
        <w:rPr>
          <w:b/>
          <w:bCs/>
          <w:highlight w:val="yellow"/>
        </w:rPr>
        <w:t xml:space="preserve">du </w:t>
      </w:r>
      <w:r>
        <w:rPr>
          <w:b/>
          <w:bCs/>
          <w:highlight w:val="yellow"/>
        </w:rPr>
        <w:t>Québec]</w:t>
      </w:r>
      <w:r>
        <w:t xml:space="preserve"> que le </w:t>
      </w:r>
      <w:r w:rsidR="004538F0">
        <w:t>C</w:t>
      </w:r>
      <w:r>
        <w:t xml:space="preserve">ommandité peut désigner de temps à autre. Le </w:t>
      </w:r>
      <w:r w:rsidR="004538F0">
        <w:t>C</w:t>
      </w:r>
      <w:r>
        <w:t xml:space="preserve">ommandité doit </w:t>
      </w:r>
      <w:r w:rsidR="004538F0">
        <w:t>aviser</w:t>
      </w:r>
      <w:r>
        <w:t xml:space="preserve"> sans délai chaque </w:t>
      </w:r>
      <w:r w:rsidR="004538F0">
        <w:t>C</w:t>
      </w:r>
      <w:r>
        <w:t>ommandit</w:t>
      </w:r>
      <w:r w:rsidR="004538F0">
        <w:t>aire</w:t>
      </w:r>
      <w:r>
        <w:t xml:space="preserve"> de tout changement </w:t>
      </w:r>
      <w:r w:rsidR="004538F0">
        <w:t>de</w:t>
      </w:r>
      <w:r>
        <w:t xml:space="preserve"> l</w:t>
      </w:r>
      <w:r w:rsidR="00E27310">
        <w:t>’</w:t>
      </w:r>
      <w:r>
        <w:t xml:space="preserve">établissement principal et </w:t>
      </w:r>
      <w:r w:rsidR="004538F0">
        <w:t>du</w:t>
      </w:r>
      <w:r>
        <w:t xml:space="preserve"> siège social du Fonds.</w:t>
      </w:r>
      <w:bookmarkEnd w:id="113"/>
    </w:p>
    <w:p w:rsidR="0000160C" w:rsidRDefault="00F5690B" w14:paraId="36308738" w14:textId="249E8694">
      <w:pPr>
        <w:pStyle w:val="ArtBJStyL2"/>
      </w:pPr>
      <w:bookmarkStart w:name="_Ref40801971" w:id="114"/>
      <w:bookmarkStart w:name="_Toc161762310" w:id="115"/>
      <w:r>
        <w:t>Objectifs</w:t>
      </w:r>
      <w:r w:rsidR="00C517ED">
        <w:t>.</w:t>
      </w:r>
      <w:bookmarkEnd w:id="114"/>
      <w:bookmarkEnd w:id="115"/>
    </w:p>
    <w:p w:rsidR="0000160C" w:rsidRDefault="00C517ED" w14:paraId="7EC0382C" w14:textId="77777777">
      <w:pPr>
        <w:pStyle w:val="ArtBJStyCont2"/>
        <w:keepNext/>
      </w:pPr>
      <w:r>
        <w:t>Les objectifs du Fonds sont les suivants :</w:t>
      </w:r>
    </w:p>
    <w:p w:rsidR="0000160C" w:rsidRDefault="00C517ED" w14:paraId="2F37DF1B" w14:textId="165CA513">
      <w:pPr>
        <w:pStyle w:val="ArtBJStyL3"/>
      </w:pPr>
      <w:bookmarkStart w:name="_Ref113892379" w:id="116"/>
      <w:r>
        <w:rPr>
          <w:b/>
          <w:caps/>
          <w:highlight w:val="yellow"/>
        </w:rPr>
        <w:t>[</w:t>
      </w:r>
      <w:proofErr w:type="gramStart"/>
      <w:r>
        <w:rPr>
          <w:b/>
          <w:highlight w:val="yellow"/>
        </w:rPr>
        <w:t>exercer</w:t>
      </w:r>
      <w:proofErr w:type="gramEnd"/>
      <w:r>
        <w:rPr>
          <w:b/>
          <w:highlight w:val="yellow"/>
        </w:rPr>
        <w:t xml:space="preserve"> ses activités </w:t>
      </w:r>
      <w:r w:rsidR="004538F0">
        <w:rPr>
          <w:b/>
          <w:highlight w:val="yellow"/>
        </w:rPr>
        <w:t>avec l’objectif</w:t>
      </w:r>
      <w:r>
        <w:rPr>
          <w:b/>
          <w:highlight w:val="yellow"/>
        </w:rPr>
        <w:t xml:space="preserve"> principal d</w:t>
      </w:r>
      <w:r w:rsidR="00E27310">
        <w:rPr>
          <w:b/>
          <w:highlight w:val="yellow"/>
        </w:rPr>
        <w:t>’</w:t>
      </w:r>
      <w:r>
        <w:rPr>
          <w:b/>
          <w:highlight w:val="yellow"/>
        </w:rPr>
        <w:t xml:space="preserve">obtenir des rendements supérieurs pour les </w:t>
      </w:r>
      <w:r w:rsidR="004538F0">
        <w:rPr>
          <w:b/>
          <w:highlight w:val="yellow"/>
        </w:rPr>
        <w:t>A</w:t>
      </w:r>
      <w:r>
        <w:rPr>
          <w:b/>
          <w:highlight w:val="yellow"/>
        </w:rPr>
        <w:t>ssociés, principalement par l</w:t>
      </w:r>
      <w:r w:rsidR="00E27310">
        <w:rPr>
          <w:b/>
          <w:highlight w:val="yellow"/>
        </w:rPr>
        <w:t>’</w:t>
      </w:r>
      <w:r>
        <w:rPr>
          <w:b/>
          <w:highlight w:val="yellow"/>
        </w:rPr>
        <w:t xml:space="preserve">appréciation </w:t>
      </w:r>
      <w:r w:rsidR="004538F0">
        <w:rPr>
          <w:b/>
          <w:highlight w:val="yellow"/>
        </w:rPr>
        <w:t>du capital à long terme</w:t>
      </w:r>
      <w:r>
        <w:rPr>
          <w:b/>
          <w:highlight w:val="yellow"/>
        </w:rPr>
        <w:t xml:space="preserve">, en investissant dans des </w:t>
      </w:r>
      <w:r w:rsidR="004538F0">
        <w:rPr>
          <w:b/>
          <w:szCs w:val="22"/>
          <w:highlight w:val="yellow"/>
        </w:rPr>
        <w:t>titres de capitaux propres</w:t>
      </w:r>
      <w:r>
        <w:rPr>
          <w:b/>
          <w:szCs w:val="22"/>
          <w:highlight w:val="yellow"/>
        </w:rPr>
        <w:t xml:space="preserve">, des titres </w:t>
      </w:r>
      <w:r w:rsidR="004538F0">
        <w:rPr>
          <w:b/>
          <w:szCs w:val="22"/>
          <w:highlight w:val="yellow"/>
        </w:rPr>
        <w:t>apparentés à des titres de capitaux propres</w:t>
      </w:r>
      <w:r>
        <w:rPr>
          <w:b/>
          <w:szCs w:val="22"/>
          <w:highlight w:val="yellow"/>
        </w:rPr>
        <w:t xml:space="preserve"> et des titres de créance </w:t>
      </w:r>
      <w:r w:rsidR="00E2538D">
        <w:rPr>
          <w:b/>
          <w:szCs w:val="22"/>
          <w:highlight w:val="yellow"/>
        </w:rPr>
        <w:t>de sociétés</w:t>
      </w:r>
      <w:r>
        <w:rPr>
          <w:b/>
          <w:szCs w:val="22"/>
          <w:highlight w:val="yellow"/>
        </w:rPr>
        <w:t xml:space="preserve"> privées [du</w:t>
      </w:r>
      <w:r>
        <w:rPr>
          <w:b/>
          <w:highlight w:val="yellow"/>
        </w:rPr>
        <w:t xml:space="preserve"> secteur industriel du Canada et des États</w:t>
      </w:r>
      <w:r>
        <w:rPr>
          <w:b/>
          <w:szCs w:val="22"/>
          <w:highlight w:val="yellow"/>
        </w:rPr>
        <w:t>-</w:t>
      </w:r>
      <w:r>
        <w:rPr>
          <w:b/>
          <w:highlight w:val="yellow"/>
        </w:rPr>
        <w:t>Unis</w:t>
      </w:r>
      <w:r>
        <w:rPr>
          <w:b/>
          <w:caps/>
          <w:highlight w:val="yellow"/>
        </w:rPr>
        <w:t>]</w:t>
      </w:r>
      <w:r>
        <w:rPr>
          <w:caps/>
        </w:rPr>
        <w:t>;</w:t>
      </w:r>
      <w:bookmarkStart w:name="_Ref113892805" w:id="117"/>
      <w:r>
        <w:rPr>
          <w:vertAlign w:val="superscript"/>
        </w:rPr>
        <w:footnoteReference w:id="59"/>
      </w:r>
      <w:bookmarkEnd w:id="117"/>
      <w:r>
        <w:t xml:space="preserve"> et</w:t>
      </w:r>
      <w:bookmarkEnd w:id="116"/>
    </w:p>
    <w:p w:rsidR="0000160C" w:rsidRDefault="00C517ED" w14:paraId="0D76D0AD" w14:textId="679C9CC1">
      <w:pPr>
        <w:pStyle w:val="ArtBJStyL3"/>
      </w:pPr>
      <w:bookmarkStart w:name="_Ref113892380" w:id="118"/>
      <w:r>
        <w:t>conclure et exécuter tous les contrats et s</w:t>
      </w:r>
      <w:r w:rsidR="00E27310">
        <w:t>’</w:t>
      </w:r>
      <w:r>
        <w:t xml:space="preserve">engager dans toutes les autres activités qui sont nécessaires, </w:t>
      </w:r>
      <w:r w:rsidR="004538F0">
        <w:t>souhaitables</w:t>
      </w:r>
      <w:r>
        <w:t xml:space="preserve">, légales et conformes à ce qui précède (les « </w:t>
      </w:r>
      <w:r>
        <w:rPr>
          <w:b/>
        </w:rPr>
        <w:t>Objectifs d</w:t>
      </w:r>
      <w:r w:rsidR="00E27310">
        <w:rPr>
          <w:b/>
        </w:rPr>
        <w:t>’</w:t>
      </w:r>
      <w:r>
        <w:rPr>
          <w:b/>
        </w:rPr>
        <w:t>investissement</w:t>
      </w:r>
      <w:r>
        <w:rPr>
          <w:bCs/>
        </w:rPr>
        <w:t xml:space="preserve"> »), dans tous les cas conformément à </w:t>
      </w:r>
      <w:r>
        <w:rPr>
          <w:b/>
          <w:bCs/>
          <w:highlight w:val="yellow"/>
        </w:rPr>
        <w:t>[la Politique d</w:t>
      </w:r>
      <w:r w:rsidR="00E27310">
        <w:rPr>
          <w:b/>
          <w:bCs/>
          <w:highlight w:val="yellow"/>
        </w:rPr>
        <w:t>’</w:t>
      </w:r>
      <w:r>
        <w:rPr>
          <w:b/>
          <w:bCs/>
          <w:highlight w:val="yellow"/>
        </w:rPr>
        <w:t xml:space="preserve">investissement, le cas échéant, adoptée par le </w:t>
      </w:r>
      <w:r w:rsidR="004538F0">
        <w:rPr>
          <w:b/>
          <w:bCs/>
          <w:highlight w:val="yellow"/>
        </w:rPr>
        <w:t>C</w:t>
      </w:r>
      <w:r>
        <w:rPr>
          <w:b/>
          <w:bCs/>
          <w:highlight w:val="yellow"/>
        </w:rPr>
        <w:t xml:space="preserve">ommandité ou le </w:t>
      </w:r>
      <w:r w:rsidR="004538F0">
        <w:rPr>
          <w:b/>
          <w:bCs/>
          <w:highlight w:val="yellow"/>
        </w:rPr>
        <w:t>G</w:t>
      </w:r>
      <w:r>
        <w:rPr>
          <w:b/>
          <w:bCs/>
          <w:highlight w:val="yellow"/>
        </w:rPr>
        <w:t>estionnaire]</w:t>
      </w:r>
      <w:r>
        <w:rPr>
          <w:bCs/>
        </w:rPr>
        <w:t xml:space="preserve">, </w:t>
      </w:r>
      <w:r w:rsidR="004538F0">
        <w:t>à l’article</w:t>
      </w:r>
      <w:r>
        <w:t>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B50BE2">
        <w:t>7.1</w:t>
      </w:r>
      <w:r w:rsidRPr="006400F9">
        <w:fldChar w:fldCharType="end"/>
      </w:r>
      <w:r>
        <w:t xml:space="preserve"> (</w:t>
      </w:r>
      <w:r w:rsidRPr="00BD2FE6" w:rsidR="00841AFD">
        <w:rPr>
          <w:i/>
        </w:rPr>
        <w:fldChar w:fldCharType="begin"/>
      </w:r>
      <w:r w:rsidRPr="00BD2FE6" w:rsidR="00841AFD">
        <w:rPr>
          <w:i/>
        </w:rPr>
        <w:instrText xml:space="preserve"> REF _Ref40802598 \h  \* MERGEFORMAT </w:instrText>
      </w:r>
      <w:r w:rsidRPr="00BD2FE6" w:rsidR="00841AFD">
        <w:rPr>
          <w:i/>
        </w:rPr>
      </w:r>
      <w:r w:rsidRPr="00BD2FE6" w:rsidR="00841AFD">
        <w:rPr>
          <w:i/>
        </w:rPr>
        <w:fldChar w:fldCharType="separate"/>
      </w:r>
      <w:r w:rsidRPr="00B50BE2" w:rsidR="00B50BE2">
        <w:rPr>
          <w:i/>
        </w:rPr>
        <w:t>Restrictions à l’investissement</w:t>
      </w:r>
      <w:r w:rsidR="00B50BE2">
        <w:t>.</w:t>
      </w:r>
      <w:r w:rsidRPr="00BD2FE6" w:rsidR="00841AFD">
        <w:fldChar w:fldCharType="end"/>
      </w:r>
      <w:r>
        <w:t xml:space="preserve">) et les autres dispositions </w:t>
      </w:r>
      <w:r w:rsidR="00E536D5">
        <w:t>de la présente Convention</w:t>
      </w:r>
      <w:r>
        <w:t>.</w:t>
      </w:r>
      <w:bookmarkEnd w:id="118"/>
    </w:p>
    <w:p w:rsidR="0000160C" w:rsidRDefault="00C517ED" w14:paraId="2230235D" w14:textId="6BF40EE3">
      <w:pPr>
        <w:pStyle w:val="ArtBJStyL2"/>
      </w:pPr>
      <w:bookmarkStart w:name="_Ref40801913" w:id="119"/>
      <w:bookmarkStart w:name="_Toc161762311" w:id="120"/>
      <w:r>
        <w:t>Exercice</w:t>
      </w:r>
      <w:r w:rsidR="00D95750">
        <w:t xml:space="preserve"> financier</w:t>
      </w:r>
      <w:r>
        <w:t>.</w:t>
      </w:r>
      <w:bookmarkEnd w:id="119"/>
      <w:bookmarkEnd w:id="120"/>
    </w:p>
    <w:p w:rsidR="0000160C" w:rsidRDefault="00C517ED" w14:paraId="2BC96833" w14:textId="0183D3D6">
      <w:pPr>
        <w:pStyle w:val="ArtBJStyCont2"/>
      </w:pPr>
      <w:r>
        <w:t>L</w:t>
      </w:r>
      <w:r w:rsidR="00E27310">
        <w:t>’</w:t>
      </w:r>
      <w:r>
        <w:t xml:space="preserve">exercice du Fonds à des fins financières et comptables est </w:t>
      </w:r>
      <w:r>
        <w:rPr>
          <w:b/>
          <w:highlight w:val="yellow"/>
        </w:rPr>
        <w:t>[l</w:t>
      </w:r>
      <w:r w:rsidR="00E27310">
        <w:rPr>
          <w:b/>
          <w:highlight w:val="yellow"/>
        </w:rPr>
        <w:t>’</w:t>
      </w:r>
      <w:r>
        <w:rPr>
          <w:b/>
          <w:highlight w:val="yellow"/>
        </w:rPr>
        <w:t>année civile]</w:t>
      </w:r>
      <w:r>
        <w:t xml:space="preserve"> (« </w:t>
      </w:r>
      <w:r>
        <w:rPr>
          <w:b/>
        </w:rPr>
        <w:t>Exercice</w:t>
      </w:r>
      <w:r w:rsidR="00D95750">
        <w:rPr>
          <w:b/>
        </w:rPr>
        <w:t xml:space="preserve"> financier</w:t>
      </w:r>
      <w:r>
        <w:t xml:space="preserve"> »).</w:t>
      </w:r>
      <w:bookmarkStart w:name="_Ref113892806" w:id="121"/>
      <w:r>
        <w:rPr>
          <w:szCs w:val="22"/>
          <w:vertAlign w:val="superscript"/>
        </w:rPr>
        <w:footnoteReference w:id="60"/>
      </w:r>
      <w:bookmarkEnd w:id="121"/>
    </w:p>
    <w:p w:rsidR="0000160C" w:rsidRDefault="00C517ED" w14:paraId="68AF35F4" w14:textId="390E0A89">
      <w:pPr>
        <w:pStyle w:val="ArtBJStyL2"/>
      </w:pPr>
      <w:bookmarkStart w:name="_Ref113883213" w:id="122"/>
      <w:bookmarkStart w:name="_Ref113883220" w:id="123"/>
      <w:bookmarkStart w:name="_Ref113883246" w:id="124"/>
      <w:bookmarkStart w:name="_Toc161762312" w:id="125"/>
      <w:r>
        <w:t xml:space="preserve">Dépenses </w:t>
      </w:r>
      <w:r w:rsidR="000A68A3">
        <w:t>du Fonds</w:t>
      </w:r>
      <w:r>
        <w:t>.</w:t>
      </w:r>
      <w:bookmarkEnd w:id="122"/>
      <w:bookmarkEnd w:id="123"/>
      <w:bookmarkEnd w:id="124"/>
      <w:bookmarkEnd w:id="125"/>
    </w:p>
    <w:p w:rsidR="0000160C" w:rsidRDefault="00C517ED" w14:paraId="24B5D225" w14:textId="4146682C">
      <w:pPr>
        <w:pStyle w:val="ArtBJStyL3"/>
        <w:keepNext/>
      </w:pPr>
      <w:bookmarkStart w:name="_Ref40801926" w:id="126"/>
      <w:r>
        <w:t xml:space="preserve">Le Fonds </w:t>
      </w:r>
      <w:r w:rsidR="0033537E">
        <w:t>doit payer</w:t>
      </w:r>
      <w:r>
        <w:t xml:space="preserve"> la totalité de sa </w:t>
      </w:r>
      <w:r w:rsidR="00F65DBE">
        <w:t>part proportionnelle</w:t>
      </w:r>
      <w:r>
        <w:t xml:space="preserve"> (calculée conformément aux </w:t>
      </w:r>
      <w:r w:rsidR="0033537E">
        <w:t>articles</w:t>
      </w:r>
      <w:r>
        <w:t> </w:t>
      </w:r>
      <w:r w:rsidRPr="006400F9">
        <w:fldChar w:fldCharType="begin"/>
      </w:r>
      <w:r w:rsidRPr="006400F9">
        <w:instrText xml:space="preserve"> REF _Ref40802610 \w \h </w:instrText>
      </w:r>
      <w:r w:rsidRPr="006400F9" w:rsidR="00791303">
        <w:instrText xml:space="preserve"> \* MERGEFORMAT </w:instrText>
      </w:r>
      <w:r w:rsidRPr="006400F9">
        <w:fldChar w:fldCharType="separate"/>
      </w:r>
      <w:r w:rsidR="00B50BE2">
        <w:t>2.7</w:t>
      </w:r>
      <w:r w:rsidRPr="006400F9">
        <w:fldChar w:fldCharType="end"/>
      </w:r>
      <w:r>
        <w:t xml:space="preserve"> (</w:t>
      </w:r>
      <w:r w:rsidRPr="00BD2FE6" w:rsidR="00841AFD">
        <w:rPr>
          <w:i/>
        </w:rPr>
        <w:fldChar w:fldCharType="begin"/>
      </w:r>
      <w:r w:rsidRPr="00BD2FE6" w:rsidR="00841AFD">
        <w:rPr>
          <w:i/>
        </w:rPr>
        <w:instrText xml:space="preserve"> REF _Ref113892407 \h  \* MERGEFORMAT </w:instrText>
      </w:r>
      <w:r w:rsidRPr="00BD2FE6" w:rsidR="00841AFD">
        <w:rPr>
          <w:i/>
        </w:rPr>
      </w:r>
      <w:r w:rsidRPr="00BD2FE6" w:rsidR="00841AFD">
        <w:rPr>
          <w:i/>
        </w:rPr>
        <w:fldChar w:fldCharType="separate"/>
      </w:r>
      <w:r w:rsidRPr="00B50BE2" w:rsidR="00B50BE2">
        <w:rPr>
          <w:i/>
        </w:rPr>
        <w:t>Véhicules parallèles</w:t>
      </w:r>
      <w:r w:rsidR="00B50BE2">
        <w:t>.</w:t>
      </w:r>
      <w:r w:rsidRPr="00BD2FE6" w:rsidR="00841AFD">
        <w:fldChar w:fldCharType="end"/>
      </w:r>
      <w:r>
        <w:t>)</w:t>
      </w:r>
      <w:r w:rsidR="0033537E">
        <w:t xml:space="preserve"> </w:t>
      </w:r>
      <w:r>
        <w:t xml:space="preserve">et </w:t>
      </w:r>
      <w:r w:rsidRPr="00BD2FE6">
        <w:fldChar w:fldCharType="begin"/>
      </w:r>
      <w:r w:rsidRPr="00BD2FE6">
        <w:instrText xml:space="preserve"> REF _Ref40800878 \w \h </w:instrText>
      </w:r>
      <w:r w:rsidRPr="00BD2FE6" w:rsidR="00791303">
        <w:instrText xml:space="preserve"> \* MERGEFORMAT </w:instrText>
      </w:r>
      <w:r w:rsidRPr="00BD2FE6">
        <w:fldChar w:fldCharType="separate"/>
      </w:r>
      <w:r w:rsidR="00B50BE2">
        <w:t>2.8</w:t>
      </w:r>
      <w:r w:rsidRPr="00BD2FE6">
        <w:fldChar w:fldCharType="end"/>
      </w:r>
      <w:r>
        <w:t xml:space="preserve"> (</w:t>
      </w:r>
      <w:r w:rsidRPr="00BD2FE6" w:rsidR="00841AFD">
        <w:rPr>
          <w:i/>
        </w:rPr>
        <w:fldChar w:fldCharType="begin"/>
      </w:r>
      <w:r w:rsidRPr="00BD2FE6" w:rsidR="00841AFD">
        <w:rPr>
          <w:i/>
        </w:rPr>
        <w:instrText xml:space="preserve"> REF _Ref40800878 \h  \* MERGEFORMAT </w:instrText>
      </w:r>
      <w:r w:rsidRPr="00BD2FE6" w:rsidR="00841AFD">
        <w:rPr>
          <w:i/>
        </w:rPr>
      </w:r>
      <w:r w:rsidRPr="00BD2FE6" w:rsidR="00841AFD">
        <w:rPr>
          <w:i/>
        </w:rPr>
        <w:fldChar w:fldCharType="separate"/>
      </w:r>
      <w:r w:rsidRPr="00B50BE2" w:rsidR="00B50BE2">
        <w:rPr>
          <w:i/>
        </w:rPr>
        <w:t>Véhicules alternatifs</w:t>
      </w:r>
      <w:r w:rsidR="00B50BE2">
        <w:t>.</w:t>
      </w:r>
      <w:r w:rsidRPr="00BD2FE6" w:rsidR="00841AFD">
        <w:fldChar w:fldCharType="end"/>
      </w:r>
      <w:r>
        <w:t xml:space="preserve">) des </w:t>
      </w:r>
      <w:r w:rsidR="0033537E">
        <w:t>coûts</w:t>
      </w:r>
      <w:r>
        <w:t xml:space="preserve"> et dépenses raisonnables et dûment </w:t>
      </w:r>
      <w:r w:rsidRPr="000A68A3">
        <w:t xml:space="preserve">encourus du Fonds autres que les </w:t>
      </w:r>
      <w:r w:rsidR="0033537E">
        <w:t>Dépenses du Commandité</w:t>
      </w:r>
      <w:r w:rsidRPr="000A68A3">
        <w:t xml:space="preserve"> (dans </w:t>
      </w:r>
      <w:r w:rsidRPr="000A68A3">
        <w:lastRenderedPageBreak/>
        <w:t xml:space="preserve">chaque cas, dans la mesure où </w:t>
      </w:r>
      <w:r w:rsidR="0033537E">
        <w:t>elles</w:t>
      </w:r>
      <w:r w:rsidRPr="000A68A3">
        <w:t xml:space="preserve"> ne sont pas remboursé</w:t>
      </w:r>
      <w:r w:rsidR="0017498F">
        <w:t>e</w:t>
      </w:r>
      <w:r w:rsidRPr="000A68A3">
        <w:t xml:space="preserve">s par une </w:t>
      </w:r>
      <w:r w:rsidR="0033537E">
        <w:t>S</w:t>
      </w:r>
      <w:r w:rsidRPr="000A68A3">
        <w:t>ociété de portefeuille), comme suit (</w:t>
      </w:r>
      <w:r w:rsidR="0033537E">
        <w:t>« </w:t>
      </w:r>
      <w:r w:rsidR="000A68A3">
        <w:rPr>
          <w:b/>
        </w:rPr>
        <w:t>Dépenses</w:t>
      </w:r>
      <w:r>
        <w:rPr>
          <w:b/>
        </w:rPr>
        <w:t xml:space="preserve"> du Fonds</w:t>
      </w:r>
      <w:r>
        <w:t xml:space="preserve"> »)</w:t>
      </w:r>
      <w:bookmarkStart w:name="_Ref113892807" w:id="127"/>
      <w:r>
        <w:rPr>
          <w:szCs w:val="22"/>
          <w:vertAlign w:val="superscript"/>
        </w:rPr>
        <w:footnoteReference w:id="61"/>
      </w:r>
      <w:bookmarkStart w:name="_Ref113892808" w:id="128"/>
      <w:bookmarkEnd w:id="127"/>
      <w:r>
        <w:rPr>
          <w:vertAlign w:val="superscript"/>
        </w:rPr>
        <w:t>,</w:t>
      </w:r>
      <w:r>
        <w:rPr>
          <w:rStyle w:val="FootnoteReference"/>
        </w:rPr>
        <w:footnoteReference w:id="62"/>
      </w:r>
      <w:bookmarkEnd w:id="128"/>
      <w:r>
        <w:t xml:space="preserve"> :</w:t>
      </w:r>
      <w:bookmarkEnd w:id="126"/>
    </w:p>
    <w:p w:rsidR="0000160C" w:rsidRDefault="00C517ED" w14:paraId="6E4B9C9F" w14:textId="7CE85A34">
      <w:pPr>
        <w:pStyle w:val="ArtBJStyL4"/>
      </w:pPr>
      <w:bookmarkStart w:name="_Ref113892381" w:id="129"/>
      <w:proofErr w:type="gramStart"/>
      <w:r>
        <w:t>les</w:t>
      </w:r>
      <w:proofErr w:type="gramEnd"/>
      <w:r>
        <w:t xml:space="preserve"> frais de liquidation du Fonds;</w:t>
      </w:r>
      <w:bookmarkEnd w:id="129"/>
    </w:p>
    <w:p w:rsidR="0000160C" w:rsidRDefault="00C517ED" w14:paraId="65C46F07" w14:textId="424F8CEA">
      <w:pPr>
        <w:pStyle w:val="ArtBJStyL4"/>
      </w:pPr>
      <w:bookmarkStart w:name="_Ref113892382" w:id="130"/>
      <w:proofErr w:type="gramStart"/>
      <w:r>
        <w:t>les</w:t>
      </w:r>
      <w:proofErr w:type="gramEnd"/>
      <w:r>
        <w:t xml:space="preserve"> taxes de vente, retenues ou autres taxes, frais ou </w:t>
      </w:r>
      <w:r w:rsidR="00980C6E">
        <w:t>charges</w:t>
      </w:r>
      <w:r>
        <w:t xml:space="preserve"> gouvernementaux similaires qui peuvent être imposés au Fonds, autres que les montants attribués à un ou plusieurs </w:t>
      </w:r>
      <w:r w:rsidR="00980C6E">
        <w:t>Associés</w:t>
      </w:r>
      <w:r>
        <w:t xml:space="preserve"> conformément à l</w:t>
      </w:r>
      <w:r w:rsidR="00980C6E">
        <w:t xml:space="preserve">’article </w:t>
      </w:r>
      <w:r w:rsidR="00607930">
        <w:fldChar w:fldCharType="begin"/>
      </w:r>
      <w:r w:rsidR="00607930">
        <w:instrText xml:space="preserve"> REF _Ref85270970 \r \h </w:instrText>
      </w:r>
      <w:r w:rsidR="00607930">
        <w:fldChar w:fldCharType="separate"/>
      </w:r>
      <w:r w:rsidR="00B50BE2">
        <w:t>14.6</w:t>
      </w:r>
      <w:r w:rsidR="00607930">
        <w:fldChar w:fldCharType="end"/>
      </w:r>
      <w:r>
        <w:t xml:space="preserve"> (</w:t>
      </w:r>
      <w:r w:rsidRPr="00BD2FE6" w:rsidR="00841AFD">
        <w:rPr>
          <w:i/>
        </w:rPr>
        <w:fldChar w:fldCharType="begin"/>
      </w:r>
      <w:r w:rsidRPr="00BD2FE6" w:rsidR="00841AFD">
        <w:rPr>
          <w:i/>
        </w:rPr>
        <w:instrText xml:space="preserve"> REF _Ref85270970 \h  \* MERGEFORMAT </w:instrText>
      </w:r>
      <w:r w:rsidRPr="00BD2FE6" w:rsidR="00841AFD">
        <w:rPr>
          <w:i/>
        </w:rPr>
      </w:r>
      <w:r w:rsidRPr="00BD2FE6" w:rsidR="00841AFD">
        <w:rPr>
          <w:i/>
        </w:rPr>
        <w:fldChar w:fldCharType="separate"/>
      </w:r>
      <w:r w:rsidRPr="00B50BE2" w:rsidR="00B50BE2">
        <w:rPr>
          <w:i/>
        </w:rPr>
        <w:t>Retenue</w:t>
      </w:r>
      <w:r w:rsidR="00B50BE2">
        <w:t>.</w:t>
      </w:r>
      <w:r w:rsidRPr="00BD2FE6" w:rsidR="00841AFD">
        <w:fldChar w:fldCharType="end"/>
      </w:r>
      <w:r>
        <w:t>);</w:t>
      </w:r>
      <w:bookmarkEnd w:id="130"/>
    </w:p>
    <w:p w:rsidR="0000160C" w:rsidRDefault="00C517ED" w14:paraId="3BE455B5" w14:textId="7B2E8441">
      <w:pPr>
        <w:pStyle w:val="ArtBJStyL4"/>
      </w:pPr>
      <w:bookmarkStart w:name="_Ref113892383" w:id="131"/>
      <w:proofErr w:type="gramStart"/>
      <w:r>
        <w:t>les</w:t>
      </w:r>
      <w:proofErr w:type="gramEnd"/>
      <w:r>
        <w:t xml:space="preserve"> commissions, frais de courtage ou autres frais similaires encourus dans le cadre de l</w:t>
      </w:r>
      <w:r w:rsidR="00E27310">
        <w:t>’</w:t>
      </w:r>
      <w:r>
        <w:t>achat ou de la vente de titres;</w:t>
      </w:r>
      <w:bookmarkEnd w:id="131"/>
    </w:p>
    <w:p w:rsidR="0000160C" w:rsidRDefault="00C517ED" w14:paraId="41B8C563" w14:textId="42D01992">
      <w:pPr>
        <w:pStyle w:val="ArtBJStyL4"/>
      </w:pPr>
      <w:bookmarkStart w:name="_Ref113892384" w:id="132"/>
      <w:r>
        <w:t xml:space="preserve">les </w:t>
      </w:r>
      <w:r w:rsidR="00980C6E">
        <w:t>coûts</w:t>
      </w:r>
      <w:r>
        <w:t xml:space="preserve"> et dépenses </w:t>
      </w:r>
      <w:r w:rsidR="00980C6E">
        <w:t>liés</w:t>
      </w:r>
      <w:r>
        <w:t xml:space="preserve"> </w:t>
      </w:r>
      <w:bookmarkStart w:name="DocXTextRef29" w:id="133"/>
      <w:r>
        <w:t>(i)</w:t>
      </w:r>
      <w:bookmarkEnd w:id="133"/>
      <w:r>
        <w:t xml:space="preserve"> à </w:t>
      </w:r>
      <w:r w:rsidR="00980C6E">
        <w:t>la tenue</w:t>
      </w:r>
      <w:r>
        <w:t xml:space="preserve"> des </w:t>
      </w:r>
      <w:r w:rsidR="00980C6E">
        <w:t>assemblées</w:t>
      </w:r>
      <w:r>
        <w:t xml:space="preserve"> annuelles ou spéciales des </w:t>
      </w:r>
      <w:r w:rsidR="00980C6E">
        <w:t>C</w:t>
      </w:r>
      <w:r>
        <w:t xml:space="preserve">ommanditaires et du </w:t>
      </w:r>
      <w:r w:rsidR="00980C6E">
        <w:t>Comité consultatif des Commanditaires</w:t>
      </w:r>
      <w:r>
        <w:t>, ainsi que toute autre dépense dûment</w:t>
      </w:r>
      <w:r w:rsidR="007B3810">
        <w:t xml:space="preserve"> </w:t>
      </w:r>
      <w:r>
        <w:t xml:space="preserve">encourue par le </w:t>
      </w:r>
      <w:r w:rsidR="00980C6E">
        <w:t>Comité consultatif des Commanditaires</w:t>
      </w:r>
      <w:r>
        <w:t xml:space="preserve"> ou en son nom conformément à </w:t>
      </w:r>
      <w:r w:rsidR="007B3810">
        <w:t>l’</w:t>
      </w:r>
      <w:r w:rsidRPr="006400F9">
        <w:fldChar w:fldCharType="begin"/>
      </w:r>
      <w:r w:rsidRPr="006400F9">
        <w:instrText xml:space="preserve"> REF _Ref48207468 \w \h </w:instrText>
      </w:r>
      <w:r w:rsidRPr="006400F9" w:rsidR="00791303">
        <w:instrText xml:space="preserve"> \* MERGEFORMAT </w:instrText>
      </w:r>
      <w:r w:rsidRPr="006400F9">
        <w:fldChar w:fldCharType="separate"/>
      </w:r>
      <w:r w:rsidR="00B50BE2">
        <w:t>Article 13</w:t>
      </w:r>
      <w:r w:rsidRPr="006400F9">
        <w:fldChar w:fldCharType="end"/>
      </w:r>
      <w:r>
        <w:t xml:space="preserve"> (</w:t>
      </w:r>
      <w:proofErr w:type="spellStart"/>
      <w:r w:rsidRPr="00BD2FE6" w:rsidR="00841AFD">
        <w:rPr>
          <w:i/>
        </w:rPr>
        <w:fldChar w:fldCharType="begin"/>
      </w:r>
      <w:r w:rsidRPr="00BD2FE6" w:rsidR="00841AFD">
        <w:rPr>
          <w:i/>
        </w:rPr>
        <w:instrText xml:space="preserve"> REF _Ref48207468 \h  \* MERGEFORMAT </w:instrText>
      </w:r>
      <w:r w:rsidRPr="00BD2FE6" w:rsidR="00841AFD">
        <w:rPr>
          <w:i/>
        </w:rPr>
      </w:r>
      <w:r w:rsidRPr="00BD2FE6" w:rsidR="00841AFD">
        <w:rPr>
          <w:i/>
        </w:rPr>
        <w:fldChar w:fldCharType="separate"/>
      </w:r>
      <w:r w:rsidRPr="00B50BE2" w:rsidR="00B50BE2">
        <w:rPr>
          <w:i/>
        </w:rPr>
        <w:t>ComitÉ</w:t>
      </w:r>
      <w:proofErr w:type="spellEnd"/>
      <w:r w:rsidRPr="00B50BE2" w:rsidR="00B50BE2">
        <w:rPr>
          <w:i/>
        </w:rPr>
        <w:t xml:space="preserve"> consultatif </w:t>
      </w:r>
      <w:r w:rsidRPr="00BD2FE6" w:rsidR="00841AFD">
        <w:rPr>
          <w:i/>
        </w:rPr>
        <w:fldChar w:fldCharType="end"/>
      </w:r>
      <w:r w:rsidR="007B3810">
        <w:rPr>
          <w:i/>
        </w:rPr>
        <w:t xml:space="preserve"> Commanditaires</w:t>
      </w:r>
      <w:r>
        <w:t xml:space="preserve">), et </w:t>
      </w:r>
      <w:bookmarkStart w:name="DocXTextRef30" w:id="134"/>
      <w:r>
        <w:t>(ii)</w:t>
      </w:r>
      <w:bookmarkEnd w:id="134"/>
      <w:r>
        <w:t xml:space="preserve"> la tenue </w:t>
      </w:r>
      <w:r w:rsidR="007B3810">
        <w:t>d’autres</w:t>
      </w:r>
      <w:r>
        <w:t xml:space="preserve"> réunions ou de conférences avec des investisseurs, les dépenses associées au lieu de réunion, au matériel de réunion, aux fournitures de réunion (y compris les </w:t>
      </w:r>
      <w:r w:rsidR="007B3810">
        <w:t>coûts</w:t>
      </w:r>
      <w:r>
        <w:t xml:space="preserve"> d</w:t>
      </w:r>
      <w:r w:rsidR="00E27310">
        <w:t>’</w:t>
      </w:r>
      <w:r>
        <w:t xml:space="preserve">expédition </w:t>
      </w:r>
      <w:r w:rsidR="007B3810">
        <w:t>connexes</w:t>
      </w:r>
      <w:r>
        <w:t>), et toute autre dépense (à l</w:t>
      </w:r>
      <w:r w:rsidR="00E27310">
        <w:t>’</w:t>
      </w:r>
      <w:r>
        <w:t xml:space="preserve">exception des </w:t>
      </w:r>
      <w:r w:rsidR="007B3810">
        <w:t>coûts</w:t>
      </w:r>
      <w:r>
        <w:t xml:space="preserve"> de divertissement, y compris les frais de conférencier) encourue par le Fonds, le </w:t>
      </w:r>
      <w:r w:rsidR="007B3810">
        <w:t>Commandité</w:t>
      </w:r>
      <w:r>
        <w:t xml:space="preserve"> ou le Gestionnaire dans le cadre de ces conférences ou réunions ou de leur préparation;</w:t>
      </w:r>
      <w:bookmarkEnd w:id="132"/>
    </w:p>
    <w:p w:rsidR="0000160C" w:rsidRDefault="00C517ED" w14:paraId="68794F7D" w14:textId="650BD7DA">
      <w:pPr>
        <w:pStyle w:val="ArtBJStyL4"/>
      </w:pPr>
      <w:bookmarkStart w:name="_Ref113892385" w:id="135"/>
      <w:r>
        <w:t xml:space="preserve">les dépenses associées à la préparation des états financiers, des déclarations de revenus et des rapports du Fonds, y compris les rapports automatisés, pour les </w:t>
      </w:r>
      <w:r w:rsidR="007B3810">
        <w:t>Associés</w:t>
      </w:r>
      <w:r>
        <w:t xml:space="preserve"> (y compris les dépenses </w:t>
      </w:r>
      <w:r w:rsidR="007B3810">
        <w:t>encourues</w:t>
      </w:r>
      <w:r>
        <w:t xml:space="preserve"> par des tiers pour obtenir une assistance spécialisée dans le cadre de la préparation et de la </w:t>
      </w:r>
      <w:r w:rsidR="007B3810">
        <w:t>remise</w:t>
      </w:r>
      <w:r>
        <w:t xml:space="preserve"> de rapports concernant le Fonds </w:t>
      </w:r>
      <w:r w:rsidR="007B3810">
        <w:t>aux Commanditaires</w:t>
      </w:r>
      <w:r>
        <w:t xml:space="preserve"> (individuellement ou collectivement) ou </w:t>
      </w:r>
      <w:r w:rsidR="007B3810">
        <w:t>pour répondre aux</w:t>
      </w:r>
      <w:r>
        <w:t xml:space="preserve"> demandes de renseignements supplémentaires de la part de tout </w:t>
      </w:r>
      <w:r w:rsidR="007B3810">
        <w:t>Commanditaire</w:t>
      </w:r>
      <w:r>
        <w:t xml:space="preserve"> concernant le Fonds); les autres dépenses de comptabilité fiscale du Fonds (y compris les frais pour la préparation de déclarations de revenus et les dépenses </w:t>
      </w:r>
      <w:r w:rsidR="00480675">
        <w:t>encourues</w:t>
      </w:r>
      <w:r>
        <w:t xml:space="preserve"> pour préparer </w:t>
      </w:r>
      <w:r w:rsidR="00480675">
        <w:t>les formulaires fiscaux</w:t>
      </w:r>
      <w:r>
        <w:t xml:space="preserve">, </w:t>
      </w:r>
      <w:r w:rsidR="0017498F">
        <w:t>produire</w:t>
      </w:r>
      <w:r w:rsidR="00480675">
        <w:t xml:space="preserve"> les formulaires fiscaux</w:t>
      </w:r>
      <w:r>
        <w:t xml:space="preserve"> et préparer </w:t>
      </w:r>
      <w:r w:rsidR="00480675">
        <w:t>les</w:t>
      </w:r>
      <w:r>
        <w:t xml:space="preserve"> calculs de l</w:t>
      </w:r>
      <w:r w:rsidR="00E27310">
        <w:t>’</w:t>
      </w:r>
      <w:r>
        <w:t xml:space="preserve">impôt à payer au nom du Fonds et de ses </w:t>
      </w:r>
      <w:r w:rsidR="00480675">
        <w:t>Associés</w:t>
      </w:r>
      <w:r>
        <w:t>);</w:t>
      </w:r>
      <w:bookmarkEnd w:id="135"/>
    </w:p>
    <w:p w:rsidR="0000160C" w:rsidRDefault="00C517ED" w14:paraId="10EB572A" w14:textId="5B215894">
      <w:pPr>
        <w:pStyle w:val="ArtBJStyL4"/>
      </w:pPr>
      <w:bookmarkStart w:name="_Ref113892386" w:id="136"/>
      <w:proofErr w:type="gramStart"/>
      <w:r>
        <w:t>les</w:t>
      </w:r>
      <w:proofErr w:type="gramEnd"/>
      <w:r>
        <w:t xml:space="preserve"> </w:t>
      </w:r>
      <w:r w:rsidR="00480675">
        <w:t>dépenses</w:t>
      </w:r>
      <w:r>
        <w:t xml:space="preserve"> d</w:t>
      </w:r>
      <w:r w:rsidR="00E27310">
        <w:t>’</w:t>
      </w:r>
      <w:r>
        <w:t xml:space="preserve">intérêt pour les </w:t>
      </w:r>
      <w:r w:rsidR="00480675">
        <w:t>F</w:t>
      </w:r>
      <w:r>
        <w:t>acilités de crédit;</w:t>
      </w:r>
      <w:bookmarkEnd w:id="136"/>
    </w:p>
    <w:p w:rsidR="0000160C" w:rsidRDefault="00C517ED" w14:paraId="2F7B9730" w14:textId="710D6D23">
      <w:pPr>
        <w:pStyle w:val="ArtBJStyL4"/>
      </w:pPr>
      <w:bookmarkStart w:name="_Ref113892387" w:id="137"/>
      <w:r>
        <w:t xml:space="preserve">les </w:t>
      </w:r>
      <w:r w:rsidR="00480675">
        <w:t>frais</w:t>
      </w:r>
      <w:r>
        <w:t>, coûts et dépenses encourus dans le cadre de l</w:t>
      </w:r>
      <w:r w:rsidR="00E27310">
        <w:t>’</w:t>
      </w:r>
      <w:r>
        <w:t>enquête, de l</w:t>
      </w:r>
      <w:r w:rsidR="00E27310">
        <w:t>’</w:t>
      </w:r>
      <w:r>
        <w:t xml:space="preserve">évaluation, de la </w:t>
      </w:r>
      <w:r w:rsidR="00480675">
        <w:t>vérification diligente</w:t>
      </w:r>
      <w:r>
        <w:t xml:space="preserve"> (y compris les coûts des vérifications des antécédents et des consultants fournissant des services spécialisés qui ne sont pas habituellement </w:t>
      </w:r>
      <w:r>
        <w:lastRenderedPageBreak/>
        <w:t xml:space="preserve">fournis par le </w:t>
      </w:r>
      <w:r w:rsidR="00480675">
        <w:t>C</w:t>
      </w:r>
      <w:r>
        <w:t xml:space="preserve">ommandité ou le </w:t>
      </w:r>
      <w:r w:rsidR="00480675">
        <w:t>G</w:t>
      </w:r>
      <w:r>
        <w:t>estionnaire), de l</w:t>
      </w:r>
      <w:r w:rsidR="00E27310">
        <w:t>’</w:t>
      </w:r>
      <w:r>
        <w:t>acquisition, de l</w:t>
      </w:r>
      <w:r w:rsidR="00E27310">
        <w:t>’</w:t>
      </w:r>
      <w:r>
        <w:t>administration, de la détention, d</w:t>
      </w:r>
      <w:r w:rsidR="00480675">
        <w:t xml:space="preserve">e la surveillance </w:t>
      </w:r>
      <w:r>
        <w:t>ou de l</w:t>
      </w:r>
      <w:r w:rsidR="00480675">
        <w:t xml:space="preserve">’aliénation </w:t>
      </w:r>
      <w:r>
        <w:t>d</w:t>
      </w:r>
      <w:r w:rsidR="00E27310">
        <w:t>’</w:t>
      </w:r>
      <w:r w:rsidR="00480675">
        <w:t>I</w:t>
      </w:r>
      <w:r>
        <w:t>nvestissements de portefeuille ou d</w:t>
      </w:r>
      <w:r w:rsidR="00E27310">
        <w:t>’</w:t>
      </w:r>
      <w:r w:rsidR="00480675">
        <w:t>I</w:t>
      </w:r>
      <w:r>
        <w:t xml:space="preserve">nvestissements de portefeuille potentiels (y compris les </w:t>
      </w:r>
      <w:r w:rsidR="00480675">
        <w:t>dépenses</w:t>
      </w:r>
      <w:r>
        <w:t xml:space="preserve"> </w:t>
      </w:r>
      <w:r w:rsidR="00480675">
        <w:t>reliées à une opération avortée</w:t>
      </w:r>
      <w:r>
        <w:t xml:space="preserve"> par les investisseurs</w:t>
      </w:r>
      <w:r w:rsidR="00480675">
        <w:t xml:space="preserve"> conjoints</w:t>
      </w:r>
      <w:r>
        <w:t xml:space="preserve"> potentiels), y compris les déplacement</w:t>
      </w:r>
      <w:r w:rsidR="00480675">
        <w:t>s</w:t>
      </w:r>
      <w:r>
        <w:t xml:space="preserve">, </w:t>
      </w:r>
      <w:r w:rsidR="00480675">
        <w:t>les</w:t>
      </w:r>
      <w:r>
        <w:t xml:space="preserve"> repa</w:t>
      </w:r>
      <w:r w:rsidR="00480675">
        <w:t>s</w:t>
      </w:r>
      <w:r>
        <w:t xml:space="preserve"> et </w:t>
      </w:r>
      <w:r w:rsidR="00480675">
        <w:t>l</w:t>
      </w:r>
      <w:r w:rsidR="00E27310">
        <w:t>’</w:t>
      </w:r>
      <w:r>
        <w:t>hébergement (à l</w:t>
      </w:r>
      <w:r w:rsidR="00E27310">
        <w:t>’</w:t>
      </w:r>
      <w:r>
        <w:t xml:space="preserve">exclusion des </w:t>
      </w:r>
      <w:r w:rsidR="0088211C">
        <w:t>dépenses</w:t>
      </w:r>
      <w:r>
        <w:t xml:space="preserve"> de </w:t>
      </w:r>
      <w:r w:rsidR="0088211C">
        <w:t>divertissement</w:t>
      </w:r>
      <w:r>
        <w:t xml:space="preserve"> ou des </w:t>
      </w:r>
      <w:r w:rsidR="0088211C">
        <w:t>coûts</w:t>
      </w:r>
      <w:r>
        <w:t xml:space="preserve"> de transport aérien privé);</w:t>
      </w:r>
      <w:bookmarkEnd w:id="137"/>
    </w:p>
    <w:p w:rsidR="0000160C" w:rsidRDefault="00C517ED" w14:paraId="3363D75E" w14:textId="2FAF2ED5">
      <w:pPr>
        <w:pStyle w:val="ArtBJStyL4"/>
      </w:pPr>
      <w:bookmarkStart w:name="_Ref113892388" w:id="138"/>
      <w:proofErr w:type="gramStart"/>
      <w:r>
        <w:t>tous</w:t>
      </w:r>
      <w:proofErr w:type="gramEnd"/>
      <w:r>
        <w:t xml:space="preserve"> les frais, coûts et dépenses (y compris les frais juridiques) liés aux litiges et aux menaces de litige, aux enquêtes ou à toute autre procédure impliquant le Fonds ou tout Investissement de portefeuille, y compris les </w:t>
      </w:r>
      <w:r w:rsidR="0088211C">
        <w:t>dépenses</w:t>
      </w:r>
      <w:r>
        <w:t xml:space="preserve"> d</w:t>
      </w:r>
      <w:r w:rsidR="00E27310">
        <w:t>’</w:t>
      </w:r>
      <w:r>
        <w:t>indemnisation;</w:t>
      </w:r>
      <w:bookmarkEnd w:id="138"/>
    </w:p>
    <w:p w:rsidR="0000160C" w:rsidRDefault="00C517ED" w14:paraId="1849FD34" w14:textId="7D69113D">
      <w:pPr>
        <w:pStyle w:val="ArtBJStyL4"/>
      </w:pPr>
      <w:bookmarkStart w:name="_Ref113892389" w:id="139"/>
      <w:r>
        <w:t xml:space="preserve">les </w:t>
      </w:r>
      <w:r w:rsidR="0088211C">
        <w:t>frais</w:t>
      </w:r>
      <w:r>
        <w:t xml:space="preserve">, coûts et dépenses </w:t>
      </w:r>
      <w:r w:rsidR="0088211C">
        <w:t>attribuables</w:t>
      </w:r>
      <w:r>
        <w:t xml:space="preserve"> aux opérations bancaires normales et extraordinaires, aux </w:t>
      </w:r>
      <w:r w:rsidR="006F0015">
        <w:t>services</w:t>
      </w:r>
      <w:r>
        <w:t xml:space="preserve"> bancaires d</w:t>
      </w:r>
      <w:r w:rsidR="00E27310">
        <w:t>’</w:t>
      </w:r>
      <w:r>
        <w:t xml:space="preserve">investissement, aux </w:t>
      </w:r>
      <w:r w:rsidR="006F0015">
        <w:t>services</w:t>
      </w:r>
      <w:r>
        <w:t xml:space="preserve"> bancaires commerciales (y compris les frais de comptes bancaires, les </w:t>
      </w:r>
      <w:r w:rsidR="0088211C">
        <w:t>frais</w:t>
      </w:r>
      <w:r>
        <w:t xml:space="preserve"> </w:t>
      </w:r>
      <w:r w:rsidR="0088211C">
        <w:t>de virement</w:t>
      </w:r>
      <w:r>
        <w:t xml:space="preserve">, les frais </w:t>
      </w:r>
      <w:r w:rsidR="0088211C">
        <w:t>d’établissement</w:t>
      </w:r>
      <w:r>
        <w:t xml:space="preserve"> et les frais de change facturés par toute banque), à la comptabilité, à </w:t>
      </w:r>
      <w:r w:rsidR="00673BA3">
        <w:t>la vérification</w:t>
      </w:r>
      <w:r>
        <w:t>, à l</w:t>
      </w:r>
      <w:r w:rsidR="00E27310">
        <w:t>’</w:t>
      </w:r>
      <w:r>
        <w:t>évaluation, à l</w:t>
      </w:r>
      <w:r w:rsidR="00E27310">
        <w:t>’</w:t>
      </w:r>
      <w:r>
        <w:t xml:space="preserve">administration, à la consultation, aux services juridiques (y compris tous les </w:t>
      </w:r>
      <w:r w:rsidR="0088211C">
        <w:t>frais</w:t>
      </w:r>
      <w:r>
        <w:t xml:space="preserve"> et débours </w:t>
      </w:r>
      <w:r w:rsidR="0088211C">
        <w:t>encourus</w:t>
      </w:r>
      <w:r>
        <w:t xml:space="preserve"> pour l</w:t>
      </w:r>
      <w:r w:rsidR="00E27310">
        <w:t>’</w:t>
      </w:r>
      <w:r>
        <w:t xml:space="preserve">entretien régulier ou pour modifier </w:t>
      </w:r>
      <w:r w:rsidR="0088211C">
        <w:t>la présente Convention</w:t>
      </w:r>
      <w:r>
        <w:t xml:space="preserve">, sauf disposition contraire, les </w:t>
      </w:r>
      <w:r w:rsidR="0088211C">
        <w:t>frais</w:t>
      </w:r>
      <w:r>
        <w:t xml:space="preserve"> et dépenses </w:t>
      </w:r>
      <w:r w:rsidR="0088211C">
        <w:t>encourus</w:t>
      </w:r>
      <w:r>
        <w:t xml:space="preserve"> dans le cadre de la négociation et de l</w:t>
      </w:r>
      <w:r w:rsidR="00E27310">
        <w:t>’</w:t>
      </w:r>
      <w:r>
        <w:t xml:space="preserve">entretien des </w:t>
      </w:r>
      <w:r w:rsidR="0088211C">
        <w:t>F</w:t>
      </w:r>
      <w:r>
        <w:t xml:space="preserve">acilités de crédit pour le Fonds et les frais </w:t>
      </w:r>
      <w:r w:rsidR="0088211C">
        <w:t>encourus</w:t>
      </w:r>
      <w:r>
        <w:t xml:space="preserve"> pour l</w:t>
      </w:r>
      <w:r w:rsidR="00E27310">
        <w:t>’</w:t>
      </w:r>
      <w:r>
        <w:t xml:space="preserve">examen des documents juridiques des </w:t>
      </w:r>
      <w:r w:rsidR="0088211C">
        <w:t>I</w:t>
      </w:r>
      <w:r>
        <w:t xml:space="preserve">nvestissements de portefeuille), aux services de </w:t>
      </w:r>
      <w:r w:rsidR="0088211C">
        <w:t>détention</w:t>
      </w:r>
      <w:r>
        <w:t>, de dépôt, d</w:t>
      </w:r>
      <w:r w:rsidR="00E27310">
        <w:t>’</w:t>
      </w:r>
      <w:r>
        <w:t>enregistrement et autres services professionnels fournis au Fonds;</w:t>
      </w:r>
      <w:bookmarkEnd w:id="139"/>
    </w:p>
    <w:p w:rsidR="0000160C" w:rsidRDefault="0088211C" w14:paraId="69837560" w14:textId="1264A20F">
      <w:pPr>
        <w:pStyle w:val="ArtBJStyL4"/>
      </w:pPr>
      <w:bookmarkStart w:name="_Ref113892390" w:id="140"/>
      <w:proofErr w:type="gramStart"/>
      <w:r>
        <w:t>l</w:t>
      </w:r>
      <w:r w:rsidR="00C517ED">
        <w:t>es</w:t>
      </w:r>
      <w:proofErr w:type="gramEnd"/>
      <w:r w:rsidR="00C517ED">
        <w:t xml:space="preserve"> primes raisonnables pour l</w:t>
      </w:r>
      <w:r w:rsidR="00E27310">
        <w:t>’</w:t>
      </w:r>
      <w:r w:rsidR="00C517ED">
        <w:t>assurance responsabilité</w:t>
      </w:r>
      <w:r>
        <w:t xml:space="preserve"> civil</w:t>
      </w:r>
      <w:r w:rsidR="0017498F">
        <w:t>e</w:t>
      </w:r>
      <w:r w:rsidR="00C517ED">
        <w:t xml:space="preserve"> afin de protéger le Fonds et les </w:t>
      </w:r>
      <w:r>
        <w:t>P</w:t>
      </w:r>
      <w:r w:rsidR="00C517ED">
        <w:t>ersonnes couvertes;</w:t>
      </w:r>
      <w:bookmarkEnd w:id="140"/>
    </w:p>
    <w:p w:rsidR="0000160C" w:rsidRDefault="00C517ED" w14:paraId="733ADAA2" w14:textId="2B54D38A">
      <w:pPr>
        <w:pStyle w:val="ArtBJStyL4"/>
      </w:pPr>
      <w:bookmarkStart w:name="_Ref113892391" w:id="141"/>
      <w:proofErr w:type="gramStart"/>
      <w:r>
        <w:t>les</w:t>
      </w:r>
      <w:proofErr w:type="gramEnd"/>
      <w:r>
        <w:t xml:space="preserve"> coûts associés aux </w:t>
      </w:r>
      <w:r w:rsidR="0088211C">
        <w:t>V</w:t>
      </w:r>
      <w:r>
        <w:t xml:space="preserve">éhicules parallèles, aux </w:t>
      </w:r>
      <w:r w:rsidR="0088211C">
        <w:t>V</w:t>
      </w:r>
      <w:r>
        <w:t xml:space="preserve">éhicules </w:t>
      </w:r>
      <w:r w:rsidR="0088211C">
        <w:t>alternatifs</w:t>
      </w:r>
      <w:r>
        <w:t xml:space="preserve"> et aux </w:t>
      </w:r>
      <w:r w:rsidR="0088211C">
        <w:t>Entités nourricières</w:t>
      </w:r>
      <w:r>
        <w:t>;</w:t>
      </w:r>
      <w:bookmarkEnd w:id="141"/>
    </w:p>
    <w:p w:rsidR="0000160C" w:rsidRDefault="00C517ED" w14:paraId="33E2753C" w14:textId="39A9E773">
      <w:pPr>
        <w:pStyle w:val="ArtBJStyL4"/>
      </w:pPr>
      <w:bookmarkStart w:name="_Ref113892392" w:id="142"/>
      <w:proofErr w:type="gramStart"/>
      <w:r>
        <w:t>les</w:t>
      </w:r>
      <w:proofErr w:type="gramEnd"/>
      <w:r>
        <w:t xml:space="preserve"> dépenses </w:t>
      </w:r>
      <w:r w:rsidR="0088211C">
        <w:t>encourues</w:t>
      </w:r>
      <w:r>
        <w:t xml:space="preserve"> ou liées aux </w:t>
      </w:r>
      <w:r w:rsidR="00673BA3">
        <w:t>vérifications</w:t>
      </w:r>
      <w:r>
        <w:t xml:space="preserve"> du Fonds effectué</w:t>
      </w:r>
      <w:r w:rsidR="0017498F">
        <w:t>e</w:t>
      </w:r>
      <w:r>
        <w:t xml:space="preserve">s par les organismes de réglementation, y compris les coûts liés à </w:t>
      </w:r>
      <w:r w:rsidR="0088211C">
        <w:t>la réalisation</w:t>
      </w:r>
      <w:r>
        <w:t xml:space="preserve"> des </w:t>
      </w:r>
      <w:r w:rsidR="00673BA3">
        <w:t>vérifications</w:t>
      </w:r>
      <w:r>
        <w:t xml:space="preserve"> de</w:t>
      </w:r>
      <w:r w:rsidR="0088211C">
        <w:t xml:space="preserve">s autorités fiscales </w:t>
      </w:r>
      <w:r>
        <w:t xml:space="preserve">et les frais encourus pour </w:t>
      </w:r>
      <w:r w:rsidR="0088211C">
        <w:t>l’assistance</w:t>
      </w:r>
      <w:r>
        <w:t xml:space="preserve"> </w:t>
      </w:r>
      <w:r w:rsidR="0088211C">
        <w:t>dans le cadre de</w:t>
      </w:r>
      <w:r>
        <w:t xml:space="preserve"> ces </w:t>
      </w:r>
      <w:r w:rsidR="00673BA3">
        <w:t>vérifications</w:t>
      </w:r>
      <w:r>
        <w:t>;</w:t>
      </w:r>
      <w:bookmarkEnd w:id="142"/>
    </w:p>
    <w:p w:rsidR="0000160C" w:rsidRDefault="00C517ED" w14:paraId="11B8465B" w14:textId="14697404">
      <w:pPr>
        <w:pStyle w:val="ArtBJStyL4"/>
      </w:pPr>
      <w:bookmarkStart w:name="_Ref113892393" w:id="143"/>
      <w:proofErr w:type="gramStart"/>
      <w:r>
        <w:t>les</w:t>
      </w:r>
      <w:proofErr w:type="gramEnd"/>
      <w:r>
        <w:t xml:space="preserve"> </w:t>
      </w:r>
      <w:r w:rsidR="0088211C">
        <w:t>F</w:t>
      </w:r>
      <w:r>
        <w:t>rais de gestion; et</w:t>
      </w:r>
      <w:bookmarkEnd w:id="143"/>
    </w:p>
    <w:p w:rsidR="0000160C" w:rsidRDefault="0088211C" w14:paraId="656FD671" w14:textId="4BCDBD12">
      <w:pPr>
        <w:pStyle w:val="ArtBJStyL4"/>
      </w:pPr>
      <w:bookmarkStart w:name="_Ref113892394" w:id="144"/>
      <w:proofErr w:type="gramStart"/>
      <w:r>
        <w:t>les</w:t>
      </w:r>
      <w:proofErr w:type="gramEnd"/>
      <w:r>
        <w:t xml:space="preserve"> </w:t>
      </w:r>
      <w:r w:rsidR="00C517ED">
        <w:t xml:space="preserve">Dépenses </w:t>
      </w:r>
      <w:r>
        <w:t>organisationnelles</w:t>
      </w:r>
      <w:r w:rsidR="00C517ED">
        <w:t xml:space="preserve"> dans la mesure prévue à </w:t>
      </w:r>
      <w:r>
        <w:t>l’article</w:t>
      </w:r>
      <w:r w:rsidR="00C517ED">
        <w:t> </w:t>
      </w:r>
      <w:r w:rsidRPr="006400F9" w:rsidR="00C517ED">
        <w:fldChar w:fldCharType="begin"/>
      </w:r>
      <w:r w:rsidRPr="006400F9" w:rsidR="00C517ED">
        <w:instrText xml:space="preserve"> REF _Ref40802632 \w \h </w:instrText>
      </w:r>
      <w:r w:rsidRPr="006400F9" w:rsidR="00791303">
        <w:instrText xml:space="preserve"> \* MERGEFORMAT </w:instrText>
      </w:r>
      <w:r w:rsidRPr="006400F9" w:rsidR="00C517ED">
        <w:fldChar w:fldCharType="separate"/>
      </w:r>
      <w:r w:rsidR="00B50BE2">
        <w:t>2.4(c)</w:t>
      </w:r>
      <w:r w:rsidRPr="006400F9" w:rsidR="00C517ED">
        <w:fldChar w:fldCharType="end"/>
      </w:r>
      <w:r w:rsidR="00C517ED">
        <w:t xml:space="preserve"> (</w:t>
      </w:r>
      <w:r w:rsidRPr="00841AFD" w:rsidR="00841AFD">
        <w:rPr>
          <w:i/>
        </w:rPr>
        <w:fldChar w:fldCharType="begin"/>
      </w:r>
      <w:r w:rsidRPr="00841AFD" w:rsidR="00841AFD">
        <w:rPr>
          <w:i/>
        </w:rPr>
        <w:instrText xml:space="preserve"> REF _Ref113883213 \h  \* MERGEFORMAT </w:instrText>
      </w:r>
      <w:r w:rsidRPr="00841AFD" w:rsidR="00841AFD">
        <w:rPr>
          <w:i/>
        </w:rPr>
      </w:r>
      <w:r w:rsidRPr="00841AFD" w:rsidR="00841AFD">
        <w:rPr>
          <w:i/>
        </w:rPr>
        <w:fldChar w:fldCharType="separate"/>
      </w:r>
      <w:r w:rsidRPr="00B50BE2" w:rsidR="00B50BE2">
        <w:rPr>
          <w:i/>
        </w:rPr>
        <w:t>Dépenses du Fonds.</w:t>
      </w:r>
      <w:r w:rsidRPr="00841AFD" w:rsidR="00841AFD">
        <w:rPr>
          <w:i/>
        </w:rPr>
        <w:fldChar w:fldCharType="end"/>
      </w:r>
      <w:r w:rsidR="00C517ED">
        <w:t>).</w:t>
      </w:r>
      <w:bookmarkEnd w:id="144"/>
    </w:p>
    <w:p w:rsidR="0000160C" w:rsidRDefault="00C517ED" w14:paraId="0E828E89" w14:textId="011C5282">
      <w:pPr>
        <w:pStyle w:val="ArtBJStyL3"/>
      </w:pPr>
      <w:bookmarkStart w:name="_Ref113892395" w:id="145"/>
      <w:r>
        <w:t xml:space="preserve">Les dépenses </w:t>
      </w:r>
      <w:r w:rsidR="00D062E3">
        <w:t>énumérées</w:t>
      </w:r>
      <w:r>
        <w:t xml:space="preserve"> </w:t>
      </w:r>
      <w:r w:rsidR="00D062E3">
        <w:t>à l’article</w:t>
      </w:r>
      <w:r>
        <w:t> </w:t>
      </w:r>
      <w:r w:rsidRPr="00DB46DD">
        <w:fldChar w:fldCharType="begin"/>
      </w:r>
      <w:r w:rsidRPr="00DB46DD">
        <w:instrText xml:space="preserve"> REF _Ref40801926 \w \h </w:instrText>
      </w:r>
      <w:r w:rsidRPr="00DB46DD" w:rsidR="00791303">
        <w:instrText xml:space="preserve"> \* MERGEFORMAT </w:instrText>
      </w:r>
      <w:r w:rsidRPr="00DB46DD">
        <w:fldChar w:fldCharType="separate"/>
      </w:r>
      <w:r w:rsidR="00B50BE2">
        <w:t>2.4(a)</w:t>
      </w:r>
      <w:r w:rsidRPr="00DB46DD">
        <w:fldChar w:fldCharType="end"/>
      </w:r>
      <w:r>
        <w:t xml:space="preserve"> (</w:t>
      </w:r>
      <w:r w:rsidRPr="00BD2FE6" w:rsidR="00841AFD">
        <w:rPr>
          <w:i/>
        </w:rPr>
        <w:fldChar w:fldCharType="begin"/>
      </w:r>
      <w:r w:rsidRPr="00BD2FE6" w:rsidR="00841AFD">
        <w:rPr>
          <w:i/>
        </w:rPr>
        <w:instrText xml:space="preserve"> REF _Ref113883213 \h  \* MERGEFORMAT </w:instrText>
      </w:r>
      <w:r w:rsidRPr="00BD2FE6" w:rsidR="00841AFD">
        <w:rPr>
          <w:i/>
        </w:rPr>
      </w:r>
      <w:r w:rsidRPr="00BD2FE6" w:rsidR="00841AFD">
        <w:rPr>
          <w:i/>
        </w:rPr>
        <w:fldChar w:fldCharType="separate"/>
      </w:r>
      <w:r w:rsidRPr="00B50BE2" w:rsidR="00B50BE2">
        <w:rPr>
          <w:i/>
        </w:rPr>
        <w:t>Dépenses du Fonds.</w:t>
      </w:r>
      <w:r w:rsidRPr="00BD2FE6" w:rsidR="00841AFD">
        <w:rPr>
          <w:i/>
        </w:rPr>
        <w:fldChar w:fldCharType="end"/>
      </w:r>
      <w:r>
        <w:t xml:space="preserve">) sont des </w:t>
      </w:r>
      <w:r w:rsidR="00D062E3">
        <w:t>Dépenses</w:t>
      </w:r>
      <w:r>
        <w:t xml:space="preserve"> du Fonds nonobstant le fait qu</w:t>
      </w:r>
      <w:r w:rsidR="00E27310">
        <w:t>’</w:t>
      </w:r>
      <w:r>
        <w:t xml:space="preserve">elles peuvent </w:t>
      </w:r>
      <w:r w:rsidR="00D062E3">
        <w:t>faire l’objet d’un traitement spécial</w:t>
      </w:r>
      <w:r>
        <w:t xml:space="preserve"> ou </w:t>
      </w:r>
      <w:r w:rsidR="00D062E3">
        <w:t xml:space="preserve">être </w:t>
      </w:r>
      <w:r>
        <w:t xml:space="preserve">exclues de la </w:t>
      </w:r>
      <w:r w:rsidR="00D062E3">
        <w:t>définition</w:t>
      </w:r>
      <w:r>
        <w:t xml:space="preserve"> de </w:t>
      </w:r>
      <w:r w:rsidR="00D062E3">
        <w:t>Dépenses</w:t>
      </w:r>
      <w:r>
        <w:t xml:space="preserve"> du Fonds selon les PCGR.</w:t>
      </w:r>
      <w:bookmarkStart w:name="_Ref113892809" w:id="146"/>
      <w:r>
        <w:rPr>
          <w:szCs w:val="22"/>
          <w:vertAlign w:val="superscript"/>
        </w:rPr>
        <w:footnoteReference w:id="63"/>
      </w:r>
      <w:bookmarkEnd w:id="145"/>
      <w:bookmarkEnd w:id="146"/>
    </w:p>
    <w:p w:rsidR="0000160C" w:rsidRDefault="00C517ED" w14:paraId="41A2DD4F" w14:textId="571EE8A2">
      <w:pPr>
        <w:pStyle w:val="ArtBJStyL3"/>
      </w:pPr>
      <w:bookmarkStart w:name="_Ref40802632" w:id="147"/>
      <w:r>
        <w:t xml:space="preserve">Le Fonds </w:t>
      </w:r>
      <w:r w:rsidR="00D062E3">
        <w:t>doit payer</w:t>
      </w:r>
      <w:r>
        <w:t xml:space="preserve"> ou rembourser</w:t>
      </w:r>
      <w:r w:rsidR="00D062E3">
        <w:t xml:space="preserve"> au Commandité</w:t>
      </w:r>
      <w:r>
        <w:t xml:space="preserve"> et </w:t>
      </w:r>
      <w:r w:rsidR="00D062E3">
        <w:t>aux Membres du même groupe</w:t>
      </w:r>
      <w:r w:rsidR="00F65DBE">
        <w:t xml:space="preserve"> que le Commandité</w:t>
      </w:r>
      <w:r>
        <w:t xml:space="preserve"> leur part proportionnelle (calculée conformément </w:t>
      </w:r>
      <w:r w:rsidR="00D062E3">
        <w:t>aux articles</w:t>
      </w:r>
      <w:r>
        <w:t> </w:t>
      </w:r>
      <w:r w:rsidRPr="00BD2FE6">
        <w:fldChar w:fldCharType="begin"/>
      </w:r>
      <w:r w:rsidRPr="00BD2FE6">
        <w:instrText xml:space="preserve"> REF _Ref40802610 \w \h </w:instrText>
      </w:r>
      <w:r w:rsidRPr="00BD2FE6" w:rsidR="00791303">
        <w:instrText xml:space="preserve"> \* MERGEFORMAT </w:instrText>
      </w:r>
      <w:r w:rsidRPr="00BD2FE6">
        <w:fldChar w:fldCharType="separate"/>
      </w:r>
      <w:r w:rsidR="00B50BE2">
        <w:t>2.7</w:t>
      </w:r>
      <w:r w:rsidRPr="00BD2FE6">
        <w:fldChar w:fldCharType="end"/>
      </w:r>
      <w:r>
        <w:t xml:space="preserve"> (</w:t>
      </w:r>
      <w:r w:rsidRPr="00BD2FE6" w:rsidR="00841AFD">
        <w:rPr>
          <w:i/>
        </w:rPr>
        <w:fldChar w:fldCharType="begin"/>
      </w:r>
      <w:r w:rsidRPr="00BD2FE6" w:rsidR="00841AFD">
        <w:rPr>
          <w:i/>
        </w:rPr>
        <w:instrText xml:space="preserve"> REF _Ref113892407 \h  \* MERGEFORMAT </w:instrText>
      </w:r>
      <w:r w:rsidRPr="00BD2FE6" w:rsidR="00841AFD">
        <w:rPr>
          <w:i/>
        </w:rPr>
      </w:r>
      <w:r w:rsidRPr="00BD2FE6" w:rsidR="00841AFD">
        <w:rPr>
          <w:i/>
        </w:rPr>
        <w:fldChar w:fldCharType="separate"/>
      </w:r>
      <w:r w:rsidRPr="00B50BE2" w:rsidR="00B50BE2">
        <w:rPr>
          <w:i/>
        </w:rPr>
        <w:t>Véhicules parallèles</w:t>
      </w:r>
      <w:r w:rsidR="00B50BE2">
        <w:t>.</w:t>
      </w:r>
      <w:r w:rsidRPr="00BD2FE6" w:rsidR="00841AFD">
        <w:fldChar w:fldCharType="end"/>
      </w:r>
      <w:r>
        <w:t>)</w:t>
      </w:r>
      <w:r w:rsidR="00D062E3">
        <w:t xml:space="preserve"> </w:t>
      </w:r>
      <w:r>
        <w:t xml:space="preserve">et </w:t>
      </w:r>
      <w:r w:rsidRPr="00BD2FE6">
        <w:fldChar w:fldCharType="begin"/>
      </w:r>
      <w:r w:rsidRPr="00BD2FE6">
        <w:instrText xml:space="preserve"> REF _Ref40800878 \w \h </w:instrText>
      </w:r>
      <w:r w:rsidRPr="00BD2FE6" w:rsidR="00791303">
        <w:instrText xml:space="preserve"> \* MERGEFORMAT </w:instrText>
      </w:r>
      <w:r w:rsidRPr="00BD2FE6">
        <w:fldChar w:fldCharType="separate"/>
      </w:r>
      <w:r w:rsidR="00B50BE2">
        <w:t>2.8</w:t>
      </w:r>
      <w:r w:rsidRPr="00BD2FE6">
        <w:fldChar w:fldCharType="end"/>
      </w:r>
      <w:r>
        <w:t xml:space="preserve"> (</w:t>
      </w:r>
      <w:r w:rsidRPr="00BD2FE6" w:rsidR="008353C4">
        <w:rPr>
          <w:i/>
        </w:rPr>
        <w:fldChar w:fldCharType="begin"/>
      </w:r>
      <w:r w:rsidRPr="00BD2FE6" w:rsidR="008353C4">
        <w:rPr>
          <w:i/>
        </w:rPr>
        <w:instrText xml:space="preserve"> REF _Ref40800878 \h  \* MERGEFORMAT </w:instrText>
      </w:r>
      <w:r w:rsidRPr="00BD2FE6" w:rsidR="008353C4">
        <w:rPr>
          <w:i/>
        </w:rPr>
      </w:r>
      <w:r w:rsidRPr="00BD2FE6" w:rsidR="008353C4">
        <w:rPr>
          <w:i/>
        </w:rPr>
        <w:fldChar w:fldCharType="separate"/>
      </w:r>
      <w:r w:rsidRPr="00B50BE2" w:rsidR="00B50BE2">
        <w:rPr>
          <w:i/>
        </w:rPr>
        <w:t>Véhicules alternatifs</w:t>
      </w:r>
      <w:r w:rsidR="00B50BE2">
        <w:t>.</w:t>
      </w:r>
      <w:r w:rsidRPr="00BD2FE6" w:rsidR="008353C4">
        <w:fldChar w:fldCharType="end"/>
      </w:r>
      <w:r>
        <w:t xml:space="preserve">)) des </w:t>
      </w:r>
      <w:r w:rsidR="00D062E3">
        <w:t>Dépenses</w:t>
      </w:r>
      <w:r>
        <w:t xml:space="preserve"> </w:t>
      </w:r>
      <w:r w:rsidR="00D062E3">
        <w:t>organisationnelles</w:t>
      </w:r>
      <w:r>
        <w:t xml:space="preserve"> encouru</w:t>
      </w:r>
      <w:r w:rsidR="0017498F">
        <w:t>e</w:t>
      </w:r>
      <w:r>
        <w:t>s par l</w:t>
      </w:r>
      <w:r w:rsidR="00E27310">
        <w:t>’</w:t>
      </w:r>
      <w:r>
        <w:t>un d</w:t>
      </w:r>
      <w:r w:rsidR="00E27310">
        <w:t>’</w:t>
      </w:r>
      <w:r>
        <w:t>entre eux et notifié</w:t>
      </w:r>
      <w:r w:rsidR="0017498F">
        <w:t>e</w:t>
      </w:r>
      <w:r>
        <w:t xml:space="preserve">s aux </w:t>
      </w:r>
      <w:r w:rsidR="00D062E3">
        <w:t>C</w:t>
      </w:r>
      <w:r>
        <w:t>ommanditaires conformément à l</w:t>
      </w:r>
      <w:r w:rsidR="00D062E3">
        <w:t xml:space="preserve">’article </w:t>
      </w:r>
      <w:r w:rsidRPr="00BD2FE6">
        <w:lastRenderedPageBreak/>
        <w:fldChar w:fldCharType="begin"/>
      </w:r>
      <w:r w:rsidRPr="00BD2FE6">
        <w:instrText xml:space="preserve"> REF _Ref40802678 \w \h </w:instrText>
      </w:r>
      <w:r w:rsidRPr="00BD2FE6" w:rsidR="00791303">
        <w:instrText xml:space="preserve"> \* MERGEFORMAT </w:instrText>
      </w:r>
      <w:r w:rsidRPr="00BD2FE6">
        <w:fldChar w:fldCharType="separate"/>
      </w:r>
      <w:r w:rsidR="00B50BE2">
        <w:t>2.4(d)(i)</w:t>
      </w:r>
      <w:r w:rsidRPr="00BD2FE6">
        <w:fldChar w:fldCharType="end"/>
      </w:r>
      <w:r>
        <w:t xml:space="preserve"> (</w:t>
      </w:r>
      <w:r w:rsidRPr="00BD2FE6" w:rsidR="00841AFD">
        <w:rPr>
          <w:i/>
        </w:rPr>
        <w:fldChar w:fldCharType="begin"/>
      </w:r>
      <w:r w:rsidRPr="00BD2FE6" w:rsidR="00841AFD">
        <w:rPr>
          <w:i/>
        </w:rPr>
        <w:instrText xml:space="preserve"> REF _Ref113883213 \h  \* MERGEFORMAT </w:instrText>
      </w:r>
      <w:r w:rsidRPr="00BD2FE6" w:rsidR="00841AFD">
        <w:rPr>
          <w:i/>
        </w:rPr>
      </w:r>
      <w:r w:rsidRPr="00BD2FE6" w:rsidR="00841AFD">
        <w:rPr>
          <w:i/>
        </w:rPr>
        <w:fldChar w:fldCharType="separate"/>
      </w:r>
      <w:r w:rsidRPr="00B50BE2" w:rsidR="00B50BE2">
        <w:rPr>
          <w:i/>
        </w:rPr>
        <w:t>Dépenses du Fonds</w:t>
      </w:r>
      <w:r w:rsidR="00B50BE2">
        <w:t>.</w:t>
      </w:r>
      <w:r w:rsidRPr="00BD2FE6" w:rsidR="00841AFD">
        <w:fldChar w:fldCharType="end"/>
      </w:r>
      <w:r>
        <w:t>) d</w:t>
      </w:r>
      <w:r w:rsidR="00E27310">
        <w:t>’</w:t>
      </w:r>
      <w:r>
        <w:t xml:space="preserve">un montant global ne dépassant pas le </w:t>
      </w:r>
      <w:r w:rsidR="00D062E3">
        <w:t>P</w:t>
      </w:r>
      <w:r>
        <w:t xml:space="preserve">lafond des </w:t>
      </w:r>
      <w:r w:rsidR="00D062E3">
        <w:t>D</w:t>
      </w:r>
      <w:r>
        <w:t xml:space="preserve">épenses </w:t>
      </w:r>
      <w:r w:rsidR="00D062E3">
        <w:t>organisationnelles</w:t>
      </w:r>
      <w:r>
        <w:t>.</w:t>
      </w:r>
      <w:bookmarkEnd w:id="147"/>
    </w:p>
    <w:p w:rsidR="0000160C" w:rsidRDefault="00C517ED" w14:paraId="2010FABD" w14:textId="7E99F56E">
      <w:pPr>
        <w:pStyle w:val="ArtBJStyL3"/>
        <w:keepNext/>
      </w:pPr>
      <w:bookmarkStart w:name="_Ref113892396" w:id="148"/>
      <w:r>
        <w:t xml:space="preserve">Le </w:t>
      </w:r>
      <w:r w:rsidR="00F65DBE">
        <w:t>C</w:t>
      </w:r>
      <w:r>
        <w:t>ommandité doit :</w:t>
      </w:r>
      <w:bookmarkEnd w:id="148"/>
    </w:p>
    <w:p w:rsidR="0000160C" w:rsidRDefault="00D062E3" w14:paraId="466FF2BC" w14:textId="3038D46C">
      <w:pPr>
        <w:pStyle w:val="ArtBJStyL4"/>
      </w:pPr>
      <w:bookmarkStart w:name="_Ref40802678" w:id="149"/>
      <w:proofErr w:type="gramStart"/>
      <w:r>
        <w:t>dès</w:t>
      </w:r>
      <w:proofErr w:type="gramEnd"/>
      <w:r>
        <w:t xml:space="preserve"> que cela est raisonnablement possible après la Date de clôture finale, </w:t>
      </w:r>
      <w:r w:rsidR="00C517ED">
        <w:t xml:space="preserve">aviser les </w:t>
      </w:r>
      <w:r>
        <w:t>C</w:t>
      </w:r>
      <w:r w:rsidR="00C517ED">
        <w:t xml:space="preserve">ommanditaires du montant </w:t>
      </w:r>
      <w:r w:rsidR="00F65DBE">
        <w:t>global</w:t>
      </w:r>
      <w:r w:rsidR="00C517ED">
        <w:t xml:space="preserve"> et fournir une ventilation détaillée de toutes les </w:t>
      </w:r>
      <w:r>
        <w:t>D</w:t>
      </w:r>
      <w:r w:rsidR="00C517ED">
        <w:t xml:space="preserve">épenses </w:t>
      </w:r>
      <w:r>
        <w:t>organisationnelles</w:t>
      </w:r>
      <w:r w:rsidR="00C517ED">
        <w:t xml:space="preserve"> </w:t>
      </w:r>
      <w:r>
        <w:t>encourues</w:t>
      </w:r>
      <w:r w:rsidR="00C517ED">
        <w:t xml:space="preserve"> ou qui seront </w:t>
      </w:r>
      <w:r>
        <w:t>encourues</w:t>
      </w:r>
      <w:r w:rsidR="00C517ED">
        <w:t>, y compris en ce qui concerne les frais juridiques et les</w:t>
      </w:r>
      <w:bookmarkStart w:name="_Ref113892810" w:id="150"/>
      <w:r>
        <w:t xml:space="preserve"> dépenses</w:t>
      </w:r>
      <w:r w:rsidR="00C517ED">
        <w:rPr>
          <w:szCs w:val="22"/>
          <w:vertAlign w:val="superscript"/>
        </w:rPr>
        <w:footnoteReference w:id="64"/>
      </w:r>
      <w:bookmarkEnd w:id="150"/>
      <w:r w:rsidR="00C517ED">
        <w:t>;</w:t>
      </w:r>
      <w:bookmarkEnd w:id="149"/>
      <w:r>
        <w:t xml:space="preserve"> et</w:t>
      </w:r>
    </w:p>
    <w:p w:rsidR="0000160C" w:rsidRDefault="00C517ED" w14:paraId="4FBFFA7A" w14:textId="39064213">
      <w:pPr>
        <w:pStyle w:val="ArtBJStyL4"/>
      </w:pPr>
      <w:bookmarkStart w:name="_Ref113892397" w:id="151"/>
      <w:proofErr w:type="gramStart"/>
      <w:r>
        <w:t>dans</w:t>
      </w:r>
      <w:proofErr w:type="gramEnd"/>
      <w:r>
        <w:t xml:space="preserve"> chaque </w:t>
      </w:r>
      <w:r w:rsidR="00D062E3">
        <w:t>A</w:t>
      </w:r>
      <w:r>
        <w:t xml:space="preserve">vis </w:t>
      </w:r>
      <w:r w:rsidR="00D062E3">
        <w:t>d’appel de versement</w:t>
      </w:r>
      <w:r>
        <w:t xml:space="preserve">, indiquez les montants à utiliser pour financer les </w:t>
      </w:r>
      <w:r w:rsidR="00D062E3">
        <w:t>Dépenses organisationnelles</w:t>
      </w:r>
      <w:r>
        <w:t>.</w:t>
      </w:r>
      <w:bookmarkEnd w:id="151"/>
    </w:p>
    <w:p w:rsidR="0000160C" w:rsidRDefault="00C517ED" w14:paraId="12F8EE8B" w14:textId="6F52714F">
      <w:pPr>
        <w:pStyle w:val="ArtBJStyL3"/>
      </w:pPr>
      <w:bookmarkStart w:name="_Ref113892398" w:id="152"/>
      <w:r>
        <w:t xml:space="preserve">Le </w:t>
      </w:r>
      <w:r w:rsidR="00D062E3">
        <w:t>C</w:t>
      </w:r>
      <w:r>
        <w:t>ommandité confirme qu</w:t>
      </w:r>
      <w:r w:rsidR="00E27310">
        <w:t>’</w:t>
      </w:r>
      <w:r>
        <w:t xml:space="preserve">il ne facturera au Fonds aucune dépense engagée par le </w:t>
      </w:r>
      <w:r w:rsidR="00D062E3">
        <w:t>C</w:t>
      </w:r>
      <w:r>
        <w:t xml:space="preserve">ommandité ou le </w:t>
      </w:r>
      <w:r w:rsidR="00D062E3">
        <w:t>G</w:t>
      </w:r>
      <w:r>
        <w:t xml:space="preserve">estionnaire à compter de la date </w:t>
      </w:r>
      <w:r w:rsidR="00E536D5">
        <w:t>de la présente Convention</w:t>
      </w:r>
      <w:r>
        <w:t xml:space="preserve"> dans le cadre de ses propres questions de conformité interne en vertu des règles, lois et règlements applicables en matière de </w:t>
      </w:r>
      <w:r w:rsidR="00D062E3">
        <w:t>valeurs mobilières</w:t>
      </w:r>
      <w:r>
        <w:t>.</w:t>
      </w:r>
      <w:bookmarkEnd w:id="152"/>
    </w:p>
    <w:p w:rsidR="0000160C" w:rsidRDefault="00F90CA8" w14:paraId="72E40443" w14:textId="6CAED8C3">
      <w:pPr>
        <w:pStyle w:val="ArtBJStyL2"/>
      </w:pPr>
      <w:bookmarkStart w:name="_Ref40801957" w:id="153"/>
      <w:bookmarkStart w:name="_Toc161762313" w:id="154"/>
      <w:r>
        <w:t>Dépenses du Commandité</w:t>
      </w:r>
      <w:r w:rsidR="00C517ED">
        <w:t>.</w:t>
      </w:r>
      <w:bookmarkEnd w:id="153"/>
      <w:bookmarkEnd w:id="154"/>
    </w:p>
    <w:p w:rsidR="0000160C" w:rsidRDefault="00C517ED" w14:paraId="30848044" w14:textId="4AA7CA3E">
      <w:pPr>
        <w:pStyle w:val="ArtBJStyCont2"/>
        <w:keepNext/>
      </w:pPr>
      <w:r>
        <w:t xml:space="preserve">Le </w:t>
      </w:r>
      <w:r w:rsidR="001D035C">
        <w:t>C</w:t>
      </w:r>
      <w:r>
        <w:t xml:space="preserve">ommandité </w:t>
      </w:r>
      <w:r w:rsidR="001D035C">
        <w:t xml:space="preserve">doit </w:t>
      </w:r>
      <w:r>
        <w:t>assume</w:t>
      </w:r>
      <w:r w:rsidR="001D035C">
        <w:t>r</w:t>
      </w:r>
      <w:r>
        <w:t xml:space="preserve"> et </w:t>
      </w:r>
      <w:r w:rsidR="001D035C">
        <w:t>payer</w:t>
      </w:r>
      <w:r>
        <w:t xml:space="preserve">, ou </w:t>
      </w:r>
      <w:r w:rsidR="001D035C">
        <w:t>faire</w:t>
      </w:r>
      <w:r>
        <w:t xml:space="preserve"> en sorte qu</w:t>
      </w:r>
      <w:r w:rsidR="00E27310">
        <w:t>’</w:t>
      </w:r>
      <w:r>
        <w:t>un ou plusieurs de</w:t>
      </w:r>
      <w:r w:rsidR="001D035C">
        <w:t>s Membres du même groupe</w:t>
      </w:r>
      <w:r w:rsidR="00F65DBE">
        <w:t xml:space="preserve"> que le Commandité</w:t>
      </w:r>
      <w:r w:rsidR="001D035C">
        <w:t xml:space="preserve"> </w:t>
      </w:r>
      <w:r>
        <w:t xml:space="preserve">assument et paient, toutes les dépenses </w:t>
      </w:r>
      <w:r w:rsidR="001D035C">
        <w:t>d’exploitation</w:t>
      </w:r>
      <w:r>
        <w:t xml:space="preserve"> normales attribuables aux activités d</w:t>
      </w:r>
      <w:r w:rsidR="001D035C">
        <w:t>’investissement</w:t>
      </w:r>
      <w:r>
        <w:t xml:space="preserve"> du Fonds (les « </w:t>
      </w:r>
      <w:r w:rsidR="00F90CA8">
        <w:rPr>
          <w:b/>
        </w:rPr>
        <w:t>D</w:t>
      </w:r>
      <w:r>
        <w:rPr>
          <w:b/>
        </w:rPr>
        <w:t>épenses d</w:t>
      </w:r>
      <w:r w:rsidR="001D035C">
        <w:rPr>
          <w:b/>
        </w:rPr>
        <w:t>u</w:t>
      </w:r>
      <w:r>
        <w:rPr>
          <w:b/>
        </w:rPr>
        <w:t xml:space="preserve"> </w:t>
      </w:r>
      <w:r w:rsidR="001D035C">
        <w:rPr>
          <w:b/>
        </w:rPr>
        <w:t>C</w:t>
      </w:r>
      <w:r>
        <w:rPr>
          <w:b/>
        </w:rPr>
        <w:t>ommandité</w:t>
      </w:r>
      <w:r>
        <w:t xml:space="preserve"> ») selon les modalités et conditions énoncées </w:t>
      </w:r>
      <w:r w:rsidR="001D035C">
        <w:t>au présent article</w:t>
      </w:r>
      <w:r>
        <w:t> </w:t>
      </w:r>
      <w:r w:rsidRPr="006400F9">
        <w:fldChar w:fldCharType="begin"/>
      </w:r>
      <w:r w:rsidRPr="006400F9">
        <w:instrText xml:space="preserve"> REF _Ref40801957 \w \h </w:instrText>
      </w:r>
      <w:r w:rsidRPr="006400F9" w:rsidR="00791303">
        <w:instrText xml:space="preserve"> \* MERGEFORMAT </w:instrText>
      </w:r>
      <w:r w:rsidRPr="006400F9">
        <w:fldChar w:fldCharType="separate"/>
      </w:r>
      <w:r w:rsidR="00B50BE2">
        <w:t>2.5</w:t>
      </w:r>
      <w:r w:rsidRPr="006400F9">
        <w:fldChar w:fldCharType="end"/>
      </w:r>
      <w:r>
        <w:t xml:space="preserve"> (</w:t>
      </w:r>
      <w:r w:rsidRPr="00BD2FE6" w:rsidR="00841AFD">
        <w:fldChar w:fldCharType="begin"/>
      </w:r>
      <w:r w:rsidRPr="00BD2FE6" w:rsidR="00841AFD">
        <w:instrText xml:space="preserve"> REF _Ref40801957 \h  \* MERGEFORMAT </w:instrText>
      </w:r>
      <w:r w:rsidRPr="00BD2FE6" w:rsidR="00841AFD">
        <w:fldChar w:fldCharType="separate"/>
      </w:r>
      <w:r w:rsidRPr="00B50BE2" w:rsidR="00B50BE2">
        <w:rPr>
          <w:i/>
        </w:rPr>
        <w:t>Dépenses du Commandité</w:t>
      </w:r>
      <w:r w:rsidR="00B50BE2">
        <w:t>.</w:t>
      </w:r>
      <w:r w:rsidRPr="00BD2FE6" w:rsidR="00841AFD">
        <w:fldChar w:fldCharType="end"/>
      </w:r>
      <w:r>
        <w:t xml:space="preserve">). Ces </w:t>
      </w:r>
      <w:r w:rsidR="001D035C">
        <w:t>Dépenses du Commandité</w:t>
      </w:r>
      <w:r>
        <w:t xml:space="preserve"> comprennent les</w:t>
      </w:r>
      <w:r w:rsidR="001D035C">
        <w:t xml:space="preserve"> éléments</w:t>
      </w:r>
      <w:r>
        <w:t xml:space="preserve"> suivants</w:t>
      </w:r>
      <w:bookmarkStart w:name="_Ref113892811" w:id="155"/>
      <w:r>
        <w:rPr>
          <w:szCs w:val="22"/>
          <w:vertAlign w:val="superscript"/>
        </w:rPr>
        <w:footnoteReference w:id="65"/>
      </w:r>
      <w:bookmarkEnd w:id="155"/>
      <w:r w:rsidR="001D035C">
        <w:t> :</w:t>
      </w:r>
    </w:p>
    <w:p w:rsidR="0000160C" w:rsidRDefault="00C517ED" w14:paraId="66398957" w14:textId="4CAEF002">
      <w:pPr>
        <w:pStyle w:val="ArtBJStyL3"/>
      </w:pPr>
      <w:bookmarkStart w:name="_Ref113892399" w:id="156"/>
      <w:r>
        <w:t xml:space="preserve">toutes les dépenses courantes et récurrentes liées aux activités du </w:t>
      </w:r>
      <w:r w:rsidR="001D035C">
        <w:t>C</w:t>
      </w:r>
      <w:r>
        <w:t xml:space="preserve">ommandité ou du </w:t>
      </w:r>
      <w:r w:rsidR="001D035C">
        <w:t>G</w:t>
      </w:r>
      <w:r>
        <w:t>estionnaire pour le compte du Fonds, y compris les conférences de l</w:t>
      </w:r>
      <w:r w:rsidR="00E27310">
        <w:t>’</w:t>
      </w:r>
      <w:r>
        <w:t>industrie, les coûts des services de recherche et d</w:t>
      </w:r>
      <w:r w:rsidR="00E27310">
        <w:t>’</w:t>
      </w:r>
      <w:r>
        <w:t>information, les logiciels et les abonnements, les voyages, les repas, l</w:t>
      </w:r>
      <w:r w:rsidR="00E27310">
        <w:t>’</w:t>
      </w:r>
      <w:r>
        <w:t xml:space="preserve">hébergement, les divertissements et les consultants en </w:t>
      </w:r>
      <w:r w:rsidR="001D035C">
        <w:t>investissement</w:t>
      </w:r>
      <w:r>
        <w:t xml:space="preserve"> (autres que les consultants fournissant des services spécialisés qui ne sont pas habituellement fournis par le </w:t>
      </w:r>
      <w:r w:rsidR="001D035C">
        <w:t>C</w:t>
      </w:r>
      <w:r>
        <w:t xml:space="preserve">ommandité ou le </w:t>
      </w:r>
      <w:r w:rsidR="001D035C">
        <w:t>G</w:t>
      </w:r>
      <w:r>
        <w:t xml:space="preserve">estionnaire), ainsi que les </w:t>
      </w:r>
      <w:r w:rsidR="001D035C">
        <w:t>frais</w:t>
      </w:r>
      <w:r>
        <w:t xml:space="preserve"> et les dépenses des agents de placement;</w:t>
      </w:r>
      <w:bookmarkStart w:name="_Ref113892812" w:id="157"/>
      <w:r>
        <w:rPr>
          <w:szCs w:val="22"/>
          <w:vertAlign w:val="superscript"/>
        </w:rPr>
        <w:footnoteReference w:id="66"/>
      </w:r>
      <w:bookmarkEnd w:id="156"/>
      <w:bookmarkEnd w:id="157"/>
    </w:p>
    <w:p w:rsidR="0000160C" w:rsidRDefault="00C517ED" w14:paraId="4856CA3D" w14:textId="778128C2">
      <w:pPr>
        <w:pStyle w:val="ArtBJStyL3"/>
      </w:pPr>
      <w:bookmarkStart w:name="_Ref113892400" w:id="158"/>
      <w:r>
        <w:t xml:space="preserve">la rémunération et les avantages sociaux des dirigeants et des employés du </w:t>
      </w:r>
      <w:r w:rsidR="001D035C">
        <w:t>C</w:t>
      </w:r>
      <w:r>
        <w:t xml:space="preserve">ommandité, du </w:t>
      </w:r>
      <w:r w:rsidR="001D035C">
        <w:t>Gestionnaire</w:t>
      </w:r>
      <w:r>
        <w:t xml:space="preserve"> et de</w:t>
      </w:r>
      <w:r w:rsidR="001D035C">
        <w:t>s Membres respectifs du même groupe</w:t>
      </w:r>
      <w:r w:rsidR="00F65DBE">
        <w:t xml:space="preserve"> </w:t>
      </w:r>
      <w:r w:rsidR="00335434">
        <w:t>que l’une des Personnes précédentes</w:t>
      </w:r>
      <w:r>
        <w:t xml:space="preserve">, y compris tout le personnel de placement interne, les conseillers juridiques et les professionnels de la comptabilité et des finances employés par le </w:t>
      </w:r>
      <w:r w:rsidR="001D035C">
        <w:t>C</w:t>
      </w:r>
      <w:r>
        <w:t xml:space="preserve">ommandité, le </w:t>
      </w:r>
      <w:r w:rsidR="001D035C">
        <w:t>Gestionnaire</w:t>
      </w:r>
      <w:r>
        <w:t xml:space="preserve"> ou </w:t>
      </w:r>
      <w:r w:rsidR="00E76F71">
        <w:t>les Membres du même groupe</w:t>
      </w:r>
      <w:r w:rsidR="00F65DBE">
        <w:t xml:space="preserve"> </w:t>
      </w:r>
      <w:r w:rsidR="00335434">
        <w:t>que l’une des Personnes précédentes</w:t>
      </w:r>
      <w:r>
        <w:t>;</w:t>
      </w:r>
      <w:bookmarkEnd w:id="158"/>
      <w:r w:rsidR="00023149">
        <w:t xml:space="preserve"> </w:t>
      </w:r>
      <w:r w:rsidRPr="00023149" w:rsidR="00023149">
        <w:rPr>
          <w:b/>
          <w:bCs/>
          <w:highlight w:val="cyan"/>
        </w:rPr>
        <w:t>[</w:t>
      </w:r>
      <w:r w:rsidRPr="00023149" w:rsidR="00023149">
        <w:rPr>
          <w:b/>
          <w:bCs/>
          <w:highlight w:val="cyan"/>
          <w:u w:val="single"/>
        </w:rPr>
        <w:t>Note to CVCA</w:t>
      </w:r>
      <w:r w:rsidRPr="00023149" w:rsidR="00023149">
        <w:rPr>
          <w:b/>
          <w:bCs/>
          <w:highlight w:val="cyan"/>
        </w:rPr>
        <w:t xml:space="preserve"> : </w:t>
      </w:r>
      <w:proofErr w:type="spellStart"/>
      <w:r w:rsidRPr="00023149" w:rsidR="00023149">
        <w:rPr>
          <w:b/>
          <w:bCs/>
          <w:highlight w:val="cyan"/>
        </w:rPr>
        <w:t>Please</w:t>
      </w:r>
      <w:proofErr w:type="spellEnd"/>
      <w:r w:rsidRPr="00023149" w:rsidR="00023149">
        <w:rPr>
          <w:b/>
          <w:bCs/>
          <w:highlight w:val="cyan"/>
        </w:rPr>
        <w:t xml:space="preserve"> note </w:t>
      </w:r>
      <w:proofErr w:type="spellStart"/>
      <w:r w:rsidRPr="00023149" w:rsidR="00023149">
        <w:rPr>
          <w:b/>
          <w:bCs/>
          <w:highlight w:val="cyan"/>
        </w:rPr>
        <w:t>that</w:t>
      </w:r>
      <w:proofErr w:type="spellEnd"/>
      <w:r w:rsidRPr="00023149" w:rsidR="00023149">
        <w:rPr>
          <w:b/>
          <w:bCs/>
          <w:highlight w:val="cyan"/>
        </w:rPr>
        <w:t xml:space="preserve"> the </w:t>
      </w:r>
      <w:proofErr w:type="spellStart"/>
      <w:r w:rsidRPr="00023149" w:rsidR="00023149">
        <w:rPr>
          <w:b/>
          <w:bCs/>
          <w:highlight w:val="cyan"/>
        </w:rPr>
        <w:t>english</w:t>
      </w:r>
      <w:proofErr w:type="spellEnd"/>
      <w:r w:rsidRPr="00023149" w:rsidR="00023149">
        <w:rPr>
          <w:b/>
          <w:bCs/>
          <w:highlight w:val="cyan"/>
        </w:rPr>
        <w:t xml:space="preserve"> version of </w:t>
      </w:r>
      <w:proofErr w:type="spellStart"/>
      <w:r w:rsidRPr="00023149" w:rsidR="00023149">
        <w:rPr>
          <w:b/>
          <w:bCs/>
          <w:highlight w:val="cyan"/>
        </w:rPr>
        <w:t>this</w:t>
      </w:r>
      <w:proofErr w:type="spellEnd"/>
      <w:r w:rsidRPr="00023149" w:rsidR="00023149">
        <w:rPr>
          <w:b/>
          <w:bCs/>
          <w:highlight w:val="cyan"/>
        </w:rPr>
        <w:t xml:space="preserve"> provision </w:t>
      </w:r>
      <w:proofErr w:type="spellStart"/>
      <w:r w:rsidRPr="00023149" w:rsidR="00023149">
        <w:rPr>
          <w:b/>
          <w:bCs/>
          <w:highlight w:val="cyan"/>
        </w:rPr>
        <w:t>repeats</w:t>
      </w:r>
      <w:proofErr w:type="spellEnd"/>
      <w:r w:rsidRPr="00023149" w:rsidR="00023149">
        <w:rPr>
          <w:b/>
          <w:bCs/>
          <w:highlight w:val="cyan"/>
        </w:rPr>
        <w:t xml:space="preserve"> the mention of the General Partner. One mention </w:t>
      </w:r>
      <w:proofErr w:type="spellStart"/>
      <w:r w:rsidRPr="00023149" w:rsidR="00023149">
        <w:rPr>
          <w:b/>
          <w:bCs/>
          <w:highlight w:val="cyan"/>
        </w:rPr>
        <w:t>should</w:t>
      </w:r>
      <w:proofErr w:type="spellEnd"/>
      <w:r w:rsidRPr="00023149" w:rsidR="00023149">
        <w:rPr>
          <w:b/>
          <w:bCs/>
          <w:highlight w:val="cyan"/>
        </w:rPr>
        <w:t xml:space="preserve"> </w:t>
      </w:r>
      <w:proofErr w:type="spellStart"/>
      <w:r w:rsidRPr="00023149" w:rsidR="00023149">
        <w:rPr>
          <w:b/>
          <w:bCs/>
          <w:highlight w:val="cyan"/>
        </w:rPr>
        <w:t>be</w:t>
      </w:r>
      <w:proofErr w:type="spellEnd"/>
      <w:r w:rsidRPr="00023149" w:rsidR="00023149">
        <w:rPr>
          <w:b/>
          <w:bCs/>
          <w:highlight w:val="cyan"/>
        </w:rPr>
        <w:t xml:space="preserve"> </w:t>
      </w:r>
      <w:proofErr w:type="spellStart"/>
      <w:r w:rsidRPr="00023149" w:rsidR="00023149">
        <w:rPr>
          <w:b/>
          <w:bCs/>
          <w:highlight w:val="cyan"/>
        </w:rPr>
        <w:t>removed</w:t>
      </w:r>
      <w:proofErr w:type="spellEnd"/>
      <w:r w:rsidRPr="00023149" w:rsidR="00023149">
        <w:rPr>
          <w:b/>
          <w:bCs/>
          <w:highlight w:val="cyan"/>
        </w:rPr>
        <w:t>.]</w:t>
      </w:r>
    </w:p>
    <w:p w:rsidR="0000160C" w:rsidRDefault="00C517ED" w14:paraId="449954C3" w14:textId="64ED641E">
      <w:pPr>
        <w:pStyle w:val="ArtBJStyL3"/>
      </w:pPr>
      <w:bookmarkStart w:name="_Ref113892401" w:id="159"/>
      <w:proofErr w:type="gramStart"/>
      <w:r>
        <w:t>les</w:t>
      </w:r>
      <w:proofErr w:type="gramEnd"/>
      <w:r>
        <w:t xml:space="preserve"> services </w:t>
      </w:r>
      <w:r w:rsidR="00E76F71">
        <w:t>administratifs</w:t>
      </w:r>
      <w:r>
        <w:t xml:space="preserve">, juridiques, comptables et de soutien généralement fournis par un </w:t>
      </w:r>
      <w:r w:rsidR="00E76F71">
        <w:t>sponsor</w:t>
      </w:r>
      <w:r>
        <w:t xml:space="preserve"> de fonds, qu</w:t>
      </w:r>
      <w:r w:rsidR="00E27310">
        <w:t>’</w:t>
      </w:r>
      <w:r>
        <w:t xml:space="preserve">ils soient </w:t>
      </w:r>
      <w:r w:rsidR="00E76F71">
        <w:t>confiés</w:t>
      </w:r>
      <w:r>
        <w:t xml:space="preserve"> à des </w:t>
      </w:r>
      <w:r w:rsidR="00E76F71">
        <w:t xml:space="preserve">fournisseurs </w:t>
      </w:r>
      <w:r>
        <w:t xml:space="preserve">tiers ou </w:t>
      </w:r>
      <w:r w:rsidR="00E76F71">
        <w:t>exécutés</w:t>
      </w:r>
      <w:r>
        <w:t xml:space="preserve"> par des </w:t>
      </w:r>
      <w:r>
        <w:lastRenderedPageBreak/>
        <w:t xml:space="preserve">employés du </w:t>
      </w:r>
      <w:r w:rsidR="00E76F71">
        <w:t>C</w:t>
      </w:r>
      <w:r>
        <w:t xml:space="preserve">ommandité, du </w:t>
      </w:r>
      <w:r w:rsidR="00E76F71">
        <w:t>Gestionnaire</w:t>
      </w:r>
      <w:r>
        <w:t xml:space="preserve"> et/ou d</w:t>
      </w:r>
      <w:bookmarkEnd w:id="159"/>
      <w:r w:rsidR="00E76F71">
        <w:t>es Membres du même groupe</w:t>
      </w:r>
      <w:r w:rsidR="00F65DBE">
        <w:t xml:space="preserve"> </w:t>
      </w:r>
      <w:r w:rsidR="00335434">
        <w:t>que l’une des Personnes précédentes</w:t>
      </w:r>
      <w:r>
        <w:t>;</w:t>
      </w:r>
    </w:p>
    <w:p w:rsidR="0000160C" w:rsidRDefault="00C517ED" w14:paraId="49558512" w14:textId="2C1BFE1A">
      <w:pPr>
        <w:pStyle w:val="ArtBJStyL3"/>
      </w:pPr>
      <w:bookmarkStart w:name="_Ref113892402" w:id="160"/>
      <w:r>
        <w:t xml:space="preserve">toutes les dépenses </w:t>
      </w:r>
      <w:r w:rsidR="00E643C0">
        <w:t>encourues</w:t>
      </w:r>
      <w:r>
        <w:t xml:space="preserve"> pour maintenir l</w:t>
      </w:r>
      <w:r w:rsidR="00E27310">
        <w:t>’</w:t>
      </w:r>
      <w:r>
        <w:t>inscription du</w:t>
      </w:r>
      <w:r w:rsidR="00E76F71">
        <w:t xml:space="preserve"> C</w:t>
      </w:r>
      <w:r>
        <w:t xml:space="preserve">ommandité ou du </w:t>
      </w:r>
      <w:r w:rsidR="00E76F71">
        <w:t>G</w:t>
      </w:r>
      <w:r>
        <w:t>estionnaire à titre de gestionnaire de fonds d</w:t>
      </w:r>
      <w:r w:rsidR="00E27310">
        <w:t>’</w:t>
      </w:r>
      <w:r>
        <w:t xml:space="preserve">investissement en vertu </w:t>
      </w:r>
      <w:r w:rsidR="00E643C0">
        <w:t>du</w:t>
      </w:r>
      <w:r w:rsidRPr="00E643C0">
        <w:rPr>
          <w:iCs/>
        </w:rPr>
        <w:t xml:space="preserve"> Règlement 31-103 concernant les</w:t>
      </w:r>
      <w:r w:rsidRPr="00E643C0">
        <w:rPr>
          <w:b/>
          <w:bCs/>
          <w:iCs/>
        </w:rPr>
        <w:t xml:space="preserve"> </w:t>
      </w:r>
      <w:r w:rsidR="00E643C0">
        <w:rPr>
          <w:i/>
        </w:rPr>
        <w:t>obligations et dispenses d’inscription et les obligations continues des personnes inscrites</w:t>
      </w:r>
      <w:r>
        <w:t>, le cas échéant, et toute exigence de conformité connexe et tout</w:t>
      </w:r>
      <w:r w:rsidR="00E643C0">
        <w:t xml:space="preserve">e inscription </w:t>
      </w:r>
      <w:r>
        <w:t>auprès d</w:t>
      </w:r>
      <w:r w:rsidR="00E27310">
        <w:t>’</w:t>
      </w:r>
      <w:r>
        <w:t>une autorité réglementaire ou d</w:t>
      </w:r>
      <w:r w:rsidR="00E27310">
        <w:t>’</w:t>
      </w:r>
      <w:r>
        <w:t>un organisme d</w:t>
      </w:r>
      <w:r w:rsidR="00E27310">
        <w:t>’</w:t>
      </w:r>
      <w:r>
        <w:t xml:space="preserve">autoréglementation au fil du temps ou autrement lié à cette inscription; et toutes les taxes imposées en raison des </w:t>
      </w:r>
      <w:r w:rsidR="00E643C0">
        <w:t>F</w:t>
      </w:r>
      <w:r>
        <w:t xml:space="preserve">rais de gestion payés au </w:t>
      </w:r>
      <w:r w:rsidR="00E643C0">
        <w:t>G</w:t>
      </w:r>
      <w:r>
        <w:t>estionnaire;</w:t>
      </w:r>
      <w:bookmarkStart w:name="_Ref113892813" w:id="161"/>
      <w:r>
        <w:rPr>
          <w:rStyle w:val="FootnoteReference"/>
        </w:rPr>
        <w:footnoteReference w:id="67"/>
      </w:r>
      <w:bookmarkEnd w:id="160"/>
      <w:bookmarkEnd w:id="161"/>
    </w:p>
    <w:p w:rsidR="0000160C" w:rsidRDefault="00C517ED" w14:paraId="70DEE146" w14:textId="54979BE0">
      <w:pPr>
        <w:pStyle w:val="ArtBJStyL3"/>
      </w:pPr>
      <w:bookmarkStart w:name="_Ref113892403" w:id="162"/>
      <w:proofErr w:type="gramStart"/>
      <w:r>
        <w:t>les</w:t>
      </w:r>
      <w:proofErr w:type="gramEnd"/>
      <w:r>
        <w:t xml:space="preserve"> </w:t>
      </w:r>
      <w:r w:rsidR="00E643C0">
        <w:t>coûts et dépenses</w:t>
      </w:r>
      <w:r>
        <w:t xml:space="preserve"> de </w:t>
      </w:r>
      <w:r w:rsidR="00E643C0">
        <w:t>divertissement</w:t>
      </w:r>
      <w:r>
        <w:t xml:space="preserve">, y compris les </w:t>
      </w:r>
      <w:r w:rsidR="00E643C0">
        <w:t>frais</w:t>
      </w:r>
      <w:r>
        <w:t xml:space="preserve"> des </w:t>
      </w:r>
      <w:r w:rsidR="00E643C0">
        <w:t>conférenciers</w:t>
      </w:r>
      <w:r>
        <w:t>, encourus à l</w:t>
      </w:r>
      <w:r w:rsidR="00E27310">
        <w:t>’</w:t>
      </w:r>
      <w:r>
        <w:t>occasion de conférences ou de réunions;</w:t>
      </w:r>
      <w:bookmarkEnd w:id="162"/>
    </w:p>
    <w:p w:rsidR="0000160C" w:rsidRDefault="00C517ED" w14:paraId="31751D30" w14:textId="34DDE3EF">
      <w:pPr>
        <w:pStyle w:val="ArtBJStyL3"/>
      </w:pPr>
      <w:bookmarkStart w:name="_Ref113892404" w:id="163"/>
      <w:proofErr w:type="gramStart"/>
      <w:r>
        <w:t>les</w:t>
      </w:r>
      <w:proofErr w:type="gramEnd"/>
      <w:r>
        <w:t xml:space="preserve"> </w:t>
      </w:r>
      <w:r w:rsidR="00E643C0">
        <w:t>locaux à bureaux</w:t>
      </w:r>
      <w:r>
        <w:t xml:space="preserve">, le mobilier, les ordinateurs, les téléphones, les installations, les services publics et les communications, y compris les coûts de maintenance de tout portail Web du </w:t>
      </w:r>
      <w:r w:rsidR="00E643C0">
        <w:t>C</w:t>
      </w:r>
      <w:r>
        <w:t xml:space="preserve">ommandité, du </w:t>
      </w:r>
      <w:r w:rsidR="00E643C0">
        <w:t>G</w:t>
      </w:r>
      <w:r>
        <w:t xml:space="preserve">estionnaire ou du </w:t>
      </w:r>
      <w:r w:rsidR="00E643C0">
        <w:t>F</w:t>
      </w:r>
      <w:r>
        <w:t>onds; et</w:t>
      </w:r>
      <w:bookmarkEnd w:id="163"/>
    </w:p>
    <w:p w:rsidR="0000160C" w:rsidRDefault="00C517ED" w14:paraId="74ED7D7F" w14:textId="140EE1D6">
      <w:pPr>
        <w:pStyle w:val="ArtBJStyL3"/>
      </w:pPr>
      <w:bookmarkStart w:name="_Ref113892405" w:id="164"/>
      <w:proofErr w:type="gramStart"/>
      <w:r>
        <w:t>tous</w:t>
      </w:r>
      <w:proofErr w:type="gramEnd"/>
      <w:r>
        <w:t xml:space="preserve"> les coûts de </w:t>
      </w:r>
      <w:r w:rsidR="00E643C0">
        <w:t>remédier</w:t>
      </w:r>
      <w:r>
        <w:t xml:space="preserve"> </w:t>
      </w:r>
      <w:r w:rsidR="00E643C0">
        <w:t>à un</w:t>
      </w:r>
      <w:r>
        <w:t xml:space="preserve"> </w:t>
      </w:r>
      <w:r w:rsidR="00E643C0">
        <w:t>É</w:t>
      </w:r>
      <w:r>
        <w:t xml:space="preserve">vénement </w:t>
      </w:r>
      <w:r w:rsidR="00E643C0">
        <w:t>déclencheur</w:t>
      </w:r>
      <w:r>
        <w:t xml:space="preserve">, </w:t>
      </w:r>
      <w:r w:rsidR="00E26C66">
        <w:t xml:space="preserve">un </w:t>
      </w:r>
      <w:r w:rsidR="00E643C0">
        <w:t>É</w:t>
      </w:r>
      <w:r>
        <w:t>vénement d</w:t>
      </w:r>
      <w:r w:rsidR="00E27310">
        <w:t>’</w:t>
      </w:r>
      <w:r>
        <w:t>exclusion d</w:t>
      </w:r>
      <w:r w:rsidR="00F65DBE">
        <w:t>e l’</w:t>
      </w:r>
      <w:r>
        <w:t xml:space="preserve">indemnisation ou </w:t>
      </w:r>
      <w:r w:rsidR="00E26C66">
        <w:t>une Conduite sujette à destitution</w:t>
      </w:r>
      <w:r>
        <w:t xml:space="preserve"> et toutes les taxes ou autres dépenses encourues par le Fonds ou le </w:t>
      </w:r>
      <w:r w:rsidR="00E26C66">
        <w:t>Commandité</w:t>
      </w:r>
      <w:r>
        <w:t xml:space="preserve"> ou </w:t>
      </w:r>
      <w:r w:rsidR="00E26C66">
        <w:t>l’un des Membres du même groupe</w:t>
      </w:r>
      <w:r w:rsidR="00F65DBE">
        <w:t xml:space="preserve"> que le Commandité</w:t>
      </w:r>
      <w:r>
        <w:t xml:space="preserve"> relativement aux </w:t>
      </w:r>
      <w:r w:rsidR="00E26C66">
        <w:t>Distributions spéciales</w:t>
      </w:r>
      <w:r>
        <w:t>.</w:t>
      </w:r>
      <w:bookmarkEnd w:id="164"/>
    </w:p>
    <w:p w:rsidR="0000160C" w:rsidRDefault="00C517ED" w14:paraId="55F460C7" w14:textId="77777777">
      <w:pPr>
        <w:pStyle w:val="ArtBJStyL2"/>
      </w:pPr>
      <w:bookmarkStart w:name="_Ref113892406" w:id="165"/>
      <w:bookmarkStart w:name="_Toc161762314" w:id="166"/>
      <w:r>
        <w:t>Monnaie.</w:t>
      </w:r>
      <w:bookmarkEnd w:id="165"/>
      <w:bookmarkEnd w:id="166"/>
    </w:p>
    <w:p w:rsidR="0000160C" w:rsidRDefault="00C517ED" w14:paraId="1B31A503" w14:textId="770CAA1F">
      <w:pPr>
        <w:pStyle w:val="ArtBJStyCont2"/>
      </w:pPr>
      <w:r>
        <w:t xml:space="preserve">Tous les </w:t>
      </w:r>
      <w:r w:rsidR="00E26C66">
        <w:t xml:space="preserve">apports </w:t>
      </w:r>
      <w:r w:rsidR="0082726A">
        <w:t>par</w:t>
      </w:r>
      <w:r>
        <w:t xml:space="preserve"> et distributions aux </w:t>
      </w:r>
      <w:r w:rsidR="00E26C66">
        <w:t>Associés</w:t>
      </w:r>
      <w:r>
        <w:t xml:space="preserve">, tous les calculs effectués en vertu </w:t>
      </w:r>
      <w:r w:rsidR="00E536D5">
        <w:t>de la présente Convention</w:t>
      </w:r>
      <w:r>
        <w:t xml:space="preserve"> et tous les comptes des </w:t>
      </w:r>
      <w:r w:rsidR="00E26C66">
        <w:t>Associés</w:t>
      </w:r>
      <w:r>
        <w:t xml:space="preserve"> ou du Fonds doivent être effectués, préparés et tenus (selon le cas) en </w:t>
      </w:r>
      <w:r>
        <w:rPr>
          <w:b/>
          <w:highlight w:val="yellow"/>
        </w:rPr>
        <w:t>[dollars canadiens]</w:t>
      </w:r>
      <w:r>
        <w:rPr>
          <w:b/>
        </w:rPr>
        <w:t>.</w:t>
      </w:r>
    </w:p>
    <w:p w:rsidR="0000160C" w:rsidRDefault="00C517ED" w14:paraId="5A941B16" w14:textId="77777777">
      <w:pPr>
        <w:pStyle w:val="ArtBJStyL2"/>
      </w:pPr>
      <w:bookmarkStart w:name="_Ref113892407" w:id="167"/>
      <w:bookmarkStart w:name="_Ref40802610" w:id="168"/>
      <w:bookmarkStart w:name="_Toc161762315" w:id="169"/>
      <w:r>
        <w:t>Véhicules parallèles.</w:t>
      </w:r>
      <w:bookmarkStart w:name="_Ref113892814" w:id="170"/>
      <w:r>
        <w:rPr>
          <w:rFonts w:ascii="Times New Roman" w:hAnsi="Times New Roman"/>
          <w:b w:val="0"/>
          <w:szCs w:val="22"/>
          <w:vertAlign w:val="superscript"/>
        </w:rPr>
        <w:footnoteReference w:id="68"/>
      </w:r>
      <w:bookmarkEnd w:id="167"/>
      <w:bookmarkEnd w:id="168"/>
      <w:bookmarkEnd w:id="169"/>
      <w:bookmarkEnd w:id="170"/>
    </w:p>
    <w:p w:rsidR="0000160C" w:rsidRDefault="00C517ED" w14:paraId="7EE00144" w14:textId="3152ABCD">
      <w:pPr>
        <w:pStyle w:val="ArtBJStyL3"/>
      </w:pPr>
      <w:bookmarkStart w:name="_Ref113892408" w:id="171"/>
      <w:bookmarkStart w:name="_Ref40802124" w:id="172"/>
      <w:r>
        <w:t xml:space="preserve">Au plus tard à la </w:t>
      </w:r>
      <w:r w:rsidR="00E26C66">
        <w:t>D</w:t>
      </w:r>
      <w:r>
        <w:t xml:space="preserve">ate de clôture finale, le </w:t>
      </w:r>
      <w:r w:rsidR="00E26C66">
        <w:t>C</w:t>
      </w:r>
      <w:r>
        <w:t xml:space="preserve">ommandité ou </w:t>
      </w:r>
      <w:r w:rsidR="00E26C66">
        <w:t>un Membre du même groupe</w:t>
      </w:r>
      <w:r w:rsidR="00F65DBE">
        <w:t xml:space="preserve"> que le Commandité</w:t>
      </w:r>
      <w:r>
        <w:t xml:space="preserve"> peut, pour tenir compte des considérations juridiques, fiscales ou réglementaires de certains investisseurs et du Fonds, constituer un ou plusieurs véhicules d</w:t>
      </w:r>
      <w:r w:rsidR="00E26C66">
        <w:t xml:space="preserve">’investissement </w:t>
      </w:r>
      <w:r>
        <w:t xml:space="preserve">en commun pour </w:t>
      </w:r>
      <w:r w:rsidR="00E26C66">
        <w:t>effectuer un investissement conjoint</w:t>
      </w:r>
      <w:r>
        <w:t xml:space="preserve"> avec le Fonds (chacun, un « </w:t>
      </w:r>
      <w:r w:rsidR="00E26C66">
        <w:rPr>
          <w:b/>
        </w:rPr>
        <w:t>V</w:t>
      </w:r>
      <w:r>
        <w:rPr>
          <w:b/>
        </w:rPr>
        <w:t>éhicule parallèle</w:t>
      </w:r>
      <w:r w:rsidR="00E26C66">
        <w:t> »</w:t>
      </w:r>
      <w:r>
        <w:t xml:space="preserve">). Chaque </w:t>
      </w:r>
      <w:r w:rsidR="00E26C66">
        <w:t>V</w:t>
      </w:r>
      <w:r>
        <w:t xml:space="preserve">éhicule parallèle sera contrôlé par le </w:t>
      </w:r>
      <w:r w:rsidR="00E26C66">
        <w:t>Commandité</w:t>
      </w:r>
      <w:r>
        <w:t xml:space="preserve"> ou </w:t>
      </w:r>
      <w:r w:rsidR="00E26C66">
        <w:t>un Membre du même groupe</w:t>
      </w:r>
      <w:r w:rsidR="00F65DBE">
        <w:t xml:space="preserve"> que le Commandité</w:t>
      </w:r>
      <w:r>
        <w:t>, sera géré par le</w:t>
      </w:r>
      <w:r w:rsidR="00E26C66">
        <w:t xml:space="preserve"> G</w:t>
      </w:r>
      <w:r>
        <w:t xml:space="preserve">estionnaire ou </w:t>
      </w:r>
      <w:r w:rsidR="00E26C66">
        <w:t>un Membre du même groupe</w:t>
      </w:r>
      <w:r w:rsidR="00F65DBE">
        <w:t xml:space="preserve"> que le Gestionnaire</w:t>
      </w:r>
      <w:r w:rsidR="00E26C66">
        <w:t xml:space="preserve"> </w:t>
      </w:r>
      <w:r>
        <w:t xml:space="preserve">et sera régi par des documents organisationnels contenant des dispositions </w:t>
      </w:r>
      <w:r w:rsidR="006D6387">
        <w:t>substantiellement</w:t>
      </w:r>
      <w:r>
        <w:t xml:space="preserve"> les mêmes à tous égards importants que celles du Fonds (y compris </w:t>
      </w:r>
      <w:r w:rsidR="00E26C66">
        <w:t>la présente Convention</w:t>
      </w:r>
      <w:r>
        <w:t xml:space="preserve">), avec seulement les différences qui peuvent être requises, ou demandées par ses Investisseurs, pour tenir compte des considérations juridiques, fiscales ou réglementaires mentionnées dans la phrase précédente. Le </w:t>
      </w:r>
      <w:r w:rsidR="00E26C66">
        <w:t>C</w:t>
      </w:r>
      <w:r>
        <w:t xml:space="preserve">ommandité doit, sous réserve de ces considérations juridiques, fiscales ou réglementaires, faire en sorte que chaque </w:t>
      </w:r>
      <w:r w:rsidR="00E26C66">
        <w:t>V</w:t>
      </w:r>
      <w:r>
        <w:t>éhicule parallèle</w:t>
      </w:r>
      <w:r w:rsidR="00E26C66">
        <w:t xml:space="preserve"> effectue des </w:t>
      </w:r>
      <w:r w:rsidR="00E26C66">
        <w:lastRenderedPageBreak/>
        <w:t>investissement</w:t>
      </w:r>
      <w:r w:rsidR="0017498F">
        <w:t>s</w:t>
      </w:r>
      <w:r w:rsidR="00E26C66">
        <w:t xml:space="preserve"> conjoint</w:t>
      </w:r>
      <w:r w:rsidR="0017498F">
        <w:t>s</w:t>
      </w:r>
      <w:r w:rsidR="00E26C66">
        <w:t xml:space="preserve"> </w:t>
      </w:r>
      <w:r>
        <w:t xml:space="preserve">avec le </w:t>
      </w:r>
      <w:r w:rsidR="00E26C66">
        <w:t>F</w:t>
      </w:r>
      <w:r>
        <w:t xml:space="preserve">onds dans chaque </w:t>
      </w:r>
      <w:r w:rsidR="00E26C66">
        <w:t>S</w:t>
      </w:r>
      <w:r>
        <w:t xml:space="preserve">ociété de portefeuille </w:t>
      </w:r>
      <w:r w:rsidR="00E26C66">
        <w:t>en proportion</w:t>
      </w:r>
      <w:r>
        <w:t xml:space="preserve"> </w:t>
      </w:r>
      <w:r w:rsidR="00E26C66">
        <w:t xml:space="preserve">des </w:t>
      </w:r>
      <w:r w:rsidR="00F65DBE">
        <w:t>engagements en capital</w:t>
      </w:r>
      <w:r>
        <w:t xml:space="preserve"> respectifs des </w:t>
      </w:r>
      <w:r w:rsidR="00E26C66">
        <w:t>V</w:t>
      </w:r>
      <w:r>
        <w:t xml:space="preserve">éhicules parallèles et du </w:t>
      </w:r>
      <w:r w:rsidR="00E26C66">
        <w:t>F</w:t>
      </w:r>
      <w:r>
        <w:t xml:space="preserve">onds. </w:t>
      </w:r>
      <w:bookmarkEnd w:id="171"/>
      <w:bookmarkEnd w:id="172"/>
    </w:p>
    <w:p w:rsidR="0000160C" w:rsidRDefault="00C517ED" w14:paraId="729D8B94" w14:textId="0FC3CAFE">
      <w:pPr>
        <w:pStyle w:val="ArtBJStyL3"/>
      </w:pPr>
      <w:bookmarkStart w:name="_Ref113892409" w:id="173"/>
      <w:r>
        <w:t xml:space="preserve">Chaque investissement par un </w:t>
      </w:r>
      <w:r w:rsidR="00E26C66">
        <w:t>V</w:t>
      </w:r>
      <w:r>
        <w:t xml:space="preserve">éhicule parallèle est, sous réserve de considérations juridiques, fiscales ou réglementaires, </w:t>
      </w:r>
      <w:r w:rsidR="00E26C66">
        <w:t>effectué</w:t>
      </w:r>
      <w:r>
        <w:t xml:space="preserve"> </w:t>
      </w:r>
      <w:r w:rsidR="006D6387">
        <w:t>substantiellement</w:t>
      </w:r>
      <w:r>
        <w:t xml:space="preserve"> </w:t>
      </w:r>
      <w:r w:rsidR="00E26C66">
        <w:t>selon les</w:t>
      </w:r>
      <w:r>
        <w:t xml:space="preserve"> mêmes </w:t>
      </w:r>
      <w:r w:rsidR="00E26C66">
        <w:t>modalités</w:t>
      </w:r>
      <w:r w:rsidR="009739E2">
        <w:t>,</w:t>
      </w:r>
      <w:r>
        <w:t xml:space="preserve"> et </w:t>
      </w:r>
      <w:r w:rsidR="00E26C66">
        <w:t>selon des modalités</w:t>
      </w:r>
      <w:r>
        <w:t xml:space="preserve"> économiques qui ne sont pas plus favorables à ce </w:t>
      </w:r>
      <w:r w:rsidR="00E26C66">
        <w:t>V</w:t>
      </w:r>
      <w:r>
        <w:t>éhicule parallèle que celles</w:t>
      </w:r>
      <w:r w:rsidR="009739E2">
        <w:t>,</w:t>
      </w:r>
      <w:r>
        <w:t xml:space="preserve"> dont bénéficie le Fonds. En ce qui concerne chaque </w:t>
      </w:r>
      <w:r w:rsidR="00E26C66">
        <w:t>investissement</w:t>
      </w:r>
      <w:r>
        <w:t xml:space="preserve"> auquel un Véhicule parallèle participe (ou se propose de participer) avec le Fonds, toutes les dépenses</w:t>
      </w:r>
      <w:r w:rsidR="00E26C66">
        <w:t xml:space="preserve">, indemnisations </w:t>
      </w:r>
      <w:r>
        <w:t xml:space="preserve">ou autres obligations liées à un tel investissement sont à la charge du Fonds et de ce Véhicule parallèle, et tous les Revenus </w:t>
      </w:r>
      <w:r w:rsidR="00E26C66">
        <w:t>de frais</w:t>
      </w:r>
      <w:r>
        <w:t xml:space="preserve"> sont </w:t>
      </w:r>
      <w:r w:rsidR="00BA232E">
        <w:t>attribués</w:t>
      </w:r>
      <w:r>
        <w:t xml:space="preserve"> entre le Fonds et ce Véhicule parallèle au prorata du capital engagé ou proposé </w:t>
      </w:r>
      <w:r w:rsidR="005731D5">
        <w:t xml:space="preserve">d’être engagé </w:t>
      </w:r>
      <w:r>
        <w:t>par chacun d</w:t>
      </w:r>
      <w:r w:rsidR="005731D5">
        <w:t>ans cet investissement</w:t>
      </w:r>
      <w:r>
        <w:t xml:space="preserve">, à condition que chaque Véhicule parallèle assume sa part des </w:t>
      </w:r>
      <w:r w:rsidR="00D062E3">
        <w:t>Dépenses organisationnelles</w:t>
      </w:r>
      <w:r>
        <w:t xml:space="preserve"> et des Dépenses du Fonds au prorata des engagements en capital respectifs du Fonds et des Véhicules parallèles, sous réserve de tout ajustement que le </w:t>
      </w:r>
      <w:r w:rsidR="005731D5">
        <w:t>Commandité</w:t>
      </w:r>
      <w:r>
        <w:t xml:space="preserve"> peut raisonnablement et de bonne foi </w:t>
      </w:r>
      <w:r w:rsidR="005731D5">
        <w:t>déterminer comme étant équitable</w:t>
      </w:r>
      <w:r>
        <w:t xml:space="preserve"> pour le Fonds et les Véhicules parallèles. Le </w:t>
      </w:r>
      <w:r w:rsidR="005731D5">
        <w:t>C</w:t>
      </w:r>
      <w:r>
        <w:t xml:space="preserve">ommandité doit, sous réserve de considérations juridiques, fiscales ou réglementaires, faire en sorte que le Fonds et les </w:t>
      </w:r>
      <w:r w:rsidR="005731D5">
        <w:t>V</w:t>
      </w:r>
      <w:r>
        <w:t xml:space="preserve">éhicules parallèles vendent ou cèdent autrement leurs </w:t>
      </w:r>
      <w:r w:rsidR="00B22DE5">
        <w:t>participations</w:t>
      </w:r>
      <w:r>
        <w:t xml:space="preserve"> </w:t>
      </w:r>
      <w:r w:rsidR="00B22DE5">
        <w:t>respectives</w:t>
      </w:r>
      <w:r>
        <w:t xml:space="preserve"> dans une </w:t>
      </w:r>
      <w:r w:rsidR="005731D5">
        <w:t>S</w:t>
      </w:r>
      <w:r>
        <w:t xml:space="preserve">ociété de portefeuille en même temps et selon les mêmes </w:t>
      </w:r>
      <w:r w:rsidR="005731D5">
        <w:t>modalités</w:t>
      </w:r>
      <w:r>
        <w:t xml:space="preserve">, </w:t>
      </w:r>
      <w:r w:rsidR="007068EF">
        <w:t xml:space="preserve">à condition que ces dernières soient </w:t>
      </w:r>
      <w:r>
        <w:t>proportionnelle</w:t>
      </w:r>
      <w:r w:rsidR="00656824">
        <w:t>s</w:t>
      </w:r>
      <w:r>
        <w:t xml:space="preserve"> à leurs </w:t>
      </w:r>
      <w:r w:rsidR="007A0748">
        <w:t>participations</w:t>
      </w:r>
      <w:r>
        <w:t xml:space="preserve"> </w:t>
      </w:r>
      <w:r w:rsidRPr="00023149">
        <w:t>respecti</w:t>
      </w:r>
      <w:r w:rsidRPr="00023149" w:rsidR="007A0748">
        <w:t>ve</w:t>
      </w:r>
      <w:r w:rsidRPr="00023149">
        <w:t>s.</w:t>
      </w:r>
      <w:bookmarkEnd w:id="173"/>
    </w:p>
    <w:p w:rsidR="0000160C" w:rsidRDefault="00C517ED" w14:paraId="2100B2F7" w14:textId="77777777">
      <w:pPr>
        <w:pStyle w:val="ArtBJStyL2"/>
      </w:pPr>
      <w:bookmarkStart w:name="_Ref40800878" w:id="174"/>
      <w:bookmarkStart w:name="_Toc161762316" w:id="175"/>
      <w:r>
        <w:t>Véhicules alternatifs.</w:t>
      </w:r>
      <w:bookmarkEnd w:id="174"/>
      <w:bookmarkEnd w:id="175"/>
    </w:p>
    <w:p w:rsidR="0000160C" w:rsidRDefault="00C517ED" w14:paraId="32DE6D7F" w14:textId="3E583870">
      <w:pPr>
        <w:pStyle w:val="ArtBJStyL3"/>
      </w:pPr>
      <w:bookmarkStart w:name="_Ref113892410" w:id="176"/>
      <w:bookmarkStart w:name="_Ref40802713" w:id="177"/>
      <w:r>
        <w:t xml:space="preserve">Si, à un moment quelconque, le </w:t>
      </w:r>
      <w:r w:rsidR="00A53F3C">
        <w:t>C</w:t>
      </w:r>
      <w:r>
        <w:t xml:space="preserve">ommandité détermine que, pour des raisons juridiques, fiscales ou réglementaires, il serait dans </w:t>
      </w:r>
      <w:r w:rsidR="00A53F3C">
        <w:t>le meilleur intérêt</w:t>
      </w:r>
      <w:r>
        <w:t xml:space="preserve"> des </w:t>
      </w:r>
      <w:r w:rsidR="00A53F3C">
        <w:t>Commanditaires</w:t>
      </w:r>
      <w:r>
        <w:t xml:space="preserve"> que certains ou tous les </w:t>
      </w:r>
      <w:r w:rsidR="00A53F3C">
        <w:t>Commanditaires</w:t>
      </w:r>
      <w:r>
        <w:t xml:space="preserve"> participent à un </w:t>
      </w:r>
      <w:r w:rsidR="00A53F3C">
        <w:t>Investissement</w:t>
      </w:r>
      <w:r>
        <w:t xml:space="preserve"> de portefeuille par </w:t>
      </w:r>
      <w:r w:rsidR="00A53F3C">
        <w:t>l’entremise</w:t>
      </w:r>
      <w:r>
        <w:t xml:space="preserve"> d</w:t>
      </w:r>
      <w:r w:rsidR="00E27310">
        <w:t>’</w:t>
      </w:r>
      <w:r>
        <w:t xml:space="preserve">une ou de plusieurs structures </w:t>
      </w:r>
      <w:r w:rsidR="00A53F3C">
        <w:t>d’investissement</w:t>
      </w:r>
      <w:r w:rsidR="00140041">
        <w:t xml:space="preserve"> alternatives</w:t>
      </w:r>
      <w:r>
        <w:t xml:space="preserve">, le </w:t>
      </w:r>
      <w:r w:rsidR="00140041">
        <w:t>C</w:t>
      </w:r>
      <w:r>
        <w:t>ommandité peut effectuer la totalité ou une partie de ce</w:t>
      </w:r>
      <w:r w:rsidR="00140041">
        <w:t xml:space="preserve">t investissement </w:t>
      </w:r>
      <w:r>
        <w:t>à l</w:t>
      </w:r>
      <w:r w:rsidR="00E27310">
        <w:t>’</w:t>
      </w:r>
      <w:r>
        <w:t xml:space="preserve">extérieur du Fonds en exigeant que certains ou tous les </w:t>
      </w:r>
      <w:r w:rsidR="00140041">
        <w:t>Commanditaires</w:t>
      </w:r>
      <w:r>
        <w:t xml:space="preserve"> fassent des </w:t>
      </w:r>
      <w:r w:rsidR="00140041">
        <w:t>apports</w:t>
      </w:r>
      <w:r>
        <w:t xml:space="preserve"> </w:t>
      </w:r>
      <w:r w:rsidR="00140041">
        <w:t>de</w:t>
      </w:r>
      <w:r>
        <w:t xml:space="preserve"> capital relativement à ce</w:t>
      </w:r>
      <w:r w:rsidR="00140041">
        <w:t xml:space="preserve">t Investissement </w:t>
      </w:r>
      <w:r>
        <w:t xml:space="preserve">de portefeuille potentiel à une société en commandite ou à un autre véhicule similaire qui assurerait la responsabilité limitée des </w:t>
      </w:r>
      <w:r w:rsidR="00140041">
        <w:t>Commanditaires</w:t>
      </w:r>
      <w:r>
        <w:t xml:space="preserve"> qui y investissent (chacun, un « </w:t>
      </w:r>
      <w:r w:rsidRPr="00140041" w:rsidR="00140041">
        <w:rPr>
          <w:b/>
          <w:bCs/>
        </w:rPr>
        <w:t>Véhicule alternatif</w:t>
      </w:r>
      <w:r>
        <w:t xml:space="preserve">, </w:t>
      </w:r>
      <w:r w:rsidR="00140041">
        <w:t>à condition</w:t>
      </w:r>
      <w:r>
        <w:t xml:space="preserve"> qu</w:t>
      </w:r>
      <w:r w:rsidR="00E27310">
        <w:t>’</w:t>
      </w:r>
      <w:r>
        <w:t xml:space="preserve">aucun </w:t>
      </w:r>
      <w:r w:rsidR="00140041">
        <w:t>Commanditaire</w:t>
      </w:r>
      <w:r>
        <w:t xml:space="preserve"> ne soit tenu de participer à un tel </w:t>
      </w:r>
      <w:r w:rsidR="00140041">
        <w:t>intermédiaire</w:t>
      </w:r>
      <w:r>
        <w:t xml:space="preserve"> par </w:t>
      </w:r>
      <w:r w:rsidR="00140041">
        <w:t>l’entremise</w:t>
      </w:r>
      <w:r>
        <w:t xml:space="preserve"> d</w:t>
      </w:r>
      <w:r w:rsidR="00E27310">
        <w:t>’</w:t>
      </w:r>
      <w:r>
        <w:t xml:space="preserve">un </w:t>
      </w:r>
      <w:r w:rsidR="00140041">
        <w:t>V</w:t>
      </w:r>
      <w:r>
        <w:t xml:space="preserve">éhicule </w:t>
      </w:r>
      <w:r w:rsidR="00140041">
        <w:t>alternatif  si la détention d’une telle participation a</w:t>
      </w:r>
      <w:r w:rsidR="0017498F">
        <w:t>v</w:t>
      </w:r>
      <w:r w:rsidR="00140041">
        <w:t xml:space="preserve">ait un </w:t>
      </w:r>
      <w:r>
        <w:t>Effet défavorable</w:t>
      </w:r>
      <w:r w:rsidR="00140041">
        <w:t xml:space="preserve"> important</w:t>
      </w:r>
      <w:r>
        <w:t xml:space="preserve"> sur </w:t>
      </w:r>
      <w:r w:rsidR="00140041">
        <w:t>ce</w:t>
      </w:r>
      <w:r>
        <w:t xml:space="preserve"> </w:t>
      </w:r>
      <w:r w:rsidR="00140041">
        <w:t>C</w:t>
      </w:r>
      <w:r>
        <w:t xml:space="preserve">ommanditaire </w:t>
      </w:r>
      <w:r w:rsidR="00140041">
        <w:t>au</w:t>
      </w:r>
      <w:r>
        <w:t>que</w:t>
      </w:r>
      <w:r w:rsidR="00140041">
        <w:t>l</w:t>
      </w:r>
      <w:r>
        <w:t xml:space="preserve"> </w:t>
      </w:r>
      <w:r w:rsidR="00140041">
        <w:t>celui-ci</w:t>
      </w:r>
      <w:r>
        <w:t xml:space="preserve"> n</w:t>
      </w:r>
      <w:r w:rsidR="00E27310">
        <w:t>’</w:t>
      </w:r>
      <w:r>
        <w:t xml:space="preserve">aurait pas </w:t>
      </w:r>
      <w:r w:rsidR="00140041">
        <w:t>assujetti</w:t>
      </w:r>
      <w:r>
        <w:t xml:space="preserve"> si l</w:t>
      </w:r>
      <w:r w:rsidR="00E27310">
        <w:t>’</w:t>
      </w:r>
      <w:r w:rsidR="00140041">
        <w:t>I</w:t>
      </w:r>
      <w:r>
        <w:t xml:space="preserve">nvestissement de portefeuille avait été effectué par </w:t>
      </w:r>
      <w:r w:rsidR="00140041">
        <w:t>l’entremise</w:t>
      </w:r>
      <w:r>
        <w:t xml:space="preserve"> du </w:t>
      </w:r>
      <w:r w:rsidR="00140041">
        <w:t>F</w:t>
      </w:r>
      <w:r>
        <w:t xml:space="preserve">onds ou du </w:t>
      </w:r>
      <w:r w:rsidR="00140041">
        <w:t>V</w:t>
      </w:r>
      <w:r>
        <w:t xml:space="preserve">éhicule parallèle, à moins que (i) tous les </w:t>
      </w:r>
      <w:r w:rsidR="00140041">
        <w:t>C</w:t>
      </w:r>
      <w:r>
        <w:t xml:space="preserve">ommanditaires participent à cet investissement par </w:t>
      </w:r>
      <w:r w:rsidR="00140041">
        <w:t>l’entremise</w:t>
      </w:r>
      <w:r>
        <w:t xml:space="preserve"> de ce </w:t>
      </w:r>
      <w:r w:rsidR="00140041">
        <w:t>V</w:t>
      </w:r>
      <w:r>
        <w:t xml:space="preserve">éhicule </w:t>
      </w:r>
      <w:r w:rsidR="00140041">
        <w:t>alternatif</w:t>
      </w:r>
      <w:r>
        <w:t xml:space="preserve">, ou </w:t>
      </w:r>
      <w:bookmarkStart w:name="DocXTextRef35" w:id="178"/>
      <w:r>
        <w:t>(ii)</w:t>
      </w:r>
      <w:bookmarkEnd w:id="178"/>
      <w:r>
        <w:t xml:space="preserve"> que le </w:t>
      </w:r>
      <w:r w:rsidR="00140041">
        <w:t>C</w:t>
      </w:r>
      <w:r>
        <w:t xml:space="preserve">ommandité </w:t>
      </w:r>
      <w:r w:rsidR="00140041">
        <w:t>obtienne</w:t>
      </w:r>
      <w:r>
        <w:t xml:space="preserve"> le consentement écrit préalable du </w:t>
      </w:r>
      <w:r w:rsidR="00140041">
        <w:t>C</w:t>
      </w:r>
      <w:r>
        <w:t>ommanditaire.</w:t>
      </w:r>
      <w:bookmarkStart w:name="_Ref113892815" w:id="179"/>
      <w:r>
        <w:rPr>
          <w:rStyle w:val="FootnoteReference"/>
        </w:rPr>
        <w:footnoteReference w:id="69"/>
      </w:r>
      <w:bookmarkEnd w:id="176"/>
      <w:bookmarkEnd w:id="177"/>
      <w:bookmarkEnd w:id="179"/>
    </w:p>
    <w:p w:rsidR="0000160C" w:rsidRDefault="00C517ED" w14:paraId="1A1B6AB8" w14:textId="29105B25">
      <w:pPr>
        <w:pStyle w:val="ArtBJStyL3"/>
      </w:pPr>
      <w:bookmarkStart w:name="_Ref113892411" w:id="180"/>
      <w:r>
        <w:t xml:space="preserve">Chaque </w:t>
      </w:r>
      <w:r w:rsidR="00140041">
        <w:t>V</w:t>
      </w:r>
      <w:r>
        <w:t xml:space="preserve">éhicule alternatif </w:t>
      </w:r>
      <w:r w:rsidR="00140041">
        <w:t>doit être</w:t>
      </w:r>
      <w:r>
        <w:t xml:space="preserve"> contrôlé par le </w:t>
      </w:r>
      <w:r w:rsidR="00140041">
        <w:t>Commandité</w:t>
      </w:r>
      <w:r>
        <w:t xml:space="preserve"> ou </w:t>
      </w:r>
      <w:r w:rsidR="00140041">
        <w:t>un Membre du même groupe</w:t>
      </w:r>
      <w:r w:rsidR="009739E2">
        <w:t xml:space="preserve"> que le Commandité</w:t>
      </w:r>
      <w:r>
        <w:t xml:space="preserve">, </w:t>
      </w:r>
      <w:r w:rsidR="006D6387">
        <w:t>doit être</w:t>
      </w:r>
      <w:r>
        <w:t xml:space="preserve"> géré par le </w:t>
      </w:r>
      <w:r w:rsidR="006D6387">
        <w:t>G</w:t>
      </w:r>
      <w:r>
        <w:t xml:space="preserve">estionnaire ou </w:t>
      </w:r>
      <w:r w:rsidR="006D6387">
        <w:t>un Membre du même groupe</w:t>
      </w:r>
      <w:r w:rsidR="009739E2">
        <w:t xml:space="preserve"> que le Gestionnaire</w:t>
      </w:r>
      <w:r>
        <w:t xml:space="preserve">, et </w:t>
      </w:r>
      <w:r w:rsidR="006D6387">
        <w:t>doit être</w:t>
      </w:r>
      <w:r>
        <w:t xml:space="preserve"> régi par des documents organisationnels contenant des dispositions substantiellement les mêmes </w:t>
      </w:r>
      <w:r w:rsidR="006D6387">
        <w:t>à tous égards importants</w:t>
      </w:r>
      <w:r>
        <w:t xml:space="preserve"> que ceux du Fonds (y compris </w:t>
      </w:r>
      <w:r w:rsidR="006D6387">
        <w:t>la présente Convention</w:t>
      </w:r>
      <w:r>
        <w:t xml:space="preserve">), avec seulement les différences qui peuvent être </w:t>
      </w:r>
      <w:r>
        <w:lastRenderedPageBreak/>
        <w:t xml:space="preserve">nécessaires pour répondre aux exigences légales, fiscales ou réglementaires visées à </w:t>
      </w:r>
      <w:r w:rsidR="006D6387">
        <w:t>l’article</w:t>
      </w:r>
      <w:r>
        <w:t> </w:t>
      </w:r>
      <w:r w:rsidRPr="006400F9">
        <w:fldChar w:fldCharType="begin"/>
      </w:r>
      <w:r w:rsidRPr="006400F9">
        <w:instrText xml:space="preserve"> REF _Ref40802713 \w \h </w:instrText>
      </w:r>
      <w:r w:rsidRPr="006400F9" w:rsidR="00791303">
        <w:instrText xml:space="preserve"> \* MERGEFORMAT </w:instrText>
      </w:r>
      <w:r w:rsidRPr="006400F9">
        <w:fldChar w:fldCharType="separate"/>
      </w:r>
      <w:r w:rsidR="00B50BE2">
        <w:t>2.8(a)</w:t>
      </w:r>
      <w:r w:rsidRPr="006400F9">
        <w:fldChar w:fldCharType="end"/>
      </w:r>
      <w:r>
        <w:t xml:space="preserve"> (</w:t>
      </w:r>
      <w:r w:rsidRPr="00BD2FE6" w:rsidR="00841AFD">
        <w:rPr>
          <w:i/>
        </w:rPr>
        <w:fldChar w:fldCharType="begin"/>
      </w:r>
      <w:r w:rsidRPr="00BD2FE6" w:rsidR="00841AFD">
        <w:rPr>
          <w:i/>
        </w:rPr>
        <w:instrText xml:space="preserve"> REF _Ref40800878 \h  \* MERGEFORMAT </w:instrText>
      </w:r>
      <w:r w:rsidRPr="00BD2FE6" w:rsidR="00841AFD">
        <w:rPr>
          <w:i/>
        </w:rPr>
      </w:r>
      <w:r w:rsidRPr="00BD2FE6" w:rsidR="00841AFD">
        <w:rPr>
          <w:i/>
        </w:rPr>
        <w:fldChar w:fldCharType="separate"/>
      </w:r>
      <w:r w:rsidRPr="00B50BE2" w:rsidR="00B50BE2">
        <w:rPr>
          <w:i/>
        </w:rPr>
        <w:t>Véhicules alternatifs</w:t>
      </w:r>
      <w:r w:rsidR="00B50BE2">
        <w:t>.</w:t>
      </w:r>
      <w:r w:rsidRPr="00BD2FE6" w:rsidR="00841AFD">
        <w:fldChar w:fldCharType="end"/>
      </w:r>
      <w:r>
        <w:t>).</w:t>
      </w:r>
      <w:bookmarkEnd w:id="180"/>
    </w:p>
    <w:p w:rsidR="0000160C" w:rsidRDefault="00C517ED" w14:paraId="28D9D68F" w14:textId="397301E5">
      <w:pPr>
        <w:pStyle w:val="ArtBJStyL3"/>
      </w:pPr>
      <w:bookmarkStart w:name="_Ref113892412" w:id="181"/>
      <w:r>
        <w:t xml:space="preserve">Le </w:t>
      </w:r>
      <w:r w:rsidR="006D6387">
        <w:t>C</w:t>
      </w:r>
      <w:r>
        <w:t xml:space="preserve">ommandité doit fournir à chacun des </w:t>
      </w:r>
      <w:r w:rsidR="006D6387">
        <w:t>C</w:t>
      </w:r>
      <w:r>
        <w:t xml:space="preserve">ommanditaires une copie des documents organisationnels régissant chaque </w:t>
      </w:r>
      <w:r w:rsidR="006D6387">
        <w:t>V</w:t>
      </w:r>
      <w:r>
        <w:t xml:space="preserve">éhicule alternatif au moins </w:t>
      </w:r>
      <w:r>
        <w:rPr>
          <w:b/>
          <w:highlight w:val="yellow"/>
        </w:rPr>
        <w:t xml:space="preserve">[cinq </w:t>
      </w:r>
      <w:r w:rsidR="006D6387">
        <w:rPr>
          <w:b/>
          <w:highlight w:val="yellow"/>
        </w:rPr>
        <w:t>J</w:t>
      </w:r>
      <w:r>
        <w:rPr>
          <w:b/>
          <w:highlight w:val="yellow"/>
        </w:rPr>
        <w:t>ours ouvrables]</w:t>
      </w:r>
      <w:r>
        <w:t xml:space="preserve"> avant la signature de ces documents.</w:t>
      </w:r>
      <w:bookmarkEnd w:id="181"/>
    </w:p>
    <w:p w:rsidR="0000160C" w:rsidRDefault="00C517ED" w14:paraId="4808EAE4" w14:textId="74DEDAEA">
      <w:pPr>
        <w:pStyle w:val="ArtBJStyL3"/>
      </w:pPr>
      <w:bookmarkStart w:name="_Ref113892413" w:id="182"/>
      <w:r>
        <w:t xml:space="preserve">Chaque </w:t>
      </w:r>
      <w:r w:rsidR="006D6387">
        <w:t>C</w:t>
      </w:r>
      <w:r>
        <w:t xml:space="preserve">ommanditaire qui investit dans un </w:t>
      </w:r>
      <w:r w:rsidR="00C30D30">
        <w:t>Véhicule alternatif</w:t>
      </w:r>
      <w:r>
        <w:t xml:space="preserve"> </w:t>
      </w:r>
      <w:r w:rsidR="006D6387">
        <w:t xml:space="preserve">doit faire un apport </w:t>
      </w:r>
      <w:r>
        <w:t xml:space="preserve">au </w:t>
      </w:r>
      <w:r w:rsidR="006D6387">
        <w:t>V</w:t>
      </w:r>
      <w:r>
        <w:t xml:space="preserve">éhicule </w:t>
      </w:r>
      <w:r w:rsidR="006D6387">
        <w:t>alternatif</w:t>
      </w:r>
      <w:r>
        <w:t xml:space="preserve"> d</w:t>
      </w:r>
      <w:r w:rsidR="00E27310">
        <w:t>’</w:t>
      </w:r>
      <w:r>
        <w:t xml:space="preserve">une manière compatible avec celle </w:t>
      </w:r>
      <w:r w:rsidR="006D6387">
        <w:t>prévue</w:t>
      </w:r>
      <w:r>
        <w:t xml:space="preserve"> par </w:t>
      </w:r>
      <w:r w:rsidR="006D6387">
        <w:t>l’</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B50BE2">
        <w:t>Article 6</w:t>
      </w:r>
      <w:r w:rsidRPr="006400F9">
        <w:fldChar w:fldCharType="end"/>
      </w:r>
      <w:r>
        <w:t xml:space="preserve"> (</w:t>
      </w:r>
      <w:r w:rsidRPr="00BD2FE6" w:rsidR="00841AFD">
        <w:rPr>
          <w:i/>
        </w:rPr>
        <w:fldChar w:fldCharType="begin"/>
      </w:r>
      <w:r w:rsidRPr="00BD2FE6" w:rsidR="00841AFD">
        <w:rPr>
          <w:i/>
        </w:rPr>
        <w:instrText xml:space="preserve"> REF _Ref40807018 \h  \* MERGEFORMAT </w:instrText>
      </w:r>
      <w:r w:rsidRPr="00BD2FE6" w:rsidR="00841AFD">
        <w:rPr>
          <w:i/>
        </w:rPr>
      </w:r>
      <w:r w:rsidRPr="00BD2FE6" w:rsidR="00841AFD">
        <w:rPr>
          <w:i/>
        </w:rPr>
        <w:fldChar w:fldCharType="separate"/>
      </w:r>
      <w:r w:rsidRPr="00B50BE2" w:rsidR="00B50BE2">
        <w:rPr>
          <w:i/>
        </w:rPr>
        <w:t>Apports de Capital</w:t>
      </w:r>
      <w:r w:rsidRPr="00BD2FE6" w:rsidR="00841AFD">
        <w:rPr>
          <w:i/>
        </w:rPr>
        <w:fldChar w:fldCharType="end"/>
      </w:r>
      <w:r>
        <w:t xml:space="preserve">), et chaque </w:t>
      </w:r>
      <w:r w:rsidR="004024BC">
        <w:t>E</w:t>
      </w:r>
      <w:r>
        <w:t xml:space="preserve">ngagement restant de </w:t>
      </w:r>
      <w:r w:rsidR="004024BC">
        <w:t>chacun de ces Commanditaires</w:t>
      </w:r>
      <w:r>
        <w:t xml:space="preserve"> sera réduit du montant de ces </w:t>
      </w:r>
      <w:r w:rsidR="004024BC">
        <w:t xml:space="preserve">apports </w:t>
      </w:r>
      <w:r>
        <w:t xml:space="preserve">dans la même mesure que si ces </w:t>
      </w:r>
      <w:r w:rsidR="004024BC">
        <w:t>apports avaient été</w:t>
      </w:r>
      <w:r>
        <w:t xml:space="preserve"> </w:t>
      </w:r>
      <w:r w:rsidR="004024BC">
        <w:t>faits</w:t>
      </w:r>
      <w:r>
        <w:t xml:space="preserve"> au Fonds en tant qu</w:t>
      </w:r>
      <w:r w:rsidR="004024BC">
        <w:t>’Apports de</w:t>
      </w:r>
      <w:r>
        <w:t xml:space="preserve"> capital. En ce qui concerne chaque investissement ou investissement </w:t>
      </w:r>
      <w:r w:rsidR="009218C3">
        <w:t xml:space="preserve">proposé </w:t>
      </w:r>
      <w:r>
        <w:t xml:space="preserve">auquel un Véhicule alternatif participe ou se propose de participer avec le Fonds, </w:t>
      </w:r>
      <w:r w:rsidR="009218C3">
        <w:t>toute dépense</w:t>
      </w:r>
      <w:r>
        <w:t xml:space="preserve"> ou </w:t>
      </w:r>
      <w:r w:rsidR="009218C3">
        <w:t>indemnisation</w:t>
      </w:r>
      <w:r>
        <w:t xml:space="preserve"> ou autre obligation liée à cet investissement ou investissement </w:t>
      </w:r>
      <w:r w:rsidR="009218C3">
        <w:t>proposé doit être prise en charge</w:t>
      </w:r>
      <w:r>
        <w:t xml:space="preserve"> </w:t>
      </w:r>
      <w:r w:rsidR="009218C3">
        <w:t>par le</w:t>
      </w:r>
      <w:r>
        <w:t xml:space="preserve"> Fonds et </w:t>
      </w:r>
      <w:r w:rsidR="009218C3">
        <w:t>le</w:t>
      </w:r>
      <w:r>
        <w:t xml:space="preserve"> Véhicule alternatif et </w:t>
      </w:r>
      <w:r w:rsidR="009218C3">
        <w:t>tout</w:t>
      </w:r>
      <w:r>
        <w:t xml:space="preserve"> Revenu </w:t>
      </w:r>
      <w:r w:rsidR="009218C3">
        <w:t>de frais</w:t>
      </w:r>
      <w:r>
        <w:t xml:space="preserve"> </w:t>
      </w:r>
      <w:r w:rsidR="009218C3">
        <w:t xml:space="preserve">doit être </w:t>
      </w:r>
      <w:r w:rsidR="00BA232E">
        <w:t>attribué</w:t>
      </w:r>
      <w:r>
        <w:t xml:space="preserve"> entre le Fonds et le Véhicule alternatif au prorata du capital engagé par chacun </w:t>
      </w:r>
      <w:r w:rsidR="009218C3">
        <w:t>d’eux dans cet investissement</w:t>
      </w:r>
      <w:r>
        <w:t xml:space="preserve">. Tout </w:t>
      </w:r>
      <w:r w:rsidR="009218C3">
        <w:t>frais</w:t>
      </w:r>
      <w:r>
        <w:t xml:space="preserve"> de </w:t>
      </w:r>
      <w:proofErr w:type="gramStart"/>
      <w:r>
        <w:t>gestion financé</w:t>
      </w:r>
      <w:proofErr w:type="gramEnd"/>
      <w:r>
        <w:t xml:space="preserve"> par un </w:t>
      </w:r>
      <w:r w:rsidR="009218C3">
        <w:t>C</w:t>
      </w:r>
      <w:r>
        <w:t>ommanditaire à l</w:t>
      </w:r>
      <w:r w:rsidR="00E27310">
        <w:t>’</w:t>
      </w:r>
      <w:r>
        <w:t>égard d</w:t>
      </w:r>
      <w:r w:rsidR="00E27310">
        <w:t>’</w:t>
      </w:r>
      <w:r>
        <w:t xml:space="preserve">un </w:t>
      </w:r>
      <w:r w:rsidR="009218C3">
        <w:t>V</w:t>
      </w:r>
      <w:r>
        <w:t xml:space="preserve">éhicule </w:t>
      </w:r>
      <w:r w:rsidR="009218C3">
        <w:t>alternatif</w:t>
      </w:r>
      <w:r>
        <w:t xml:space="preserve"> </w:t>
      </w:r>
      <w:r w:rsidR="009218C3">
        <w:t xml:space="preserve">doit </w:t>
      </w:r>
      <w:r w:rsidR="0017498F">
        <w:t>être réduit</w:t>
      </w:r>
      <w:r>
        <w:t xml:space="preserve"> </w:t>
      </w:r>
      <w:r w:rsidR="009218C3">
        <w:t>d’un montant correspondant</w:t>
      </w:r>
      <w:r w:rsidR="00796362">
        <w:t xml:space="preserve"> à</w:t>
      </w:r>
      <w:r w:rsidR="009218C3">
        <w:t xml:space="preserve"> la part de ce Commanditaire dans ce Frais de gestion devant être financé par ce Commanditaire et payable au Gestionnaire par le Fonds</w:t>
      </w:r>
      <w:r>
        <w:t xml:space="preserve">. Les distributions </w:t>
      </w:r>
      <w:r w:rsidR="009739E2">
        <w:t>de liquidités</w:t>
      </w:r>
      <w:r>
        <w:t xml:space="preserve"> et d</w:t>
      </w:r>
      <w:r w:rsidR="00E27310">
        <w:t>’</w:t>
      </w:r>
      <w:r>
        <w:t xml:space="preserve">autres biens et les </w:t>
      </w:r>
      <w:r w:rsidR="009218C3">
        <w:t>attributions</w:t>
      </w:r>
      <w:r>
        <w:t xml:space="preserve"> de revenus, de gains, de pertes, de déductions, de </w:t>
      </w:r>
      <w:r w:rsidR="009218C3">
        <w:t>dépenses</w:t>
      </w:r>
      <w:r>
        <w:t xml:space="preserve"> et de crédits provenant de ce </w:t>
      </w:r>
      <w:r w:rsidR="009218C3">
        <w:t>V</w:t>
      </w:r>
      <w:r>
        <w:t xml:space="preserve">éhicule alternatif, et la détermination des </w:t>
      </w:r>
      <w:r w:rsidR="002D29D9">
        <w:t>attributions</w:t>
      </w:r>
      <w:r>
        <w:t xml:space="preserve"> et des distributions conformément à </w:t>
      </w:r>
      <w:r w:rsidR="001727A6">
        <w:t>l’</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BD2FE6" w:rsidR="00841AFD">
        <w:rPr>
          <w:i/>
        </w:rPr>
        <w:fldChar w:fldCharType="begin"/>
      </w:r>
      <w:r w:rsidRPr="00BD2FE6" w:rsidR="00841AFD">
        <w:rPr>
          <w:i/>
        </w:rPr>
        <w:instrText xml:space="preserve"> REF _Ref40807042 \h  \* MERGEFORMAT </w:instrText>
      </w:r>
      <w:r w:rsidRPr="00BD2FE6" w:rsidR="00841AFD">
        <w:rPr>
          <w:i/>
        </w:rPr>
      </w:r>
      <w:r w:rsidRPr="00BD2FE6" w:rsidR="00841AFD">
        <w:rPr>
          <w:i/>
        </w:rPr>
        <w:fldChar w:fldCharType="separate"/>
      </w:r>
      <w:r w:rsidRPr="00B50BE2" w:rsidR="00B50BE2">
        <w:rPr>
          <w:i/>
        </w:rPr>
        <w:t>DISTRIBUTIONS</w:t>
      </w:r>
      <w:r w:rsidR="00B50BE2">
        <w:t xml:space="preserve">; </w:t>
      </w:r>
      <w:r w:rsidRPr="00BD2FE6" w:rsidR="00841AFD">
        <w:rPr>
          <w:i/>
        </w:rPr>
        <w:fldChar w:fldCharType="end"/>
      </w:r>
      <w:r>
        <w:t xml:space="preserve">) et de tout </w:t>
      </w:r>
      <w:r w:rsidR="00C30D30">
        <w:t>A</w:t>
      </w:r>
      <w:r>
        <w:t xml:space="preserve">pport </w:t>
      </w:r>
      <w:r w:rsidR="00C30D30">
        <w:t>de</w:t>
      </w:r>
      <w:r>
        <w:t xml:space="preserve"> capital ou autre paiement effectué par un </w:t>
      </w:r>
      <w:r w:rsidR="00C30D30">
        <w:t>C</w:t>
      </w:r>
      <w:r>
        <w:t xml:space="preserve">ommanditaire conformément à </w:t>
      </w:r>
      <w:r w:rsidR="00C30D30">
        <w:t>l’</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B50BE2">
        <w:t>Article 6</w:t>
      </w:r>
      <w:r w:rsidRPr="006400F9">
        <w:fldChar w:fldCharType="end"/>
      </w:r>
      <w:r>
        <w:t xml:space="preserve"> (</w:t>
      </w:r>
      <w:r w:rsidRPr="00BD2FE6" w:rsidR="00841AFD">
        <w:rPr>
          <w:i/>
        </w:rPr>
        <w:fldChar w:fldCharType="begin"/>
      </w:r>
      <w:r w:rsidRPr="00BD2FE6" w:rsidR="00841AFD">
        <w:rPr>
          <w:i/>
        </w:rPr>
        <w:instrText xml:space="preserve"> REF _Ref40807018 \h  \* MERGEFORMAT </w:instrText>
      </w:r>
      <w:r w:rsidRPr="00BD2FE6" w:rsidR="00841AFD">
        <w:rPr>
          <w:i/>
        </w:rPr>
      </w:r>
      <w:r w:rsidRPr="00BD2FE6" w:rsidR="00841AFD">
        <w:rPr>
          <w:i/>
        </w:rPr>
        <w:fldChar w:fldCharType="separate"/>
      </w:r>
      <w:r w:rsidRPr="00B50BE2" w:rsidR="00B50BE2">
        <w:rPr>
          <w:i/>
        </w:rPr>
        <w:t>Apports de Capital</w:t>
      </w:r>
      <w:r w:rsidRPr="00BD2FE6" w:rsidR="00841AFD">
        <w:rPr>
          <w:i/>
        </w:rPr>
        <w:fldChar w:fldCharType="end"/>
      </w:r>
      <w:r>
        <w:t xml:space="preserve">) ou tout autre montant versé ou distribué par un </w:t>
      </w:r>
      <w:r w:rsidR="00C30D30">
        <w:t>V</w:t>
      </w:r>
      <w:r>
        <w:t xml:space="preserve">éhicule </w:t>
      </w:r>
      <w:r w:rsidR="00C30D30">
        <w:t>alternatif</w:t>
      </w:r>
      <w:r>
        <w:t xml:space="preserve">, est déterminé comme si chaque </w:t>
      </w:r>
      <w:r w:rsidR="00C30D30">
        <w:t>apport</w:t>
      </w:r>
      <w:r>
        <w:t xml:space="preserve"> ou distribution par ce </w:t>
      </w:r>
      <w:r w:rsidR="00C30D30">
        <w:t>Véhicule alternatif</w:t>
      </w:r>
      <w:r>
        <w:t xml:space="preserve"> était un </w:t>
      </w:r>
      <w:r w:rsidR="00C30D30">
        <w:t>apport</w:t>
      </w:r>
      <w:r>
        <w:t xml:space="preserve"> ou une distribution par le Fonds. Les résultats d</w:t>
      </w:r>
      <w:r w:rsidR="00E27310">
        <w:t>’</w:t>
      </w:r>
      <w:r>
        <w:t>investissement d</w:t>
      </w:r>
      <w:r w:rsidR="00E27310">
        <w:t>’</w:t>
      </w:r>
      <w:r>
        <w:t xml:space="preserve">un </w:t>
      </w:r>
      <w:r w:rsidR="00C30D30">
        <w:t>V</w:t>
      </w:r>
      <w:r>
        <w:t xml:space="preserve">éhicule alternatif seront </w:t>
      </w:r>
      <w:r w:rsidR="00C30D30">
        <w:t>regroupés</w:t>
      </w:r>
      <w:r>
        <w:t xml:space="preserve"> avec les résultats d</w:t>
      </w:r>
      <w:r w:rsidR="00E27310">
        <w:t>’</w:t>
      </w:r>
      <w:r>
        <w:t>investissement du Fonds à toutes fins sauf si, au moment où l</w:t>
      </w:r>
      <w:r w:rsidR="00E27310">
        <w:t>’</w:t>
      </w:r>
      <w:r>
        <w:t xml:space="preserve">investissement est effectué par le </w:t>
      </w:r>
      <w:r w:rsidR="00C30D30">
        <w:t>V</w:t>
      </w:r>
      <w:r>
        <w:t xml:space="preserve">éhicule alternatif, le </w:t>
      </w:r>
      <w:r w:rsidR="00C30D30">
        <w:t>C</w:t>
      </w:r>
      <w:r>
        <w:t xml:space="preserve">ommandité détermine </w:t>
      </w:r>
      <w:r w:rsidR="00C30D30">
        <w:t>autrement</w:t>
      </w:r>
      <w:r>
        <w:t xml:space="preserve">, avec </w:t>
      </w:r>
      <w:r w:rsidR="00C30D30">
        <w:t>l’approbation</w:t>
      </w:r>
      <w:r>
        <w:t xml:space="preserve"> du </w:t>
      </w:r>
      <w:r w:rsidR="00980C6E">
        <w:t>Comité consultatif des Commanditaires</w:t>
      </w:r>
      <w:r>
        <w:t xml:space="preserve"> et un préavis aux </w:t>
      </w:r>
      <w:r w:rsidR="00C30D30">
        <w:t>C</w:t>
      </w:r>
      <w:r>
        <w:t>ommanditaires, qu</w:t>
      </w:r>
      <w:r w:rsidR="00E27310">
        <w:t>’</w:t>
      </w:r>
      <w:r>
        <w:t xml:space="preserve">un </w:t>
      </w:r>
      <w:r w:rsidR="00C30D30">
        <w:t>tel regroupement</w:t>
      </w:r>
      <w:r>
        <w:t xml:space="preserve"> augmente le risque de toute conséquence fiscale défavorable, ou impose des contraintes juridiques ou réglementaires, ou crée d</w:t>
      </w:r>
      <w:r w:rsidR="00E27310">
        <w:t>’</w:t>
      </w:r>
      <w:r>
        <w:t xml:space="preserve">autres risques qui ne seraient pas souhaitables pour le Fonds ou les </w:t>
      </w:r>
      <w:r w:rsidR="00C30D30">
        <w:t>C</w:t>
      </w:r>
      <w:r>
        <w:t xml:space="preserve">ommanditaires. Si un </w:t>
      </w:r>
      <w:r w:rsidR="00C30D30">
        <w:t>Co</w:t>
      </w:r>
      <w:r>
        <w:t>mmanditaire manque à ses obligations à l</w:t>
      </w:r>
      <w:r w:rsidR="00E27310">
        <w:t>’</w:t>
      </w:r>
      <w:r>
        <w:t>égard d</w:t>
      </w:r>
      <w:r w:rsidR="00E27310">
        <w:t>’</w:t>
      </w:r>
      <w:r>
        <w:t xml:space="preserve">un </w:t>
      </w:r>
      <w:r w:rsidR="00C30D30">
        <w:t>Véhicule alternatif</w:t>
      </w:r>
      <w:r>
        <w:t xml:space="preserve">, </w:t>
      </w:r>
      <w:bookmarkStart w:name="DocXTextRef36" w:id="183"/>
      <w:r>
        <w:t>(i)</w:t>
      </w:r>
      <w:bookmarkEnd w:id="183"/>
      <w:r>
        <w:t xml:space="preserve"> ce </w:t>
      </w:r>
      <w:r w:rsidR="00C30D30">
        <w:t>C</w:t>
      </w:r>
      <w:r>
        <w:t xml:space="preserve">ommanditaire sera un </w:t>
      </w:r>
      <w:r w:rsidR="00C30D30">
        <w:t>Associé défaillant</w:t>
      </w:r>
      <w:r>
        <w:t xml:space="preserve"> en vertu </w:t>
      </w:r>
      <w:r w:rsidR="00E536D5">
        <w:t>de la présente Convention</w:t>
      </w:r>
      <w:r>
        <w:t xml:space="preserve"> dans la même mesure que si ce défaut à l</w:t>
      </w:r>
      <w:r w:rsidR="00E27310">
        <w:t>’</w:t>
      </w:r>
      <w:r>
        <w:t xml:space="preserve">égard du </w:t>
      </w:r>
      <w:r w:rsidR="00C30D30">
        <w:t>Véhicule alternatif</w:t>
      </w:r>
      <w:r>
        <w:t xml:space="preserve"> s</w:t>
      </w:r>
      <w:r w:rsidR="00E27310">
        <w:t>’</w:t>
      </w:r>
      <w:r>
        <w:t xml:space="preserve">était produit en vertu </w:t>
      </w:r>
      <w:r w:rsidR="00E536D5">
        <w:t>de la présente Convention</w:t>
      </w:r>
      <w:r>
        <w:t xml:space="preserve"> et </w:t>
      </w:r>
      <w:bookmarkStart w:name="DocXTextRef37" w:id="184"/>
      <w:r>
        <w:t>(ii)</w:t>
      </w:r>
      <w:bookmarkEnd w:id="184"/>
      <w:r>
        <w:t xml:space="preserve"> les recours imposés par le </w:t>
      </w:r>
      <w:r w:rsidR="00C30D30">
        <w:t>C</w:t>
      </w:r>
      <w:r>
        <w:t xml:space="preserve">ommandité contre ce </w:t>
      </w:r>
      <w:r w:rsidR="00C30D30">
        <w:t>C</w:t>
      </w:r>
      <w:r>
        <w:t xml:space="preserve">ommanditaire seront regroupés avec les recours imposés contre cette </w:t>
      </w:r>
      <w:r w:rsidR="00C30D30">
        <w:t>P</w:t>
      </w:r>
      <w:r>
        <w:t xml:space="preserve">ersonne en vertu des documents constitutifs du </w:t>
      </w:r>
      <w:r w:rsidR="00C30D30">
        <w:t>Véhicule alternatif</w:t>
      </w:r>
      <w:r>
        <w:t xml:space="preserve"> de sorte que, dans la mesure du possible, ces recours regroupés placeraient le </w:t>
      </w:r>
      <w:r w:rsidR="00C30D30">
        <w:t>F</w:t>
      </w:r>
      <w:r>
        <w:t>onds et l</w:t>
      </w:r>
      <w:r w:rsidR="00C30D30">
        <w:t xml:space="preserve">’Associé défaillant </w:t>
      </w:r>
      <w:r>
        <w:t>dans les mêmes positions que celles dans lesquelles ils se seraient trouvés si ce</w:t>
      </w:r>
      <w:r w:rsidR="00C30D30">
        <w:t xml:space="preserve">t Associé défaillant </w:t>
      </w:r>
      <w:r>
        <w:t>avait pris l</w:t>
      </w:r>
      <w:r w:rsidR="00E27310">
        <w:t>’</w:t>
      </w:r>
      <w:r>
        <w:t xml:space="preserve">intégralité de son engagement envers le </w:t>
      </w:r>
      <w:r w:rsidR="00C30D30">
        <w:t>F</w:t>
      </w:r>
      <w:r>
        <w:t xml:space="preserve">onds plutôt que par </w:t>
      </w:r>
      <w:r w:rsidR="00C30D30">
        <w:t>l’entremise</w:t>
      </w:r>
      <w:r>
        <w:t xml:space="preserve"> du </w:t>
      </w:r>
      <w:r w:rsidR="00C30D30">
        <w:t>F</w:t>
      </w:r>
      <w:r>
        <w:t xml:space="preserve">onds et du </w:t>
      </w:r>
      <w:r w:rsidR="00C30D30">
        <w:t>V</w:t>
      </w:r>
      <w:r>
        <w:t xml:space="preserve">éhicule </w:t>
      </w:r>
      <w:r w:rsidR="00C30D30">
        <w:t>alternatif</w:t>
      </w:r>
      <w:r>
        <w:t>.</w:t>
      </w:r>
      <w:bookmarkEnd w:id="182"/>
    </w:p>
    <w:p w:rsidR="0000160C" w:rsidRDefault="00C517ED" w14:paraId="1927F67C" w14:textId="3B7C6AA9">
      <w:pPr>
        <w:pStyle w:val="ArtBJStyL3"/>
      </w:pPr>
      <w:bookmarkStart w:name="_Ref113892414" w:id="185"/>
      <w:r>
        <w:t xml:space="preserve">Si le </w:t>
      </w:r>
      <w:r w:rsidR="00C30D30">
        <w:t>C</w:t>
      </w:r>
      <w:r>
        <w:t xml:space="preserve">ommandité ou </w:t>
      </w:r>
      <w:r w:rsidR="00C30D30">
        <w:t>l’un des Membres du même groupe</w:t>
      </w:r>
      <w:r w:rsidR="009739E2">
        <w:t xml:space="preserve"> que le Commandité</w:t>
      </w:r>
      <w:r>
        <w:t xml:space="preserve"> forme un ou plusieurs </w:t>
      </w:r>
      <w:r w:rsidR="00415C36">
        <w:t>Véhicules alternatifs</w:t>
      </w:r>
      <w:r>
        <w:t xml:space="preserve">, les dispositions </w:t>
      </w:r>
      <w:r w:rsidR="00E536D5">
        <w:t>de la présente Convention</w:t>
      </w:r>
      <w:r>
        <w:t>, qu</w:t>
      </w:r>
      <w:r w:rsidR="00E27310">
        <w:t>’</w:t>
      </w:r>
      <w:r>
        <w:t>elles soient modifiées ou non, doivent être interprétées pour donner effet à l</w:t>
      </w:r>
      <w:r w:rsidR="00E27310">
        <w:t>’</w:t>
      </w:r>
      <w:r>
        <w:t xml:space="preserve">intention </w:t>
      </w:r>
      <w:r w:rsidR="00415C36">
        <w:t>du présent article</w:t>
      </w:r>
      <w:r>
        <w:t> </w:t>
      </w:r>
      <w:r w:rsidRPr="00E9050E" w:rsidR="0044140B">
        <w:fldChar w:fldCharType="begin"/>
      </w:r>
      <w:r w:rsidRPr="00E9050E" w:rsidR="0044140B">
        <w:instrText xml:space="preserve"> REF _Ref40800878 \w \h </w:instrText>
      </w:r>
      <w:r w:rsidRPr="00E9050E" w:rsidR="00791303">
        <w:instrText xml:space="preserve"> \* MERGEFORMAT </w:instrText>
      </w:r>
      <w:r w:rsidRPr="00E9050E" w:rsidR="0044140B">
        <w:fldChar w:fldCharType="separate"/>
      </w:r>
      <w:r w:rsidR="00B50BE2">
        <w:t>2.8</w:t>
      </w:r>
      <w:r w:rsidRPr="00E9050E" w:rsidR="0044140B">
        <w:fldChar w:fldCharType="end"/>
      </w:r>
      <w:r>
        <w:t xml:space="preserve"> (</w:t>
      </w:r>
      <w:r w:rsidRPr="00841AFD" w:rsidR="00841AFD">
        <w:rPr>
          <w:i/>
        </w:rPr>
        <w:fldChar w:fldCharType="begin"/>
      </w:r>
      <w:r w:rsidRPr="00841AFD" w:rsidR="00841AFD">
        <w:rPr>
          <w:i/>
        </w:rPr>
        <w:instrText xml:space="preserve"> REF _Ref40800878 \h  \* MERGEFORMAT </w:instrText>
      </w:r>
      <w:r w:rsidRPr="00841AFD" w:rsidR="00841AFD">
        <w:rPr>
          <w:i/>
        </w:rPr>
      </w:r>
      <w:r w:rsidRPr="00841AFD" w:rsidR="00841AFD">
        <w:rPr>
          <w:i/>
        </w:rPr>
        <w:fldChar w:fldCharType="separate"/>
      </w:r>
      <w:r w:rsidRPr="00B50BE2" w:rsidR="00B50BE2">
        <w:rPr>
          <w:i/>
        </w:rPr>
        <w:t>Véhicules alternatifs.</w:t>
      </w:r>
      <w:r w:rsidRPr="00841AFD" w:rsidR="00841AFD">
        <w:rPr>
          <w:i/>
        </w:rPr>
        <w:fldChar w:fldCharType="end"/>
      </w:r>
      <w:r>
        <w:t xml:space="preserve">). En conséquence, si un tel </w:t>
      </w:r>
      <w:r w:rsidR="00415C36">
        <w:t>V</w:t>
      </w:r>
      <w:r>
        <w:t xml:space="preserve">éhicule alternatif est constitué, toutes les références au Fonds dans </w:t>
      </w:r>
      <w:r w:rsidR="00415C36">
        <w:t>la présente Convention</w:t>
      </w:r>
      <w:r>
        <w:t xml:space="preserve"> doivent, le cas échéant, inclure ce </w:t>
      </w:r>
      <w:r w:rsidR="00415C36">
        <w:t>V</w:t>
      </w:r>
      <w:r>
        <w:t xml:space="preserve">éhicule alternatif. La </w:t>
      </w:r>
      <w:r w:rsidR="00415C36">
        <w:t>c</w:t>
      </w:r>
      <w:r>
        <w:t xml:space="preserve">onvention de société en commandite et les autres documents organisationnels de tout </w:t>
      </w:r>
      <w:r w:rsidR="00C30D30">
        <w:t>Véhicule alternatif</w:t>
      </w:r>
      <w:r>
        <w:t xml:space="preserve"> doivent être signés au nom </w:t>
      </w:r>
      <w:r>
        <w:lastRenderedPageBreak/>
        <w:t xml:space="preserve">des </w:t>
      </w:r>
      <w:r w:rsidR="00415C36">
        <w:t>C</w:t>
      </w:r>
      <w:r>
        <w:t xml:space="preserve">ommanditaires qui y investissent par le </w:t>
      </w:r>
      <w:r w:rsidR="00415C36">
        <w:t>C</w:t>
      </w:r>
      <w:r>
        <w:t xml:space="preserve">ommandité conformément à la procuration accordée par chacun des </w:t>
      </w:r>
      <w:r w:rsidR="00415C36">
        <w:t>C</w:t>
      </w:r>
      <w:r>
        <w:t>ommanditaires conformément à l</w:t>
      </w:r>
      <w:r w:rsidR="00E27310">
        <w:t>’</w:t>
      </w:r>
      <w:r>
        <w:t>article </w:t>
      </w:r>
      <w:r w:rsidRPr="00E9050E" w:rsidR="0044140B">
        <w:fldChar w:fldCharType="begin"/>
      </w:r>
      <w:r w:rsidRPr="00E9050E" w:rsidR="0044140B">
        <w:instrText xml:space="preserve"> REF _Ref40802766 \w \h </w:instrText>
      </w:r>
      <w:r w:rsidRPr="00E9050E" w:rsidR="00791303">
        <w:instrText xml:space="preserve"> \* MERGEFORMAT </w:instrText>
      </w:r>
      <w:r w:rsidRPr="00E9050E" w:rsidR="0044140B">
        <w:fldChar w:fldCharType="separate"/>
      </w:r>
      <w:r w:rsidR="00B50BE2">
        <w:t>19.5</w:t>
      </w:r>
      <w:r w:rsidRPr="00E9050E" w:rsidR="0044140B">
        <w:fldChar w:fldCharType="end"/>
      </w:r>
      <w:r>
        <w:t xml:space="preserve"> (</w:t>
      </w:r>
      <w:r w:rsidRPr="00841AFD" w:rsidR="00841AFD">
        <w:rPr>
          <w:i/>
        </w:rPr>
        <w:fldChar w:fldCharType="begin"/>
      </w:r>
      <w:r w:rsidRPr="00841AFD" w:rsidR="00841AFD">
        <w:rPr>
          <w:i/>
        </w:rPr>
        <w:instrText xml:space="preserve"> REF _Ref113892685 \h  \* MERGEFORMAT </w:instrText>
      </w:r>
      <w:r w:rsidRPr="00841AFD" w:rsidR="00841AFD">
        <w:rPr>
          <w:i/>
        </w:rPr>
      </w:r>
      <w:r w:rsidRPr="00841AFD" w:rsidR="00841AFD">
        <w:rPr>
          <w:i/>
        </w:rPr>
        <w:fldChar w:fldCharType="separate"/>
      </w:r>
      <w:r w:rsidRPr="00B50BE2" w:rsidR="00B50BE2">
        <w:rPr>
          <w:i/>
        </w:rPr>
        <w:t>Procuration.</w:t>
      </w:r>
      <w:r w:rsidRPr="00841AFD" w:rsidR="00841AFD">
        <w:rPr>
          <w:i/>
        </w:rPr>
        <w:fldChar w:fldCharType="end"/>
      </w:r>
      <w:r>
        <w:t>).</w:t>
      </w:r>
      <w:bookmarkEnd w:id="185"/>
    </w:p>
    <w:p w:rsidR="0000160C" w:rsidRDefault="00415C36" w14:paraId="2D27BBBB" w14:textId="6F1AD8C5">
      <w:pPr>
        <w:pStyle w:val="ArtBJStyL2"/>
      </w:pPr>
      <w:bookmarkStart w:name="_Ref40802793" w:id="186"/>
      <w:bookmarkStart w:name="_Toc161762317" w:id="187"/>
      <w:r>
        <w:t>Ajustements</w:t>
      </w:r>
      <w:r w:rsidR="00C517ED">
        <w:t xml:space="preserve"> entre véhicules.</w:t>
      </w:r>
      <w:bookmarkEnd w:id="186"/>
      <w:bookmarkEnd w:id="187"/>
    </w:p>
    <w:p w:rsidR="0000160C" w:rsidRDefault="00C517ED" w14:paraId="6859AFC0" w14:textId="2F744D0A">
      <w:pPr>
        <w:pStyle w:val="ArtBJStyL3"/>
      </w:pPr>
      <w:bookmarkStart w:name="_Ref113892415" w:id="188"/>
      <w:r>
        <w:t xml:space="preserve">Le </w:t>
      </w:r>
      <w:r w:rsidR="00415C36">
        <w:t>C</w:t>
      </w:r>
      <w:r>
        <w:t xml:space="preserve">ommandité peut (i) ajuster le montant, le calendrier et la </w:t>
      </w:r>
      <w:r w:rsidR="00BA232E">
        <w:t>distribution</w:t>
      </w:r>
      <w:r>
        <w:t xml:space="preserve"> des paiements en vertu de l</w:t>
      </w:r>
      <w:r w:rsidR="00E27310">
        <w:t>’</w:t>
      </w:r>
      <w:r>
        <w:t>article </w:t>
      </w:r>
      <w:r w:rsidRPr="00E9050E" w:rsidR="0044140B">
        <w:fldChar w:fldCharType="begin"/>
      </w:r>
      <w:r w:rsidRPr="00E9050E" w:rsidR="0044140B">
        <w:instrText xml:space="preserve"> REF _Ref53081627 \w \h </w:instrText>
      </w:r>
      <w:r w:rsidRPr="00E9050E" w:rsidR="00791303">
        <w:instrText xml:space="preserve"> \* MERGEFORMAT </w:instrText>
      </w:r>
      <w:r w:rsidRPr="00E9050E" w:rsidR="0044140B">
        <w:fldChar w:fldCharType="separate"/>
      </w:r>
      <w:r w:rsidR="00B50BE2">
        <w:t>5.4</w:t>
      </w:r>
      <w:r w:rsidRPr="00E9050E" w:rsidR="0044140B">
        <w:fldChar w:fldCharType="end"/>
      </w:r>
      <w:r>
        <w:t xml:space="preserve"> (</w:t>
      </w:r>
      <w:r w:rsidRPr="00841AFD" w:rsidR="00841AFD">
        <w:rPr>
          <w:i/>
        </w:rPr>
        <w:fldChar w:fldCharType="begin"/>
      </w:r>
      <w:r w:rsidRPr="00841AFD" w:rsidR="00841AFD">
        <w:rPr>
          <w:i/>
        </w:rPr>
        <w:instrText xml:space="preserve"> REF _Ref113882647 \h  \* MERGEFORMAT </w:instrText>
      </w:r>
      <w:r w:rsidRPr="00841AFD" w:rsidR="00841AFD">
        <w:rPr>
          <w:i/>
        </w:rPr>
      </w:r>
      <w:r w:rsidRPr="00841AFD" w:rsidR="00841AFD">
        <w:rPr>
          <w:i/>
        </w:rPr>
        <w:fldChar w:fldCharType="separate"/>
      </w:r>
      <w:r w:rsidRPr="00B50BE2" w:rsidR="00B50BE2">
        <w:rPr>
          <w:i/>
        </w:rPr>
        <w:t>Clôtures subséquentes.</w:t>
      </w:r>
      <w:r w:rsidRPr="00841AFD" w:rsidR="00841AFD">
        <w:rPr>
          <w:i/>
        </w:rPr>
        <w:fldChar w:fldCharType="end"/>
      </w:r>
      <w:r>
        <w:t xml:space="preserve">) </w:t>
      </w:r>
      <w:r w:rsidR="00415C36">
        <w:t>pour</w:t>
      </w:r>
      <w:r>
        <w:t xml:space="preserve"> tenir compte de la clôture d</w:t>
      </w:r>
      <w:r w:rsidR="00E27310">
        <w:t>’</w:t>
      </w:r>
      <w:r>
        <w:t>un Véhicule d</w:t>
      </w:r>
      <w:r w:rsidR="00415C36">
        <w:t>u</w:t>
      </w:r>
      <w:r>
        <w:t xml:space="preserve"> Fonds et de tout </w:t>
      </w:r>
      <w:r w:rsidR="00415C36">
        <w:t>investissement</w:t>
      </w:r>
      <w:r>
        <w:t xml:space="preserve"> détenu par un Véhicule d</w:t>
      </w:r>
      <w:r w:rsidR="00415C36">
        <w:t>u</w:t>
      </w:r>
      <w:r>
        <w:t xml:space="preserve"> Fonds au moment de cette clôture, et </w:t>
      </w:r>
      <w:bookmarkStart w:name="DocXTextRef38" w:id="189"/>
      <w:r>
        <w:t>(ii)</w:t>
      </w:r>
      <w:bookmarkEnd w:id="189"/>
      <w:r>
        <w:t xml:space="preserve"> de </w:t>
      </w:r>
      <w:r w:rsidR="009739E2">
        <w:t>réattribu</w:t>
      </w:r>
      <w:r w:rsidR="00656824">
        <w:t>er</w:t>
      </w:r>
      <w:r>
        <w:t xml:space="preserve"> et transférer entre les Véhicules d</w:t>
      </w:r>
      <w:r w:rsidR="00415C36">
        <w:t>u</w:t>
      </w:r>
      <w:r>
        <w:t xml:space="preserve"> Fonds tout </w:t>
      </w:r>
      <w:r w:rsidR="00415C36">
        <w:t>investissement</w:t>
      </w:r>
      <w:r>
        <w:t xml:space="preserve"> ou autre actif détenu par ces Véhicules d</w:t>
      </w:r>
      <w:r w:rsidR="00415C36">
        <w:t>u</w:t>
      </w:r>
      <w:r>
        <w:t xml:space="preserve"> Fonds au moment de la clôture au coût, y compris </w:t>
      </w:r>
      <w:r w:rsidR="00415C36">
        <w:t>l’attribution</w:t>
      </w:r>
      <w:r>
        <w:t xml:space="preserve"> et </w:t>
      </w:r>
      <w:r w:rsidR="00415C36">
        <w:t>le transfert</w:t>
      </w:r>
      <w:r>
        <w:t xml:space="preserve"> à un Véhicule d</w:t>
      </w:r>
      <w:r w:rsidR="00415C36">
        <w:t>u</w:t>
      </w:r>
      <w:r>
        <w:t xml:space="preserve"> Fonds </w:t>
      </w:r>
      <w:r w:rsidR="00415C36">
        <w:t>de la totalité ou d’une partie</w:t>
      </w:r>
      <w:r>
        <w:t xml:space="preserve"> de tout </w:t>
      </w:r>
      <w:r w:rsidR="00415C36">
        <w:t>P</w:t>
      </w:r>
      <w:r>
        <w:t xml:space="preserve">aiement de péréquation et </w:t>
      </w:r>
      <w:r w:rsidR="00415C36">
        <w:t>P</w:t>
      </w:r>
      <w:r>
        <w:t xml:space="preserve">aiement supplémentaire et </w:t>
      </w:r>
      <w:r w:rsidR="00960C12">
        <w:t>toute somme en espèces</w:t>
      </w:r>
      <w:r>
        <w:t xml:space="preserve"> transféré</w:t>
      </w:r>
      <w:r w:rsidR="00796362">
        <w:t>e</w:t>
      </w:r>
      <w:r>
        <w:t xml:space="preserve"> au Fonds de tout Véhicule d</w:t>
      </w:r>
      <w:r w:rsidR="00960C12">
        <w:t>u</w:t>
      </w:r>
      <w:r>
        <w:t xml:space="preserve"> Fonds et </w:t>
      </w:r>
      <w:r w:rsidR="00960C12">
        <w:t>sa distribution</w:t>
      </w:r>
      <w:r>
        <w:t xml:space="preserve"> </w:t>
      </w:r>
      <w:r w:rsidR="00960C12">
        <w:t>parmi les Associés</w:t>
      </w:r>
      <w:r>
        <w:t xml:space="preserve">, dans chaque cas, dans la mesure jugée raisonnable et de bonne foi par le </w:t>
      </w:r>
      <w:r w:rsidR="00960C12">
        <w:t>Commandité</w:t>
      </w:r>
      <w:r>
        <w:t xml:space="preserve"> </w:t>
      </w:r>
      <w:r w:rsidR="00960C12">
        <w:t xml:space="preserve">comme étant </w:t>
      </w:r>
      <w:r>
        <w:t>appropriée pour donner effet à l</w:t>
      </w:r>
      <w:r w:rsidR="00E27310">
        <w:t>’</w:t>
      </w:r>
      <w:r>
        <w:t xml:space="preserve">intention </w:t>
      </w:r>
      <w:r w:rsidR="00960C12">
        <w:t>du présent article</w:t>
      </w:r>
      <w:r>
        <w:t> </w:t>
      </w:r>
      <w:r w:rsidRPr="006400F9" w:rsidR="0044140B">
        <w:fldChar w:fldCharType="begin"/>
      </w:r>
      <w:r w:rsidRPr="006400F9" w:rsidR="0044140B">
        <w:instrText xml:space="preserve"> REF _Ref40802793 \w \h </w:instrText>
      </w:r>
      <w:r w:rsidRPr="006400F9" w:rsidR="00791303">
        <w:instrText xml:space="preserve"> \* MERGEFORMAT </w:instrText>
      </w:r>
      <w:r w:rsidRPr="006400F9" w:rsidR="0044140B">
        <w:fldChar w:fldCharType="separate"/>
      </w:r>
      <w:r w:rsidR="00B50BE2">
        <w:t>2.9</w:t>
      </w:r>
      <w:r w:rsidRPr="006400F9" w:rsidR="0044140B">
        <w:fldChar w:fldCharType="end"/>
      </w:r>
      <w:r>
        <w:t xml:space="preserve"> (</w:t>
      </w:r>
      <w:r w:rsidRPr="00841AFD" w:rsidR="00841AFD">
        <w:rPr>
          <w:i/>
        </w:rPr>
        <w:fldChar w:fldCharType="begin"/>
      </w:r>
      <w:r w:rsidRPr="00841AFD" w:rsidR="00841AFD">
        <w:rPr>
          <w:i/>
        </w:rPr>
        <w:instrText xml:space="preserve"> REF _Ref40802793 \h  \* MERGEFORMAT </w:instrText>
      </w:r>
      <w:r w:rsidRPr="00841AFD" w:rsidR="00841AFD">
        <w:rPr>
          <w:i/>
        </w:rPr>
      </w:r>
      <w:r w:rsidRPr="00841AFD" w:rsidR="00841AFD">
        <w:rPr>
          <w:i/>
        </w:rPr>
        <w:fldChar w:fldCharType="separate"/>
      </w:r>
      <w:r w:rsidRPr="00B50BE2" w:rsidR="00B50BE2">
        <w:rPr>
          <w:i/>
        </w:rPr>
        <w:t>Ajustements entre véhicules.</w:t>
      </w:r>
      <w:r w:rsidRPr="00841AFD" w:rsidR="00841AFD">
        <w:rPr>
          <w:i/>
        </w:rPr>
        <w:fldChar w:fldCharType="end"/>
      </w:r>
      <w:r>
        <w:t>).</w:t>
      </w:r>
      <w:bookmarkEnd w:id="188"/>
    </w:p>
    <w:p w:rsidR="0000160C" w:rsidRDefault="00C517ED" w14:paraId="53B84924" w14:textId="78E5F6AA">
      <w:pPr>
        <w:pStyle w:val="ArtBJStyL3"/>
      </w:pPr>
      <w:bookmarkStart w:name="_Ref113892416" w:id="190"/>
      <w:r>
        <w:t xml:space="preserve">Le </w:t>
      </w:r>
      <w:r w:rsidR="00960C12">
        <w:t>C</w:t>
      </w:r>
      <w:r>
        <w:t xml:space="preserve">ommandité doit, après </w:t>
      </w:r>
      <w:r w:rsidR="00656824">
        <w:t xml:space="preserve">que </w:t>
      </w:r>
      <w:r>
        <w:t xml:space="preserve">les paiements, distributions, </w:t>
      </w:r>
      <w:r w:rsidR="00960C12">
        <w:t>réattributions</w:t>
      </w:r>
      <w:r>
        <w:t xml:space="preserve"> et ajustements décrits </w:t>
      </w:r>
      <w:r w:rsidR="00960C12">
        <w:t>au présent article</w:t>
      </w:r>
      <w:r>
        <w:t> </w:t>
      </w:r>
      <w:r w:rsidRPr="006400F9">
        <w:fldChar w:fldCharType="begin"/>
      </w:r>
      <w:r w:rsidRPr="006400F9">
        <w:instrText xml:space="preserve"> REF _Ref40802793 \w \h </w:instrText>
      </w:r>
      <w:r w:rsidRPr="006400F9" w:rsidR="00791303">
        <w:instrText xml:space="preserve"> \* MERGEFORMAT </w:instrText>
      </w:r>
      <w:r w:rsidRPr="006400F9">
        <w:fldChar w:fldCharType="separate"/>
      </w:r>
      <w:r w:rsidR="00B50BE2">
        <w:t>2.9</w:t>
      </w:r>
      <w:r w:rsidRPr="006400F9">
        <w:fldChar w:fldCharType="end"/>
      </w:r>
      <w:r>
        <w:t xml:space="preserve"> (</w:t>
      </w:r>
      <w:r w:rsidRPr="00841AFD" w:rsidR="00841AFD">
        <w:rPr>
          <w:i/>
        </w:rPr>
        <w:fldChar w:fldCharType="begin"/>
      </w:r>
      <w:r w:rsidRPr="00841AFD" w:rsidR="00841AFD">
        <w:rPr>
          <w:i/>
        </w:rPr>
        <w:instrText xml:space="preserve"> REF _Ref40802793 \h  \* MERGEFORMAT </w:instrText>
      </w:r>
      <w:r w:rsidRPr="00841AFD" w:rsidR="00841AFD">
        <w:rPr>
          <w:i/>
        </w:rPr>
      </w:r>
      <w:r w:rsidRPr="00841AFD" w:rsidR="00841AFD">
        <w:rPr>
          <w:i/>
        </w:rPr>
        <w:fldChar w:fldCharType="separate"/>
      </w:r>
      <w:r w:rsidRPr="00B50BE2" w:rsidR="00B50BE2">
        <w:rPr>
          <w:i/>
        </w:rPr>
        <w:t>Ajustements entre véhicules.</w:t>
      </w:r>
      <w:r w:rsidRPr="00841AFD" w:rsidR="00841AFD">
        <w:rPr>
          <w:i/>
        </w:rPr>
        <w:fldChar w:fldCharType="end"/>
      </w:r>
      <w:r>
        <w:t xml:space="preserve">) sont prises en compte, font en sorte que chaque Investissement de portefeuille, dans la mesure </w:t>
      </w:r>
      <w:r w:rsidR="00960C12">
        <w:t>où cela est</w:t>
      </w:r>
      <w:r>
        <w:t xml:space="preserve"> possible et approprié et sous réserve des ajustements effectués par le </w:t>
      </w:r>
      <w:r w:rsidR="00960C12">
        <w:t>Commandité</w:t>
      </w:r>
      <w:r>
        <w:t xml:space="preserve"> relativement à tout Investissement de portefeuille réalisé avant l</w:t>
      </w:r>
      <w:r w:rsidR="00E27310">
        <w:t>’</w:t>
      </w:r>
      <w:r>
        <w:t>admission d</w:t>
      </w:r>
      <w:r w:rsidR="00E27310">
        <w:t>’</w:t>
      </w:r>
      <w:r>
        <w:t xml:space="preserve">un </w:t>
      </w:r>
      <w:r w:rsidR="00960C12">
        <w:t xml:space="preserve">Associé d’une </w:t>
      </w:r>
      <w:r w:rsidR="007A44CC">
        <w:t>C</w:t>
      </w:r>
      <w:r w:rsidR="00960C12">
        <w:t>lôture subséquente</w:t>
      </w:r>
      <w:r>
        <w:t xml:space="preserve"> (ou équivalent dans tout Véhicule d</w:t>
      </w:r>
      <w:r w:rsidR="007A44CC">
        <w:t>u</w:t>
      </w:r>
      <w:r>
        <w:t xml:space="preserve"> Fonds), soit détenu par les Véhicules d</w:t>
      </w:r>
      <w:r w:rsidR="007A44CC">
        <w:t>u</w:t>
      </w:r>
      <w:r>
        <w:t xml:space="preserve"> Fonds dans </w:t>
      </w:r>
      <w:r w:rsidR="007A44CC">
        <w:t>les mêmes proportions</w:t>
      </w:r>
      <w:r>
        <w:t xml:space="preserve"> que si tous les Véhicules d</w:t>
      </w:r>
      <w:r w:rsidR="007A44CC">
        <w:t>u</w:t>
      </w:r>
      <w:r>
        <w:t xml:space="preserve"> Fonds avaient une seule clôture à la Date de clôture initiale à laquelle tous les </w:t>
      </w:r>
      <w:r w:rsidR="007A44CC">
        <w:t>Commanditaires</w:t>
      </w:r>
      <w:r>
        <w:t xml:space="preserve"> ou investisseurs équivalents de tous les Véhicules d</w:t>
      </w:r>
      <w:r w:rsidR="007A44CC">
        <w:t>u</w:t>
      </w:r>
      <w:r>
        <w:t xml:space="preserve"> Fonds ont été admis avec un Engagement égal à leur Engagement à la Date de clôture finale, et tous les </w:t>
      </w:r>
      <w:r w:rsidR="007A44CC">
        <w:t>Associés</w:t>
      </w:r>
      <w:r>
        <w:t xml:space="preserve"> et investisseurs dans tout autre Véhicule d</w:t>
      </w:r>
      <w:r w:rsidR="007A44CC">
        <w:t>u</w:t>
      </w:r>
      <w:r>
        <w:t xml:space="preserve"> Fonds auront reçu de tels montants par le biais de distribution de </w:t>
      </w:r>
      <w:r w:rsidR="007A44CC">
        <w:t xml:space="preserve">Paiement de </w:t>
      </w:r>
      <w:r>
        <w:t>péréquation et</w:t>
      </w:r>
      <w:r w:rsidR="007A44CC">
        <w:t xml:space="preserve"> de</w:t>
      </w:r>
      <w:r>
        <w:t xml:space="preserve"> </w:t>
      </w:r>
      <w:r w:rsidR="007A44CC">
        <w:t>P</w:t>
      </w:r>
      <w:r>
        <w:t>aiements supplémentaires (ou l</w:t>
      </w:r>
      <w:r w:rsidR="00E27310">
        <w:t>’</w:t>
      </w:r>
      <w:r>
        <w:t xml:space="preserve">équivalent selon la documentation relative à tout autre </w:t>
      </w:r>
      <w:r w:rsidR="007A44CC">
        <w:t>V</w:t>
      </w:r>
      <w:r>
        <w:t>éhicule du Fonds) qu</w:t>
      </w:r>
      <w:r w:rsidR="00E27310">
        <w:t>’</w:t>
      </w:r>
      <w:r>
        <w:t>ils auraient reçus s</w:t>
      </w:r>
      <w:r w:rsidR="00E27310">
        <w:t>’</w:t>
      </w:r>
      <w:r>
        <w:t xml:space="preserve">ils avaient tous investi dans le Fonds. Les décisions finales concernant ces </w:t>
      </w:r>
      <w:r w:rsidR="007A44CC">
        <w:t>réattributions</w:t>
      </w:r>
      <w:r>
        <w:t xml:space="preserve"> doivent être prises par le </w:t>
      </w:r>
      <w:r w:rsidR="007A44CC">
        <w:t>C</w:t>
      </w:r>
      <w:r>
        <w:t xml:space="preserve">ommandité dans les </w:t>
      </w:r>
      <w:r>
        <w:rPr>
          <w:b/>
          <w:highlight w:val="yellow"/>
        </w:rPr>
        <w:t>[60 à 90]</w:t>
      </w:r>
      <w:bookmarkStart w:name="_Ref113892816" w:id="191"/>
      <w:r>
        <w:rPr>
          <w:szCs w:val="22"/>
          <w:vertAlign w:val="superscript"/>
        </w:rPr>
        <w:footnoteReference w:id="70"/>
      </w:r>
      <w:bookmarkEnd w:id="191"/>
      <w:r>
        <w:t xml:space="preserve"> jours suivant la </w:t>
      </w:r>
      <w:r w:rsidR="007A44CC">
        <w:t>D</w:t>
      </w:r>
      <w:r>
        <w:t>ate de clôture finale.</w:t>
      </w:r>
      <w:bookmarkEnd w:id="190"/>
    </w:p>
    <w:p w:rsidR="0000160C" w:rsidRDefault="00C517ED" w14:paraId="5FDAD599" w14:textId="77777777">
      <w:pPr>
        <w:pStyle w:val="ArtBJStyL2"/>
      </w:pPr>
      <w:bookmarkStart w:name="_Ref113892417" w:id="192"/>
      <w:bookmarkStart w:name="_Toc161762318" w:id="193"/>
      <w:r>
        <w:t>Vote.</w:t>
      </w:r>
      <w:bookmarkEnd w:id="192"/>
      <w:bookmarkEnd w:id="193"/>
    </w:p>
    <w:p w:rsidR="0000160C" w:rsidRDefault="00C517ED" w14:paraId="69414185" w14:textId="55760258">
      <w:pPr>
        <w:pStyle w:val="ArtBJStyCont2"/>
      </w:pPr>
      <w:r>
        <w:t>Sauf indication contraire, tout</w:t>
      </w:r>
      <w:r w:rsidR="007A44CC">
        <w:t xml:space="preserve"> choix</w:t>
      </w:r>
      <w:r>
        <w:t xml:space="preserve">, vote, renonciation ou consentement des </w:t>
      </w:r>
      <w:r w:rsidR="007A44CC">
        <w:t>C</w:t>
      </w:r>
      <w:r>
        <w:t xml:space="preserve">ommanditaires est calculé en pourcentage des </w:t>
      </w:r>
      <w:r w:rsidR="007A44CC">
        <w:t>E</w:t>
      </w:r>
      <w:r>
        <w:t xml:space="preserve">ngagements respectifs des </w:t>
      </w:r>
      <w:r w:rsidR="007A44CC">
        <w:t>C</w:t>
      </w:r>
      <w:r>
        <w:t xml:space="preserve">ommanditaires autorisés à faire ce choix, vote, renonciation ou consentement, </w:t>
      </w:r>
      <w:r w:rsidRPr="007A44CC">
        <w:rPr>
          <w:u w:val="single"/>
        </w:rPr>
        <w:t>à condition</w:t>
      </w:r>
      <w:r>
        <w:t xml:space="preserve"> que toute </w:t>
      </w:r>
      <w:r w:rsidR="007A44CC">
        <w:t>E</w:t>
      </w:r>
      <w:r>
        <w:t xml:space="preserve">ntité nourricière puisse désigner une part proportionnelle de son </w:t>
      </w:r>
      <w:r w:rsidR="007A44CC">
        <w:t>E</w:t>
      </w:r>
      <w:r>
        <w:t xml:space="preserve">ngagement, </w:t>
      </w:r>
      <w:r w:rsidR="007A44CC">
        <w:t>conformément aux</w:t>
      </w:r>
      <w:r>
        <w:t xml:space="preserve"> directives de ses détenteurs </w:t>
      </w:r>
      <w:r w:rsidR="007A44CC">
        <w:t>de participations</w:t>
      </w:r>
      <w:r>
        <w:t xml:space="preserve">, relativement à </w:t>
      </w:r>
      <w:r w:rsidR="007A44CC">
        <w:t>ce choix</w:t>
      </w:r>
      <w:r>
        <w:t>, vote, renonciation ou consentement.</w:t>
      </w:r>
    </w:p>
    <w:p w:rsidR="0000160C" w:rsidRDefault="00C517ED" w14:paraId="077B7D96" w14:textId="617C7988">
      <w:pPr>
        <w:pStyle w:val="ArtBJStyL1"/>
        <w:rPr>
          <w:caps w:val="0"/>
        </w:rPr>
      </w:pPr>
      <w:r>
        <w:rPr>
          <w:color w:val="000000"/>
        </w:rPr>
        <w:br/>
      </w:r>
      <w:bookmarkStart w:name="_Ref113892418" w:id="194"/>
      <w:bookmarkStart w:name="_Toc161762319" w:id="195"/>
      <w:proofErr w:type="gramStart"/>
      <w:r>
        <w:t>Gestion;</w:t>
      </w:r>
      <w:proofErr w:type="gramEnd"/>
      <w:r>
        <w:t xml:space="preserve"> </w:t>
      </w:r>
      <w:bookmarkEnd w:id="194"/>
      <w:r w:rsidR="007A44CC">
        <w:t>COMMANDITAIRES</w:t>
      </w:r>
      <w:bookmarkEnd w:id="195"/>
    </w:p>
    <w:p w:rsidR="0000160C" w:rsidRDefault="007A44CC" w14:paraId="278D970B" w14:textId="13A0A0F1">
      <w:pPr>
        <w:pStyle w:val="ArtBJStyL2"/>
      </w:pPr>
      <w:bookmarkStart w:name="_Ref113892419" w:id="196"/>
      <w:bookmarkStart w:name="_Toc161762320" w:id="197"/>
      <w:r>
        <w:t>Commandité</w:t>
      </w:r>
      <w:r w:rsidR="00C517ED">
        <w:t>.</w:t>
      </w:r>
      <w:bookmarkEnd w:id="196"/>
      <w:bookmarkEnd w:id="197"/>
    </w:p>
    <w:p w:rsidR="0000160C" w:rsidRDefault="00C517ED" w14:paraId="7DE859A2" w14:textId="1A8BE587">
      <w:pPr>
        <w:pStyle w:val="ArtBJStyCont2"/>
      </w:pPr>
      <w:r>
        <w:t xml:space="preserve">Le </w:t>
      </w:r>
      <w:r w:rsidR="007A44CC">
        <w:t>C</w:t>
      </w:r>
      <w:r>
        <w:t>ommandité est responsable de la gestion et du contrôle du Fonds.</w:t>
      </w:r>
    </w:p>
    <w:p w:rsidR="0000160C" w:rsidRDefault="007A44CC" w14:paraId="55C3977B" w14:textId="33426A8F">
      <w:pPr>
        <w:pStyle w:val="ArtBJStyL2"/>
      </w:pPr>
      <w:bookmarkStart w:name="_Ref113892420" w:id="198"/>
      <w:bookmarkStart w:name="_Toc161762321" w:id="199"/>
      <w:r>
        <w:lastRenderedPageBreak/>
        <w:t>Commanditaires</w:t>
      </w:r>
      <w:r w:rsidR="00C517ED">
        <w:t>.</w:t>
      </w:r>
      <w:bookmarkEnd w:id="198"/>
      <w:bookmarkEnd w:id="199"/>
    </w:p>
    <w:p w:rsidR="0000160C" w:rsidRDefault="00C517ED" w14:paraId="4B973ECC" w14:textId="7A9C3825">
      <w:pPr>
        <w:pStyle w:val="ArtBJStyL3"/>
      </w:pPr>
      <w:bookmarkStart w:name="_Ref113892421" w:id="200"/>
      <w:r>
        <w:t xml:space="preserve">Les </w:t>
      </w:r>
      <w:r w:rsidR="007A44CC">
        <w:t>C</w:t>
      </w:r>
      <w:r>
        <w:t xml:space="preserve">ommanditaires, en leur qualité de </w:t>
      </w:r>
      <w:r w:rsidRPr="00C47010" w:rsidR="007A44CC">
        <w:t>C</w:t>
      </w:r>
      <w:r w:rsidRPr="00C47010">
        <w:t>ommanditaires</w:t>
      </w:r>
      <w:r w:rsidRPr="00C47010">
        <w:rPr>
          <w:b/>
          <w:bCs/>
        </w:rPr>
        <w:t xml:space="preserve"> </w:t>
      </w:r>
      <w:r>
        <w:t xml:space="preserve">du Fonds, ne </w:t>
      </w:r>
      <w:r w:rsidR="00C47010">
        <w:t>doivent pas participer</w:t>
      </w:r>
      <w:r>
        <w:t xml:space="preserve"> à la conduite ou au contrôle</w:t>
      </w:r>
      <w:bookmarkStart w:name="_Ref113892817" w:id="201"/>
      <w:r>
        <w:rPr>
          <w:szCs w:val="22"/>
          <w:vertAlign w:val="superscript"/>
        </w:rPr>
        <w:footnoteReference w:id="71"/>
      </w:r>
      <w:bookmarkEnd w:id="201"/>
      <w:r>
        <w:t xml:space="preserve"> des activités du Fonds et </w:t>
      </w:r>
      <w:r w:rsidR="00C47010">
        <w:t>ne doivent pas avoir</w:t>
      </w:r>
      <w:r>
        <w:t xml:space="preserve"> ni l</w:t>
      </w:r>
      <w:r w:rsidR="00E27310">
        <w:t>’</w:t>
      </w:r>
      <w:r>
        <w:t>autorité ni le pouvoir d</w:t>
      </w:r>
      <w:r w:rsidR="00E27310">
        <w:t>’</w:t>
      </w:r>
      <w:r>
        <w:t xml:space="preserve">agir pour le Fonds ou de le lier. Les </w:t>
      </w:r>
      <w:r w:rsidR="00C47010">
        <w:t>Commanditaires</w:t>
      </w:r>
      <w:r>
        <w:t xml:space="preserve"> ne </w:t>
      </w:r>
      <w:r w:rsidR="00C47010">
        <w:t xml:space="preserve">doivent </w:t>
      </w:r>
      <w:r>
        <w:t>pas</w:t>
      </w:r>
      <w:r w:rsidR="00C47010">
        <w:t xml:space="preserve"> se présenter</w:t>
      </w:r>
      <w:r>
        <w:t xml:space="preserve"> comme des commandités, ne </w:t>
      </w:r>
      <w:r w:rsidR="00C47010">
        <w:t>doivent prendre</w:t>
      </w:r>
      <w:r>
        <w:t xml:space="preserve"> aucune mesure au nom du Fonds ou ne </w:t>
      </w:r>
      <w:r w:rsidR="00C47010">
        <w:t>doivent pas s’engager</w:t>
      </w:r>
      <w:r>
        <w:t xml:space="preserve"> d</w:t>
      </w:r>
      <w:r w:rsidR="00E27310">
        <w:t>’</w:t>
      </w:r>
      <w:r>
        <w:t>aucune façon envers le Fonds dans un</w:t>
      </w:r>
      <w:r w:rsidR="00C47010">
        <w:t>e entente</w:t>
      </w:r>
      <w:r>
        <w:t xml:space="preserve"> ou un contrat et </w:t>
      </w:r>
      <w:r w:rsidR="00C47010">
        <w:t>n’ont</w:t>
      </w:r>
      <w:r>
        <w:t xml:space="preserve"> aucun droit ou autorité de faire ce qui précède. Sauf dans les cas prévus dans </w:t>
      </w:r>
      <w:r w:rsidR="00C47010">
        <w:t>la présente Convention</w:t>
      </w:r>
      <w:r>
        <w:t xml:space="preserve"> ou dans les cas prévus par la Loi, aucun </w:t>
      </w:r>
      <w:r w:rsidR="00C47010">
        <w:t>C</w:t>
      </w:r>
      <w:r>
        <w:t xml:space="preserve">ommanditaire, uniquement en sa qualité de commanditaire, ne sera responsable de toute dette, </w:t>
      </w:r>
      <w:r w:rsidR="00C47010">
        <w:t>responsabilité</w:t>
      </w:r>
      <w:r>
        <w:t xml:space="preserve"> ou autre obligation du Fonds. </w:t>
      </w:r>
      <w:r>
        <w:rPr>
          <w:b/>
          <w:bCs/>
          <w:highlight w:val="yellow"/>
        </w:rPr>
        <w:t xml:space="preserve">[Les </w:t>
      </w:r>
      <w:r w:rsidR="00C47010">
        <w:rPr>
          <w:b/>
          <w:bCs/>
          <w:highlight w:val="yellow"/>
        </w:rPr>
        <w:t>C</w:t>
      </w:r>
      <w:r>
        <w:rPr>
          <w:b/>
          <w:bCs/>
          <w:highlight w:val="yellow"/>
        </w:rPr>
        <w:t xml:space="preserve">ommanditaires reconnaissent que, conformément à la </w:t>
      </w:r>
      <w:r w:rsidR="00C47010">
        <w:rPr>
          <w:b/>
          <w:bCs/>
          <w:highlight w:val="yellow"/>
        </w:rPr>
        <w:t>Loi</w:t>
      </w:r>
      <w:r>
        <w:rPr>
          <w:b/>
          <w:bCs/>
          <w:highlight w:val="yellow"/>
        </w:rPr>
        <w:t xml:space="preserve"> (et en particulier à son </w:t>
      </w:r>
      <w:bookmarkStart w:name="DocXTextRef39" w:id="202"/>
      <w:r>
        <w:rPr>
          <w:b/>
          <w:bCs/>
          <w:highlight w:val="yellow"/>
        </w:rPr>
        <w:t>article 2244</w:t>
      </w:r>
      <w:bookmarkEnd w:id="202"/>
      <w:r>
        <w:rPr>
          <w:b/>
          <w:bCs/>
          <w:highlight w:val="yellow"/>
        </w:rPr>
        <w:t xml:space="preserve">), ils ne peuvent donner que des avis consultatifs concernant la gestion du Fonds. Un </w:t>
      </w:r>
      <w:r w:rsidR="00C47010">
        <w:rPr>
          <w:b/>
          <w:bCs/>
          <w:highlight w:val="yellow"/>
        </w:rPr>
        <w:t>C</w:t>
      </w:r>
      <w:r>
        <w:rPr>
          <w:b/>
          <w:bCs/>
          <w:highlight w:val="yellow"/>
        </w:rPr>
        <w:t xml:space="preserve">ommanditaire qui négocie </w:t>
      </w:r>
      <w:r w:rsidR="00C47010">
        <w:rPr>
          <w:b/>
          <w:bCs/>
          <w:highlight w:val="yellow"/>
        </w:rPr>
        <w:t>toute affaire</w:t>
      </w:r>
      <w:r>
        <w:rPr>
          <w:b/>
          <w:bCs/>
          <w:highlight w:val="yellow"/>
        </w:rPr>
        <w:t xml:space="preserve"> au nom du Fonds ou qui agit en tant </w:t>
      </w:r>
      <w:r w:rsidR="0082726A">
        <w:rPr>
          <w:b/>
          <w:bCs/>
          <w:highlight w:val="yellow"/>
        </w:rPr>
        <w:t>que</w:t>
      </w:r>
      <w:r w:rsidR="00C47010">
        <w:rPr>
          <w:b/>
          <w:bCs/>
          <w:highlight w:val="yellow"/>
        </w:rPr>
        <w:t xml:space="preserve"> </w:t>
      </w:r>
      <w:r w:rsidR="0082726A">
        <w:rPr>
          <w:b/>
          <w:bCs/>
          <w:highlight w:val="yellow"/>
        </w:rPr>
        <w:t xml:space="preserve">fondé de pouvoir, </w:t>
      </w:r>
      <w:r>
        <w:rPr>
          <w:b/>
          <w:bCs/>
          <w:highlight w:val="yellow"/>
        </w:rPr>
        <w:t>mandataire</w:t>
      </w:r>
      <w:r w:rsidR="0082726A">
        <w:rPr>
          <w:b/>
          <w:bCs/>
          <w:highlight w:val="yellow"/>
        </w:rPr>
        <w:t xml:space="preserve"> ou </w:t>
      </w:r>
      <w:r w:rsidR="00C47010">
        <w:rPr>
          <w:b/>
          <w:bCs/>
          <w:highlight w:val="yellow"/>
        </w:rPr>
        <w:t>agent</w:t>
      </w:r>
      <w:r>
        <w:rPr>
          <w:b/>
          <w:bCs/>
          <w:highlight w:val="yellow"/>
        </w:rPr>
        <w:t xml:space="preserve"> du Fonds ou qui permet que son nom soit utilisé dans un acte du Fonds perd le bénéfice de la responsabilité limitée prévue par la Loi et est responsable de la même manière que le </w:t>
      </w:r>
      <w:r w:rsidR="00C47010">
        <w:rPr>
          <w:b/>
          <w:bCs/>
          <w:highlight w:val="yellow"/>
        </w:rPr>
        <w:t>C</w:t>
      </w:r>
      <w:r>
        <w:rPr>
          <w:b/>
          <w:bCs/>
          <w:highlight w:val="yellow"/>
        </w:rPr>
        <w:t>ommandité des obligations du Fonds résultant de tels actes et, selon l</w:t>
      </w:r>
      <w:r w:rsidR="00E27310">
        <w:rPr>
          <w:b/>
          <w:bCs/>
          <w:highlight w:val="yellow"/>
        </w:rPr>
        <w:t>’</w:t>
      </w:r>
      <w:r>
        <w:rPr>
          <w:b/>
          <w:bCs/>
          <w:highlight w:val="yellow"/>
        </w:rPr>
        <w:t xml:space="preserve">importance ou le nombre de tels actes, peut être responsable de la même manière que le </w:t>
      </w:r>
      <w:r w:rsidR="00DF6274">
        <w:rPr>
          <w:b/>
          <w:bCs/>
          <w:highlight w:val="yellow"/>
        </w:rPr>
        <w:t>C</w:t>
      </w:r>
      <w:r>
        <w:rPr>
          <w:b/>
          <w:bCs/>
          <w:highlight w:val="yellow"/>
        </w:rPr>
        <w:t xml:space="preserve">ommandité de </w:t>
      </w:r>
      <w:r w:rsidR="00DF6274">
        <w:rPr>
          <w:b/>
          <w:bCs/>
          <w:highlight w:val="yellow"/>
        </w:rPr>
        <w:t>l’ensemble</w:t>
      </w:r>
      <w:r>
        <w:rPr>
          <w:b/>
          <w:bCs/>
          <w:highlight w:val="yellow"/>
        </w:rPr>
        <w:t xml:space="preserve"> </w:t>
      </w:r>
      <w:r w:rsidR="00DF6274">
        <w:rPr>
          <w:b/>
          <w:bCs/>
          <w:highlight w:val="yellow"/>
        </w:rPr>
        <w:t>d</w:t>
      </w:r>
      <w:r>
        <w:rPr>
          <w:b/>
          <w:bCs/>
          <w:highlight w:val="yellow"/>
        </w:rPr>
        <w:t>es obligations du Fonds.]</w:t>
      </w:r>
      <w:bookmarkStart w:name="_Ref113892818" w:id="203"/>
      <w:r>
        <w:rPr>
          <w:rStyle w:val="FootnoteReference"/>
          <w:b/>
          <w:bCs/>
        </w:rPr>
        <w:footnoteReference w:id="72"/>
      </w:r>
      <w:bookmarkEnd w:id="200"/>
      <w:bookmarkEnd w:id="203"/>
    </w:p>
    <w:p w:rsidR="0000160C" w:rsidRDefault="00C517ED" w14:paraId="0450EE48" w14:textId="1BB1EABA">
      <w:pPr>
        <w:pStyle w:val="ArtBJStyL2"/>
      </w:pPr>
      <w:bookmarkStart w:name="_Ref113892422" w:id="204"/>
      <w:bookmarkStart w:name="_Toc161762322" w:id="205"/>
      <w:r>
        <w:t xml:space="preserve">Préservation de la </w:t>
      </w:r>
      <w:r w:rsidR="00DF6274">
        <w:t>S</w:t>
      </w:r>
      <w:r>
        <w:t xml:space="preserve">ociété en </w:t>
      </w:r>
      <w:proofErr w:type="gramStart"/>
      <w:r>
        <w:t>commandite;</w:t>
      </w:r>
      <w:proofErr w:type="gramEnd"/>
      <w:r>
        <w:t xml:space="preserve"> </w:t>
      </w:r>
      <w:r w:rsidR="00F65DBE">
        <w:t>q</w:t>
      </w:r>
      <w:r>
        <w:t>ualification dans d</w:t>
      </w:r>
      <w:r w:rsidR="00E27310">
        <w:t>’</w:t>
      </w:r>
      <w:r>
        <w:t>autres juridictions.</w:t>
      </w:r>
      <w:bookmarkEnd w:id="204"/>
      <w:bookmarkEnd w:id="205"/>
    </w:p>
    <w:p w:rsidR="0000160C" w:rsidRDefault="00C517ED" w14:paraId="2FD1EF4A" w14:textId="1E6D6A53">
      <w:pPr>
        <w:pStyle w:val="ArtBJStyL3"/>
      </w:pPr>
      <w:bookmarkStart w:name="_Ref113892423" w:id="206"/>
      <w:r>
        <w:t xml:space="preserve">Le </w:t>
      </w:r>
      <w:r w:rsidR="00DF6274">
        <w:t>C</w:t>
      </w:r>
      <w:r>
        <w:t xml:space="preserve">ommandité doit </w:t>
      </w:r>
      <w:r w:rsidR="0082726A">
        <w:t>produire</w:t>
      </w:r>
      <w:r>
        <w:t xml:space="preserve">, au nom du Fonds, en temps opportun lorsque cela est requis, toute déclaration, certificat ou modification exigé par les lois de la province </w:t>
      </w:r>
      <w:r>
        <w:rPr>
          <w:b/>
          <w:bCs/>
          <w:highlight w:val="yellow"/>
        </w:rPr>
        <w:t>[</w:t>
      </w:r>
      <w:r w:rsidR="009739E2">
        <w:rPr>
          <w:b/>
          <w:bCs/>
          <w:highlight w:val="yellow"/>
        </w:rPr>
        <w:t>de l’</w:t>
      </w:r>
      <w:r>
        <w:rPr>
          <w:b/>
          <w:bCs/>
          <w:highlight w:val="yellow"/>
        </w:rPr>
        <w:t>Ontario/</w:t>
      </w:r>
      <w:r w:rsidR="009739E2">
        <w:rPr>
          <w:b/>
          <w:bCs/>
          <w:highlight w:val="yellow"/>
        </w:rPr>
        <w:t xml:space="preserve">du </w:t>
      </w:r>
      <w:r>
        <w:rPr>
          <w:b/>
          <w:bCs/>
          <w:highlight w:val="yellow"/>
        </w:rPr>
        <w:t>Québec]</w:t>
      </w:r>
      <w:r>
        <w:t xml:space="preserve"> ou de toute autre juridiction dans laquelle le Fonds peut exercer ses activités.</w:t>
      </w:r>
      <w:bookmarkEnd w:id="206"/>
    </w:p>
    <w:p w:rsidR="0000160C" w:rsidRDefault="00C517ED" w14:paraId="23D5A707" w14:textId="2E61AC3E">
      <w:pPr>
        <w:pStyle w:val="ArtBJStyL3"/>
      </w:pPr>
      <w:bookmarkStart w:name="_Ref113892424" w:id="207"/>
      <w:r>
        <w:t>Sous réserve de l</w:t>
      </w:r>
      <w:r w:rsidR="00760099">
        <w:t xml:space="preserve">’article </w:t>
      </w:r>
      <w:r w:rsidR="00E51C93">
        <w:fldChar w:fldCharType="begin"/>
      </w:r>
      <w:r w:rsidR="00E51C93">
        <w:instrText xml:space="preserve"> REF _Ref100249815 \w \h </w:instrText>
      </w:r>
      <w:r w:rsidR="00E51C93">
        <w:fldChar w:fldCharType="separate"/>
      </w:r>
      <w:r w:rsidR="00B50BE2">
        <w:t>7.1(c)</w:t>
      </w:r>
      <w:r w:rsidR="00E51C93">
        <w:fldChar w:fldCharType="end"/>
      </w:r>
      <w:r>
        <w:t xml:space="preserve"> (</w:t>
      </w:r>
      <w:r w:rsidRPr="00841AFD" w:rsidR="00841AFD">
        <w:rPr>
          <w:i/>
        </w:rPr>
        <w:fldChar w:fldCharType="begin"/>
      </w:r>
      <w:r w:rsidRPr="00841AFD" w:rsidR="00841AFD">
        <w:rPr>
          <w:i/>
        </w:rPr>
        <w:instrText xml:space="preserve"> REF _Ref40802598 \h  \* MERGEFORMAT </w:instrText>
      </w:r>
      <w:r w:rsidRPr="00841AFD" w:rsidR="00841AFD">
        <w:rPr>
          <w:i/>
        </w:rPr>
      </w:r>
      <w:r w:rsidRPr="00841AFD" w:rsidR="00841AFD">
        <w:rPr>
          <w:i/>
        </w:rPr>
        <w:fldChar w:fldCharType="separate"/>
      </w:r>
      <w:r w:rsidRPr="00B50BE2" w:rsidR="00B50BE2">
        <w:rPr>
          <w:i/>
        </w:rPr>
        <w:t>Restrictions à l’investissement.</w:t>
      </w:r>
      <w:r w:rsidRPr="00841AFD" w:rsidR="00841AFD">
        <w:rPr>
          <w:i/>
        </w:rPr>
        <w:fldChar w:fldCharType="end"/>
      </w:r>
      <w:r>
        <w:t xml:space="preserve">), le </w:t>
      </w:r>
      <w:r w:rsidR="00DF6274">
        <w:t>C</w:t>
      </w:r>
      <w:r>
        <w:t xml:space="preserve">ommandité doit faire en sorte que le Fonds et tout </w:t>
      </w:r>
      <w:r w:rsidR="00760099">
        <w:t>V</w:t>
      </w:r>
      <w:r>
        <w:t xml:space="preserve">éhicule parallèle et </w:t>
      </w:r>
      <w:r w:rsidR="00C30D30">
        <w:t>Véhicule alternatif</w:t>
      </w:r>
      <w:r>
        <w:t xml:space="preserve">, selon le cas, soient qualifiés ou </w:t>
      </w:r>
      <w:r w:rsidR="00760099">
        <w:t>inscrits</w:t>
      </w:r>
      <w:r>
        <w:t xml:space="preserve"> en vertu d</w:t>
      </w:r>
      <w:r w:rsidR="00E27310">
        <w:t>’</w:t>
      </w:r>
      <w:r>
        <w:t>autres lois applicables sur les sociétés en commandite ou de lois similaires dans toute juridiction où le Fonds a l</w:t>
      </w:r>
      <w:r w:rsidR="00E27310">
        <w:t>’</w:t>
      </w:r>
      <w:r>
        <w:t>intention de posséder des biens ou d</w:t>
      </w:r>
      <w:r w:rsidR="00E27310">
        <w:t>’</w:t>
      </w:r>
      <w:r>
        <w:t xml:space="preserve">effectuer des transactions commerciales si et dans la mesure où le </w:t>
      </w:r>
      <w:r w:rsidR="00760099">
        <w:t>C</w:t>
      </w:r>
      <w:r>
        <w:t>ommandité a des motifs raisonnables de croire qu</w:t>
      </w:r>
      <w:r w:rsidR="00E27310">
        <w:t>’</w:t>
      </w:r>
      <w:r>
        <w:t xml:space="preserve">une telle qualification ou </w:t>
      </w:r>
      <w:r w:rsidR="00760099">
        <w:t>une telle inscription</w:t>
      </w:r>
      <w:r>
        <w:t xml:space="preserve"> est nécessaire pour protéger la responsabilité limitée des </w:t>
      </w:r>
      <w:r w:rsidR="00760099">
        <w:t>Commanditaires</w:t>
      </w:r>
      <w:r>
        <w:t xml:space="preserve"> ou pour permettre au Fonds de posséder légalement des biens ou d</w:t>
      </w:r>
      <w:r w:rsidR="00E27310">
        <w:t>’</w:t>
      </w:r>
      <w:r>
        <w:t xml:space="preserve">effectuer des transactions commerciales. Le </w:t>
      </w:r>
      <w:r w:rsidR="00760099">
        <w:t>C</w:t>
      </w:r>
      <w:r>
        <w:t xml:space="preserve">ommandité signe, </w:t>
      </w:r>
      <w:r w:rsidR="0082726A">
        <w:t>produit</w:t>
      </w:r>
      <w:r>
        <w:t xml:space="preserve"> et publie tous les certificats, avis, </w:t>
      </w:r>
      <w:r w:rsidR="00760099">
        <w:t>déclarations</w:t>
      </w:r>
      <w:r>
        <w:t xml:space="preserve"> ou autres instruments nécessaires pour permettre au Fonds d</w:t>
      </w:r>
      <w:r w:rsidR="00E27310">
        <w:t>’</w:t>
      </w:r>
      <w:r>
        <w:t xml:space="preserve">exercer ses activités en tant que société en commandite dans toutes les juridictions dans lesquelles le Fonds choisit de faire des affaires ou de maintenir la responsabilité limitée des </w:t>
      </w:r>
      <w:r w:rsidR="00760099">
        <w:t>Commanditaires</w:t>
      </w:r>
      <w:r>
        <w:t>.</w:t>
      </w:r>
      <w:bookmarkEnd w:id="207"/>
      <w:r>
        <w:t xml:space="preserve"> </w:t>
      </w:r>
    </w:p>
    <w:p w:rsidR="0000160C" w:rsidRDefault="00C517ED" w14:paraId="56757369" w14:textId="39AA1050">
      <w:pPr>
        <w:pStyle w:val="ArtBJStyL2"/>
      </w:pPr>
      <w:bookmarkStart w:name="_Ref113892425" w:id="208"/>
      <w:bookmarkStart w:name="_Toc161762323" w:id="209"/>
      <w:r>
        <w:lastRenderedPageBreak/>
        <w:t xml:space="preserve">Statut fiscal du </w:t>
      </w:r>
      <w:r w:rsidR="00760099">
        <w:t>F</w:t>
      </w:r>
      <w:r>
        <w:t>onds.</w:t>
      </w:r>
      <w:bookmarkStart w:name="_Ref113892819" w:id="210"/>
      <w:r>
        <w:rPr>
          <w:rFonts w:ascii="Times New Roman" w:hAnsi="Times New Roman"/>
          <w:b w:val="0"/>
          <w:caps/>
          <w:szCs w:val="22"/>
          <w:vertAlign w:val="superscript"/>
        </w:rPr>
        <w:footnoteReference w:id="73"/>
      </w:r>
      <w:bookmarkEnd w:id="208"/>
      <w:bookmarkEnd w:id="209"/>
      <w:bookmarkEnd w:id="210"/>
    </w:p>
    <w:p w:rsidR="0000160C" w:rsidRDefault="00C517ED" w14:paraId="72D96200" w14:textId="54C5B5CB">
      <w:pPr>
        <w:pStyle w:val="ArtBJStyL3"/>
      </w:pPr>
      <w:bookmarkStart w:name="_Ref113892426" w:id="211"/>
      <w:r>
        <w:t xml:space="preserve">Le </w:t>
      </w:r>
      <w:r w:rsidR="00760099">
        <w:t>C</w:t>
      </w:r>
      <w:r>
        <w:t>ommandité prend toutes les mesures raisonnables nécessaires pour s</w:t>
      </w:r>
      <w:r w:rsidR="00E27310">
        <w:t>’</w:t>
      </w:r>
      <w:r>
        <w:t>assurer que le Fonds n</w:t>
      </w:r>
      <w:r w:rsidR="00E27310">
        <w:t>’</w:t>
      </w:r>
      <w:r>
        <w:t xml:space="preserve">est pas et ne devient pas une Institution financière et ne prend aucune mesure ou </w:t>
      </w:r>
      <w:r w:rsidR="00760099">
        <w:t>ni n’</w:t>
      </w:r>
      <w:r>
        <w:t xml:space="preserve">omet de prendre toute mesure dont </w:t>
      </w:r>
      <w:r w:rsidR="00760099">
        <w:t>on</w:t>
      </w:r>
      <w:r>
        <w:t xml:space="preserve"> pourrait raisonnablement </w:t>
      </w:r>
      <w:r w:rsidR="00760099">
        <w:t xml:space="preserve">s’attendre à ce qu’elle fasse en sorte </w:t>
      </w:r>
      <w:r>
        <w:t>que le Fonds devienne une Institution financière.</w:t>
      </w:r>
      <w:bookmarkEnd w:id="211"/>
    </w:p>
    <w:p w:rsidR="0000160C" w:rsidRDefault="00C517ED" w14:paraId="1891988E" w14:textId="44D3D40B">
      <w:pPr>
        <w:pStyle w:val="ArtBJStyL3"/>
      </w:pPr>
      <w:bookmarkStart w:name="_Ref113892427" w:id="212"/>
      <w:r>
        <w:t xml:space="preserve">Le </w:t>
      </w:r>
      <w:r w:rsidR="00760099">
        <w:t>C</w:t>
      </w:r>
      <w:r>
        <w:t xml:space="preserve">ommandité doit </w:t>
      </w:r>
      <w:proofErr w:type="gramStart"/>
      <w:r w:rsidR="009739E2">
        <w:t>faire</w:t>
      </w:r>
      <w:proofErr w:type="gramEnd"/>
      <w:r>
        <w:t xml:space="preserve"> des efforts raisonnables sur le plan commercial pour s</w:t>
      </w:r>
      <w:r w:rsidR="00E27310">
        <w:t>’</w:t>
      </w:r>
      <w:r>
        <w:t xml:space="preserve">assurer que le Fonds, </w:t>
      </w:r>
      <w:r w:rsidR="00760099">
        <w:t>à tout moment</w:t>
      </w:r>
      <w:r>
        <w:t xml:space="preserve"> pertinent, est une société de personnes</w:t>
      </w:r>
      <w:bookmarkStart w:name="_Ref113892820" w:id="213"/>
      <w:r>
        <w:rPr>
          <w:caps/>
          <w:vertAlign w:val="superscript"/>
        </w:rPr>
        <w:footnoteReference w:id="74"/>
      </w:r>
      <w:bookmarkEnd w:id="213"/>
      <w:r>
        <w:t xml:space="preserve"> canadienne et n</w:t>
      </w:r>
      <w:r w:rsidR="00E27310">
        <w:t>’</w:t>
      </w:r>
      <w:r>
        <w:t>est pas une société de personnes intermédiaire de placement déterminée, et qu</w:t>
      </w:r>
      <w:r w:rsidR="00E27310">
        <w:t>’</w:t>
      </w:r>
      <w:r>
        <w:t>aucune participation dans le Fonds n</w:t>
      </w:r>
      <w:r w:rsidR="00E27310">
        <w:t>’</w:t>
      </w:r>
      <w:r>
        <w:t xml:space="preserve">est ou ne devient un </w:t>
      </w:r>
      <w:r w:rsidR="00760099">
        <w:t>Abris fiscal déterminé</w:t>
      </w:r>
      <w:r>
        <w:t>.</w:t>
      </w:r>
      <w:bookmarkEnd w:id="212"/>
    </w:p>
    <w:p w:rsidR="0000160C" w:rsidRDefault="00C517ED" w14:paraId="2496517C" w14:textId="77777777">
      <w:pPr>
        <w:pStyle w:val="ArtBJStyL1"/>
      </w:pPr>
      <w:r>
        <w:br/>
      </w:r>
      <w:bookmarkStart w:name="_Ref113892428" w:id="214"/>
      <w:bookmarkStart w:name="_Toc161762324" w:id="215"/>
      <w:r>
        <w:t>Engagements</w:t>
      </w:r>
      <w:bookmarkEnd w:id="214"/>
      <w:bookmarkEnd w:id="215"/>
    </w:p>
    <w:p w:rsidR="0000160C" w:rsidRDefault="00C517ED" w14:paraId="35C0C9FB" w14:textId="751305C6">
      <w:pPr>
        <w:pStyle w:val="ArtBJStyL2"/>
      </w:pPr>
      <w:bookmarkStart w:name="_Ref40802868" w:id="216"/>
      <w:bookmarkStart w:name="_Toc161762325" w:id="217"/>
      <w:r>
        <w:t xml:space="preserve">Taille maximale du </w:t>
      </w:r>
      <w:r w:rsidR="009D2C00">
        <w:t>F</w:t>
      </w:r>
      <w:r>
        <w:t>onds.</w:t>
      </w:r>
      <w:bookmarkEnd w:id="216"/>
      <w:bookmarkEnd w:id="217"/>
    </w:p>
    <w:p w:rsidR="0000160C" w:rsidRDefault="00C517ED" w14:paraId="4011640C" w14:textId="1BCED3D1">
      <w:pPr>
        <w:pStyle w:val="ArtBJStyCont2"/>
      </w:pPr>
      <w:r>
        <w:t xml:space="preserve">Le total des </w:t>
      </w:r>
      <w:r w:rsidR="009B650B">
        <w:t>E</w:t>
      </w:r>
      <w:r>
        <w:t xml:space="preserve">ngagements et le total des engagements envers le Fonds et tous les </w:t>
      </w:r>
      <w:r w:rsidR="009B650B">
        <w:t>V</w:t>
      </w:r>
      <w:r>
        <w:t xml:space="preserve">éhicules parallèles ne doivent pas dépasser </w:t>
      </w:r>
      <w:r>
        <w:rPr>
          <w:b/>
          <w:caps/>
          <w:szCs w:val="22"/>
        </w:rPr>
        <w:t>[</w:t>
      </w:r>
      <w:r>
        <w:rPr>
          <w:b/>
          <w:caps/>
          <w:szCs w:val="22"/>
          <w:highlight w:val="yellow"/>
        </w:rPr>
        <w:t>__</w:t>
      </w:r>
      <w:r>
        <w:rPr>
          <w:b/>
          <w:caps/>
          <w:szCs w:val="22"/>
        </w:rPr>
        <w:t>].</w:t>
      </w:r>
      <w:bookmarkStart w:name="_Ref113892821" w:id="218"/>
      <w:r>
        <w:rPr>
          <w:vertAlign w:val="superscript"/>
        </w:rPr>
        <w:footnoteReference w:id="75"/>
      </w:r>
      <w:bookmarkEnd w:id="218"/>
    </w:p>
    <w:p w:rsidR="0000160C" w:rsidRDefault="00C517ED" w14:paraId="7637ED3C" w14:textId="40932FA3">
      <w:pPr>
        <w:pStyle w:val="ArtBJStyL2"/>
      </w:pPr>
      <w:bookmarkStart w:name="_Ref40801040" w:id="219"/>
      <w:bookmarkStart w:name="_Toc161762326" w:id="220"/>
      <w:r>
        <w:t xml:space="preserve">Engagement </w:t>
      </w:r>
      <w:r w:rsidR="009B650B">
        <w:t>du Commandité</w:t>
      </w:r>
      <w:r>
        <w:t>.</w:t>
      </w:r>
      <w:bookmarkEnd w:id="219"/>
      <w:bookmarkEnd w:id="220"/>
    </w:p>
    <w:p w:rsidR="0000160C" w:rsidRDefault="00C517ED" w14:paraId="5A94FE92" w14:textId="6D252147">
      <w:pPr>
        <w:pStyle w:val="ArtBJStyCont2"/>
      </w:pPr>
      <w:r>
        <w:t xml:space="preserve">À la </w:t>
      </w:r>
      <w:r w:rsidR="00FF41FA">
        <w:t>D</w:t>
      </w:r>
      <w:r>
        <w:t xml:space="preserve">ate de clôture initiale, le </w:t>
      </w:r>
      <w:r w:rsidR="00FF41FA">
        <w:t>C</w:t>
      </w:r>
      <w:r>
        <w:t xml:space="preserve">ommandité et </w:t>
      </w:r>
      <w:r w:rsidR="00FF41FA">
        <w:t>les Membres du même groupe</w:t>
      </w:r>
      <w:r w:rsidR="00335434">
        <w:t xml:space="preserve"> que le Commandité</w:t>
      </w:r>
      <w:r>
        <w:t xml:space="preserve"> </w:t>
      </w:r>
      <w:r w:rsidR="00FF41FA">
        <w:t>doivent prendre</w:t>
      </w:r>
      <w:r>
        <w:t xml:space="preserve"> et </w:t>
      </w:r>
      <w:r w:rsidR="00FF41FA">
        <w:t>maintenir</w:t>
      </w:r>
      <w:r>
        <w:t xml:space="preserve"> un </w:t>
      </w:r>
      <w:r w:rsidR="00FF41FA">
        <w:t>E</w:t>
      </w:r>
      <w:r>
        <w:t>ngagement global en souscrivant un</w:t>
      </w:r>
      <w:r w:rsidR="00FF41FA">
        <w:t xml:space="preserve">e Participation </w:t>
      </w:r>
      <w:r>
        <w:t>égal</w:t>
      </w:r>
      <w:r w:rsidR="00FF41FA">
        <w:t>e</w:t>
      </w:r>
      <w:r>
        <w:t xml:space="preserve"> à au moins </w:t>
      </w:r>
      <w:r>
        <w:rPr>
          <w:b/>
          <w:caps/>
          <w:szCs w:val="22"/>
        </w:rPr>
        <w:t>[</w:t>
      </w:r>
      <w:r>
        <w:rPr>
          <w:b/>
          <w:caps/>
          <w:szCs w:val="22"/>
          <w:highlight w:val="yellow"/>
        </w:rPr>
        <w:t>__</w:t>
      </w:r>
      <w:r>
        <w:rPr>
          <w:b/>
          <w:caps/>
          <w:szCs w:val="22"/>
        </w:rPr>
        <w:t>]</w:t>
      </w:r>
      <w:bookmarkStart w:name="_Ref113892822" w:id="221"/>
      <w:r>
        <w:rPr>
          <w:szCs w:val="22"/>
          <w:vertAlign w:val="superscript"/>
        </w:rPr>
        <w:footnoteReference w:id="76"/>
      </w:r>
      <w:bookmarkEnd w:id="221"/>
      <w:r>
        <w:t xml:space="preserve"> % des </w:t>
      </w:r>
      <w:r w:rsidR="00FF41FA">
        <w:t>E</w:t>
      </w:r>
      <w:r>
        <w:t xml:space="preserve">ngagements globaux des </w:t>
      </w:r>
      <w:r w:rsidR="00FF41FA">
        <w:t>C</w:t>
      </w:r>
      <w:r>
        <w:t>ommanditaires. L</w:t>
      </w:r>
      <w:r w:rsidR="00E27310">
        <w:t>’</w:t>
      </w:r>
      <w:r w:rsidR="00FF41FA">
        <w:t>E</w:t>
      </w:r>
      <w:r>
        <w:t xml:space="preserve">ngagement du </w:t>
      </w:r>
      <w:r w:rsidR="00FF41FA">
        <w:t>C</w:t>
      </w:r>
      <w:r>
        <w:t xml:space="preserve">ommandité et </w:t>
      </w:r>
      <w:r w:rsidR="00FF41FA">
        <w:t>des Membres du même groupe</w:t>
      </w:r>
      <w:r w:rsidR="009739E2">
        <w:t xml:space="preserve"> que le Commandité</w:t>
      </w:r>
      <w:r>
        <w:t xml:space="preserve"> sera augmenté à chaque </w:t>
      </w:r>
      <w:r w:rsidR="00FF41FA">
        <w:t>Clôture subséquente</w:t>
      </w:r>
      <w:r>
        <w:t xml:space="preserve"> conformément à l</w:t>
      </w:r>
      <w:r w:rsidR="00FF41FA">
        <w:t xml:space="preserve">’article </w:t>
      </w:r>
      <w:r w:rsidRPr="006400F9">
        <w:fldChar w:fldCharType="begin"/>
      </w:r>
      <w:r w:rsidRPr="006400F9">
        <w:instrText xml:space="preserve"> REF _Ref40801051 \w \h </w:instrText>
      </w:r>
      <w:r w:rsidRPr="006400F9" w:rsidR="00791303">
        <w:instrText xml:space="preserve"> \* MERGEFORMAT </w:instrText>
      </w:r>
      <w:r w:rsidRPr="006400F9">
        <w:fldChar w:fldCharType="separate"/>
      </w:r>
      <w:r w:rsidR="00B50BE2">
        <w:t>5.1</w:t>
      </w:r>
      <w:r w:rsidRPr="006400F9">
        <w:fldChar w:fldCharType="end"/>
      </w:r>
      <w:r>
        <w:t xml:space="preserve"> (</w:t>
      </w:r>
      <w:r w:rsidRPr="00841AFD" w:rsidR="00841AFD">
        <w:rPr>
          <w:i/>
        </w:rPr>
        <w:fldChar w:fldCharType="begin"/>
      </w:r>
      <w:r w:rsidRPr="00841AFD" w:rsidR="00841AFD">
        <w:rPr>
          <w:i/>
        </w:rPr>
        <w:instrText xml:space="preserve"> REF _Ref45709994 \h  \* MERGEFORMAT </w:instrText>
      </w:r>
      <w:r w:rsidRPr="00841AFD" w:rsidR="00841AFD">
        <w:rPr>
          <w:i/>
        </w:rPr>
      </w:r>
      <w:r w:rsidRPr="00841AFD" w:rsidR="00841AFD">
        <w:rPr>
          <w:i/>
        </w:rPr>
        <w:fldChar w:fldCharType="separate"/>
      </w:r>
      <w:r w:rsidRPr="00B50BE2" w:rsidR="00B50BE2">
        <w:rPr>
          <w:i/>
        </w:rPr>
        <w:t>Admission en tant que Commanditaire.</w:t>
      </w:r>
      <w:r w:rsidRPr="00841AFD" w:rsidR="00841AFD">
        <w:rPr>
          <w:i/>
        </w:rPr>
        <w:fldChar w:fldCharType="end"/>
      </w:r>
      <w:r>
        <w:t>) de sorte qu</w:t>
      </w:r>
      <w:r w:rsidR="00E27310">
        <w:t>’</w:t>
      </w:r>
      <w:r>
        <w:t xml:space="preserve">à tout moment, </w:t>
      </w:r>
      <w:r w:rsidR="00FF41FA">
        <w:t>il</w:t>
      </w:r>
      <w:r>
        <w:t xml:space="preserve"> soit égal à au moins </w:t>
      </w:r>
      <w:r>
        <w:rPr>
          <w:b/>
          <w:caps/>
          <w:szCs w:val="22"/>
        </w:rPr>
        <w:t>[</w:t>
      </w:r>
      <w:r>
        <w:rPr>
          <w:b/>
          <w:caps/>
          <w:szCs w:val="22"/>
          <w:highlight w:val="yellow"/>
        </w:rPr>
        <w:t>__</w:t>
      </w:r>
      <w:r>
        <w:rPr>
          <w:b/>
          <w:caps/>
          <w:szCs w:val="22"/>
        </w:rPr>
        <w:t>]</w:t>
      </w:r>
      <w:r>
        <w:t xml:space="preserve">% des </w:t>
      </w:r>
      <w:r w:rsidR="00FF41FA">
        <w:t>E</w:t>
      </w:r>
      <w:r>
        <w:t xml:space="preserve">ngagements </w:t>
      </w:r>
      <w:r w:rsidR="00FF41FA">
        <w:t>globaux</w:t>
      </w:r>
      <w:r>
        <w:t xml:space="preserve"> des </w:t>
      </w:r>
      <w:r w:rsidR="00FF41FA">
        <w:t>C</w:t>
      </w:r>
      <w:r>
        <w:t>ommanditaires, à condition qu</w:t>
      </w:r>
      <w:r w:rsidR="00E27310">
        <w:t>’</w:t>
      </w:r>
      <w:r>
        <w:t xml:space="preserve">aucun </w:t>
      </w:r>
      <w:r w:rsidR="00FF41FA">
        <w:t>P</w:t>
      </w:r>
      <w:r>
        <w:t xml:space="preserve">aiement supplémentaire ne soit exigé du </w:t>
      </w:r>
      <w:r w:rsidR="00FF41FA">
        <w:t>C</w:t>
      </w:r>
      <w:r>
        <w:t xml:space="preserve">ommandité ou </w:t>
      </w:r>
      <w:r w:rsidR="00FF41FA">
        <w:t>des Membres du même groupe</w:t>
      </w:r>
      <w:r w:rsidR="009739E2">
        <w:t xml:space="preserve"> que le Commandité</w:t>
      </w:r>
      <w:r>
        <w:t xml:space="preserve"> en relation avec cette augmentation.</w:t>
      </w:r>
      <w:bookmarkStart w:name="_Ref113892823" w:id="222"/>
      <w:r>
        <w:rPr>
          <w:szCs w:val="22"/>
          <w:vertAlign w:val="superscript"/>
        </w:rPr>
        <w:footnoteReference w:id="77"/>
      </w:r>
      <w:bookmarkEnd w:id="222"/>
    </w:p>
    <w:p w:rsidR="0000160C" w:rsidRDefault="00C517ED" w14:paraId="20F716E9" w14:textId="77777777">
      <w:pPr>
        <w:pStyle w:val="ArtBJStyL2"/>
      </w:pPr>
      <w:bookmarkStart w:name="_Ref113884995" w:id="223"/>
      <w:bookmarkStart w:name="_Toc161762327" w:id="224"/>
      <w:r>
        <w:t>Pas de retrait de capital.</w:t>
      </w:r>
      <w:bookmarkEnd w:id="223"/>
      <w:bookmarkEnd w:id="224"/>
    </w:p>
    <w:p w:rsidR="0000160C" w:rsidRDefault="00C517ED" w14:paraId="4236A363" w14:textId="72B2D30D">
      <w:pPr>
        <w:pStyle w:val="ArtBJStyL3"/>
      </w:pPr>
      <w:bookmarkStart w:name="_Ref113892429" w:id="225"/>
      <w:r>
        <w:t xml:space="preserve">Aucun </w:t>
      </w:r>
      <w:r w:rsidR="00FF41FA">
        <w:t>C</w:t>
      </w:r>
      <w:r>
        <w:t xml:space="preserve">ommanditaire ne doit retirer, annuler ou révoquer une partie de son </w:t>
      </w:r>
      <w:r w:rsidR="00FF41FA">
        <w:t>E</w:t>
      </w:r>
      <w:r>
        <w:t xml:space="preserve">ngagement, sauf dans les cas prévus dans </w:t>
      </w:r>
      <w:r w:rsidR="00FF41FA">
        <w:t>la présente Convention</w:t>
      </w:r>
      <w:r>
        <w:t xml:space="preserve"> </w:t>
      </w:r>
      <w:r>
        <w:rPr>
          <w:b/>
          <w:highlight w:val="yellow"/>
        </w:rPr>
        <w:t xml:space="preserve">[ou dans </w:t>
      </w:r>
      <w:r w:rsidR="00FF41FA">
        <w:rPr>
          <w:b/>
          <w:highlight w:val="yellow"/>
        </w:rPr>
        <w:t>l’Entente accessoire</w:t>
      </w:r>
      <w:r>
        <w:rPr>
          <w:b/>
          <w:highlight w:val="yellow"/>
        </w:rPr>
        <w:t xml:space="preserve"> du </w:t>
      </w:r>
      <w:r w:rsidR="00FF41FA">
        <w:rPr>
          <w:b/>
          <w:highlight w:val="yellow"/>
        </w:rPr>
        <w:t>C</w:t>
      </w:r>
      <w:r>
        <w:rPr>
          <w:b/>
          <w:highlight w:val="yellow"/>
        </w:rPr>
        <w:t>ommanditaire concerné, le cas échéant]</w:t>
      </w:r>
      <w:r>
        <w:t>.</w:t>
      </w:r>
      <w:bookmarkEnd w:id="225"/>
    </w:p>
    <w:p w:rsidR="0000160C" w:rsidRDefault="00C517ED" w14:paraId="4526F664" w14:textId="5D58572F">
      <w:pPr>
        <w:pStyle w:val="ArtBJStyL3"/>
      </w:pPr>
      <w:bookmarkStart w:name="_Ref113892430" w:id="226"/>
      <w:bookmarkStart w:name="_Ref40802856" w:id="227"/>
      <w:r>
        <w:lastRenderedPageBreak/>
        <w:t xml:space="preserve">Si, à un moment quelconque, le </w:t>
      </w:r>
      <w:r w:rsidR="00FF41FA">
        <w:t>C</w:t>
      </w:r>
      <w:r>
        <w:t xml:space="preserve">ommandité détermine, après consultation avec le </w:t>
      </w:r>
      <w:r w:rsidR="00FF41FA">
        <w:t>C</w:t>
      </w:r>
      <w:r>
        <w:t xml:space="preserve">ommanditaire </w:t>
      </w:r>
      <w:r w:rsidR="00FF41FA">
        <w:t>concerné</w:t>
      </w:r>
      <w:r>
        <w:t xml:space="preserve"> et après réception de l</w:t>
      </w:r>
      <w:r w:rsidR="00E27310">
        <w:t>’</w:t>
      </w:r>
      <w:r>
        <w:t>avis d</w:t>
      </w:r>
      <w:r w:rsidR="00E27310">
        <w:t>’</w:t>
      </w:r>
      <w:r>
        <w:t xml:space="preserve">un avocat, lequel avocat et avis </w:t>
      </w:r>
      <w:r w:rsidR="00FF41FA">
        <w:t>doivent</w:t>
      </w:r>
      <w:r>
        <w:t xml:space="preserve"> être raisonnablement satisfaisant pour le </w:t>
      </w:r>
      <w:r w:rsidR="00FF41FA">
        <w:t>C</w:t>
      </w:r>
      <w:r>
        <w:t xml:space="preserve">ommanditaire </w:t>
      </w:r>
      <w:r w:rsidR="00FF41FA">
        <w:t>concerné</w:t>
      </w:r>
      <w:r>
        <w:t>, qu</w:t>
      </w:r>
      <w:r w:rsidR="00E27310">
        <w:t>’</w:t>
      </w:r>
      <w:r>
        <w:t xml:space="preserve">il existe une probabilité raisonnable que la participation continue du </w:t>
      </w:r>
      <w:r w:rsidR="00FF41FA">
        <w:t>C</w:t>
      </w:r>
      <w:r>
        <w:t xml:space="preserve">ommanditaire au Fonds causerait un </w:t>
      </w:r>
      <w:r w:rsidR="00FF41FA">
        <w:t>E</w:t>
      </w:r>
      <w:r>
        <w:t xml:space="preserve">ffet défavorable important sur le Fonds, le </w:t>
      </w:r>
      <w:r w:rsidR="00FF41FA">
        <w:t>C</w:t>
      </w:r>
      <w:r>
        <w:t xml:space="preserve">ommanditaire </w:t>
      </w:r>
      <w:r w:rsidR="00FF41FA">
        <w:t>doit</w:t>
      </w:r>
      <w:r>
        <w:t xml:space="preserve">, sur demande écrite et avec la coopération raisonnable du </w:t>
      </w:r>
      <w:r w:rsidR="00FF41FA">
        <w:t>C</w:t>
      </w:r>
      <w:r>
        <w:t xml:space="preserve">ommandité, </w:t>
      </w:r>
      <w:r w:rsidR="009739E2">
        <w:t>faire</w:t>
      </w:r>
      <w:r>
        <w:t xml:space="preserve"> des efforts raisonnables</w:t>
      </w:r>
      <w:r w:rsidR="00FF41FA">
        <w:t xml:space="preserve"> sur le plan commercial</w:t>
      </w:r>
      <w:r>
        <w:t xml:space="preserve"> pour céder la totalité de </w:t>
      </w:r>
      <w:r w:rsidR="00FF41FA">
        <w:t>sa participation</w:t>
      </w:r>
      <w:r>
        <w:t xml:space="preserve"> dans le Fonds (ou la partie de s</w:t>
      </w:r>
      <w:r w:rsidR="00FF41FA">
        <w:t xml:space="preserve">a participation </w:t>
      </w:r>
      <w:r>
        <w:t xml:space="preserve">que le </w:t>
      </w:r>
      <w:r w:rsidR="00FF41FA">
        <w:t>Commandité</w:t>
      </w:r>
      <w:r>
        <w:t xml:space="preserve"> jugera suffisante pour prévenir ou corriger l</w:t>
      </w:r>
      <w:r w:rsidR="00E27310">
        <w:t>’</w:t>
      </w:r>
      <w:r w:rsidR="00FF41FA">
        <w:t>E</w:t>
      </w:r>
      <w:r>
        <w:t xml:space="preserve">ffet défavorable important) à un ou plusieurs des autres </w:t>
      </w:r>
      <w:r w:rsidR="00FF41FA">
        <w:t>C</w:t>
      </w:r>
      <w:r>
        <w:t xml:space="preserve">ommanditaires ou à toute autre </w:t>
      </w:r>
      <w:r w:rsidR="00FF41FA">
        <w:t>P</w:t>
      </w:r>
      <w:r>
        <w:t xml:space="preserve">ersonne à un prix que le </w:t>
      </w:r>
      <w:r w:rsidR="00FF41FA">
        <w:t>C</w:t>
      </w:r>
      <w:r>
        <w:t xml:space="preserve">ommanditaire </w:t>
      </w:r>
      <w:r w:rsidR="00FF41FA">
        <w:t>aurait</w:t>
      </w:r>
      <w:r>
        <w:t xml:space="preserve"> le droit de recevoir, au titre de sa participation dans le Fonds (ou, dans le cas d</w:t>
      </w:r>
      <w:r w:rsidR="00E27310">
        <w:t>’</w:t>
      </w:r>
      <w:r>
        <w:t xml:space="preserve">un retrait partiel, une partie de celle-ci), si le Fonds a été résilié à la date de ce retrait, les actifs du Fonds étant évalués par le </w:t>
      </w:r>
      <w:r w:rsidR="00FF41FA">
        <w:t>C</w:t>
      </w:r>
      <w:r>
        <w:t>ommandité sur la base des états financiers vérifiés</w:t>
      </w:r>
      <w:r w:rsidR="00FF41FA">
        <w:t xml:space="preserve"> et des registres du Fonds</w:t>
      </w:r>
      <w:r>
        <w:t xml:space="preserve"> les plus récents, moins les frais, les </w:t>
      </w:r>
      <w:r w:rsidR="00FF41FA">
        <w:t xml:space="preserve">coûts et </w:t>
      </w:r>
      <w:r w:rsidR="00D8226E">
        <w:t>dépenses</w:t>
      </w:r>
      <w:r>
        <w:t xml:space="preserve"> et/ou toute taxe applicable découlant d</w:t>
      </w:r>
      <w:r w:rsidR="00E27310">
        <w:t>’</w:t>
      </w:r>
      <w:r>
        <w:t>un tel retrait, dans le cadre d</w:t>
      </w:r>
      <w:r w:rsidR="00E27310">
        <w:t>’</w:t>
      </w:r>
      <w:r>
        <w:t xml:space="preserve">une transaction qui respecte </w:t>
      </w:r>
      <w:r w:rsidR="00D8226E">
        <w:t>l’</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B50BE2">
        <w:t>Article 17</w:t>
      </w:r>
      <w:r w:rsidRPr="006400F9">
        <w:fldChar w:fldCharType="end"/>
      </w:r>
      <w:r>
        <w:t xml:space="preserve"> (</w:t>
      </w:r>
      <w:r w:rsidRPr="00841AFD" w:rsidR="00841AFD">
        <w:rPr>
          <w:i/>
        </w:rPr>
        <w:fldChar w:fldCharType="begin"/>
      </w:r>
      <w:r w:rsidRPr="00841AFD" w:rsidR="00841AFD">
        <w:rPr>
          <w:i/>
        </w:rPr>
        <w:instrText xml:space="preserve"> REF _Ref40802840 \h  \* MERGEFORMAT </w:instrText>
      </w:r>
      <w:r w:rsidRPr="00841AFD" w:rsidR="00841AFD">
        <w:rPr>
          <w:i/>
        </w:rPr>
      </w:r>
      <w:r w:rsidRPr="00841AFD" w:rsidR="00841AFD">
        <w:rPr>
          <w:i/>
        </w:rPr>
        <w:fldChar w:fldCharType="separate"/>
      </w:r>
      <w:r w:rsidRPr="00B50BE2" w:rsidR="00B50BE2">
        <w:rPr>
          <w:i/>
        </w:rPr>
        <w:t xml:space="preserve">Transferts; </w:t>
      </w:r>
      <w:proofErr w:type="spellStart"/>
      <w:r w:rsidRPr="00B50BE2" w:rsidR="00B50BE2">
        <w:rPr>
          <w:i/>
        </w:rPr>
        <w:t>AssociÉs</w:t>
      </w:r>
      <w:proofErr w:type="spellEnd"/>
      <w:r w:rsidRPr="00B50BE2" w:rsidR="00B50BE2">
        <w:rPr>
          <w:i/>
        </w:rPr>
        <w:t xml:space="preserve"> de substitution</w:t>
      </w:r>
      <w:r w:rsidRPr="00841AFD" w:rsidR="00841AFD">
        <w:rPr>
          <w:i/>
        </w:rPr>
        <w:fldChar w:fldCharType="end"/>
      </w:r>
      <w:r>
        <w:t xml:space="preserve">) et le </w:t>
      </w:r>
      <w:r w:rsidR="00D8226E">
        <w:t>C</w:t>
      </w:r>
      <w:r>
        <w:t xml:space="preserve">ommandité </w:t>
      </w:r>
      <w:r w:rsidR="00D8226E">
        <w:t>doit faire</w:t>
      </w:r>
      <w:r>
        <w:t xml:space="preserve"> tous les efforts raisonnables </w:t>
      </w:r>
      <w:r w:rsidR="00D8226E">
        <w:t xml:space="preserve">sur le plan commercial </w:t>
      </w:r>
      <w:r>
        <w:t xml:space="preserve">pour travailler avec ce </w:t>
      </w:r>
      <w:r w:rsidR="00D8226E">
        <w:t>C</w:t>
      </w:r>
      <w:r>
        <w:t xml:space="preserve">ommanditaire afin de faciliter cette transaction. Cette évaluation </w:t>
      </w:r>
      <w:r w:rsidR="00D8226E">
        <w:t>sera</w:t>
      </w:r>
      <w:r>
        <w:t xml:space="preserve"> effectuée par le </w:t>
      </w:r>
      <w:r w:rsidR="00D8226E">
        <w:t>C</w:t>
      </w:r>
      <w:r>
        <w:t xml:space="preserve">ommandité en consultation avec </w:t>
      </w:r>
      <w:r w:rsidR="00D8226E">
        <w:t xml:space="preserve">le </w:t>
      </w:r>
      <w:r w:rsidR="00673BA3">
        <w:t>V</w:t>
      </w:r>
      <w:r w:rsidR="00D8226E">
        <w:t>érificateur</w:t>
      </w:r>
      <w:r>
        <w:t xml:space="preserve"> et, en l</w:t>
      </w:r>
      <w:r w:rsidR="00E27310">
        <w:t>’</w:t>
      </w:r>
      <w:r>
        <w:t>absence d</w:t>
      </w:r>
      <w:r w:rsidR="00E27310">
        <w:t>’</w:t>
      </w:r>
      <w:r>
        <w:t xml:space="preserve">erreur manifeste, elle </w:t>
      </w:r>
      <w:r w:rsidR="00D8226E">
        <w:t>sera</w:t>
      </w:r>
      <w:r>
        <w:t xml:space="preserve"> définitive et </w:t>
      </w:r>
      <w:r w:rsidR="00D8226E">
        <w:t>exécutoire</w:t>
      </w:r>
      <w:r>
        <w:t xml:space="preserve">. Si une décision prise par le </w:t>
      </w:r>
      <w:r w:rsidR="00D8226E">
        <w:t>C</w:t>
      </w:r>
      <w:r>
        <w:t>ommandité en vertu du présent article </w:t>
      </w:r>
      <w:r w:rsidRPr="006400F9" w:rsidR="007F464A">
        <w:fldChar w:fldCharType="begin"/>
      </w:r>
      <w:r w:rsidRPr="006400F9" w:rsidR="007F464A">
        <w:instrText xml:space="preserve"> REF _Ref40802856 \w \h </w:instrText>
      </w:r>
      <w:r w:rsidRPr="006400F9" w:rsidR="00791303">
        <w:instrText xml:space="preserve"> \* MERGEFORMAT </w:instrText>
      </w:r>
      <w:r w:rsidRPr="006400F9" w:rsidR="007F464A">
        <w:fldChar w:fldCharType="separate"/>
      </w:r>
      <w:r w:rsidR="00B50BE2">
        <w:t>4.3(b)</w:t>
      </w:r>
      <w:r w:rsidRPr="006400F9" w:rsidR="007F464A">
        <w:fldChar w:fldCharType="end"/>
      </w:r>
      <w:r>
        <w:t xml:space="preserve"> (</w:t>
      </w:r>
      <w:r w:rsidRPr="00841AFD" w:rsidR="00841AFD">
        <w:rPr>
          <w:i/>
        </w:rPr>
        <w:fldChar w:fldCharType="begin"/>
      </w:r>
      <w:r w:rsidRPr="00841AFD" w:rsidR="00841AFD">
        <w:rPr>
          <w:i/>
        </w:rPr>
        <w:instrText xml:space="preserve"> REF _Ref113884995 \h  \* MERGEFORMAT </w:instrText>
      </w:r>
      <w:r w:rsidRPr="00841AFD" w:rsidR="00841AFD">
        <w:rPr>
          <w:i/>
        </w:rPr>
      </w:r>
      <w:r w:rsidRPr="00841AFD" w:rsidR="00841AFD">
        <w:rPr>
          <w:i/>
        </w:rPr>
        <w:fldChar w:fldCharType="separate"/>
      </w:r>
      <w:r w:rsidRPr="00B50BE2" w:rsidR="00B50BE2">
        <w:rPr>
          <w:i/>
        </w:rPr>
        <w:t>Pas de retrait de capital.</w:t>
      </w:r>
      <w:r w:rsidRPr="00841AFD" w:rsidR="00841AFD">
        <w:rPr>
          <w:i/>
        </w:rPr>
        <w:fldChar w:fldCharType="end"/>
      </w:r>
      <w:r>
        <w:t>) affecterait plus d</w:t>
      </w:r>
      <w:r w:rsidR="00E27310">
        <w:t>’</w:t>
      </w:r>
      <w:r>
        <w:t xml:space="preserve">un </w:t>
      </w:r>
      <w:r w:rsidR="00D8226E">
        <w:t>C</w:t>
      </w:r>
      <w:r>
        <w:t xml:space="preserve">ommanditaire de la même manière, le </w:t>
      </w:r>
      <w:r w:rsidR="00D8226E">
        <w:t>C</w:t>
      </w:r>
      <w:r>
        <w:t xml:space="preserve">ommandité doit demander à tous les </w:t>
      </w:r>
      <w:r w:rsidR="00D8226E">
        <w:t>C</w:t>
      </w:r>
      <w:r>
        <w:t xml:space="preserve">ommanditaires concernés de prendre les mesures énoncées dans la phrase précédente et chacun de ces </w:t>
      </w:r>
      <w:r w:rsidR="00D8226E">
        <w:t>C</w:t>
      </w:r>
      <w:r>
        <w:t>ommanditaires doit se conformer en conséquence.</w:t>
      </w:r>
      <w:bookmarkEnd w:id="226"/>
      <w:bookmarkEnd w:id="227"/>
      <w:r>
        <w:t xml:space="preserve"> </w:t>
      </w:r>
    </w:p>
    <w:p w:rsidR="0000160C" w:rsidRDefault="00C517ED" w14:paraId="02C7239D" w14:textId="483ECEBD">
      <w:pPr>
        <w:pStyle w:val="ArtBJStyL3"/>
      </w:pPr>
      <w:bookmarkStart w:name="_Ref113892431" w:id="228"/>
      <w:r>
        <w:t xml:space="preserve">Le </w:t>
      </w:r>
      <w:r w:rsidR="00D8226E">
        <w:t>C</w:t>
      </w:r>
      <w:r>
        <w:t xml:space="preserve">ommandité peut, au nom du Fonds, sans le consentement de tout autre </w:t>
      </w:r>
      <w:r w:rsidR="00D8226E">
        <w:t>C</w:t>
      </w:r>
      <w:r>
        <w:t xml:space="preserve">ommanditaire, conclure avec un </w:t>
      </w:r>
      <w:r w:rsidR="00D8226E">
        <w:t>C</w:t>
      </w:r>
      <w:r>
        <w:t>ommanditaire tout</w:t>
      </w:r>
      <w:r w:rsidR="00D8226E">
        <w:t xml:space="preserve">e entente </w:t>
      </w:r>
      <w:r>
        <w:t xml:space="preserve">qui exige ou permet à ce </w:t>
      </w:r>
      <w:r w:rsidR="00D8226E">
        <w:t>C</w:t>
      </w:r>
      <w:r>
        <w:t>ommanditaire de se retirer du Fonds dans les circonstances prévues à l</w:t>
      </w:r>
      <w:r w:rsidR="00D8226E">
        <w:t>’article</w:t>
      </w:r>
      <w:r>
        <w:t> </w:t>
      </w:r>
      <w:r w:rsidRPr="006400F9" w:rsidR="00727386">
        <w:fldChar w:fldCharType="begin"/>
      </w:r>
      <w:r w:rsidRPr="006400F9" w:rsidR="00727386">
        <w:instrText xml:space="preserve"> REF _Ref40802856 \w \h  \* MERGEFORMAT </w:instrText>
      </w:r>
      <w:r w:rsidRPr="006400F9" w:rsidR="00727386">
        <w:fldChar w:fldCharType="separate"/>
      </w:r>
      <w:r w:rsidR="00B50BE2">
        <w:t>4.3(b)</w:t>
      </w:r>
      <w:r w:rsidRPr="006400F9" w:rsidR="00727386">
        <w:fldChar w:fldCharType="end"/>
      </w:r>
      <w:r>
        <w:t xml:space="preserve"> (</w:t>
      </w:r>
      <w:r w:rsidRPr="00841AFD" w:rsidR="00841AFD">
        <w:rPr>
          <w:i/>
        </w:rPr>
        <w:fldChar w:fldCharType="begin"/>
      </w:r>
      <w:r w:rsidRPr="00841AFD" w:rsidR="00841AFD">
        <w:rPr>
          <w:i/>
        </w:rPr>
        <w:instrText xml:space="preserve"> REF _Ref113884995 \h  \* MERGEFORMAT </w:instrText>
      </w:r>
      <w:r w:rsidRPr="00841AFD" w:rsidR="00841AFD">
        <w:rPr>
          <w:i/>
        </w:rPr>
      </w:r>
      <w:r w:rsidRPr="00841AFD" w:rsidR="00841AFD">
        <w:rPr>
          <w:i/>
        </w:rPr>
        <w:fldChar w:fldCharType="separate"/>
      </w:r>
      <w:r w:rsidRPr="00B50BE2" w:rsidR="00B50BE2">
        <w:rPr>
          <w:i/>
        </w:rPr>
        <w:t>Pas de retrait de capital.</w:t>
      </w:r>
      <w:r w:rsidRPr="00841AFD" w:rsidR="00841AFD">
        <w:rPr>
          <w:i/>
        </w:rPr>
        <w:fldChar w:fldCharType="end"/>
      </w:r>
      <w:r>
        <w:t>).</w:t>
      </w:r>
      <w:bookmarkEnd w:id="228"/>
    </w:p>
    <w:p w:rsidR="0000160C" w:rsidRDefault="00C517ED" w14:paraId="2CADE3E0" w14:textId="28918677">
      <w:pPr>
        <w:pStyle w:val="ArtBJStyL1"/>
      </w:pPr>
      <w:r>
        <w:br/>
      </w:r>
      <w:bookmarkStart w:name="_Ref113892432" w:id="229"/>
      <w:bookmarkStart w:name="_Toc161762328" w:id="230"/>
      <w:r>
        <w:t>Cl</w:t>
      </w:r>
      <w:r w:rsidR="00D8226E">
        <w:t>Ô</w:t>
      </w:r>
      <w:r>
        <w:t>tures</w:t>
      </w:r>
      <w:bookmarkEnd w:id="229"/>
      <w:bookmarkEnd w:id="230"/>
    </w:p>
    <w:p w:rsidR="0000160C" w:rsidRDefault="00C517ED" w14:paraId="260BD7CE" w14:textId="77417291">
      <w:pPr>
        <w:pStyle w:val="ArtBJStyL2"/>
      </w:pPr>
      <w:bookmarkStart w:name="_Ref45709994" w:id="231"/>
      <w:bookmarkStart w:name="_Toc161762329" w:id="232"/>
      <w:bookmarkStart w:name="_Ref40801051" w:id="233"/>
      <w:r>
        <w:t xml:space="preserve">Admission en tant que </w:t>
      </w:r>
      <w:r w:rsidR="00FF41FA">
        <w:t>C</w:t>
      </w:r>
      <w:r>
        <w:t>ommanditaire.</w:t>
      </w:r>
      <w:bookmarkEnd w:id="231"/>
      <w:bookmarkEnd w:id="232"/>
    </w:p>
    <w:p w:rsidR="0000160C" w:rsidRDefault="006E5CAB" w14:paraId="2F62B2A2" w14:textId="17E2C28B">
      <w:pPr>
        <w:pStyle w:val="ArtBJStyCont2"/>
      </w:pPr>
      <w:r>
        <w:t>Sur signature</w:t>
      </w:r>
      <w:r w:rsidR="00C517ED">
        <w:t xml:space="preserve"> et </w:t>
      </w:r>
      <w:r>
        <w:t>remise</w:t>
      </w:r>
      <w:r w:rsidR="00C517ED">
        <w:t xml:space="preserve"> par un </w:t>
      </w:r>
      <w:r>
        <w:t>souscripteur</w:t>
      </w:r>
      <w:r w:rsidR="00C517ED">
        <w:t xml:space="preserve"> et le </w:t>
      </w:r>
      <w:r>
        <w:t>C</w:t>
      </w:r>
      <w:r w:rsidR="00C517ED">
        <w:t xml:space="preserve">ommandité de </w:t>
      </w:r>
      <w:r>
        <w:t>toute Convention de souscription</w:t>
      </w:r>
      <w:r w:rsidR="00C517ED">
        <w:t xml:space="preserve">, </w:t>
      </w:r>
      <w:r>
        <w:t>le souscripteur</w:t>
      </w:r>
      <w:r w:rsidR="00C517ED">
        <w:t xml:space="preserve"> sera admis en tant que </w:t>
      </w:r>
      <w:r>
        <w:t>Commanditaire</w:t>
      </w:r>
      <w:r w:rsidR="00C517ED">
        <w:t xml:space="preserve"> et tous les </w:t>
      </w:r>
      <w:r>
        <w:t>Associés</w:t>
      </w:r>
      <w:r w:rsidR="00C517ED">
        <w:t xml:space="preserve"> seront réputés consentir à l</w:t>
      </w:r>
      <w:r w:rsidR="00E27310">
        <w:t>’</w:t>
      </w:r>
      <w:r w:rsidR="00C517ED">
        <w:t>admission d</w:t>
      </w:r>
      <w:r>
        <w:t xml:space="preserve">u souscripteur </w:t>
      </w:r>
      <w:r w:rsidR="00C517ED">
        <w:t xml:space="preserve">en tant que </w:t>
      </w:r>
      <w:r>
        <w:t>Commanditaire</w:t>
      </w:r>
      <w:r w:rsidR="00EC47A5">
        <w:t>s</w:t>
      </w:r>
      <w:r w:rsidR="00C517ED">
        <w:t xml:space="preserve">. </w:t>
      </w:r>
      <w:r w:rsidRPr="006E5CAB">
        <w:t xml:space="preserve">Aucune action ou consentement des </w:t>
      </w:r>
      <w:r>
        <w:t>C</w:t>
      </w:r>
      <w:r w:rsidRPr="006E5CAB">
        <w:t xml:space="preserve">ommanditaires </w:t>
      </w:r>
      <w:r>
        <w:t>n’est</w:t>
      </w:r>
      <w:r w:rsidRPr="006E5CAB">
        <w:t xml:space="preserve"> requis pour l</w:t>
      </w:r>
      <w:r w:rsidR="00EC47A5">
        <w:t>’</w:t>
      </w:r>
      <w:r w:rsidRPr="006E5CAB">
        <w:t>admission d</w:t>
      </w:r>
      <w:r w:rsidR="00EC47A5">
        <w:t>’</w:t>
      </w:r>
      <w:r w:rsidRPr="006E5CAB">
        <w:t xml:space="preserve">un </w:t>
      </w:r>
      <w:r>
        <w:t>C</w:t>
      </w:r>
      <w:r w:rsidRPr="006E5CAB">
        <w:t>ommanditaire</w:t>
      </w:r>
      <w:r w:rsidR="00C517ED">
        <w:t xml:space="preserve">. Le </w:t>
      </w:r>
      <w:r>
        <w:t>C</w:t>
      </w:r>
      <w:r w:rsidR="00C517ED">
        <w:t xml:space="preserve">ommandité doit également faire modifier le </w:t>
      </w:r>
      <w:r>
        <w:t>R</w:t>
      </w:r>
      <w:r w:rsidR="00C517ED">
        <w:t>egistre pour indiquer l</w:t>
      </w:r>
      <w:r w:rsidR="00E27310">
        <w:t>’</w:t>
      </w:r>
      <w:r w:rsidR="00C517ED">
        <w:t xml:space="preserve">ajout du </w:t>
      </w:r>
      <w:r>
        <w:t>C</w:t>
      </w:r>
      <w:r w:rsidR="00C517ED">
        <w:t xml:space="preserve">ommanditaire et doit </w:t>
      </w:r>
      <w:r w:rsidR="0082726A">
        <w:t>produire</w:t>
      </w:r>
      <w:r w:rsidR="00C517ED">
        <w:t xml:space="preserve"> auprès des autorités compétentes tous les autres documents exigés par la Loi ou </w:t>
      </w:r>
      <w:r>
        <w:t>en vertu de</w:t>
      </w:r>
      <w:r w:rsidR="00C517ED">
        <w:t xml:space="preserve"> toute autre loi applicable dans d</w:t>
      </w:r>
      <w:r w:rsidR="00E27310">
        <w:t>’</w:t>
      </w:r>
      <w:r w:rsidR="00C517ED">
        <w:t>autres provinces ou territoires pertinents et doit faire en sorte que l</w:t>
      </w:r>
      <w:r w:rsidR="00E27310">
        <w:t>’</w:t>
      </w:r>
      <w:r w:rsidR="00C517ED">
        <w:t xml:space="preserve">admission du nouveau </w:t>
      </w:r>
      <w:r>
        <w:t>C</w:t>
      </w:r>
      <w:r w:rsidR="00C517ED">
        <w:t>ommanditaire soit reflétée dans tous les autres livres et registres pertinents du Fonds.</w:t>
      </w:r>
    </w:p>
    <w:p w:rsidR="0000160C" w:rsidRDefault="00C517ED" w14:paraId="786BBE8D" w14:textId="1982BAD4">
      <w:pPr>
        <w:pStyle w:val="ArtBJStyL2"/>
      </w:pPr>
      <w:bookmarkStart w:name="_Ref45709997" w:id="234"/>
      <w:bookmarkStart w:name="_Toc161762330" w:id="235"/>
      <w:r>
        <w:lastRenderedPageBreak/>
        <w:t xml:space="preserve">Qui </w:t>
      </w:r>
      <w:r w:rsidR="00D8226E">
        <w:t>n</w:t>
      </w:r>
      <w:r>
        <w:t xml:space="preserve">e </w:t>
      </w:r>
      <w:r w:rsidR="00D8226E">
        <w:t>p</w:t>
      </w:r>
      <w:r>
        <w:t xml:space="preserve">eut </w:t>
      </w:r>
      <w:r w:rsidR="00D8226E">
        <w:t>p</w:t>
      </w:r>
      <w:r>
        <w:t xml:space="preserve">as </w:t>
      </w:r>
      <w:r w:rsidR="00D8226E">
        <w:t>souscrire</w:t>
      </w:r>
      <w:r>
        <w:t>.</w:t>
      </w:r>
      <w:bookmarkEnd w:id="234"/>
      <w:bookmarkEnd w:id="235"/>
    </w:p>
    <w:p w:rsidR="0000160C" w:rsidRDefault="00C517ED" w14:paraId="587A0EEC" w14:textId="31F9D370">
      <w:pPr>
        <w:pStyle w:val="ArtBJStyCont2"/>
      </w:pPr>
      <w:r>
        <w:t>Aucun</w:t>
      </w:r>
      <w:r w:rsidR="006E5CAB">
        <w:t xml:space="preserve">e Participation </w:t>
      </w:r>
      <w:r>
        <w:t>ne peut être acquis</w:t>
      </w:r>
      <w:r w:rsidR="006E5CAB">
        <w:t>e</w:t>
      </w:r>
      <w:r>
        <w:t xml:space="preserve"> par</w:t>
      </w:r>
      <w:r w:rsidRPr="006E5CAB" w:rsidR="006E5CAB">
        <w:t xml:space="preserve"> une </w:t>
      </w:r>
      <w:r w:rsidR="006E5CAB">
        <w:t>P</w:t>
      </w:r>
      <w:r w:rsidRPr="006E5CAB" w:rsidR="006E5CAB">
        <w:t xml:space="preserve">ersonne </w:t>
      </w:r>
      <w:r w:rsidR="002D29D9">
        <w:t>inadmissible</w:t>
      </w:r>
      <w:r w:rsidRPr="006E5CAB" w:rsidR="006E5CAB">
        <w:t xml:space="preserve"> ou en son nom ni enregistrée au nom d</w:t>
      </w:r>
      <w:r w:rsidR="00EC47A5">
        <w:t>’</w:t>
      </w:r>
      <w:r w:rsidRPr="006E5CAB" w:rsidR="006E5CAB">
        <w:t xml:space="preserve">une telle </w:t>
      </w:r>
      <w:r w:rsidR="006E5CAB">
        <w:t>P</w:t>
      </w:r>
      <w:r w:rsidRPr="006E5CAB" w:rsidR="006E5CAB">
        <w:t>ersonne</w:t>
      </w:r>
      <w:r>
        <w:t xml:space="preserve">, et le </w:t>
      </w:r>
      <w:r w:rsidR="006E5CAB">
        <w:t>Commandité</w:t>
      </w:r>
      <w:r>
        <w:t xml:space="preserve"> peut refuser d</w:t>
      </w:r>
      <w:r w:rsidR="00E27310">
        <w:t>’</w:t>
      </w:r>
      <w:r>
        <w:t xml:space="preserve">admettre comme </w:t>
      </w:r>
      <w:r w:rsidR="006E5CAB">
        <w:t>Commanditaire</w:t>
      </w:r>
      <w:r>
        <w:t xml:space="preserve"> toute Personne que le </w:t>
      </w:r>
      <w:r w:rsidR="006E5CAB">
        <w:t>Commandité</w:t>
      </w:r>
      <w:r>
        <w:t xml:space="preserve"> détermine raisonnablement comme une Personne </w:t>
      </w:r>
      <w:r w:rsidR="002D29D9">
        <w:t>inadmissible</w:t>
      </w:r>
      <w:r>
        <w:t>.</w:t>
      </w:r>
      <w:bookmarkStart w:name="_Ref113892824" w:id="236"/>
      <w:r>
        <w:rPr>
          <w:vertAlign w:val="superscript"/>
        </w:rPr>
        <w:footnoteReference w:id="78"/>
      </w:r>
      <w:bookmarkEnd w:id="236"/>
    </w:p>
    <w:p w:rsidR="0000160C" w:rsidRDefault="006E5CAB" w14:paraId="5D9B5C8F" w14:textId="1A3067BD">
      <w:pPr>
        <w:pStyle w:val="ArtBJStyL2"/>
      </w:pPr>
      <w:bookmarkStart w:name="_Ref113892433" w:id="237"/>
      <w:bookmarkStart w:name="_Toc161762331" w:id="238"/>
      <w:r>
        <w:t>Rachat</w:t>
      </w:r>
      <w:r w:rsidR="00C517ED">
        <w:t xml:space="preserve"> </w:t>
      </w:r>
      <w:r>
        <w:t>de la Participation</w:t>
      </w:r>
      <w:r w:rsidR="00C517ED">
        <w:t xml:space="preserve"> du </w:t>
      </w:r>
      <w:r>
        <w:t>C</w:t>
      </w:r>
      <w:r w:rsidR="00C517ED">
        <w:t>ommanditaire initial.</w:t>
      </w:r>
      <w:bookmarkEnd w:id="237"/>
      <w:bookmarkEnd w:id="238"/>
    </w:p>
    <w:p w:rsidR="0000160C" w:rsidRDefault="00C517ED" w14:paraId="2C3AB836" w14:textId="58313718">
      <w:pPr>
        <w:pStyle w:val="ArtBJStyCont2"/>
      </w:pPr>
      <w:r>
        <w:t xml:space="preserve">À la </w:t>
      </w:r>
      <w:r w:rsidR="006E5CAB">
        <w:t>D</w:t>
      </w:r>
      <w:r>
        <w:t>ate de clôture initiale</w:t>
      </w:r>
      <w:r w:rsidR="00EC47A5">
        <w:t>,</w:t>
      </w:r>
      <w:r>
        <w:t xml:space="preserve"> ou immédiatement après, </w:t>
      </w:r>
      <w:r w:rsidR="006E5CAB">
        <w:t>la Participation</w:t>
      </w:r>
      <w:r>
        <w:t xml:space="preserve"> du </w:t>
      </w:r>
      <w:r w:rsidR="006E5CAB">
        <w:t>C</w:t>
      </w:r>
      <w:r>
        <w:t xml:space="preserve">ommanditaire initial </w:t>
      </w:r>
      <w:r w:rsidR="006E5CAB">
        <w:t>sera</w:t>
      </w:r>
      <w:r>
        <w:t xml:space="preserve"> </w:t>
      </w:r>
      <w:r w:rsidR="006E5CAB">
        <w:t>rachetée</w:t>
      </w:r>
      <w:r>
        <w:t xml:space="preserve"> pour un prix de </w:t>
      </w:r>
      <w:r w:rsidR="006E5CAB">
        <w:t>rachat</w:t>
      </w:r>
      <w:r>
        <w:t xml:space="preserve"> de 1,00 $.</w:t>
      </w:r>
    </w:p>
    <w:p w:rsidR="0000160C" w:rsidRDefault="00587B62" w14:paraId="63B9B66C" w14:textId="046B15EC">
      <w:pPr>
        <w:pStyle w:val="ArtBJStyL2"/>
      </w:pPr>
      <w:bookmarkStart w:name="_Ref113882647" w:id="239"/>
      <w:bookmarkStart w:name="_Ref113885159" w:id="240"/>
      <w:bookmarkStart w:name="_Ref113885240" w:id="241"/>
      <w:bookmarkStart w:name="_Ref53076728" w:id="242"/>
      <w:bookmarkStart w:name="_Ref53081627" w:id="243"/>
      <w:bookmarkStart w:name="_Ref113885247" w:id="244"/>
      <w:bookmarkStart w:name="_Toc161762332" w:id="245"/>
      <w:r>
        <w:t>Clôtures</w:t>
      </w:r>
      <w:r w:rsidR="00C517ED">
        <w:t xml:space="preserve"> subséquentes.</w:t>
      </w:r>
      <w:bookmarkStart w:name="_Ref113892825" w:id="246"/>
      <w:bookmarkEnd w:id="233"/>
      <w:r w:rsidR="00C517ED">
        <w:rPr>
          <w:rStyle w:val="FootnoteReference"/>
        </w:rPr>
        <w:footnoteReference w:id="79"/>
      </w:r>
      <w:bookmarkEnd w:id="239"/>
      <w:bookmarkEnd w:id="240"/>
      <w:bookmarkEnd w:id="241"/>
      <w:bookmarkEnd w:id="242"/>
      <w:bookmarkEnd w:id="243"/>
      <w:bookmarkEnd w:id="244"/>
      <w:bookmarkEnd w:id="245"/>
      <w:bookmarkEnd w:id="246"/>
    </w:p>
    <w:p w:rsidR="0000160C" w:rsidRDefault="00C517ED" w14:paraId="66984006" w14:textId="4A0F20A4">
      <w:pPr>
        <w:pStyle w:val="ArtBJStyL3"/>
      </w:pPr>
      <w:bookmarkStart w:name="_Ref40802404" w:id="247"/>
      <w:r>
        <w:t>Sous réserve de l</w:t>
      </w:r>
      <w:r w:rsidR="006E5CAB">
        <w:t xml:space="preserve">’article </w:t>
      </w:r>
      <w:r w:rsidRPr="006400F9">
        <w:fldChar w:fldCharType="begin"/>
      </w:r>
      <w:r w:rsidRPr="006400F9">
        <w:instrText xml:space="preserve"> REF _Ref40802868 \w \h </w:instrText>
      </w:r>
      <w:r w:rsidRPr="006400F9" w:rsidR="00791303">
        <w:instrText xml:space="preserve"> \* MERGEFORMAT </w:instrText>
      </w:r>
      <w:r w:rsidRPr="006400F9">
        <w:fldChar w:fldCharType="separate"/>
      </w:r>
      <w:r w:rsidR="00B50BE2">
        <w:t>4.1</w:t>
      </w:r>
      <w:r w:rsidRPr="006400F9">
        <w:fldChar w:fldCharType="end"/>
      </w:r>
      <w:r>
        <w:t xml:space="preserve"> (</w:t>
      </w:r>
      <w:r w:rsidR="006A3B29">
        <w:fldChar w:fldCharType="begin"/>
      </w:r>
      <w:r w:rsidR="006A3B29">
        <w:instrText xml:space="preserve"> REF _Ref40802868 \h  \* MERGEFORMAT </w:instrText>
      </w:r>
      <w:r w:rsidR="006A3B29">
        <w:fldChar w:fldCharType="separate"/>
      </w:r>
      <w:r w:rsidRPr="00B50BE2" w:rsidR="00B50BE2">
        <w:rPr>
          <w:i/>
        </w:rPr>
        <w:t>Taille maximale du Fonds</w:t>
      </w:r>
      <w:r w:rsidR="00B50BE2">
        <w:t>.</w:t>
      </w:r>
      <w:r w:rsidR="006A3B29">
        <w:fldChar w:fldCharType="end"/>
      </w:r>
      <w:r>
        <w:t xml:space="preserve">), le </w:t>
      </w:r>
      <w:r w:rsidR="00CF502E">
        <w:t>C</w:t>
      </w:r>
      <w:r>
        <w:t xml:space="preserve">ommandité peut </w:t>
      </w:r>
      <w:r w:rsidR="00CF502E">
        <w:t>prévoir</w:t>
      </w:r>
      <w:r>
        <w:t xml:space="preserve"> une ou plusieurs </w:t>
      </w:r>
      <w:r w:rsidR="00CF502E">
        <w:t>c</w:t>
      </w:r>
      <w:r>
        <w:t xml:space="preserve">lôtures </w:t>
      </w:r>
      <w:r w:rsidR="00CF502E">
        <w:t>subséquentes</w:t>
      </w:r>
      <w:r>
        <w:t xml:space="preserve"> (chacune de ces clôtures, une « </w:t>
      </w:r>
      <w:r>
        <w:rPr>
          <w:b/>
        </w:rPr>
        <w:t xml:space="preserve">Clôture </w:t>
      </w:r>
      <w:r w:rsidR="00587B62">
        <w:rPr>
          <w:b/>
        </w:rPr>
        <w:t>subséquente</w:t>
      </w:r>
      <w:r w:rsidR="00CF502E">
        <w:rPr>
          <w:bCs/>
        </w:rPr>
        <w:t> »</w:t>
      </w:r>
      <w:r>
        <w:t>) à toute date</w:t>
      </w:r>
      <w:r w:rsidR="00EC47A5">
        <w:t>,</w:t>
      </w:r>
      <w:r>
        <w:t xml:space="preserve"> au plus tard à la Date de </w:t>
      </w:r>
      <w:r w:rsidR="00CF502E">
        <w:t>c</w:t>
      </w:r>
      <w:r>
        <w:t xml:space="preserve">lôture </w:t>
      </w:r>
      <w:r w:rsidR="00CF502E">
        <w:t>f</w:t>
      </w:r>
      <w:r>
        <w:t>inale</w:t>
      </w:r>
      <w:r w:rsidR="00EC47A5">
        <w:t>,</w:t>
      </w:r>
      <w:r>
        <w:t xml:space="preserve"> pour admettre un ou plusieurs </w:t>
      </w:r>
      <w:r w:rsidR="00CF502E">
        <w:t>C</w:t>
      </w:r>
      <w:r>
        <w:t xml:space="preserve">ommanditaires supplémentaires et pour permettre à tout </w:t>
      </w:r>
      <w:r w:rsidR="00CF502E">
        <w:t>C</w:t>
      </w:r>
      <w:r>
        <w:t>ommanditaire existant d</w:t>
      </w:r>
      <w:r w:rsidR="00E27310">
        <w:t>’</w:t>
      </w:r>
      <w:r>
        <w:t xml:space="preserve">augmenter son Engagement envers le Fonds (chacune de ces Personnes, un « </w:t>
      </w:r>
      <w:r w:rsidR="00ED0495">
        <w:rPr>
          <w:b/>
        </w:rPr>
        <w:t>Associé d’une Clôture subséquente</w:t>
      </w:r>
      <w:r>
        <w:rPr>
          <w:bCs/>
        </w:rPr>
        <w:t xml:space="preserve"> »). </w:t>
      </w:r>
      <w:r>
        <w:t xml:space="preserve">Chaque </w:t>
      </w:r>
      <w:r w:rsidR="00CF502E">
        <w:t>Associé d’une</w:t>
      </w:r>
      <w:r>
        <w:t xml:space="preserve"> </w:t>
      </w:r>
      <w:r w:rsidR="00CF502E">
        <w:t>C</w:t>
      </w:r>
      <w:r>
        <w:t>lôture subséquent</w:t>
      </w:r>
      <w:r w:rsidR="009739E2">
        <w:t>e</w:t>
      </w:r>
      <w:r>
        <w:t xml:space="preserve"> sera traité comme s</w:t>
      </w:r>
      <w:r w:rsidR="00E27310">
        <w:t>’</w:t>
      </w:r>
      <w:r>
        <w:t>il avait été admis, ou comme si l</w:t>
      </w:r>
      <w:r w:rsidR="00E27310">
        <w:t>’</w:t>
      </w:r>
      <w:r>
        <w:t xml:space="preserve">augmentation avait été incluse dans son </w:t>
      </w:r>
      <w:r w:rsidR="00CF502E">
        <w:t>E</w:t>
      </w:r>
      <w:r>
        <w:t xml:space="preserve">ngagement, à la </w:t>
      </w:r>
      <w:r w:rsidR="00CF502E">
        <w:t>D</w:t>
      </w:r>
      <w:r>
        <w:t>ate de clôture initiale.</w:t>
      </w:r>
      <w:bookmarkEnd w:id="247"/>
    </w:p>
    <w:p w:rsidR="0000160C" w:rsidRDefault="00C517ED" w14:paraId="79DD0A81" w14:textId="2B5F3B18">
      <w:pPr>
        <w:pStyle w:val="ArtBJStyL3"/>
        <w:keepNext/>
      </w:pPr>
      <w:bookmarkStart w:name="_Ref113892434" w:id="248"/>
      <w:r>
        <w:t>Avant d</w:t>
      </w:r>
      <w:r w:rsidR="00E27310">
        <w:t>’</w:t>
      </w:r>
      <w:r>
        <w:t xml:space="preserve">admettre un </w:t>
      </w:r>
      <w:r w:rsidR="00CF502E">
        <w:t>Associé</w:t>
      </w:r>
      <w:r>
        <w:t xml:space="preserve"> d</w:t>
      </w:r>
      <w:r w:rsidR="002D29D9">
        <w:t>’une</w:t>
      </w:r>
      <w:r>
        <w:t xml:space="preserve"> </w:t>
      </w:r>
      <w:r w:rsidR="00CF502E">
        <w:t>C</w:t>
      </w:r>
      <w:r>
        <w:t>lôture subséquent</w:t>
      </w:r>
      <w:r w:rsidR="00CF502E">
        <w:t>e</w:t>
      </w:r>
      <w:r>
        <w:t xml:space="preserve"> au Fonds, le </w:t>
      </w:r>
      <w:r w:rsidR="00CF502E">
        <w:t>Commandité</w:t>
      </w:r>
      <w:r>
        <w:t xml:space="preserve"> doit s</w:t>
      </w:r>
      <w:r w:rsidR="00E27310">
        <w:t>’</w:t>
      </w:r>
      <w:r>
        <w:t>assurer que les conditions suivantes sont remplies :</w:t>
      </w:r>
      <w:bookmarkEnd w:id="248"/>
    </w:p>
    <w:p w:rsidR="0000160C" w:rsidRDefault="00C517ED" w14:paraId="2FE8FF62" w14:textId="3621E0D9">
      <w:pPr>
        <w:pStyle w:val="ArtBJStyL4"/>
      </w:pPr>
      <w:bookmarkStart w:name="_Ref113892435" w:id="249"/>
      <w:proofErr w:type="gramStart"/>
      <w:r>
        <w:t>l</w:t>
      </w:r>
      <w:r w:rsidR="00796362">
        <w:t>’</w:t>
      </w:r>
      <w:r w:rsidR="00CF502E">
        <w:t>Associé</w:t>
      </w:r>
      <w:proofErr w:type="gramEnd"/>
      <w:r w:rsidR="00CF502E">
        <w:t xml:space="preserve"> d’une Clôture subséquente </w:t>
      </w:r>
      <w:r>
        <w:t xml:space="preserve">a signé et remis </w:t>
      </w:r>
      <w:r w:rsidR="00CF502E">
        <w:t>l</w:t>
      </w:r>
      <w:r>
        <w:t xml:space="preserve">es documents et a pris les mesures que le </w:t>
      </w:r>
      <w:r w:rsidR="00CF502E">
        <w:t xml:space="preserve">Commandité </w:t>
      </w:r>
      <w:r>
        <w:t xml:space="preserve">juge nécessaires ou souhaitables pour effectuer cette admission, y compris la signature </w:t>
      </w:r>
      <w:bookmarkStart w:name="DocXTextRef40" w:id="250"/>
      <w:r>
        <w:t>(i)</w:t>
      </w:r>
      <w:bookmarkEnd w:id="250"/>
      <w:r>
        <w:t xml:space="preserve"> d</w:t>
      </w:r>
      <w:r w:rsidR="00E27310">
        <w:t>’</w:t>
      </w:r>
      <w:r>
        <w:t>un</w:t>
      </w:r>
      <w:r w:rsidR="00CF502E">
        <w:t xml:space="preserve">e Convention de souscription </w:t>
      </w:r>
      <w:r>
        <w:t xml:space="preserve">contenant les </w:t>
      </w:r>
      <w:r w:rsidR="00CF502E">
        <w:t>déclarations</w:t>
      </w:r>
      <w:r>
        <w:t xml:space="preserve"> et les garanties </w:t>
      </w:r>
      <w:r w:rsidR="00CF502E">
        <w:t>par</w:t>
      </w:r>
      <w:r>
        <w:t xml:space="preserve"> </w:t>
      </w:r>
      <w:r w:rsidR="00CF502E">
        <w:t xml:space="preserve">l’Associé d’une Clôture subséquente </w:t>
      </w:r>
      <w:r>
        <w:t xml:space="preserve">et </w:t>
      </w:r>
      <w:bookmarkStart w:name="DocXTextRef41" w:id="251"/>
      <w:r>
        <w:t>(ii)</w:t>
      </w:r>
      <w:bookmarkEnd w:id="251"/>
      <w:r>
        <w:t xml:space="preserve"> d</w:t>
      </w:r>
      <w:r w:rsidR="00E27310">
        <w:t>’</w:t>
      </w:r>
      <w:r>
        <w:t>un</w:t>
      </w:r>
      <w:r w:rsidR="00CF502E">
        <w:t xml:space="preserve"> exemplaire </w:t>
      </w:r>
      <w:r w:rsidR="00E536D5">
        <w:t>de la présente Convention</w:t>
      </w:r>
      <w:r>
        <w:t>;</w:t>
      </w:r>
      <w:bookmarkEnd w:id="249"/>
    </w:p>
    <w:p w:rsidR="0000160C" w:rsidRDefault="00C517ED" w14:paraId="189A2AA5" w14:textId="656070D5">
      <w:pPr>
        <w:pStyle w:val="ArtBJStyL4"/>
      </w:pPr>
      <w:bookmarkStart w:name="_Ref113892436" w:id="252"/>
      <w:proofErr w:type="gramStart"/>
      <w:r>
        <w:t>l</w:t>
      </w:r>
      <w:r w:rsidR="00E27310">
        <w:t>’</w:t>
      </w:r>
      <w:r>
        <w:t>admission</w:t>
      </w:r>
      <w:proofErr w:type="gramEnd"/>
      <w:r>
        <w:t xml:space="preserve"> d</w:t>
      </w:r>
      <w:r w:rsidR="00CF502E">
        <w:t xml:space="preserve">e l’Associé d’une Clôture subséquente </w:t>
      </w:r>
      <w:r>
        <w:t>n</w:t>
      </w:r>
      <w:r w:rsidR="00E27310">
        <w:t>’</w:t>
      </w:r>
      <w:r>
        <w:t xml:space="preserve">entraîne pas une violation de la loi ou de toute </w:t>
      </w:r>
      <w:r w:rsidR="00CF502E">
        <w:t>modalité</w:t>
      </w:r>
      <w:r>
        <w:t xml:space="preserve"> </w:t>
      </w:r>
      <w:r w:rsidR="00E536D5">
        <w:t>de la présente Convention</w:t>
      </w:r>
      <w:r>
        <w:t>; et</w:t>
      </w:r>
      <w:bookmarkEnd w:id="252"/>
    </w:p>
    <w:p w:rsidR="0000160C" w:rsidRDefault="00C517ED" w14:paraId="6D62BFD3" w14:textId="32A0E240">
      <w:pPr>
        <w:pStyle w:val="ArtBJStyL4"/>
      </w:pPr>
      <w:bookmarkStart w:name="_Ref113892437" w:id="253"/>
      <w:proofErr w:type="gramStart"/>
      <w:r>
        <w:t>sous</w:t>
      </w:r>
      <w:proofErr w:type="gramEnd"/>
      <w:r>
        <w:t xml:space="preserve"> réserve de </w:t>
      </w:r>
      <w:r w:rsidR="00CF502E">
        <w:t>l’article</w:t>
      </w:r>
      <w:r>
        <w:t> </w:t>
      </w:r>
      <w:r w:rsidRPr="00E9050E">
        <w:fldChar w:fldCharType="begin"/>
      </w:r>
      <w:r w:rsidRPr="00E9050E">
        <w:instrText xml:space="preserve"> REF _Ref40801040 \w \h </w:instrText>
      </w:r>
      <w:r w:rsidRPr="00E9050E" w:rsidR="00791303">
        <w:instrText xml:space="preserve"> \* MERGEFORMAT </w:instrText>
      </w:r>
      <w:r w:rsidRPr="00E9050E">
        <w:fldChar w:fldCharType="separate"/>
      </w:r>
      <w:r w:rsidR="00B50BE2">
        <w:t>4.2</w:t>
      </w:r>
      <w:r w:rsidRPr="00E9050E">
        <w:fldChar w:fldCharType="end"/>
      </w:r>
      <w:r>
        <w:t xml:space="preserve"> (</w:t>
      </w:r>
      <w:r w:rsidRPr="006A3B29" w:rsidR="006A3B29">
        <w:rPr>
          <w:i/>
        </w:rPr>
        <w:fldChar w:fldCharType="begin"/>
      </w:r>
      <w:r w:rsidRPr="006A3B29" w:rsidR="006A3B29">
        <w:rPr>
          <w:i/>
        </w:rPr>
        <w:instrText xml:space="preserve"> REF _Ref40801040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Engagement du Commandité.</w:t>
      </w:r>
      <w:r w:rsidRPr="006A3B29" w:rsidR="006A3B29">
        <w:rPr>
          <w:i/>
        </w:rPr>
        <w:fldChar w:fldCharType="end"/>
      </w:r>
      <w:r>
        <w:t>), l</w:t>
      </w:r>
      <w:r w:rsidR="00CF502E">
        <w:t xml:space="preserve">’Associé d’une Clôture subséquente </w:t>
      </w:r>
      <w:r>
        <w:t>a contribué ou, avec l</w:t>
      </w:r>
      <w:r w:rsidR="00E27310">
        <w:t>’</w:t>
      </w:r>
      <w:r>
        <w:t>accord du Fonds, a accepté inconditionnellement de contribuer au Fonds pour les montants indiqués à l</w:t>
      </w:r>
      <w:r w:rsidR="00CF502E">
        <w:t xml:space="preserve">’article </w:t>
      </w:r>
      <w:r w:rsidRPr="00E9050E">
        <w:fldChar w:fldCharType="begin"/>
      </w:r>
      <w:r w:rsidRPr="00E9050E">
        <w:instrText xml:space="preserve"> REF _Ref40802201 \w \h </w:instrText>
      </w:r>
      <w:r w:rsidRPr="00E9050E" w:rsidR="00791303">
        <w:instrText xml:space="preserve"> \* MERGEFORMAT </w:instrText>
      </w:r>
      <w:r w:rsidRPr="00E9050E">
        <w:fldChar w:fldCharType="separate"/>
      </w:r>
      <w:r w:rsidR="00B50BE2">
        <w:t>5.4(d)</w:t>
      </w:r>
      <w:r w:rsidRPr="00E9050E">
        <w:fldChar w:fldCharType="end"/>
      </w:r>
      <w:r>
        <w:t xml:space="preserve"> (</w:t>
      </w:r>
      <w:r w:rsidRPr="006A3B29" w:rsidR="006A3B29">
        <w:rPr>
          <w:i/>
        </w:rPr>
        <w:fldChar w:fldCharType="begin"/>
      </w:r>
      <w:r w:rsidRPr="006A3B29" w:rsidR="006A3B29">
        <w:rPr>
          <w:i/>
        </w:rPr>
        <w:instrText xml:space="preserve"> REF _Ref113882647 \h  \* MERGEFORMAT </w:instrText>
      </w:r>
      <w:r w:rsidRPr="006A3B29" w:rsidR="006A3B29">
        <w:rPr>
          <w:i/>
        </w:rPr>
      </w:r>
      <w:r w:rsidRPr="006A3B29" w:rsidR="006A3B29">
        <w:rPr>
          <w:i/>
        </w:rPr>
        <w:fldChar w:fldCharType="separate"/>
      </w:r>
      <w:r w:rsidRPr="00B50BE2" w:rsidR="00B50BE2">
        <w:rPr>
          <w:i/>
        </w:rPr>
        <w:t>Clôtures subséquentes.</w:t>
      </w:r>
      <w:r w:rsidRPr="006A3B29" w:rsidR="006A3B29">
        <w:rPr>
          <w:i/>
        </w:rPr>
        <w:fldChar w:fldCharType="end"/>
      </w:r>
      <w:r>
        <w:t>).</w:t>
      </w:r>
      <w:bookmarkEnd w:id="253"/>
    </w:p>
    <w:p w:rsidR="0000160C" w:rsidRDefault="00C517ED" w14:paraId="0065F13A" w14:textId="18E449F3">
      <w:pPr>
        <w:pStyle w:val="ArtBJStyL3"/>
      </w:pPr>
      <w:bookmarkStart w:name="_Ref113892438" w:id="254"/>
      <w:r>
        <w:t xml:space="preserve">Chaque </w:t>
      </w:r>
      <w:r w:rsidR="00CF502E">
        <w:t xml:space="preserve">Associé d’une Clôture subséquente </w:t>
      </w:r>
      <w:r>
        <w:t>sera réputé admis au Fonds ou</w:t>
      </w:r>
      <w:r w:rsidR="00EC47A5">
        <w:t>, dans le cas d’un Commanditaire existant,</w:t>
      </w:r>
      <w:r>
        <w:t xml:space="preserve"> son Engagement accru réputé accepté</w:t>
      </w:r>
      <w:r w:rsidR="00EC47A5">
        <w:t>,</w:t>
      </w:r>
      <w:r>
        <w:t xml:space="preserve"> au moment où les conditions ci-dessus sont remplies. Le </w:t>
      </w:r>
      <w:r w:rsidR="00CF502E">
        <w:t>C</w:t>
      </w:r>
      <w:r>
        <w:t xml:space="preserve">ommandité doit modifier </w:t>
      </w:r>
      <w:r w:rsidR="00CF502E">
        <w:t>l’</w:t>
      </w:r>
      <w:r w:rsidRPr="006400F9">
        <w:fldChar w:fldCharType="begin"/>
      </w:r>
      <w:r w:rsidRPr="006400F9">
        <w:instrText xml:space="preserve"> REF _Ref40807563 \h </w:instrText>
      </w:r>
      <w:r w:rsidRPr="006400F9" w:rsidR="00791303">
        <w:instrText xml:space="preserve"> \* MERGEFORMAT </w:instrText>
      </w:r>
      <w:r w:rsidRPr="006400F9">
        <w:fldChar w:fldCharType="separate"/>
      </w:r>
      <w:r w:rsidR="00B50BE2">
        <w:t>Annexe 1</w:t>
      </w:r>
      <w:r w:rsidRPr="006400F9">
        <w:fldChar w:fldCharType="end"/>
      </w:r>
      <w:r>
        <w:t xml:space="preserve"> </w:t>
      </w:r>
      <w:r>
        <w:lastRenderedPageBreak/>
        <w:t>(</w:t>
      </w:r>
      <w:r w:rsidRPr="001E31E0" w:rsidR="001E31E0">
        <w:rPr>
          <w:i/>
        </w:rPr>
        <w:fldChar w:fldCharType="begin"/>
      </w:r>
      <w:r w:rsidRPr="001E31E0" w:rsidR="001E31E0">
        <w:rPr>
          <w:i/>
        </w:rPr>
        <w:instrText xml:space="preserve"> REF PartnerComm \h </w:instrText>
      </w:r>
      <w:r w:rsidR="001E31E0">
        <w:rPr>
          <w:i/>
        </w:rPr>
        <w:instrText xml:space="preserve"> \* MERGEFORMAT </w:instrText>
      </w:r>
      <w:r w:rsidRPr="001E31E0" w:rsidR="001E31E0">
        <w:rPr>
          <w:i/>
        </w:rPr>
      </w:r>
      <w:r w:rsidRPr="001E31E0" w:rsidR="001E31E0">
        <w:rPr>
          <w:i/>
        </w:rPr>
        <w:fldChar w:fldCharType="separate"/>
      </w:r>
      <w:r w:rsidRPr="00B50BE2" w:rsidR="00B50BE2">
        <w:rPr>
          <w:i/>
        </w:rPr>
        <w:t xml:space="preserve">Engagements des </w:t>
      </w:r>
      <w:r w:rsidRPr="001E31E0" w:rsidR="001E31E0">
        <w:rPr>
          <w:i/>
        </w:rPr>
        <w:fldChar w:fldCharType="end"/>
      </w:r>
      <w:r w:rsidR="00EC47A5">
        <w:rPr>
          <w:i/>
        </w:rPr>
        <w:t>.</w:t>
      </w:r>
      <w:r>
        <w:t>) et les livres et registres du Fonds pour refléter l</w:t>
      </w:r>
      <w:r w:rsidR="00E27310">
        <w:t>’</w:t>
      </w:r>
      <w:r>
        <w:t>admission ou l</w:t>
      </w:r>
      <w:r w:rsidR="00E27310">
        <w:t>’</w:t>
      </w:r>
      <w:r w:rsidR="00CF502E">
        <w:t>E</w:t>
      </w:r>
      <w:r>
        <w:t xml:space="preserve">ngagement accru de chaque </w:t>
      </w:r>
      <w:r w:rsidR="00CF502E">
        <w:t>Associé</w:t>
      </w:r>
      <w:r>
        <w:t xml:space="preserve"> d</w:t>
      </w:r>
      <w:r w:rsidR="00CF502E">
        <w:t>’une</w:t>
      </w:r>
      <w:r>
        <w:t xml:space="preserve"> </w:t>
      </w:r>
      <w:r w:rsidR="00CF502E">
        <w:t>C</w:t>
      </w:r>
      <w:r>
        <w:t>lôture subséquent</w:t>
      </w:r>
      <w:r w:rsidR="00CF502E">
        <w:t>e</w:t>
      </w:r>
      <w:r>
        <w:t>.</w:t>
      </w:r>
      <w:bookmarkEnd w:id="254"/>
    </w:p>
    <w:p w:rsidR="0000160C" w:rsidRDefault="00C517ED" w14:paraId="61E3DD04" w14:textId="2B083235">
      <w:pPr>
        <w:pStyle w:val="ArtBJStyL3"/>
        <w:keepNext/>
      </w:pPr>
      <w:bookmarkStart w:name="_Ref40802201" w:id="255"/>
      <w:r>
        <w:t xml:space="preserve">Chaque </w:t>
      </w:r>
      <w:r w:rsidR="00CF502E">
        <w:t>Associé d’une Clôture subséquente doit participer</w:t>
      </w:r>
      <w:r>
        <w:t xml:space="preserve"> aux Investissements de portefeuille effectués et aux Dépenses </w:t>
      </w:r>
      <w:r w:rsidR="00CF502E">
        <w:t>du F</w:t>
      </w:r>
      <w:r>
        <w:t xml:space="preserve">onds encourues avant son admission au Fonds au prorata de ses Engagements respectifs avec les </w:t>
      </w:r>
      <w:r w:rsidR="00CF502E">
        <w:t>Associés</w:t>
      </w:r>
      <w:r>
        <w:t xml:space="preserve"> admis avant l</w:t>
      </w:r>
      <w:r w:rsidR="00E27310">
        <w:t>’</w:t>
      </w:r>
      <w:r>
        <w:t xml:space="preserve">admission dudit </w:t>
      </w:r>
      <w:r w:rsidR="00CF502E">
        <w:t xml:space="preserve">Associé d’une Clôture subséquente </w:t>
      </w:r>
      <w:r>
        <w:t xml:space="preserve">(les « </w:t>
      </w:r>
      <w:r w:rsidR="00CF502E">
        <w:rPr>
          <w:b/>
        </w:rPr>
        <w:t>Associés</w:t>
      </w:r>
      <w:r>
        <w:rPr>
          <w:b/>
        </w:rPr>
        <w:t xml:space="preserve"> antérieurs</w:t>
      </w:r>
      <w:r>
        <w:rPr>
          <w:bCs/>
        </w:rPr>
        <w:t xml:space="preserve"> »</w:t>
      </w:r>
      <w:r>
        <w:t xml:space="preserve">) </w:t>
      </w:r>
      <w:r w:rsidR="00CF502E">
        <w:t>en</w:t>
      </w:r>
      <w:r>
        <w:t xml:space="preserve"> :</w:t>
      </w:r>
      <w:bookmarkEnd w:id="255"/>
    </w:p>
    <w:p w:rsidR="0000160C" w:rsidRDefault="00C517ED" w14:paraId="7DA2BCF7" w14:textId="3DF487EE">
      <w:pPr>
        <w:pStyle w:val="ArtBJStyL4"/>
      </w:pPr>
      <w:bookmarkStart w:name="_Ref40801343" w:id="256"/>
      <w:proofErr w:type="gramStart"/>
      <w:r>
        <w:t>contribu</w:t>
      </w:r>
      <w:r w:rsidR="00CF502E">
        <w:t>ant</w:t>
      </w:r>
      <w:proofErr w:type="gramEnd"/>
      <w:r>
        <w:t xml:space="preserve"> au Fonds, à </w:t>
      </w:r>
      <w:r w:rsidR="00CF502E">
        <w:t>compter de la</w:t>
      </w:r>
      <w:r>
        <w:t xml:space="preserve"> date de son admission ou après l</w:t>
      </w:r>
      <w:r w:rsidR="00E27310">
        <w:t>’</w:t>
      </w:r>
      <w:r>
        <w:t>acceptation d</w:t>
      </w:r>
      <w:r w:rsidR="00E27310">
        <w:t>’</w:t>
      </w:r>
      <w:r>
        <w:t xml:space="preserve">un </w:t>
      </w:r>
      <w:r w:rsidR="00CF502E">
        <w:t>E</w:t>
      </w:r>
      <w:r>
        <w:t xml:space="preserve">ngagement accru par le </w:t>
      </w:r>
      <w:r w:rsidR="00CF502E">
        <w:t>C</w:t>
      </w:r>
      <w:r>
        <w:t xml:space="preserve">ommandité, la même proportion de son </w:t>
      </w:r>
      <w:r w:rsidR="00CF502E">
        <w:t>A</w:t>
      </w:r>
      <w:r>
        <w:t xml:space="preserve">pport en capital que celle qui aurait été prélevée </w:t>
      </w:r>
      <w:r w:rsidR="008369E1">
        <w:t>de cet Associé d’une Clôture subséquente</w:t>
      </w:r>
      <w:r>
        <w:t xml:space="preserve"> s</w:t>
      </w:r>
      <w:r w:rsidR="00E27310">
        <w:t>’</w:t>
      </w:r>
      <w:r>
        <w:t>il avait été admis, ou si l</w:t>
      </w:r>
      <w:r w:rsidR="00E27310">
        <w:t>’</w:t>
      </w:r>
      <w:r>
        <w:t xml:space="preserve">augmentation avait été incluse dans son </w:t>
      </w:r>
      <w:r w:rsidR="008369E1">
        <w:t>E</w:t>
      </w:r>
      <w:r>
        <w:t xml:space="preserve">ngagement, à la </w:t>
      </w:r>
      <w:r w:rsidR="008369E1">
        <w:t>D</w:t>
      </w:r>
      <w:r>
        <w:t xml:space="preserve">ate de clôture initiale (le « </w:t>
      </w:r>
      <w:r w:rsidR="00D32E1B">
        <w:rPr>
          <w:b/>
        </w:rPr>
        <w:t>P</w:t>
      </w:r>
      <w:r>
        <w:rPr>
          <w:b/>
        </w:rPr>
        <w:t>aiement de péréquation</w:t>
      </w:r>
      <w:r>
        <w:t xml:space="preserve"> »); </w:t>
      </w:r>
      <w:r>
        <w:rPr>
          <w:u w:val="single"/>
        </w:rPr>
        <w:t>plus</w:t>
      </w:r>
      <w:bookmarkEnd w:id="256"/>
    </w:p>
    <w:p w:rsidR="0000160C" w:rsidRDefault="00C517ED" w14:paraId="67384823" w14:textId="553EFB48">
      <w:pPr>
        <w:pStyle w:val="ArtBJStyL4"/>
      </w:pPr>
      <w:bookmarkStart w:name="_Ref113892439" w:id="257"/>
      <w:bookmarkStart w:name="_Ref40800830" w:id="258"/>
      <w:r>
        <w:t>sauf dans les cas prévus à l</w:t>
      </w:r>
      <w:r w:rsidR="008369E1">
        <w:t xml:space="preserve">’article </w:t>
      </w:r>
      <w:r w:rsidRPr="006400F9">
        <w:fldChar w:fldCharType="begin"/>
      </w:r>
      <w:r w:rsidRPr="006400F9">
        <w:instrText xml:space="preserve"> REF _Ref40801040 \w \h </w:instrText>
      </w:r>
      <w:r w:rsidRPr="006400F9" w:rsidR="00791303">
        <w:instrText xml:space="preserve"> \* MERGEFORMAT </w:instrText>
      </w:r>
      <w:r w:rsidRPr="006400F9">
        <w:fldChar w:fldCharType="separate"/>
      </w:r>
      <w:r w:rsidR="00B50BE2">
        <w:t>4.2</w:t>
      </w:r>
      <w:r w:rsidRPr="006400F9">
        <w:fldChar w:fldCharType="end"/>
      </w:r>
      <w:r>
        <w:t xml:space="preserve"> (</w:t>
      </w:r>
      <w:r w:rsidRPr="006A3B29" w:rsidR="006A3B29">
        <w:rPr>
          <w:i/>
        </w:rPr>
        <w:fldChar w:fldCharType="begin"/>
      </w:r>
      <w:r w:rsidRPr="006A3B29" w:rsidR="006A3B29">
        <w:rPr>
          <w:i/>
        </w:rPr>
        <w:instrText xml:space="preserve"> REF _Ref40801040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Engagement du Commandité.</w:t>
      </w:r>
      <w:r w:rsidRPr="006A3B29" w:rsidR="006A3B29">
        <w:rPr>
          <w:i/>
        </w:rPr>
        <w:fldChar w:fldCharType="end"/>
      </w:r>
      <w:r>
        <w:t xml:space="preserve">), </w:t>
      </w:r>
      <w:r w:rsidR="00E5365C">
        <w:t>payant</w:t>
      </w:r>
      <w:r>
        <w:t xml:space="preserve"> au Fonds un montant calculé </w:t>
      </w:r>
      <w:r w:rsidR="00EC47A5">
        <w:t>à titre d’</w:t>
      </w:r>
      <w:r>
        <w:t xml:space="preserve">intérêt à un taux annuel égal à </w:t>
      </w:r>
      <w:r>
        <w:rPr>
          <w:b/>
        </w:rPr>
        <w:t>[</w:t>
      </w:r>
      <w:r>
        <w:rPr>
          <w:b/>
          <w:highlight w:val="yellow"/>
        </w:rPr>
        <w:t>8</w:t>
      </w:r>
      <w:r>
        <w:rPr>
          <w:b/>
        </w:rPr>
        <w:t>]</w:t>
      </w:r>
      <w:r>
        <w:t xml:space="preserve">% sur le </w:t>
      </w:r>
      <w:r w:rsidR="00E5365C">
        <w:t>P</w:t>
      </w:r>
      <w:r>
        <w:t>aiement de péréquation, à l</w:t>
      </w:r>
      <w:r w:rsidR="00E27310">
        <w:t>’</w:t>
      </w:r>
      <w:r>
        <w:t xml:space="preserve">exception de toute partie attribuable aux </w:t>
      </w:r>
      <w:r w:rsidR="00E5365C">
        <w:t>F</w:t>
      </w:r>
      <w:r>
        <w:t xml:space="preserve">rais de gestion, calculé à partir de la </w:t>
      </w:r>
      <w:r w:rsidR="00E5365C">
        <w:t>D</w:t>
      </w:r>
      <w:r>
        <w:t>ate d</w:t>
      </w:r>
      <w:r w:rsidR="00E27310">
        <w:t>’</w:t>
      </w:r>
      <w:r>
        <w:t xml:space="preserve">échéance précisée dans les </w:t>
      </w:r>
      <w:r w:rsidR="00E5365C">
        <w:t>A</w:t>
      </w:r>
      <w:r>
        <w:t xml:space="preserve">vis </w:t>
      </w:r>
      <w:r w:rsidR="00E5365C">
        <w:t>d’appel de versement</w:t>
      </w:r>
      <w:r>
        <w:t xml:space="preserve"> relatifs aux </w:t>
      </w:r>
      <w:r w:rsidR="00E5365C">
        <w:t>Apports de</w:t>
      </w:r>
      <w:r>
        <w:t xml:space="preserve"> capital correspondants avancés par les </w:t>
      </w:r>
      <w:r w:rsidR="00E5365C">
        <w:t>Associés</w:t>
      </w:r>
      <w:r>
        <w:t xml:space="preserve"> antérieurs jusqu</w:t>
      </w:r>
      <w:r w:rsidR="00E27310">
        <w:t>’</w:t>
      </w:r>
      <w:r>
        <w:t xml:space="preserve">à la </w:t>
      </w:r>
      <w:r w:rsidR="00E5365C">
        <w:t>D</w:t>
      </w:r>
      <w:r>
        <w:t>ate d</w:t>
      </w:r>
      <w:r w:rsidR="00E27310">
        <w:t>’</w:t>
      </w:r>
      <w:r>
        <w:t>échéance précisée dans l</w:t>
      </w:r>
      <w:r w:rsidR="00E27310">
        <w:t>’</w:t>
      </w:r>
      <w:r w:rsidR="00E5365C">
        <w:t>A</w:t>
      </w:r>
      <w:r>
        <w:t xml:space="preserve">vis </w:t>
      </w:r>
      <w:r w:rsidR="00E5365C">
        <w:t>d’appel de versement</w:t>
      </w:r>
      <w:r>
        <w:t xml:space="preserve"> émis en lien avec l</w:t>
      </w:r>
      <w:r w:rsidR="00E27310">
        <w:t>’</w:t>
      </w:r>
      <w:r>
        <w:t>admission ou l</w:t>
      </w:r>
      <w:r w:rsidR="00E27310">
        <w:t>’</w:t>
      </w:r>
      <w:r>
        <w:t>acceptation par l</w:t>
      </w:r>
      <w:r w:rsidR="00E5365C">
        <w:t>’</w:t>
      </w:r>
      <w:r w:rsidR="00CF502E">
        <w:t>Associé d’une Clôture subséquente</w:t>
      </w:r>
      <w:r w:rsidR="00E5365C">
        <w:t xml:space="preserve"> </w:t>
      </w:r>
      <w:r>
        <w:t>d</w:t>
      </w:r>
      <w:r w:rsidR="00E27310">
        <w:t>’</w:t>
      </w:r>
      <w:r>
        <w:t xml:space="preserve">un </w:t>
      </w:r>
      <w:r w:rsidR="00E5365C">
        <w:t>E</w:t>
      </w:r>
      <w:r>
        <w:t xml:space="preserve">ngagement accru (le « </w:t>
      </w:r>
      <w:r w:rsidR="00E5365C">
        <w:rPr>
          <w:b/>
        </w:rPr>
        <w:t>P</w:t>
      </w:r>
      <w:r>
        <w:rPr>
          <w:b/>
        </w:rPr>
        <w:t>aiement supplémentaire</w:t>
      </w:r>
      <w:r>
        <w:rPr>
          <w:bCs/>
        </w:rPr>
        <w:t xml:space="preserve"> »</w:t>
      </w:r>
      <w:r>
        <w:t>).</w:t>
      </w:r>
      <w:bookmarkStart w:name="_Ref113892826" w:id="259"/>
      <w:r>
        <w:rPr>
          <w:szCs w:val="22"/>
          <w:vertAlign w:val="superscript"/>
        </w:rPr>
        <w:footnoteReference w:id="80"/>
      </w:r>
      <w:bookmarkEnd w:id="257"/>
      <w:bookmarkEnd w:id="258"/>
      <w:bookmarkEnd w:id="259"/>
    </w:p>
    <w:p w:rsidR="0000160C" w:rsidRDefault="00C517ED" w14:paraId="75346305" w14:textId="174A3586">
      <w:pPr>
        <w:pStyle w:val="ArtBJStyL3"/>
      </w:pPr>
      <w:bookmarkStart w:name="_Ref113892440" w:id="260"/>
      <w:r>
        <w:t xml:space="preserve">Tout </w:t>
      </w:r>
      <w:r w:rsidR="00FE5B02">
        <w:t>P</w:t>
      </w:r>
      <w:r>
        <w:t xml:space="preserve">aiement de péréquation, autre que toute partie attribuable aux </w:t>
      </w:r>
      <w:r w:rsidR="00E5365C">
        <w:t>F</w:t>
      </w:r>
      <w:r>
        <w:t xml:space="preserve">rais de gestion, et tout </w:t>
      </w:r>
      <w:r w:rsidR="00E5365C">
        <w:t>P</w:t>
      </w:r>
      <w:r>
        <w:t xml:space="preserve">aiement supplémentaire reçu par le Fonds sont soit </w:t>
      </w:r>
      <w:bookmarkStart w:name="DocXTextRef42" w:id="261"/>
      <w:r>
        <w:t>(i)</w:t>
      </w:r>
      <w:bookmarkEnd w:id="261"/>
      <w:r>
        <w:t xml:space="preserve"> distribués aux </w:t>
      </w:r>
      <w:r w:rsidR="00E5365C">
        <w:t>A</w:t>
      </w:r>
      <w:r>
        <w:t xml:space="preserve">ssociés antérieurs au prorata de leurs </w:t>
      </w:r>
      <w:r w:rsidR="00E5365C">
        <w:t>Apports de</w:t>
      </w:r>
      <w:r>
        <w:t xml:space="preserve"> capital à ce moment, soit </w:t>
      </w:r>
      <w:bookmarkStart w:name="DocXTextRef43" w:id="262"/>
      <w:r>
        <w:t>(ii)</w:t>
      </w:r>
      <w:bookmarkEnd w:id="262"/>
      <w:r>
        <w:t xml:space="preserve"> dans la mesure jugée appropriée ou nécessaire par le </w:t>
      </w:r>
      <w:r w:rsidR="00E5365C">
        <w:t>C</w:t>
      </w:r>
      <w:r>
        <w:t xml:space="preserve">ommandité pour ajuster la part proportionnelle de chaque </w:t>
      </w:r>
      <w:r w:rsidR="00E5365C">
        <w:t>V</w:t>
      </w:r>
      <w:r>
        <w:t xml:space="preserve">éhicule du Fonds dans chaque </w:t>
      </w:r>
      <w:r w:rsidR="00E5365C">
        <w:t>I</w:t>
      </w:r>
      <w:r>
        <w:t xml:space="preserve">nvestissement de portefeuille afin de refléter les changements dans les </w:t>
      </w:r>
      <w:r w:rsidR="00E5365C">
        <w:t>E</w:t>
      </w:r>
      <w:r>
        <w:t xml:space="preserve">ngagements en capital relatifs après la </w:t>
      </w:r>
      <w:r w:rsidR="00E5365C">
        <w:t>D</w:t>
      </w:r>
      <w:r>
        <w:t xml:space="preserve">ate de clôture initiale </w:t>
      </w:r>
      <w:r w:rsidR="00E5365C">
        <w:t xml:space="preserve">en raison </w:t>
      </w:r>
      <w:r>
        <w:t>de l</w:t>
      </w:r>
      <w:r w:rsidR="00E27310">
        <w:t>’</w:t>
      </w:r>
      <w:r>
        <w:t>admission ou de l</w:t>
      </w:r>
      <w:r w:rsidR="00E27310">
        <w:t>’</w:t>
      </w:r>
      <w:r>
        <w:t>augmentation de l</w:t>
      </w:r>
      <w:r w:rsidR="00E27310">
        <w:t>’</w:t>
      </w:r>
      <w:r w:rsidR="00E5365C">
        <w:t>E</w:t>
      </w:r>
      <w:r>
        <w:t xml:space="preserve">ngagement de tout </w:t>
      </w:r>
      <w:r w:rsidR="00E5365C">
        <w:t>C</w:t>
      </w:r>
      <w:r>
        <w:t xml:space="preserve">ommanditaire, versés ou distribués à ces </w:t>
      </w:r>
      <w:r w:rsidR="00E5365C">
        <w:t>V</w:t>
      </w:r>
      <w:r>
        <w:t>éhicules du Fonds d</w:t>
      </w:r>
      <w:r w:rsidR="00E27310">
        <w:t>’</w:t>
      </w:r>
      <w:r>
        <w:t xml:space="preserve">une manière comparable à la mécanique </w:t>
      </w:r>
      <w:r w:rsidR="00E5365C">
        <w:t>du présent article</w:t>
      </w:r>
      <w:r>
        <w:t> </w:t>
      </w:r>
      <w:r w:rsidR="00F5222B">
        <w:fldChar w:fldCharType="begin"/>
      </w:r>
      <w:r w:rsidR="00F5222B">
        <w:instrText xml:space="preserve"> REF _Ref113882647 \r \h </w:instrText>
      </w:r>
      <w:r w:rsidR="00F5222B">
        <w:fldChar w:fldCharType="separate"/>
      </w:r>
      <w:r w:rsidR="00B50BE2">
        <w:t>5.4</w:t>
      </w:r>
      <w:r w:rsidR="00F5222B">
        <w:fldChar w:fldCharType="end"/>
      </w:r>
      <w:r>
        <w:t xml:space="preserve"> (</w:t>
      </w:r>
      <w:r w:rsidRPr="00F5222B" w:rsidR="00F5222B">
        <w:rPr>
          <w:i/>
        </w:rPr>
        <w:fldChar w:fldCharType="begin"/>
      </w:r>
      <w:r w:rsidRPr="00F5222B" w:rsidR="00F5222B">
        <w:rPr>
          <w:i/>
        </w:rPr>
        <w:instrText xml:space="preserve"> REF _Ref113882647 \h  \* MERGEFORMAT </w:instrText>
      </w:r>
      <w:r w:rsidRPr="00F5222B" w:rsidR="00F5222B">
        <w:rPr>
          <w:i/>
        </w:rPr>
      </w:r>
      <w:r w:rsidRPr="00F5222B" w:rsidR="00F5222B">
        <w:rPr>
          <w:i/>
        </w:rPr>
        <w:fldChar w:fldCharType="separate"/>
      </w:r>
      <w:r w:rsidRPr="00B50BE2" w:rsidR="00B50BE2">
        <w:rPr>
          <w:i/>
        </w:rPr>
        <w:t>Clôtures subséquentes.</w:t>
      </w:r>
      <w:r w:rsidRPr="00F5222B" w:rsidR="00F5222B">
        <w:rPr>
          <w:i/>
        </w:rPr>
        <w:fldChar w:fldCharType="end"/>
      </w:r>
      <w:r>
        <w:t>) tel qu</w:t>
      </w:r>
      <w:r w:rsidR="00E27310">
        <w:t>’</w:t>
      </w:r>
      <w:r>
        <w:t xml:space="preserve">appliqué aux </w:t>
      </w:r>
      <w:r w:rsidR="00E5365C">
        <w:t>V</w:t>
      </w:r>
      <w:r>
        <w:t>éhicules du Fonds. Toute partie d</w:t>
      </w:r>
      <w:r w:rsidR="00E27310">
        <w:t>’</w:t>
      </w:r>
      <w:r>
        <w:t xml:space="preserve">un </w:t>
      </w:r>
      <w:r w:rsidR="00E5365C">
        <w:t>P</w:t>
      </w:r>
      <w:r>
        <w:t xml:space="preserve">aiement de péréquation attribuable aux </w:t>
      </w:r>
      <w:r w:rsidR="00E5365C">
        <w:t>F</w:t>
      </w:r>
      <w:r>
        <w:t xml:space="preserve">rais de gestion doit être versée au </w:t>
      </w:r>
      <w:r w:rsidR="00E5365C">
        <w:t>G</w:t>
      </w:r>
      <w:r>
        <w:t>estionnaire.</w:t>
      </w:r>
      <w:bookmarkEnd w:id="260"/>
    </w:p>
    <w:p w:rsidR="0000160C" w:rsidRDefault="00C517ED" w14:paraId="75C79DC4" w14:textId="121C6DB2">
      <w:pPr>
        <w:pStyle w:val="ArtBJStyL3"/>
      </w:pPr>
      <w:bookmarkStart w:name="_Ref113892441" w:id="263"/>
      <w:r>
        <w:t xml:space="preserve">Le </w:t>
      </w:r>
      <w:r w:rsidR="00E5365C">
        <w:t>C</w:t>
      </w:r>
      <w:r>
        <w:t xml:space="preserve">ommandité doit ajuster de façon appropriée les </w:t>
      </w:r>
      <w:r w:rsidR="00E5365C">
        <w:t>A</w:t>
      </w:r>
      <w:r>
        <w:t xml:space="preserve">pports </w:t>
      </w:r>
      <w:r w:rsidR="00E5365C">
        <w:t>de</w:t>
      </w:r>
      <w:r>
        <w:t xml:space="preserve"> capital, les </w:t>
      </w:r>
      <w:r w:rsidR="00DE6781">
        <w:t>P</w:t>
      </w:r>
      <w:r>
        <w:t xml:space="preserve">ourcentages de partage et les </w:t>
      </w:r>
      <w:r w:rsidR="005E7BB1">
        <w:t>E</w:t>
      </w:r>
      <w:r>
        <w:t xml:space="preserve">ngagements restants des </w:t>
      </w:r>
      <w:r w:rsidR="005E7BB1">
        <w:t>Associés</w:t>
      </w:r>
      <w:r>
        <w:t xml:space="preserve"> et tout autre élément pertinent pour donner effet à l</w:t>
      </w:r>
      <w:r w:rsidR="00E27310">
        <w:t>’</w:t>
      </w:r>
      <w:r>
        <w:t xml:space="preserve">intention de ce qui précède. Les </w:t>
      </w:r>
      <w:r w:rsidR="005E7BB1">
        <w:t>P</w:t>
      </w:r>
      <w:r>
        <w:t xml:space="preserve">aiements supplémentaires versés par un </w:t>
      </w:r>
      <w:r w:rsidR="00CF502E">
        <w:t>Associé d’une Clôture subséquente</w:t>
      </w:r>
      <w:r w:rsidR="00E5365C">
        <w:t xml:space="preserve"> </w:t>
      </w:r>
      <w:r>
        <w:t xml:space="preserve">ne seront pas considérés comme des </w:t>
      </w:r>
      <w:r w:rsidR="005E7BB1">
        <w:t>A</w:t>
      </w:r>
      <w:r>
        <w:t xml:space="preserve">pports </w:t>
      </w:r>
      <w:r w:rsidR="005E7BB1">
        <w:t>de</w:t>
      </w:r>
      <w:r>
        <w:t xml:space="preserve"> capital et ne réduiront pas l</w:t>
      </w:r>
      <w:r w:rsidR="00E27310">
        <w:t>’</w:t>
      </w:r>
      <w:r w:rsidR="005E7BB1">
        <w:t>E</w:t>
      </w:r>
      <w:r>
        <w:t xml:space="preserve">ngagement restant de </w:t>
      </w:r>
      <w:r w:rsidR="005E7BB1">
        <w:t>cet Associé d’une</w:t>
      </w:r>
      <w:r>
        <w:t xml:space="preserve"> </w:t>
      </w:r>
      <w:r w:rsidR="005E7BB1">
        <w:t>C</w:t>
      </w:r>
      <w:r>
        <w:t>lôture subséquent</w:t>
      </w:r>
      <w:r w:rsidR="005E7BB1">
        <w:t>e</w:t>
      </w:r>
      <w:r>
        <w:t xml:space="preserve">. Pour éviter toute ambiguïté, en ce qui concerne tout </w:t>
      </w:r>
      <w:r w:rsidR="005E7BB1">
        <w:t>Associé d’une C</w:t>
      </w:r>
      <w:r>
        <w:t xml:space="preserve">lôture </w:t>
      </w:r>
      <w:r w:rsidR="005E7BB1">
        <w:t>subséquente</w:t>
      </w:r>
      <w:r>
        <w:t xml:space="preserve">, son Rendement </w:t>
      </w:r>
      <w:r w:rsidR="005E7BB1">
        <w:t>privilégié</w:t>
      </w:r>
      <w:r>
        <w:t xml:space="preserve"> sera calculé à partir de la Date de clôture initiale comme s</w:t>
      </w:r>
      <w:r w:rsidR="00E27310">
        <w:t>’</w:t>
      </w:r>
      <w:r>
        <w:t>il avait été admis au Fonds à la Date de clôture initiale.</w:t>
      </w:r>
      <w:bookmarkEnd w:id="263"/>
      <w:r>
        <w:t xml:space="preserve"> </w:t>
      </w:r>
    </w:p>
    <w:p w:rsidR="0000160C" w:rsidRDefault="00C517ED" w14:paraId="05FC583A" w14:textId="5F8D6296">
      <w:pPr>
        <w:pStyle w:val="ArtBJStyL3"/>
        <w:rPr>
          <w:rFonts w:cs="Calibri"/>
          <w:szCs w:val="22"/>
        </w:rPr>
      </w:pPr>
      <w:bookmarkStart w:name="_Ref113892442" w:id="264"/>
      <w:r>
        <w:t>Nonobstant toute disposition</w:t>
      </w:r>
      <w:r w:rsidR="005E7BB1">
        <w:t xml:space="preserve"> contraire</w:t>
      </w:r>
      <w:r>
        <w:t xml:space="preserve"> </w:t>
      </w:r>
      <w:r w:rsidR="005E7BB1">
        <w:t>du présent article</w:t>
      </w:r>
      <w:r>
        <w:t xml:space="preserve"> </w:t>
      </w:r>
      <w:r w:rsidR="002528A0">
        <w:fldChar w:fldCharType="begin"/>
      </w:r>
      <w:r w:rsidR="002528A0">
        <w:instrText xml:space="preserve"> REF _Ref113885247 \r \h </w:instrText>
      </w:r>
      <w:r w:rsidR="002528A0">
        <w:fldChar w:fldCharType="separate"/>
      </w:r>
      <w:r w:rsidR="00B50BE2">
        <w:t>5.4</w:t>
      </w:r>
      <w:r w:rsidR="002528A0">
        <w:fldChar w:fldCharType="end"/>
      </w:r>
      <w:r>
        <w:t xml:space="preserve"> (</w:t>
      </w:r>
      <w:r w:rsidRPr="00BD2FE6" w:rsidR="006A3B29">
        <w:rPr>
          <w:i/>
        </w:rPr>
        <w:fldChar w:fldCharType="begin"/>
      </w:r>
      <w:r w:rsidRPr="00BD2FE6" w:rsidR="006A3B29">
        <w:rPr>
          <w:i/>
        </w:rPr>
        <w:instrText xml:space="preserve"> REF _Ref113882647 \h  \* MERGEFORMAT </w:instrText>
      </w:r>
      <w:r w:rsidRPr="00BD2FE6" w:rsidR="006A3B29">
        <w:rPr>
          <w:i/>
        </w:rPr>
      </w:r>
      <w:r w:rsidRPr="00BD2FE6" w:rsidR="006A3B29">
        <w:rPr>
          <w:i/>
        </w:rPr>
        <w:fldChar w:fldCharType="separate"/>
      </w:r>
      <w:r w:rsidRPr="00B50BE2" w:rsidR="00B50BE2">
        <w:rPr>
          <w:i/>
        </w:rPr>
        <w:t>Clôtures subséquentes</w:t>
      </w:r>
      <w:r w:rsidR="00B50BE2">
        <w:t>.</w:t>
      </w:r>
      <w:r w:rsidRPr="00BD2FE6" w:rsidR="006A3B29">
        <w:fldChar w:fldCharType="end"/>
      </w:r>
      <w:r>
        <w:t>), si, lors d</w:t>
      </w:r>
      <w:r w:rsidR="00E27310">
        <w:t>’</w:t>
      </w:r>
      <w:r>
        <w:t xml:space="preserve">une </w:t>
      </w:r>
      <w:r w:rsidR="005E7BB1">
        <w:t>C</w:t>
      </w:r>
      <w:r>
        <w:t xml:space="preserve">lôture </w:t>
      </w:r>
      <w:r w:rsidR="005E7BB1">
        <w:t>subséquente</w:t>
      </w:r>
      <w:r>
        <w:t xml:space="preserve">, un événement significatif </w:t>
      </w:r>
      <w:r w:rsidR="005E7BB1">
        <w:t xml:space="preserve">s’est produit </w:t>
      </w:r>
      <w:r>
        <w:t>relati</w:t>
      </w:r>
      <w:r w:rsidR="005E7BB1">
        <w:t>vement</w:t>
      </w:r>
      <w:r>
        <w:t xml:space="preserve"> à un Investissement de </w:t>
      </w:r>
      <w:r w:rsidR="005E7BB1">
        <w:t>p</w:t>
      </w:r>
      <w:r>
        <w:t>ortefeuille (y compris la réalisation partielle ou totale d</w:t>
      </w:r>
      <w:r w:rsidR="00E27310">
        <w:t>’</w:t>
      </w:r>
      <w:r>
        <w:t xml:space="preserve">un </w:t>
      </w:r>
      <w:r>
        <w:lastRenderedPageBreak/>
        <w:t xml:space="preserve">Investissement de </w:t>
      </w:r>
      <w:r w:rsidR="005E7BB1">
        <w:t>p</w:t>
      </w:r>
      <w:r>
        <w:t xml:space="preserve">ortefeuille), le </w:t>
      </w:r>
      <w:r w:rsidR="005E7BB1">
        <w:t>Commandité</w:t>
      </w:r>
      <w:r>
        <w:t xml:space="preserve"> peut, à sa discrétion, exclure de cet Investissement de </w:t>
      </w:r>
      <w:r w:rsidR="005E7BB1">
        <w:t>p</w:t>
      </w:r>
      <w:r>
        <w:t xml:space="preserve">ortefeuille les </w:t>
      </w:r>
      <w:r w:rsidR="005E7BB1">
        <w:t>Associés</w:t>
      </w:r>
      <w:r>
        <w:t xml:space="preserve"> d</w:t>
      </w:r>
      <w:r w:rsidR="005E7BB1">
        <w:t>’une</w:t>
      </w:r>
      <w:r>
        <w:t xml:space="preserve"> Clôture </w:t>
      </w:r>
      <w:r w:rsidR="005E7BB1">
        <w:t>subséquente</w:t>
      </w:r>
      <w:r>
        <w:t xml:space="preserve"> admis lors de cette Clôture </w:t>
      </w:r>
      <w:r w:rsidR="005E7BB1">
        <w:t>subséquente</w:t>
      </w:r>
      <w:r>
        <w:t xml:space="preserve"> ou ajuster les </w:t>
      </w:r>
      <w:r w:rsidR="005E7BB1">
        <w:t>participations</w:t>
      </w:r>
      <w:r>
        <w:t xml:space="preserve"> de ces </w:t>
      </w:r>
      <w:r w:rsidR="005E7BB1">
        <w:t>Associés d’une</w:t>
      </w:r>
      <w:r>
        <w:t xml:space="preserve"> Clôture </w:t>
      </w:r>
      <w:r w:rsidR="005E7BB1">
        <w:t>subséquente</w:t>
      </w:r>
      <w:r>
        <w:t xml:space="preserve"> dans cet Investissement de </w:t>
      </w:r>
      <w:r w:rsidR="005E7BB1">
        <w:t>p</w:t>
      </w:r>
      <w:r>
        <w:t xml:space="preserve">ortefeuille ou le montant que ces </w:t>
      </w:r>
      <w:r w:rsidR="005E7BB1">
        <w:t>Associés</w:t>
      </w:r>
      <w:r>
        <w:t xml:space="preserve"> d</w:t>
      </w:r>
      <w:r w:rsidR="005E7BB1">
        <w:t>’une</w:t>
      </w:r>
      <w:r>
        <w:t xml:space="preserve"> Clôture </w:t>
      </w:r>
      <w:r w:rsidR="005E7BB1">
        <w:t>subséquente</w:t>
      </w:r>
      <w:r>
        <w:t xml:space="preserve"> doivent payer au Fonds conformément </w:t>
      </w:r>
      <w:r w:rsidR="005E7BB1">
        <w:t>au présent article</w:t>
      </w:r>
      <w:r>
        <w:t xml:space="preserve"> </w:t>
      </w:r>
      <w:r w:rsidR="002528A0">
        <w:fldChar w:fldCharType="begin"/>
      </w:r>
      <w:r w:rsidR="002528A0">
        <w:instrText xml:space="preserve"> REF _Ref113885247 \r \h </w:instrText>
      </w:r>
      <w:r w:rsidR="002528A0">
        <w:fldChar w:fldCharType="separate"/>
      </w:r>
      <w:r w:rsidR="00B50BE2">
        <w:t>5.4</w:t>
      </w:r>
      <w:r w:rsidR="002528A0">
        <w:fldChar w:fldCharType="end"/>
      </w:r>
      <w:r>
        <w:t xml:space="preserve"> (</w:t>
      </w:r>
      <w:r w:rsidRPr="006A3B29" w:rsidR="006A3B29">
        <w:rPr>
          <w:i/>
        </w:rPr>
        <w:fldChar w:fldCharType="begin"/>
      </w:r>
      <w:r w:rsidRPr="006A3B29" w:rsidR="006A3B29">
        <w:rPr>
          <w:i/>
        </w:rPr>
        <w:instrText xml:space="preserve"> REF _Ref113882647 \h  \* MERGEFORMAT </w:instrText>
      </w:r>
      <w:r w:rsidRPr="006A3B29" w:rsidR="006A3B29">
        <w:rPr>
          <w:i/>
        </w:rPr>
      </w:r>
      <w:r w:rsidRPr="006A3B29" w:rsidR="006A3B29">
        <w:rPr>
          <w:i/>
        </w:rPr>
        <w:fldChar w:fldCharType="separate"/>
      </w:r>
      <w:r w:rsidRPr="00B50BE2" w:rsidR="00B50BE2">
        <w:rPr>
          <w:i/>
        </w:rPr>
        <w:t>Clôtures subséquentes.</w:t>
      </w:r>
      <w:r w:rsidRPr="006A3B29" w:rsidR="006A3B29">
        <w:rPr>
          <w:i/>
        </w:rPr>
        <w:fldChar w:fldCharType="end"/>
      </w:r>
      <w:r>
        <w:t xml:space="preserve">), le cas échéant (et apporter toute autre modification conforme </w:t>
      </w:r>
      <w:r w:rsidR="005E7BB1">
        <w:t>à la présente Convention</w:t>
      </w:r>
      <w:r>
        <w:t xml:space="preserve"> qu</w:t>
      </w:r>
      <w:r w:rsidR="00E27310">
        <w:t>’</w:t>
      </w:r>
      <w:r>
        <w:t xml:space="preserve">il juge appropriée) pour tenir compte de cet événement important; toutefois, sans le consentement du Comité consultatif </w:t>
      </w:r>
      <w:r w:rsidR="005E7BB1">
        <w:t>des Commanditaires</w:t>
      </w:r>
      <w:r>
        <w:t xml:space="preserve">, aucun </w:t>
      </w:r>
      <w:r w:rsidR="00CF502E">
        <w:t>Associé d’une Clôture subséquente</w:t>
      </w:r>
      <w:r w:rsidR="00E5365C">
        <w:t xml:space="preserve"> </w:t>
      </w:r>
      <w:r>
        <w:t>ne sera autorisé à acquérir ou à augmenter une participation dans un Investissement de portefeuille existant à un prix réduit par rapport à son Coût d</w:t>
      </w:r>
      <w:r w:rsidR="00E27310">
        <w:t>’</w:t>
      </w:r>
      <w:r>
        <w:t>acquisition.</w:t>
      </w:r>
      <w:bookmarkEnd w:id="264"/>
      <w:r>
        <w:t xml:space="preserve"> </w:t>
      </w:r>
    </w:p>
    <w:p w:rsidR="0000160C" w:rsidRDefault="00C517ED" w14:paraId="3CD14B77" w14:textId="6D2B8572">
      <w:pPr>
        <w:pStyle w:val="ArtBJStyL1"/>
      </w:pPr>
      <w:r>
        <w:br/>
      </w:r>
      <w:bookmarkStart w:name="_Ref40807018" w:id="265"/>
      <w:bookmarkStart w:name="_Toc161762333" w:id="266"/>
      <w:r>
        <w:t xml:space="preserve">Apports </w:t>
      </w:r>
      <w:r w:rsidR="00426335">
        <w:t>de</w:t>
      </w:r>
      <w:r>
        <w:t xml:space="preserve"> Capital</w:t>
      </w:r>
      <w:bookmarkEnd w:id="265"/>
      <w:bookmarkEnd w:id="266"/>
    </w:p>
    <w:p w:rsidR="0000160C" w:rsidRDefault="00C517ED" w14:paraId="4448D604" w14:textId="15722FDA">
      <w:pPr>
        <w:pStyle w:val="ArtBJStyL2"/>
      </w:pPr>
      <w:bookmarkStart w:name="_Ref113892443" w:id="267"/>
      <w:bookmarkStart w:name="_Toc161762334" w:id="268"/>
      <w:r>
        <w:t xml:space="preserve">Apports </w:t>
      </w:r>
      <w:r w:rsidR="00426335">
        <w:t>de</w:t>
      </w:r>
      <w:r>
        <w:t xml:space="preserve"> capital.</w:t>
      </w:r>
      <w:bookmarkEnd w:id="267"/>
      <w:bookmarkEnd w:id="268"/>
    </w:p>
    <w:p w:rsidR="0000160C" w:rsidRDefault="00C517ED" w14:paraId="394743BA" w14:textId="13A14DCB">
      <w:pPr>
        <w:pStyle w:val="ArtBJStyCont2"/>
      </w:pPr>
      <w:r>
        <w:t xml:space="preserve">Le </w:t>
      </w:r>
      <w:r w:rsidR="005E7BB1">
        <w:t>C</w:t>
      </w:r>
      <w:r>
        <w:t xml:space="preserve">ommandité peut, à tout moment et de temps à autre, fournir à chaque </w:t>
      </w:r>
      <w:r w:rsidR="005E7BB1">
        <w:t>C</w:t>
      </w:r>
      <w:r>
        <w:t>ommandit</w:t>
      </w:r>
      <w:r w:rsidR="005E7BB1">
        <w:t>aire</w:t>
      </w:r>
      <w:r>
        <w:t xml:space="preserve"> un </w:t>
      </w:r>
      <w:r w:rsidR="005E7BB1">
        <w:t>A</w:t>
      </w:r>
      <w:r>
        <w:t>vis d</w:t>
      </w:r>
      <w:r w:rsidR="005E7BB1">
        <w:t xml:space="preserve">’appel de versement </w:t>
      </w:r>
      <w:r>
        <w:t xml:space="preserve">demandant à chaque </w:t>
      </w:r>
      <w:r w:rsidR="005E7BB1">
        <w:t>Commanditaire</w:t>
      </w:r>
      <w:r>
        <w:t xml:space="preserve"> de contribuer au capital du Fonds une partie déterminée de l</w:t>
      </w:r>
      <w:r w:rsidR="00E27310">
        <w:t>’</w:t>
      </w:r>
      <w:r w:rsidR="005E7BB1">
        <w:t>E</w:t>
      </w:r>
      <w:r>
        <w:t xml:space="preserve">ngagement restant de ce </w:t>
      </w:r>
      <w:r w:rsidR="005E7BB1">
        <w:t>Commanditaire</w:t>
      </w:r>
      <w:r>
        <w:t>, à condition qu</w:t>
      </w:r>
      <w:r w:rsidR="00E27310">
        <w:t>’</w:t>
      </w:r>
      <w:r>
        <w:t xml:space="preserve">aucun </w:t>
      </w:r>
      <w:r w:rsidR="005E7BB1">
        <w:t>C</w:t>
      </w:r>
      <w:r>
        <w:t>ommanditaire ne soit tenu de faire un</w:t>
      </w:r>
      <w:r w:rsidR="005E7BB1">
        <w:t xml:space="preserve"> Apport de capital </w:t>
      </w:r>
      <w:r>
        <w:t xml:space="preserve">au Fonds à </w:t>
      </w:r>
      <w:r w:rsidR="005D02D7">
        <w:t xml:space="preserve">tout moment </w:t>
      </w:r>
      <w:r>
        <w:t xml:space="preserve">qui </w:t>
      </w:r>
      <w:r w:rsidR="005D02D7">
        <w:t>excède</w:t>
      </w:r>
      <w:r>
        <w:t xml:space="preserve"> son </w:t>
      </w:r>
      <w:r w:rsidR="005D02D7">
        <w:t>E</w:t>
      </w:r>
      <w:r>
        <w:t>ngagement restant total à ce moment.</w:t>
      </w:r>
      <w:bookmarkStart w:name="_Ref113892827" w:id="269"/>
      <w:r>
        <w:rPr>
          <w:rStyle w:val="FootnoteReference"/>
        </w:rPr>
        <w:footnoteReference w:id="81"/>
      </w:r>
      <w:bookmarkEnd w:id="269"/>
      <w:r>
        <w:t xml:space="preserve"> </w:t>
      </w:r>
    </w:p>
    <w:p w:rsidR="0000160C" w:rsidRDefault="00C517ED" w14:paraId="7DFDFC1A" w14:textId="27C99D34">
      <w:pPr>
        <w:pStyle w:val="ArtBJStyL2"/>
      </w:pPr>
      <w:bookmarkStart w:name="_Ref40801274" w:id="270"/>
      <w:bookmarkStart w:name="_Toc161762335" w:id="271"/>
      <w:proofErr w:type="gramStart"/>
      <w:r>
        <w:t>Modalités;</w:t>
      </w:r>
      <w:proofErr w:type="gramEnd"/>
      <w:r>
        <w:t xml:space="preserve"> </w:t>
      </w:r>
      <w:r w:rsidR="00F65DBE">
        <w:t>A</w:t>
      </w:r>
      <w:r>
        <w:t xml:space="preserve">pports </w:t>
      </w:r>
      <w:r w:rsidR="00426335">
        <w:t>de</w:t>
      </w:r>
      <w:r>
        <w:t xml:space="preserve"> capital.</w:t>
      </w:r>
      <w:bookmarkEnd w:id="270"/>
      <w:bookmarkEnd w:id="271"/>
    </w:p>
    <w:p w:rsidR="0000160C" w:rsidRDefault="00C517ED" w14:paraId="13BD60DE" w14:textId="4F9A762C">
      <w:pPr>
        <w:pStyle w:val="ArtBJStyCont2"/>
        <w:keepNext/>
      </w:pPr>
      <w:r>
        <w:t xml:space="preserve">Sauf disposition contraire </w:t>
      </w:r>
      <w:r w:rsidR="00E536D5">
        <w:t>de la présente Convention</w:t>
      </w:r>
      <w:r>
        <w:t xml:space="preserve">, les Apports </w:t>
      </w:r>
      <w:r w:rsidR="005D02D7">
        <w:t>de</w:t>
      </w:r>
      <w:r>
        <w:t xml:space="preserve"> </w:t>
      </w:r>
      <w:r w:rsidR="005D02D7">
        <w:t>c</w:t>
      </w:r>
      <w:r>
        <w:t xml:space="preserve">apital des </w:t>
      </w:r>
      <w:r w:rsidR="005D02D7">
        <w:t>C</w:t>
      </w:r>
      <w:r>
        <w:t xml:space="preserve">ommanditaires seront </w:t>
      </w:r>
      <w:r w:rsidR="005D02D7">
        <w:t>payés</w:t>
      </w:r>
      <w:r>
        <w:t xml:space="preserve"> sous forme de </w:t>
      </w:r>
      <w:r w:rsidR="005D02D7">
        <w:t>Versements</w:t>
      </w:r>
      <w:r>
        <w:t xml:space="preserve"> </w:t>
      </w:r>
      <w:r w:rsidR="005D02D7">
        <w:t>distincts</w:t>
      </w:r>
      <w:r>
        <w:t xml:space="preserve"> </w:t>
      </w:r>
      <w:r w:rsidR="005D02D7">
        <w:t>dont les montants seront</w:t>
      </w:r>
      <w:r>
        <w:t xml:space="preserve"> déterminé</w:t>
      </w:r>
      <w:r w:rsidR="005D02D7">
        <w:t>s</w:t>
      </w:r>
      <w:r>
        <w:t xml:space="preserve"> conformément </w:t>
      </w:r>
      <w:r w:rsidR="005D02D7">
        <w:t>au présent article</w:t>
      </w:r>
      <w:r>
        <w:t> </w:t>
      </w:r>
      <w:r w:rsidRPr="006400F9">
        <w:fldChar w:fldCharType="begin"/>
      </w:r>
      <w:r w:rsidRPr="006400F9">
        <w:instrText xml:space="preserve"> REF _Ref40801274 \w \h </w:instrText>
      </w:r>
      <w:r w:rsidRPr="006400F9" w:rsidR="00791303">
        <w:instrText xml:space="preserve"> \* MERGEFORMAT </w:instrText>
      </w:r>
      <w:r w:rsidRPr="006400F9">
        <w:fldChar w:fldCharType="separate"/>
      </w:r>
      <w:r w:rsidR="00B50BE2">
        <w:t>6.2</w:t>
      </w:r>
      <w:r w:rsidRPr="006400F9">
        <w:fldChar w:fldCharType="end"/>
      </w:r>
      <w:r>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proofErr w:type="gramStart"/>
      <w:r w:rsidRPr="00B50BE2" w:rsidR="00B50BE2">
        <w:rPr>
          <w:i/>
        </w:rPr>
        <w:t>Modalités;</w:t>
      </w:r>
      <w:proofErr w:type="gramEnd"/>
      <w:r w:rsidRPr="00B50BE2" w:rsidR="00B50BE2">
        <w:rPr>
          <w:i/>
        </w:rPr>
        <w:t xml:space="preserve"> Apports de capital.</w:t>
      </w:r>
      <w:r w:rsidRPr="006A3B29" w:rsidR="006A3B29">
        <w:rPr>
          <w:i/>
        </w:rPr>
        <w:fldChar w:fldCharType="end"/>
      </w:r>
      <w:r>
        <w:t xml:space="preserve">), sous réserve des </w:t>
      </w:r>
      <w:r w:rsidR="005D02D7">
        <w:t>modalités</w:t>
      </w:r>
      <w:r>
        <w:t xml:space="preserve"> suivantes :</w:t>
      </w:r>
    </w:p>
    <w:p w:rsidR="0000160C" w:rsidRDefault="00C517ED" w14:paraId="6339DC05" w14:textId="1D71B7E4">
      <w:pPr>
        <w:pStyle w:val="ArtBJStyL3"/>
      </w:pPr>
      <w:bookmarkStart w:name="_Ref40801295" w:id="272"/>
      <w:r>
        <w:t xml:space="preserve">le </w:t>
      </w:r>
      <w:r w:rsidR="005D02D7">
        <w:t>C</w:t>
      </w:r>
      <w:r>
        <w:t xml:space="preserve">ommandité doit, sous réserve de toute obligation de confidentialité applicable </w:t>
      </w:r>
      <w:r w:rsidR="005D02D7">
        <w:t>au</w:t>
      </w:r>
      <w:r>
        <w:t xml:space="preserve"> Fonds, fournir à chaque </w:t>
      </w:r>
      <w:r w:rsidR="005D02D7">
        <w:t>C</w:t>
      </w:r>
      <w:r>
        <w:t xml:space="preserve">ommanditaire un avis </w:t>
      </w:r>
      <w:r w:rsidR="005D02D7">
        <w:t>de tout versement</w:t>
      </w:r>
      <w:r>
        <w:t xml:space="preserve"> (un </w:t>
      </w:r>
      <w:r w:rsidR="005D02D7">
        <w:t>« </w:t>
      </w:r>
      <w:r w:rsidR="005D02D7">
        <w:rPr>
          <w:b/>
        </w:rPr>
        <w:t>Avis d’appel de versement</w:t>
      </w:r>
      <w:r w:rsidR="005D02D7">
        <w:rPr>
          <w:bCs/>
        </w:rPr>
        <w:t> »</w:t>
      </w:r>
      <w:r>
        <w:t xml:space="preserve">), décrivant de manière raisonnablement détaillée les objectifs du </w:t>
      </w:r>
      <w:r w:rsidR="005D02D7">
        <w:t>versement</w:t>
      </w:r>
      <w:r>
        <w:t xml:space="preserve"> (y compris au moins une description de tout </w:t>
      </w:r>
      <w:r w:rsidR="005D02D7">
        <w:t>I</w:t>
      </w:r>
      <w:r>
        <w:t xml:space="preserve">nvestissement de portefeuille et de toute </w:t>
      </w:r>
      <w:r w:rsidR="005D02D7">
        <w:t>S</w:t>
      </w:r>
      <w:r>
        <w:t xml:space="preserve">ociété de portefeuille </w:t>
      </w:r>
      <w:r w:rsidR="00796362">
        <w:t>concernés</w:t>
      </w:r>
      <w:r>
        <w:t xml:space="preserve"> et une ventilation des montants du </w:t>
      </w:r>
      <w:r w:rsidR="005D02D7">
        <w:t>versement</w:t>
      </w:r>
      <w:r>
        <w:t xml:space="preserve"> </w:t>
      </w:r>
      <w:r w:rsidR="005D02D7">
        <w:t>devant être utilisés</w:t>
      </w:r>
      <w:r>
        <w:t xml:space="preserve"> pour payer le </w:t>
      </w:r>
      <w:r w:rsidR="005D02D7">
        <w:t>C</w:t>
      </w:r>
      <w:r>
        <w:t>oût d</w:t>
      </w:r>
      <w:r w:rsidR="00E27310">
        <w:t>’</w:t>
      </w:r>
      <w:r>
        <w:t xml:space="preserve">acquisition de tout </w:t>
      </w:r>
      <w:r w:rsidR="005D02D7">
        <w:t>I</w:t>
      </w:r>
      <w:r>
        <w:t xml:space="preserve">nvestissement de portefeuille, </w:t>
      </w:r>
      <w:r w:rsidR="005D02D7">
        <w:t>les Dépenses</w:t>
      </w:r>
      <w:r>
        <w:t xml:space="preserve"> d</w:t>
      </w:r>
      <w:r w:rsidR="005D02D7">
        <w:t>u F</w:t>
      </w:r>
      <w:r>
        <w:t xml:space="preserve">onds ou </w:t>
      </w:r>
      <w:r w:rsidR="005D02D7">
        <w:t>les F</w:t>
      </w:r>
      <w:r>
        <w:t xml:space="preserve">rais de gestion), </w:t>
      </w:r>
      <w:r w:rsidR="005D02D7">
        <w:t>devant être remis</w:t>
      </w:r>
      <w:r>
        <w:t xml:space="preserve"> au moins </w:t>
      </w:r>
      <w:r>
        <w:rPr>
          <w:b/>
          <w:highlight w:val="yellow"/>
        </w:rPr>
        <w:t xml:space="preserve">[10 </w:t>
      </w:r>
      <w:r w:rsidR="005D02D7">
        <w:rPr>
          <w:b/>
          <w:highlight w:val="yellow"/>
        </w:rPr>
        <w:t>J</w:t>
      </w:r>
      <w:r>
        <w:rPr>
          <w:b/>
          <w:highlight w:val="yellow"/>
        </w:rPr>
        <w:t>ours ouvrables]</w:t>
      </w:r>
      <w:r>
        <w:t xml:space="preserve"> avant la date à laquelle le </w:t>
      </w:r>
      <w:r w:rsidR="005D02D7">
        <w:t>versement</w:t>
      </w:r>
      <w:r>
        <w:t xml:space="preserve"> est dû et payable (la « </w:t>
      </w:r>
      <w:r w:rsidR="005D02D7">
        <w:rPr>
          <w:b/>
        </w:rPr>
        <w:t>D</w:t>
      </w:r>
      <w:r>
        <w:rPr>
          <w:b/>
        </w:rPr>
        <w:t>ate d</w:t>
      </w:r>
      <w:r w:rsidR="00E27310">
        <w:rPr>
          <w:b/>
        </w:rPr>
        <w:t>’</w:t>
      </w:r>
      <w:r>
        <w:rPr>
          <w:b/>
        </w:rPr>
        <w:t>échéance</w:t>
      </w:r>
      <w:r w:rsidR="005D02D7">
        <w:rPr>
          <w:bCs/>
        </w:rPr>
        <w:t> »</w:t>
      </w:r>
      <w:r>
        <w:t>);</w:t>
      </w:r>
      <w:bookmarkEnd w:id="272"/>
    </w:p>
    <w:p w:rsidR="0000160C" w:rsidRDefault="00C517ED" w14:paraId="3DBA8E93" w14:textId="5EC40AFC">
      <w:pPr>
        <w:pStyle w:val="ArtBJStyL3"/>
      </w:pPr>
      <w:bookmarkStart w:name="_Ref113892444" w:id="273"/>
      <w:proofErr w:type="gramStart"/>
      <w:r>
        <w:t>chaque</w:t>
      </w:r>
      <w:proofErr w:type="gramEnd"/>
      <w:r>
        <w:t xml:space="preserve"> </w:t>
      </w:r>
      <w:r w:rsidR="005D02D7">
        <w:t>C</w:t>
      </w:r>
      <w:r>
        <w:t xml:space="preserve">ommanditaire </w:t>
      </w:r>
      <w:r w:rsidR="005D02D7">
        <w:t>doit payer</w:t>
      </w:r>
      <w:r>
        <w:t xml:space="preserve"> les </w:t>
      </w:r>
      <w:r w:rsidR="005D02D7">
        <w:t>A</w:t>
      </w:r>
      <w:r>
        <w:t xml:space="preserve">pports </w:t>
      </w:r>
      <w:r w:rsidR="0082726A">
        <w:t>de</w:t>
      </w:r>
      <w:r>
        <w:t xml:space="preserve"> capital déterminés conformément </w:t>
      </w:r>
      <w:r w:rsidR="005D02D7">
        <w:t>au présent article</w:t>
      </w:r>
      <w:r>
        <w:t> </w:t>
      </w:r>
      <w:r w:rsidRPr="006400F9">
        <w:fldChar w:fldCharType="begin"/>
      </w:r>
      <w:r w:rsidRPr="006400F9">
        <w:instrText xml:space="preserve"> REF _Ref40801274 \w \h </w:instrText>
      </w:r>
      <w:r w:rsidRPr="006400F9" w:rsidR="00791303">
        <w:instrText xml:space="preserve"> \* MERGEFORMAT </w:instrText>
      </w:r>
      <w:r w:rsidRPr="006400F9">
        <w:fldChar w:fldCharType="separate"/>
      </w:r>
      <w:r w:rsidR="00B50BE2">
        <w:t>6.2</w:t>
      </w:r>
      <w:r w:rsidRPr="006400F9">
        <w:fldChar w:fldCharType="end"/>
      </w:r>
      <w:r>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Modalités; Apports de capital.</w:t>
      </w:r>
      <w:r w:rsidRPr="006A3B29" w:rsidR="006A3B29">
        <w:rPr>
          <w:i/>
        </w:rPr>
        <w:fldChar w:fldCharType="end"/>
      </w:r>
      <w:r>
        <w:t xml:space="preserve">) et précisés dans </w:t>
      </w:r>
      <w:r w:rsidR="003F4BE6">
        <w:t>l’Avis d’appel de versement</w:t>
      </w:r>
      <w:r>
        <w:t xml:space="preserve"> </w:t>
      </w:r>
      <w:r w:rsidR="003F4BE6">
        <w:t>correspondant</w:t>
      </w:r>
      <w:r>
        <w:t xml:space="preserve"> par virement bancaire </w:t>
      </w:r>
      <w:r w:rsidR="003F4BE6">
        <w:t>en</w:t>
      </w:r>
      <w:r>
        <w:t xml:space="preserve"> fonds immédiatement disponibles sur le compte </w:t>
      </w:r>
      <w:r w:rsidR="003F4BE6">
        <w:t>spécifié dans cet avis</w:t>
      </w:r>
      <w:r>
        <w:t>;</w:t>
      </w:r>
      <w:bookmarkEnd w:id="273"/>
    </w:p>
    <w:p w:rsidR="0000160C" w:rsidRDefault="003F4BE6" w14:paraId="38FC6050" w14:textId="336DB1AB">
      <w:pPr>
        <w:pStyle w:val="ArtBJStyL3"/>
      </w:pPr>
      <w:bookmarkStart w:name="_Ref113892445" w:id="274"/>
      <w:proofErr w:type="gramStart"/>
      <w:r>
        <w:t>l</w:t>
      </w:r>
      <w:r w:rsidR="00C517ED">
        <w:t>es</w:t>
      </w:r>
      <w:proofErr w:type="gramEnd"/>
      <w:r w:rsidR="00C517ED">
        <w:t xml:space="preserve"> </w:t>
      </w:r>
      <w:r>
        <w:t>Versements</w:t>
      </w:r>
      <w:r w:rsidR="00C517ED">
        <w:t xml:space="preserve"> doivent être effectués au plus tard à la </w:t>
      </w:r>
      <w:r>
        <w:t>D</w:t>
      </w:r>
      <w:r w:rsidR="00C517ED">
        <w:t>ate d</w:t>
      </w:r>
      <w:r w:rsidR="00E27310">
        <w:t>’</w:t>
      </w:r>
      <w:r w:rsidR="00C517ED">
        <w:t xml:space="preserve">échéance précisée dans un </w:t>
      </w:r>
      <w:r>
        <w:t>A</w:t>
      </w:r>
      <w:r w:rsidR="00C517ED">
        <w:t xml:space="preserve">vis </w:t>
      </w:r>
      <w:r>
        <w:t>d’appel de versement</w:t>
      </w:r>
      <w:r w:rsidR="00C517ED">
        <w:t>; et</w:t>
      </w:r>
      <w:bookmarkEnd w:id="274"/>
    </w:p>
    <w:p w:rsidR="0000160C" w:rsidRDefault="00C517ED" w14:paraId="4507BEC5" w14:textId="6AD81F64">
      <w:pPr>
        <w:pStyle w:val="ArtBJStyL3"/>
        <w:keepNext/>
      </w:pPr>
      <w:bookmarkStart w:name="_Ref113892446" w:id="275"/>
      <w:proofErr w:type="gramStart"/>
      <w:r>
        <w:t>le</w:t>
      </w:r>
      <w:proofErr w:type="gramEnd"/>
      <w:r>
        <w:t xml:space="preserve"> montant des </w:t>
      </w:r>
      <w:r w:rsidR="003F4BE6">
        <w:t>A</w:t>
      </w:r>
      <w:r>
        <w:t xml:space="preserve">pports </w:t>
      </w:r>
      <w:r w:rsidR="003F4BE6">
        <w:t>de</w:t>
      </w:r>
      <w:r>
        <w:t xml:space="preserve"> capital devant être avancés par chaque </w:t>
      </w:r>
      <w:r w:rsidR="00F4405C">
        <w:t>Co</w:t>
      </w:r>
      <w:r>
        <w:t xml:space="preserve">mmanditaire conformément à un </w:t>
      </w:r>
      <w:r w:rsidR="003F4BE6">
        <w:t>Avis d’appel de versement</w:t>
      </w:r>
      <w:r>
        <w:t xml:space="preserve"> est déterminé conformément aux </w:t>
      </w:r>
      <w:r>
        <w:lastRenderedPageBreak/>
        <w:t>dispositions suivantes, dans chaque cas jusqu</w:t>
      </w:r>
      <w:r w:rsidR="00E27310">
        <w:t>’</w:t>
      </w:r>
      <w:r>
        <w:t>à concurrence d</w:t>
      </w:r>
      <w:r w:rsidR="00E27310">
        <w:t>’</w:t>
      </w:r>
      <w:r>
        <w:t>un montant n</w:t>
      </w:r>
      <w:r w:rsidR="00F4405C">
        <w:t xml:space="preserve">’excédant </w:t>
      </w:r>
      <w:r>
        <w:t>pas l</w:t>
      </w:r>
      <w:r w:rsidR="00E27310">
        <w:t>’</w:t>
      </w:r>
      <w:r w:rsidR="00F4405C">
        <w:t>E</w:t>
      </w:r>
      <w:r>
        <w:t xml:space="preserve">ngagement restant du </w:t>
      </w:r>
      <w:r w:rsidR="00F4405C">
        <w:t>C</w:t>
      </w:r>
      <w:r>
        <w:t>ommanditaire :</w:t>
      </w:r>
      <w:bookmarkEnd w:id="275"/>
    </w:p>
    <w:p w:rsidR="0000160C" w:rsidRDefault="00C517ED" w14:paraId="552E6002" w14:textId="4F8CB6CB">
      <w:pPr>
        <w:pStyle w:val="ArtBJStyL4"/>
      </w:pPr>
      <w:bookmarkStart w:name="_Ref113892447" w:id="276"/>
      <w:proofErr w:type="gramStart"/>
      <w:r>
        <w:t>dans</w:t>
      </w:r>
      <w:proofErr w:type="gramEnd"/>
      <w:r>
        <w:t xml:space="preserve"> le cas d</w:t>
      </w:r>
      <w:r w:rsidR="00E27310">
        <w:t>’</w:t>
      </w:r>
      <w:r>
        <w:t xml:space="preserve">un </w:t>
      </w:r>
      <w:r w:rsidR="00F4405C">
        <w:t>Versement</w:t>
      </w:r>
      <w:r>
        <w:t xml:space="preserve"> devant être utilisé pour acquérir un Investissement de portefeuille (autre qu</w:t>
      </w:r>
      <w:r w:rsidR="00E27310">
        <w:t>’</w:t>
      </w:r>
      <w:r>
        <w:t xml:space="preserve">un Investissement de suivi), en ce qui concerne chaque </w:t>
      </w:r>
      <w:r w:rsidR="00F4405C">
        <w:t>Commanditaire</w:t>
      </w:r>
      <w:r>
        <w:t xml:space="preserve"> (autre qu</w:t>
      </w:r>
      <w:r w:rsidR="00E27310">
        <w:t>’</w:t>
      </w:r>
      <w:r>
        <w:t xml:space="preserve">un </w:t>
      </w:r>
      <w:r w:rsidR="00F4405C">
        <w:t>Commanditaire</w:t>
      </w:r>
      <w:r>
        <w:t xml:space="preserve"> </w:t>
      </w:r>
      <w:r w:rsidR="00F4405C">
        <w:t>dispensé</w:t>
      </w:r>
      <w:r>
        <w:t xml:space="preserve">), la part </w:t>
      </w:r>
      <w:r w:rsidR="00F4405C">
        <w:t xml:space="preserve">proportionnelle du Commanditaire </w:t>
      </w:r>
      <w:r>
        <w:t xml:space="preserve">(basée sur les </w:t>
      </w:r>
      <w:r w:rsidR="00F4405C">
        <w:t>E</w:t>
      </w:r>
      <w:r>
        <w:t xml:space="preserve">ngagements restants de tous les </w:t>
      </w:r>
      <w:r w:rsidR="00F4405C">
        <w:t>C</w:t>
      </w:r>
      <w:r>
        <w:t xml:space="preserve">ommanditaires autres que les </w:t>
      </w:r>
      <w:r w:rsidR="00F4405C">
        <w:t>C</w:t>
      </w:r>
      <w:r>
        <w:t xml:space="preserve">ommanditaires </w:t>
      </w:r>
      <w:r w:rsidR="00F4405C">
        <w:t>dispensés</w:t>
      </w:r>
      <w:r>
        <w:t xml:space="preserve">) du montant </w:t>
      </w:r>
      <w:r w:rsidR="00F4405C">
        <w:t>requis</w:t>
      </w:r>
      <w:r>
        <w:t xml:space="preserve"> pour acquérir un tel Investissement de portefeuille;</w:t>
      </w:r>
      <w:bookmarkEnd w:id="276"/>
    </w:p>
    <w:p w:rsidR="0000160C" w:rsidRDefault="00C517ED" w14:paraId="6F2621C3" w14:textId="75E7D2B3">
      <w:pPr>
        <w:pStyle w:val="ArtBJStyL4"/>
      </w:pPr>
      <w:bookmarkStart w:name="_Ref40802960" w:id="277"/>
      <w:proofErr w:type="gramStart"/>
      <w:r>
        <w:t>dans</w:t>
      </w:r>
      <w:proofErr w:type="gramEnd"/>
      <w:r>
        <w:t xml:space="preserve"> le cas d</w:t>
      </w:r>
      <w:r w:rsidR="00E27310">
        <w:t>’</w:t>
      </w:r>
      <w:r>
        <w:t xml:space="preserve">un </w:t>
      </w:r>
      <w:r w:rsidR="00F4405C">
        <w:t>Versement</w:t>
      </w:r>
      <w:r>
        <w:t xml:space="preserve"> devant servir à effectuer un </w:t>
      </w:r>
      <w:r w:rsidR="00F4405C">
        <w:t>Investissement</w:t>
      </w:r>
      <w:r>
        <w:t xml:space="preserve"> de suivi ou </w:t>
      </w:r>
      <w:r w:rsidR="00F4405C">
        <w:t>pour</w:t>
      </w:r>
      <w:r>
        <w:t xml:space="preserve"> payer des Dépenses du Fonds attribuables à un Investissement de portefeuille particulier, en ce qui concerne chaque </w:t>
      </w:r>
      <w:r w:rsidR="00F4405C">
        <w:t>Commanditaire</w:t>
      </w:r>
      <w:r>
        <w:t xml:space="preserve">, la part proportionnelle du </w:t>
      </w:r>
      <w:r w:rsidR="00F4405C">
        <w:t>C</w:t>
      </w:r>
      <w:r>
        <w:t>ommanditaire (basée sur les Pourcentage</w:t>
      </w:r>
      <w:r w:rsidR="00F4405C">
        <w:t>s</w:t>
      </w:r>
      <w:r>
        <w:t xml:space="preserve"> de partage des </w:t>
      </w:r>
      <w:r w:rsidR="00F4405C">
        <w:t>Commanditaires</w:t>
      </w:r>
      <w:r>
        <w:t xml:space="preserve"> pour un tel Investissement de portefeuille) du montant </w:t>
      </w:r>
      <w:r w:rsidR="00F4405C">
        <w:t>global requis</w:t>
      </w:r>
      <w:r>
        <w:t xml:space="preserve"> pour effectuer </w:t>
      </w:r>
      <w:r w:rsidR="00F4405C">
        <w:t xml:space="preserve">un tel </w:t>
      </w:r>
      <w:r>
        <w:t>Investissement de suivi ou pour payer de telles Dépenses du Fonds;</w:t>
      </w:r>
      <w:bookmarkEnd w:id="277"/>
    </w:p>
    <w:p w:rsidR="0000160C" w:rsidRDefault="00C517ED" w14:paraId="24EA2B68" w14:textId="6448BA06">
      <w:pPr>
        <w:pStyle w:val="ArtBJStyL4"/>
      </w:pPr>
      <w:bookmarkStart w:name="_Ref113892448" w:id="278"/>
      <w:proofErr w:type="gramStart"/>
      <w:r>
        <w:t>dans</w:t>
      </w:r>
      <w:proofErr w:type="gramEnd"/>
      <w:r>
        <w:t xml:space="preserve"> le cas d</w:t>
      </w:r>
      <w:r w:rsidR="00E27310">
        <w:t>’</w:t>
      </w:r>
      <w:r>
        <w:t xml:space="preserve">un </w:t>
      </w:r>
      <w:r w:rsidR="00F4405C">
        <w:t>Versement</w:t>
      </w:r>
      <w:r>
        <w:t xml:space="preserve"> à utiliser pour payer d</w:t>
      </w:r>
      <w:r w:rsidR="00F4405C">
        <w:t>e</w:t>
      </w:r>
      <w:r>
        <w:t xml:space="preserve">s </w:t>
      </w:r>
      <w:r w:rsidR="00F4405C">
        <w:t>D</w:t>
      </w:r>
      <w:r>
        <w:t>épenses d</w:t>
      </w:r>
      <w:r w:rsidR="00F4405C">
        <w:t>u</w:t>
      </w:r>
      <w:r>
        <w:t xml:space="preserve"> </w:t>
      </w:r>
      <w:r w:rsidR="00F4405C">
        <w:t>F</w:t>
      </w:r>
      <w:r>
        <w:t xml:space="preserve">onds autres que </w:t>
      </w:r>
      <w:r w:rsidR="00F4405C">
        <w:t>des</w:t>
      </w:r>
      <w:r>
        <w:t xml:space="preserve"> </w:t>
      </w:r>
      <w:r w:rsidR="00F4405C">
        <w:t>D</w:t>
      </w:r>
      <w:r>
        <w:t>épenses d</w:t>
      </w:r>
      <w:r w:rsidR="00F4405C">
        <w:t>u</w:t>
      </w:r>
      <w:r>
        <w:t xml:space="preserve"> </w:t>
      </w:r>
      <w:r w:rsidR="00F4405C">
        <w:t>F</w:t>
      </w:r>
      <w:r>
        <w:t xml:space="preserve">onds décrites à </w:t>
      </w:r>
      <w:r w:rsidR="00F4405C">
        <w:t>l’article</w:t>
      </w:r>
      <w:r>
        <w:t> </w:t>
      </w:r>
      <w:r w:rsidRPr="00E9050E">
        <w:fldChar w:fldCharType="begin"/>
      </w:r>
      <w:r w:rsidRPr="00E9050E">
        <w:instrText xml:space="preserve"> REF _Ref40802960 \w \h </w:instrText>
      </w:r>
      <w:r w:rsidRPr="00E9050E" w:rsidR="00791303">
        <w:instrText xml:space="preserve"> \* MERGEFORMAT </w:instrText>
      </w:r>
      <w:r w:rsidRPr="00E9050E">
        <w:fldChar w:fldCharType="separate"/>
      </w:r>
      <w:r w:rsidR="00B50BE2">
        <w:t>6.2(d)(ii)</w:t>
      </w:r>
      <w:r w:rsidRPr="00E9050E">
        <w:fldChar w:fldCharType="end"/>
      </w:r>
      <w:r>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Modalités; Apports de capital.</w:t>
      </w:r>
      <w:r w:rsidRPr="006A3B29" w:rsidR="006A3B29">
        <w:rPr>
          <w:i/>
        </w:rPr>
        <w:fldChar w:fldCharType="end"/>
      </w:r>
      <w:r>
        <w:t xml:space="preserve">) et les </w:t>
      </w:r>
      <w:r w:rsidR="00F4405C">
        <w:t>Dépenses organisationnelles</w:t>
      </w:r>
      <w:r>
        <w:t xml:space="preserve"> payables par le Fonds, la part proportionnelle du </w:t>
      </w:r>
      <w:r w:rsidR="00F4405C">
        <w:t>C</w:t>
      </w:r>
      <w:r>
        <w:t xml:space="preserve">ommanditaire (basée sur les </w:t>
      </w:r>
      <w:r w:rsidR="00F4405C">
        <w:t>E</w:t>
      </w:r>
      <w:r>
        <w:t xml:space="preserve">ngagements de tous les </w:t>
      </w:r>
      <w:r w:rsidR="00F4405C">
        <w:t>C</w:t>
      </w:r>
      <w:r>
        <w:t xml:space="preserve">ommanditaires) du montant requis pour payer </w:t>
      </w:r>
      <w:r w:rsidR="00F4405C">
        <w:t>de tel</w:t>
      </w:r>
      <w:r w:rsidR="00C347BB">
        <w:t>le</w:t>
      </w:r>
      <w:r w:rsidR="00F4405C">
        <w:t>s</w:t>
      </w:r>
      <w:r>
        <w:t xml:space="preserve"> </w:t>
      </w:r>
      <w:r w:rsidR="00C347BB">
        <w:t>Dépenses</w:t>
      </w:r>
      <w:r>
        <w:t xml:space="preserve"> du Fonds; et</w:t>
      </w:r>
      <w:bookmarkEnd w:id="278"/>
    </w:p>
    <w:p w:rsidR="0000160C" w:rsidRDefault="00C517ED" w14:paraId="468FE81B" w14:textId="228CCEC3">
      <w:pPr>
        <w:pStyle w:val="ArtBJStyL4"/>
      </w:pPr>
      <w:bookmarkStart w:name="_Ref40802992" w:id="279"/>
      <w:proofErr w:type="gramStart"/>
      <w:r>
        <w:t>dans</w:t>
      </w:r>
      <w:proofErr w:type="gramEnd"/>
      <w:r>
        <w:t xml:space="preserve"> le cas d</w:t>
      </w:r>
      <w:r w:rsidR="00E27310">
        <w:t>’</w:t>
      </w:r>
      <w:r>
        <w:t xml:space="preserve">un </w:t>
      </w:r>
      <w:r w:rsidR="00F4405C">
        <w:t>Versement</w:t>
      </w:r>
      <w:r>
        <w:t xml:space="preserve"> à utiliser pour payer les </w:t>
      </w:r>
      <w:r w:rsidR="00F4405C">
        <w:t>F</w:t>
      </w:r>
      <w:r>
        <w:t xml:space="preserve">rais de gestion, </w:t>
      </w:r>
      <w:r w:rsidR="00F4405C">
        <w:t>en ce qui concerne</w:t>
      </w:r>
      <w:r>
        <w:t xml:space="preserve"> chaque </w:t>
      </w:r>
      <w:r w:rsidR="00F4405C">
        <w:t>C</w:t>
      </w:r>
      <w:r>
        <w:t xml:space="preserve">ommanditaire, le montant calculé pour le </w:t>
      </w:r>
      <w:r w:rsidR="00F4405C">
        <w:t>C</w:t>
      </w:r>
      <w:r>
        <w:t>ommanditaire conformément à l</w:t>
      </w:r>
      <w:r w:rsidR="00E27310">
        <w:t>’</w:t>
      </w:r>
      <w:r>
        <w:t xml:space="preserve">article </w:t>
      </w:r>
      <w:r w:rsidR="002A0EB1">
        <w:fldChar w:fldCharType="begin"/>
      </w:r>
      <w:r w:rsidR="002A0EB1">
        <w:instrText xml:space="preserve"> REF _Ref96457888 \r \h </w:instrText>
      </w:r>
      <w:r w:rsidR="002A0EB1">
        <w:fldChar w:fldCharType="separate"/>
      </w:r>
      <w:r w:rsidR="00B50BE2">
        <w:t>8.4</w:t>
      </w:r>
      <w:r w:rsidR="002A0EB1">
        <w:fldChar w:fldCharType="end"/>
      </w:r>
      <w:r>
        <w:t xml:space="preserve"> (</w:t>
      </w:r>
      <w:r w:rsidRPr="006A3B29" w:rsidR="006A3B29">
        <w:rPr>
          <w:i/>
        </w:rPr>
        <w:fldChar w:fldCharType="begin"/>
      </w:r>
      <w:r w:rsidRPr="006A3B29" w:rsidR="006A3B29">
        <w:rPr>
          <w:i/>
        </w:rPr>
        <w:instrText xml:space="preserve"> REF _Ref96457888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Frais de gestion.</w:t>
      </w:r>
      <w:r w:rsidRPr="006A3B29" w:rsidR="006A3B29">
        <w:rPr>
          <w:i/>
        </w:rPr>
        <w:fldChar w:fldCharType="end"/>
      </w:r>
      <w:r>
        <w:t>).</w:t>
      </w:r>
      <w:bookmarkEnd w:id="279"/>
      <w:r>
        <w:t xml:space="preserve"> </w:t>
      </w:r>
    </w:p>
    <w:p w:rsidR="0000160C" w:rsidRDefault="00C517ED" w14:paraId="19C83DE9" w14:textId="4FA1AC57">
      <w:pPr>
        <w:pStyle w:val="ArtBJStyL2"/>
      </w:pPr>
      <w:bookmarkStart w:name="_Ref113892449" w:id="280"/>
      <w:bookmarkStart w:name="_Toc161762336" w:id="281"/>
      <w:r>
        <w:t xml:space="preserve">Remboursement des </w:t>
      </w:r>
      <w:r w:rsidR="00F4405C">
        <w:t>A</w:t>
      </w:r>
      <w:r>
        <w:t xml:space="preserve">pports </w:t>
      </w:r>
      <w:r w:rsidR="00F4405C">
        <w:t>de</w:t>
      </w:r>
      <w:r>
        <w:t xml:space="preserve"> capital non utilisés.</w:t>
      </w:r>
      <w:bookmarkEnd w:id="280"/>
      <w:bookmarkEnd w:id="281"/>
    </w:p>
    <w:p w:rsidR="0000160C" w:rsidRDefault="00C517ED" w14:paraId="31FBCEEA" w14:textId="035E2CCC">
      <w:pPr>
        <w:pStyle w:val="ArtBJStyL3"/>
      </w:pPr>
      <w:bookmarkStart w:name="_Ref113892450" w:id="282"/>
      <w:r>
        <w:t xml:space="preserve">Si un </w:t>
      </w:r>
      <w:r w:rsidR="008F79CE">
        <w:t>Investissement</w:t>
      </w:r>
      <w:r>
        <w:t xml:space="preserve"> de portefeuille proposé à l</w:t>
      </w:r>
      <w:r w:rsidR="00E27310">
        <w:t>’</w:t>
      </w:r>
      <w:r>
        <w:t xml:space="preserve">égard duquel il y a eu </w:t>
      </w:r>
      <w:r w:rsidR="008F79CE">
        <w:t>un Versement</w:t>
      </w:r>
      <w:r>
        <w:t xml:space="preserve"> n</w:t>
      </w:r>
      <w:r w:rsidR="00E27310">
        <w:t>’</w:t>
      </w:r>
      <w:r>
        <w:t xml:space="preserve">est pas </w:t>
      </w:r>
      <w:r w:rsidR="008F79CE">
        <w:t>réalisé</w:t>
      </w:r>
      <w:r>
        <w:t xml:space="preserve">, le </w:t>
      </w:r>
      <w:r w:rsidR="008F79CE">
        <w:t>C</w:t>
      </w:r>
      <w:r>
        <w:t xml:space="preserve">ommandité doit </w:t>
      </w:r>
      <w:r w:rsidR="008F79CE">
        <w:t>rembourser</w:t>
      </w:r>
      <w:r>
        <w:t xml:space="preserve"> ce </w:t>
      </w:r>
      <w:r w:rsidR="008F79CE">
        <w:t>Versement</w:t>
      </w:r>
      <w:r>
        <w:t xml:space="preserve"> aux </w:t>
      </w:r>
      <w:r w:rsidR="008F79CE">
        <w:t>Commanditaires</w:t>
      </w:r>
      <w:r>
        <w:t xml:space="preserve"> dans les </w:t>
      </w:r>
      <w:r>
        <w:rPr>
          <w:b/>
          <w:highlight w:val="yellow"/>
        </w:rPr>
        <w:t>[90]</w:t>
      </w:r>
      <w:bookmarkStart w:name="_Ref113892828" w:id="283"/>
      <w:r>
        <w:rPr>
          <w:szCs w:val="22"/>
          <w:vertAlign w:val="superscript"/>
        </w:rPr>
        <w:footnoteReference w:id="82"/>
      </w:r>
      <w:bookmarkEnd w:id="283"/>
      <w:r>
        <w:t xml:space="preserve"> jours suivant ce </w:t>
      </w:r>
      <w:r w:rsidR="008F79CE">
        <w:t>Versement</w:t>
      </w:r>
      <w:r>
        <w:t xml:space="preserve">, dans les mêmes proportions que celles que ces fonds ont été versés par les </w:t>
      </w:r>
      <w:r w:rsidR="008F79CE">
        <w:t>C</w:t>
      </w:r>
      <w:r>
        <w:t xml:space="preserve">ommanditaires. </w:t>
      </w:r>
      <w:r w:rsidR="008F79CE">
        <w:t>L’Engagement restant</w:t>
      </w:r>
      <w:r>
        <w:t xml:space="preserve"> de chaque </w:t>
      </w:r>
      <w:r w:rsidR="008F79CE">
        <w:t>C</w:t>
      </w:r>
      <w:r>
        <w:t>ommanditaire sera augmenté de tou</w:t>
      </w:r>
      <w:r w:rsidR="008F79CE">
        <w:t xml:space="preserve">s les </w:t>
      </w:r>
      <w:r>
        <w:t xml:space="preserve">fonds ou </w:t>
      </w:r>
      <w:r w:rsidR="008F79CE">
        <w:t>de l’excédent</w:t>
      </w:r>
      <w:r>
        <w:t xml:space="preserve"> de fonds ainsi </w:t>
      </w:r>
      <w:r w:rsidR="008F79CE">
        <w:t>remboursé</w:t>
      </w:r>
      <w:r w:rsidR="00EC47A5">
        <w:t>s</w:t>
      </w:r>
      <w:r>
        <w:t>, et ces fonds</w:t>
      </w:r>
      <w:r w:rsidR="008F79CE">
        <w:t xml:space="preserve"> remboursés</w:t>
      </w:r>
      <w:r>
        <w:t xml:space="preserve"> ou </w:t>
      </w:r>
      <w:r w:rsidR="008F79CE">
        <w:t xml:space="preserve">cet </w:t>
      </w:r>
      <w:r>
        <w:t xml:space="preserve">excédent ne seront pas reflétés dans le </w:t>
      </w:r>
      <w:r w:rsidR="008F79CE">
        <w:t>C</w:t>
      </w:r>
      <w:r>
        <w:t>ompte de capital d</w:t>
      </w:r>
      <w:r w:rsidR="008F79CE">
        <w:t>e ce C</w:t>
      </w:r>
      <w:r>
        <w:t xml:space="preserve">ommanditaire ni traités comme un </w:t>
      </w:r>
      <w:r w:rsidR="008F79CE">
        <w:t>A</w:t>
      </w:r>
      <w:r>
        <w:t xml:space="preserve">pport </w:t>
      </w:r>
      <w:r w:rsidR="008F79CE">
        <w:t>de</w:t>
      </w:r>
      <w:r>
        <w:t xml:space="preserve"> capital.</w:t>
      </w:r>
      <w:bookmarkEnd w:id="282"/>
    </w:p>
    <w:p w:rsidR="0000160C" w:rsidRDefault="00C517ED" w14:paraId="243DB47C" w14:textId="34E65989">
      <w:pPr>
        <w:pStyle w:val="ArtBJStyL3"/>
      </w:pPr>
      <w:bookmarkStart w:name="_Ref113892451" w:id="284"/>
      <w:r>
        <w:t xml:space="preserve">Si, à </w:t>
      </w:r>
      <w:r w:rsidR="008F79CE">
        <w:t xml:space="preserve">tout moment </w:t>
      </w:r>
      <w:r>
        <w:t>après la remise d</w:t>
      </w:r>
      <w:r w:rsidR="00E27310">
        <w:t>’</w:t>
      </w:r>
      <w:r>
        <w:t xml:space="preserve">un </w:t>
      </w:r>
      <w:r w:rsidR="003F4BE6">
        <w:t>Avis d’appel de versement</w:t>
      </w:r>
      <w:r>
        <w:t>, il est prévu d</w:t>
      </w:r>
      <w:r w:rsidR="00E27310">
        <w:t>’</w:t>
      </w:r>
      <w:r>
        <w:t xml:space="preserve">utiliser une partie quelconque du </w:t>
      </w:r>
      <w:r w:rsidR="008F79CE">
        <w:t>Versement</w:t>
      </w:r>
      <w:r>
        <w:t xml:space="preserve"> </w:t>
      </w:r>
      <w:r w:rsidR="008F79CE">
        <w:t>correspondant</w:t>
      </w:r>
      <w:r>
        <w:t xml:space="preserve"> à une fin autre que celle spécifiée dans l</w:t>
      </w:r>
      <w:r w:rsidR="00E27310">
        <w:t>’</w:t>
      </w:r>
      <w:r w:rsidR="003F4BE6">
        <w:t>Avis d’appel de versement</w:t>
      </w:r>
      <w:r>
        <w:t xml:space="preserve">, alors, au moins </w:t>
      </w:r>
      <w:r>
        <w:rPr>
          <w:b/>
          <w:highlight w:val="yellow"/>
        </w:rPr>
        <w:t xml:space="preserve">[10 </w:t>
      </w:r>
      <w:r w:rsidR="008F79CE">
        <w:rPr>
          <w:b/>
          <w:highlight w:val="yellow"/>
        </w:rPr>
        <w:t>J</w:t>
      </w:r>
      <w:r>
        <w:rPr>
          <w:b/>
          <w:highlight w:val="yellow"/>
        </w:rPr>
        <w:t>ours ouvrables]</w:t>
      </w:r>
      <w:r>
        <w:t xml:space="preserve"> avant cette utilisation, le </w:t>
      </w:r>
      <w:r w:rsidR="008F79CE">
        <w:t>C</w:t>
      </w:r>
      <w:r>
        <w:t xml:space="preserve">ommandité doit fournir à chaque </w:t>
      </w:r>
      <w:r w:rsidR="008F79CE">
        <w:t>Commanditaire</w:t>
      </w:r>
      <w:r>
        <w:t xml:space="preserve"> un </w:t>
      </w:r>
      <w:r w:rsidR="003F4BE6">
        <w:t>Avis d’appel de versement</w:t>
      </w:r>
      <w:r>
        <w:t xml:space="preserve"> révisé avec l</w:t>
      </w:r>
      <w:r w:rsidR="00E27310">
        <w:t>’</w:t>
      </w:r>
      <w:r>
        <w:t>intention et l</w:t>
      </w:r>
      <w:r w:rsidR="00E27310">
        <w:t>’</w:t>
      </w:r>
      <w:r>
        <w:t xml:space="preserve">effet que chaque </w:t>
      </w:r>
      <w:r w:rsidR="008F79CE">
        <w:t>Commanditaire</w:t>
      </w:r>
      <w:r>
        <w:t xml:space="preserve"> a</w:t>
      </w:r>
      <w:r w:rsidR="008F79CE">
        <w:t>it</w:t>
      </w:r>
      <w:r>
        <w:t xml:space="preserve"> la possibilité d</w:t>
      </w:r>
      <w:r w:rsidR="00E27310">
        <w:t>’</w:t>
      </w:r>
      <w:r>
        <w:t>exercer tout droit d</w:t>
      </w:r>
      <w:r w:rsidR="00E27310">
        <w:t>’</w:t>
      </w:r>
      <w:r>
        <w:t xml:space="preserve">être un </w:t>
      </w:r>
      <w:r w:rsidR="008F79CE">
        <w:t>Commanditaire dispensé</w:t>
      </w:r>
      <w:r>
        <w:t xml:space="preserve"> qu</w:t>
      </w:r>
      <w:r w:rsidR="00E27310">
        <w:t>’</w:t>
      </w:r>
      <w:r>
        <w:t>il a à l</w:t>
      </w:r>
      <w:r w:rsidR="00E27310">
        <w:t>’</w:t>
      </w:r>
      <w:r>
        <w:t xml:space="preserve">égard </w:t>
      </w:r>
      <w:r w:rsidR="008F79CE">
        <w:t>de ce Versement</w:t>
      </w:r>
      <w:r>
        <w:t xml:space="preserve"> conformément à l</w:t>
      </w:r>
      <w:r w:rsidR="00E27310">
        <w:t>’</w:t>
      </w:r>
      <w:r>
        <w:t>article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B50BE2">
        <w:t>6.7</w:t>
      </w:r>
      <w:r w:rsidRPr="006400F9">
        <w:fldChar w:fldCharType="end"/>
      </w:r>
      <w:r>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Commanditaires dispensés.</w:t>
      </w:r>
      <w:r w:rsidRPr="006A3B29" w:rsidR="006A3B29">
        <w:rPr>
          <w:i/>
        </w:rPr>
        <w:fldChar w:fldCharType="end"/>
      </w:r>
      <w:r>
        <w:t>).</w:t>
      </w:r>
      <w:bookmarkEnd w:id="284"/>
    </w:p>
    <w:p w:rsidR="0000160C" w:rsidRDefault="00C517ED" w14:paraId="6E41CBD7" w14:textId="77777777">
      <w:pPr>
        <w:pStyle w:val="ArtBJStyL2"/>
      </w:pPr>
      <w:bookmarkStart w:name="_Ref40802292" w:id="285"/>
      <w:bookmarkStart w:name="_Toc161762337" w:id="286"/>
      <w:r>
        <w:lastRenderedPageBreak/>
        <w:t>Réinvestissement.</w:t>
      </w:r>
      <w:bookmarkEnd w:id="285"/>
      <w:bookmarkEnd w:id="286"/>
    </w:p>
    <w:p w:rsidR="0000160C" w:rsidRDefault="00C517ED" w14:paraId="6D35EC4A" w14:textId="0BE1D413">
      <w:pPr>
        <w:pStyle w:val="ArtBJStyCont2"/>
      </w:pPr>
      <w:r>
        <w:t xml:space="preserve">Les </w:t>
      </w:r>
      <w:r w:rsidR="008F79CE">
        <w:t>E</w:t>
      </w:r>
      <w:r>
        <w:t xml:space="preserve">ngagements restants de chaque </w:t>
      </w:r>
      <w:r w:rsidR="008F79CE">
        <w:t>Commanditaire</w:t>
      </w:r>
      <w:r>
        <w:t xml:space="preserve"> qui peuvent être </w:t>
      </w:r>
      <w:r w:rsidR="008F79CE">
        <w:t>versés</w:t>
      </w:r>
      <w:r>
        <w:t xml:space="preserve"> sont augmentés du montant </w:t>
      </w:r>
      <w:r w:rsidR="008F79CE">
        <w:t>global</w:t>
      </w:r>
      <w:r>
        <w:t xml:space="preserve"> des </w:t>
      </w:r>
      <w:r w:rsidR="008F79CE">
        <w:t>P</w:t>
      </w:r>
      <w:r>
        <w:t xml:space="preserve">roduits distribuables qui ont été distribués au </w:t>
      </w:r>
      <w:r w:rsidR="00C347BB">
        <w:t>C</w:t>
      </w:r>
      <w:r>
        <w:t xml:space="preserve">ommanditaire qui est égal au montant </w:t>
      </w:r>
      <w:r w:rsidR="00C347BB">
        <w:t>global</w:t>
      </w:r>
      <w:r>
        <w:t xml:space="preserve"> des </w:t>
      </w:r>
      <w:r w:rsidR="00C347BB">
        <w:t>Apports de</w:t>
      </w:r>
      <w:r>
        <w:t xml:space="preserve"> capital du </w:t>
      </w:r>
      <w:r w:rsidR="00C347BB">
        <w:t>C</w:t>
      </w:r>
      <w:r>
        <w:t xml:space="preserve">ommanditaire pour financer </w:t>
      </w:r>
      <w:bookmarkStart w:name="DocXTextRef44" w:id="287"/>
      <w:r>
        <w:t>(i)</w:t>
      </w:r>
      <w:bookmarkEnd w:id="287"/>
      <w:r>
        <w:t xml:space="preserve"> le </w:t>
      </w:r>
      <w:r w:rsidR="00C347BB">
        <w:t>C</w:t>
      </w:r>
      <w:r>
        <w:t>oût d</w:t>
      </w:r>
      <w:r w:rsidR="00E27310">
        <w:t>’</w:t>
      </w:r>
      <w:r>
        <w:t xml:space="preserve">acquisition des </w:t>
      </w:r>
      <w:r w:rsidR="00C347BB">
        <w:t>I</w:t>
      </w:r>
      <w:r>
        <w:t xml:space="preserve">nvestissements de portefeuille qui ont été réalisés dans les </w:t>
      </w:r>
      <w:r>
        <w:rPr>
          <w:b/>
          <w:highlight w:val="yellow"/>
        </w:rPr>
        <w:t>[12 à 18]</w:t>
      </w:r>
      <w:r>
        <w:t xml:space="preserve"> mois suivant leur acquisition au cours de la </w:t>
      </w:r>
      <w:r w:rsidR="00C347BB">
        <w:t>P</w:t>
      </w:r>
      <w:r>
        <w:t>ériode d</w:t>
      </w:r>
      <w:r w:rsidR="00E27310">
        <w:t>’</w:t>
      </w:r>
      <w:r>
        <w:t xml:space="preserve">engagement, et </w:t>
      </w:r>
      <w:bookmarkStart w:name="DocXTextRef45" w:id="288"/>
      <w:r>
        <w:t>(ii)</w:t>
      </w:r>
      <w:bookmarkEnd w:id="288"/>
      <w:r>
        <w:t xml:space="preserve"> les </w:t>
      </w:r>
      <w:r w:rsidR="00C347BB">
        <w:t>Dépenses</w:t>
      </w:r>
      <w:r>
        <w:t xml:space="preserve"> </w:t>
      </w:r>
      <w:r w:rsidR="00C347BB">
        <w:t>du</w:t>
      </w:r>
      <w:r>
        <w:t xml:space="preserve"> fonds, les </w:t>
      </w:r>
      <w:r w:rsidR="00C347BB">
        <w:t>F</w:t>
      </w:r>
      <w:r>
        <w:t xml:space="preserve">rais de gestion et les </w:t>
      </w:r>
      <w:r w:rsidR="00C347BB">
        <w:t>Dépenses organisationnelles</w:t>
      </w:r>
      <w:r>
        <w:t xml:space="preserve">, à condition dans chaque cas que ces </w:t>
      </w:r>
      <w:r w:rsidR="00C347BB">
        <w:t>E</w:t>
      </w:r>
      <w:r>
        <w:t xml:space="preserve">ngagements restants accrus puissent être utilisés uniquement aux fins de réaliser des </w:t>
      </w:r>
      <w:r w:rsidR="00C347BB">
        <w:t>I</w:t>
      </w:r>
      <w:r>
        <w:t>nvestissements de portefeuille.</w:t>
      </w:r>
      <w:bookmarkStart w:name="_Ref113892829" w:id="289"/>
      <w:r>
        <w:rPr>
          <w:szCs w:val="22"/>
          <w:vertAlign w:val="superscript"/>
        </w:rPr>
        <w:footnoteReference w:id="83"/>
      </w:r>
      <w:bookmarkEnd w:id="289"/>
    </w:p>
    <w:p w:rsidR="0000160C" w:rsidRDefault="00C517ED" w14:paraId="48B6D662" w14:textId="686A6D66">
      <w:pPr>
        <w:pStyle w:val="ArtBJStyL2"/>
      </w:pPr>
      <w:bookmarkStart w:name="_Ref45625252" w:id="290"/>
      <w:bookmarkStart w:name="_Toc161762338" w:id="291"/>
      <w:r>
        <w:t xml:space="preserve">Utilisation des </w:t>
      </w:r>
      <w:r w:rsidR="00C347BB">
        <w:t>P</w:t>
      </w:r>
      <w:r>
        <w:t xml:space="preserve">roduits distribuables pour les </w:t>
      </w:r>
      <w:r w:rsidR="00C347BB">
        <w:t>Versements</w:t>
      </w:r>
      <w:r>
        <w:t xml:space="preserve"> </w:t>
      </w:r>
      <w:r w:rsidR="00C347BB">
        <w:t>au F</w:t>
      </w:r>
      <w:r>
        <w:t>onds.</w:t>
      </w:r>
      <w:bookmarkEnd w:id="290"/>
      <w:bookmarkEnd w:id="291"/>
    </w:p>
    <w:p w:rsidR="0000160C" w:rsidRDefault="00C517ED" w14:paraId="294B3F0D" w14:textId="14257669">
      <w:pPr>
        <w:pStyle w:val="ArtBJStyCont2"/>
      </w:pPr>
      <w:r>
        <w:t xml:space="preserve">Le </w:t>
      </w:r>
      <w:r w:rsidR="00C347BB">
        <w:t>C</w:t>
      </w:r>
      <w:r>
        <w:t xml:space="preserve">ommandité peut décider de </w:t>
      </w:r>
      <w:r w:rsidR="00C347BB">
        <w:t>retenir</w:t>
      </w:r>
      <w:r>
        <w:t xml:space="preserve"> et d</w:t>
      </w:r>
      <w:r w:rsidR="00E27310">
        <w:t>’</w:t>
      </w:r>
      <w:r>
        <w:t xml:space="preserve">utiliser le </w:t>
      </w:r>
      <w:r w:rsidR="00C347BB">
        <w:t>P</w:t>
      </w:r>
      <w:r>
        <w:t xml:space="preserve">roduit distribuable qui serait autrement distribué à un </w:t>
      </w:r>
      <w:r w:rsidR="00C347BB">
        <w:t>Commanditaire</w:t>
      </w:r>
      <w:r>
        <w:t xml:space="preserve"> conformément à l</w:t>
      </w:r>
      <w:r w:rsidR="00E27310">
        <w:t>’</w:t>
      </w:r>
      <w:r>
        <w:t>article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6A3B29" w:rsidR="006A3B29">
        <w:rPr>
          <w:i/>
        </w:rPr>
        <w:fldChar w:fldCharType="begin"/>
      </w:r>
      <w:r w:rsidRPr="006A3B29" w:rsidR="006A3B29">
        <w:rPr>
          <w:i/>
        </w:rPr>
        <w:instrText xml:space="preserve"> REF _Ref40803030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Distributions des Produits distribuables.</w:t>
      </w:r>
      <w:r w:rsidRPr="006A3B29" w:rsidR="006A3B29">
        <w:rPr>
          <w:i/>
        </w:rPr>
        <w:fldChar w:fldCharType="end"/>
      </w:r>
      <w:r>
        <w:t xml:space="preserve">) </w:t>
      </w:r>
      <w:r w:rsidR="00C347BB">
        <w:t xml:space="preserve">afin </w:t>
      </w:r>
      <w:r>
        <w:t xml:space="preserve">de financer </w:t>
      </w:r>
      <w:r w:rsidR="00C347BB">
        <w:t>la totalité ou une partie</w:t>
      </w:r>
      <w:r>
        <w:t xml:space="preserve"> de </w:t>
      </w:r>
      <w:r w:rsidR="00C347BB">
        <w:t>tout Apport de</w:t>
      </w:r>
      <w:r>
        <w:t xml:space="preserve"> capital qui serait autrement exigé par le </w:t>
      </w:r>
      <w:r w:rsidR="00C347BB">
        <w:t>C</w:t>
      </w:r>
      <w:r>
        <w:t xml:space="preserve">ommanditaire dans les </w:t>
      </w:r>
      <w:r>
        <w:rPr>
          <w:b/>
        </w:rPr>
        <w:t>[</w:t>
      </w:r>
      <w:r>
        <w:rPr>
          <w:b/>
          <w:highlight w:val="yellow"/>
        </w:rPr>
        <w:t>60</w:t>
      </w:r>
      <w:r>
        <w:rPr>
          <w:b/>
        </w:rPr>
        <w:t>]</w:t>
      </w:r>
      <w:r>
        <w:t xml:space="preserve"> </w:t>
      </w:r>
      <w:r w:rsidRPr="00C347BB">
        <w:t>jours suivant la réception</w:t>
      </w:r>
      <w:r>
        <w:t xml:space="preserve"> de ce </w:t>
      </w:r>
      <w:r w:rsidR="00C347BB">
        <w:t>P</w:t>
      </w:r>
      <w:r>
        <w:t xml:space="preserve">roduit distribuable. Au moins </w:t>
      </w:r>
      <w:r>
        <w:rPr>
          <w:b/>
          <w:highlight w:val="yellow"/>
        </w:rPr>
        <w:t xml:space="preserve">[10 </w:t>
      </w:r>
      <w:r w:rsidR="00FE5B02">
        <w:rPr>
          <w:b/>
          <w:highlight w:val="yellow"/>
        </w:rPr>
        <w:t>J</w:t>
      </w:r>
      <w:r>
        <w:rPr>
          <w:b/>
          <w:highlight w:val="yellow"/>
        </w:rPr>
        <w:t>ours ouvrables]</w:t>
      </w:r>
      <w:r>
        <w:t xml:space="preserve"> avant l</w:t>
      </w:r>
      <w:r w:rsidR="00E27310">
        <w:t>’</w:t>
      </w:r>
      <w:r>
        <w:t>acquisition d</w:t>
      </w:r>
      <w:r w:rsidR="00E27310">
        <w:t>’</w:t>
      </w:r>
      <w:r>
        <w:t xml:space="preserve">un </w:t>
      </w:r>
      <w:r w:rsidR="00C347BB">
        <w:t>Investissement</w:t>
      </w:r>
      <w:r>
        <w:t xml:space="preserve"> de portefeuille sur les </w:t>
      </w:r>
      <w:r w:rsidR="00C347BB">
        <w:t>P</w:t>
      </w:r>
      <w:r>
        <w:t xml:space="preserve">roduits distribuables </w:t>
      </w:r>
      <w:r w:rsidR="00C347BB">
        <w:t>retenus</w:t>
      </w:r>
      <w:r>
        <w:t xml:space="preserve">, le </w:t>
      </w:r>
      <w:r w:rsidR="00C347BB">
        <w:t>C</w:t>
      </w:r>
      <w:r>
        <w:t xml:space="preserve">ommandité doit fournir à chaque </w:t>
      </w:r>
      <w:r w:rsidR="00C347BB">
        <w:t>Commanditaire</w:t>
      </w:r>
      <w:r>
        <w:t xml:space="preserve"> les renseignements qui doivent être fournis dans un </w:t>
      </w:r>
      <w:r w:rsidR="00C347BB">
        <w:t>Avis d’appel de versement</w:t>
      </w:r>
      <w:r>
        <w:t xml:space="preserve"> émis conformément à l</w:t>
      </w:r>
      <w:r w:rsidR="00E27310">
        <w:t>’</w:t>
      </w:r>
      <w:r>
        <w:t>article </w:t>
      </w:r>
      <w:r w:rsidRPr="006400F9">
        <w:fldChar w:fldCharType="begin"/>
      </w:r>
      <w:r w:rsidRPr="006400F9">
        <w:instrText xml:space="preserve"> REF _Ref40801295 \w \h </w:instrText>
      </w:r>
      <w:r w:rsidRPr="006400F9" w:rsidR="00791303">
        <w:instrText xml:space="preserve"> \* MERGEFORMAT </w:instrText>
      </w:r>
      <w:r w:rsidRPr="006400F9">
        <w:fldChar w:fldCharType="separate"/>
      </w:r>
      <w:r w:rsidR="00B50BE2">
        <w:t>6.2(a)</w:t>
      </w:r>
      <w:r w:rsidRPr="006400F9">
        <w:fldChar w:fldCharType="end"/>
      </w:r>
      <w:r>
        <w:t xml:space="preserve"> (</w:t>
      </w:r>
      <w:r w:rsidRPr="006A3B29" w:rsidR="006A3B29">
        <w:rPr>
          <w:i/>
        </w:rPr>
        <w:fldChar w:fldCharType="begin"/>
      </w:r>
      <w:r w:rsidRPr="006A3B29" w:rsidR="006A3B29">
        <w:rPr>
          <w:i/>
        </w:rPr>
        <w:instrText xml:space="preserve"> REF _Ref40801274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Modalités; Apports de capital.</w:t>
      </w:r>
      <w:r w:rsidRPr="006A3B29" w:rsidR="006A3B29">
        <w:rPr>
          <w:i/>
        </w:rPr>
        <w:fldChar w:fldCharType="end"/>
      </w:r>
      <w:r>
        <w:t>) avec l</w:t>
      </w:r>
      <w:r w:rsidR="00E27310">
        <w:t>’</w:t>
      </w:r>
      <w:r>
        <w:t xml:space="preserve">intention que chaque </w:t>
      </w:r>
      <w:r w:rsidR="00C347BB">
        <w:t>C</w:t>
      </w:r>
      <w:r>
        <w:t>ommanditaire a</w:t>
      </w:r>
      <w:r w:rsidR="00C347BB">
        <w:t>it</w:t>
      </w:r>
      <w:r>
        <w:t xml:space="preserve"> la possibilité d</w:t>
      </w:r>
      <w:r w:rsidR="00E27310">
        <w:t>’</w:t>
      </w:r>
      <w:r>
        <w:t>exercer tout droit d</w:t>
      </w:r>
      <w:r w:rsidR="00E27310">
        <w:t>’</w:t>
      </w:r>
      <w:r>
        <w:t xml:space="preserve">être un </w:t>
      </w:r>
      <w:r w:rsidR="00C347BB">
        <w:t>C</w:t>
      </w:r>
      <w:r>
        <w:t xml:space="preserve">ommanditaire </w:t>
      </w:r>
      <w:r w:rsidR="00C347BB">
        <w:rPr>
          <w:iCs/>
        </w:rPr>
        <w:t>dispensé</w:t>
      </w:r>
      <w:r>
        <w:t xml:space="preserve"> qu</w:t>
      </w:r>
      <w:r w:rsidR="00E27310">
        <w:t>’</w:t>
      </w:r>
      <w:r>
        <w:t>il aurait eu en vertu de l</w:t>
      </w:r>
      <w:r w:rsidR="00E27310">
        <w:t>’</w:t>
      </w:r>
      <w:r>
        <w:t>article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B50BE2">
        <w:t>6.7</w:t>
      </w:r>
      <w:r w:rsidRPr="006400F9">
        <w:fldChar w:fldCharType="end"/>
      </w:r>
      <w:r>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Commanditaires dispensés.</w:t>
      </w:r>
      <w:r w:rsidRPr="006A3B29" w:rsidR="006A3B29">
        <w:rPr>
          <w:i/>
        </w:rPr>
        <w:fldChar w:fldCharType="end"/>
      </w:r>
      <w:r>
        <w:t xml:space="preserve">) si le </w:t>
      </w:r>
      <w:r w:rsidR="00C347BB">
        <w:t>C</w:t>
      </w:r>
      <w:r>
        <w:t>oût d</w:t>
      </w:r>
      <w:r w:rsidR="00E27310">
        <w:t>’</w:t>
      </w:r>
      <w:r>
        <w:t xml:space="preserve">acquisition de cet </w:t>
      </w:r>
      <w:r w:rsidR="009679DC">
        <w:t>I</w:t>
      </w:r>
      <w:r>
        <w:t xml:space="preserve">nvestissement de portefeuille avait été entièrement financé par </w:t>
      </w:r>
      <w:r w:rsidR="009679DC">
        <w:t>des Versements</w:t>
      </w:r>
      <w:r>
        <w:t xml:space="preserve">. Le montant du </w:t>
      </w:r>
      <w:r w:rsidR="009679DC">
        <w:t>P</w:t>
      </w:r>
      <w:r>
        <w:t xml:space="preserve">roduit distribuable ainsi </w:t>
      </w:r>
      <w:r w:rsidR="009679DC">
        <w:t>retenu</w:t>
      </w:r>
      <w:r>
        <w:t xml:space="preserve"> sera réputé, aux fins </w:t>
      </w:r>
      <w:r w:rsidR="00E536D5">
        <w:t>de la présente Convention</w:t>
      </w:r>
      <w:r>
        <w:t xml:space="preserve">, avoir été distribué à ce </w:t>
      </w:r>
      <w:r w:rsidR="009679DC">
        <w:t>C</w:t>
      </w:r>
      <w:r>
        <w:t xml:space="preserve">ommanditaire, puis </w:t>
      </w:r>
      <w:r w:rsidR="009679DC">
        <w:t>avoir été recontribué</w:t>
      </w:r>
      <w:r>
        <w:t xml:space="preserve"> au Fonds par le </w:t>
      </w:r>
      <w:r w:rsidR="009679DC">
        <w:t>C</w:t>
      </w:r>
      <w:r>
        <w:t xml:space="preserve">ommanditaire à titre </w:t>
      </w:r>
      <w:r w:rsidR="009679DC">
        <w:t xml:space="preserve">d’Apport de </w:t>
      </w:r>
      <w:r>
        <w:t>capital à la même date.</w:t>
      </w:r>
    </w:p>
    <w:p w:rsidR="0000160C" w:rsidRDefault="00AF146D" w14:paraId="46BE9A35" w14:textId="61B067C2">
      <w:pPr>
        <w:pStyle w:val="ArtBJStyL2"/>
      </w:pPr>
      <w:bookmarkStart w:name="_Ref40803112" w:id="292"/>
      <w:bookmarkStart w:name="_Toc161762339" w:id="293"/>
      <w:r>
        <w:t>Associés</w:t>
      </w:r>
      <w:r w:rsidR="00C517ED">
        <w:t xml:space="preserve"> défaillants.</w:t>
      </w:r>
      <w:bookmarkEnd w:id="292"/>
      <w:bookmarkEnd w:id="293"/>
    </w:p>
    <w:p w:rsidR="0000160C" w:rsidRDefault="00C517ED" w14:paraId="192EBDD8" w14:textId="428E705E">
      <w:pPr>
        <w:pStyle w:val="ArtBJStyL3"/>
      </w:pPr>
      <w:bookmarkStart w:name="_Ref40801099" w:id="294"/>
      <w:r>
        <w:t xml:space="preserve">Sous réserve de </w:t>
      </w:r>
      <w:r w:rsidR="009679DC">
        <w:t>l’article</w:t>
      </w:r>
      <w:r>
        <w:t>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B50BE2">
        <w:t>6.7</w:t>
      </w:r>
      <w:r w:rsidRPr="006400F9">
        <w:fldChar w:fldCharType="end"/>
      </w:r>
      <w:r>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Commanditaires dispensés.</w:t>
      </w:r>
      <w:r w:rsidRPr="006A3B29" w:rsidR="006A3B29">
        <w:rPr>
          <w:i/>
        </w:rPr>
        <w:fldChar w:fldCharType="end"/>
      </w:r>
      <w:r>
        <w:t xml:space="preserve">), si un </w:t>
      </w:r>
      <w:r w:rsidR="009679DC">
        <w:t>Associé</w:t>
      </w:r>
      <w:r>
        <w:t xml:space="preserve"> omet d</w:t>
      </w:r>
      <w:r w:rsidR="00E27310">
        <w:t>’</w:t>
      </w:r>
      <w:r>
        <w:t xml:space="preserve">effectuer une partie </w:t>
      </w:r>
      <w:r w:rsidR="009679DC">
        <w:t>d’un Apport de</w:t>
      </w:r>
      <w:r>
        <w:t xml:space="preserve"> </w:t>
      </w:r>
      <w:r w:rsidR="00FE5B02">
        <w:t>c</w:t>
      </w:r>
      <w:r>
        <w:t xml:space="preserve">apital ou tout autre montant devant être financé par ce </w:t>
      </w:r>
      <w:r w:rsidR="009679DC">
        <w:t>Commanditaire</w:t>
      </w:r>
      <w:r>
        <w:t xml:space="preserve"> en vertu </w:t>
      </w:r>
      <w:r w:rsidR="00E536D5">
        <w:t>de la présente Convention</w:t>
      </w:r>
      <w:r>
        <w:t xml:space="preserve"> ou de </w:t>
      </w:r>
      <w:r w:rsidR="009679DC">
        <w:t>toute entente correspondante</w:t>
      </w:r>
      <w:r>
        <w:t xml:space="preserve"> ou à l</w:t>
      </w:r>
      <w:r w:rsidR="00E27310">
        <w:t>’</w:t>
      </w:r>
      <w:r>
        <w:t>égard de tout autre Véhicule du Fonds (y compris l</w:t>
      </w:r>
      <w:r w:rsidR="00E27310">
        <w:t>’</w:t>
      </w:r>
      <w:r>
        <w:t>obligation de retourner et de verser des distributions au Fonds conformément à l</w:t>
      </w:r>
      <w:r w:rsidR="009679DC">
        <w:t>’article</w:t>
      </w:r>
      <w:r>
        <w:t> </w:t>
      </w:r>
      <w:r w:rsidR="00607930">
        <w:fldChar w:fldCharType="begin"/>
      </w:r>
      <w:r w:rsidR="00607930">
        <w:instrText xml:space="preserve"> REF _Ref40805031 \r \h </w:instrText>
      </w:r>
      <w:r w:rsidR="00607930">
        <w:fldChar w:fldCharType="separate"/>
      </w:r>
      <w:r w:rsidR="00B50BE2">
        <w:t>14.7(a)</w:t>
      </w:r>
      <w:r w:rsidR="00607930">
        <w:fldChar w:fldCharType="end"/>
      </w:r>
      <w:r>
        <w:t xml:space="preserve"> (</w:t>
      </w:r>
      <w:r w:rsidRPr="006A3B29" w:rsidR="006A3B29">
        <w:rPr>
          <w:i/>
        </w:rPr>
        <w:fldChar w:fldCharType="begin"/>
      </w:r>
      <w:r w:rsidRPr="006A3B29" w:rsidR="006A3B29">
        <w:rPr>
          <w:i/>
        </w:rPr>
        <w:instrText xml:space="preserve"> REF _Ref85271165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Recouvrement.</w:t>
      </w:r>
      <w:r w:rsidRPr="006A3B29" w:rsidR="006A3B29">
        <w:rPr>
          <w:i/>
        </w:rPr>
        <w:fldChar w:fldCharType="end"/>
      </w:r>
      <w:r>
        <w:t xml:space="preserve">) ou </w:t>
      </w:r>
      <w:r w:rsidR="009679DC">
        <w:t>l’article</w:t>
      </w:r>
      <w:r>
        <w:t>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Restitution par les Commanditaires.</w:t>
      </w:r>
      <w:r w:rsidRPr="006A3B29" w:rsidR="006A3B29">
        <w:rPr>
          <w:i/>
        </w:rPr>
        <w:fldChar w:fldCharType="end"/>
      </w:r>
      <w:r>
        <w:t>)</w:t>
      </w:r>
      <w:r w:rsidR="00EC47A5">
        <w:t>)</w:t>
      </w:r>
      <w:r>
        <w:t xml:space="preserve">, le </w:t>
      </w:r>
      <w:r w:rsidR="00FC60D4">
        <w:t>C</w:t>
      </w:r>
      <w:r>
        <w:t xml:space="preserve">ommandité doit </w:t>
      </w:r>
      <w:r w:rsidR="008F18E7">
        <w:t>aviser</w:t>
      </w:r>
      <w:r>
        <w:t xml:space="preserve"> c</w:t>
      </w:r>
      <w:r w:rsidR="008F18E7">
        <w:t xml:space="preserve">et Associé </w:t>
      </w:r>
      <w:r>
        <w:t xml:space="preserve">par écrit de </w:t>
      </w:r>
      <w:r w:rsidR="008F18E7">
        <w:t>ce manquement</w:t>
      </w:r>
      <w:r>
        <w:t xml:space="preserve"> (un « </w:t>
      </w:r>
      <w:r>
        <w:rPr>
          <w:b/>
        </w:rPr>
        <w:t>Avis de défaut</w:t>
      </w:r>
      <w:r>
        <w:rPr>
          <w:bCs/>
        </w:rPr>
        <w:t xml:space="preserve"> »</w:t>
      </w:r>
      <w:r>
        <w:t xml:space="preserve">). Si ce manquement persiste pendant </w:t>
      </w:r>
      <w:r>
        <w:rPr>
          <w:b/>
          <w:highlight w:val="yellow"/>
        </w:rPr>
        <w:t>[</w:t>
      </w:r>
      <w:r w:rsidR="00EC47A5">
        <w:rPr>
          <w:b/>
          <w:highlight w:val="yellow"/>
        </w:rPr>
        <w:t>5</w:t>
      </w:r>
      <w:r>
        <w:rPr>
          <w:b/>
          <w:highlight w:val="yellow"/>
        </w:rPr>
        <w:t xml:space="preserve"> </w:t>
      </w:r>
      <w:r w:rsidR="008F18E7">
        <w:rPr>
          <w:b/>
          <w:highlight w:val="yellow"/>
        </w:rPr>
        <w:t>J</w:t>
      </w:r>
      <w:r>
        <w:rPr>
          <w:b/>
          <w:highlight w:val="yellow"/>
        </w:rPr>
        <w:t xml:space="preserve">ours </w:t>
      </w:r>
      <w:r w:rsidR="008F18E7">
        <w:rPr>
          <w:b/>
          <w:highlight w:val="yellow"/>
        </w:rPr>
        <w:t>o</w:t>
      </w:r>
      <w:r>
        <w:rPr>
          <w:b/>
          <w:highlight w:val="yellow"/>
        </w:rPr>
        <w:t>uvrables]</w:t>
      </w:r>
      <w:r>
        <w:t xml:space="preserve"> après </w:t>
      </w:r>
      <w:r w:rsidR="008F18E7">
        <w:t xml:space="preserve">la </w:t>
      </w:r>
      <w:r>
        <w:t xml:space="preserve">réception par </w:t>
      </w:r>
      <w:r w:rsidR="008F18E7">
        <w:t>ce Commanditaire</w:t>
      </w:r>
      <w:r>
        <w:t xml:space="preserve"> de l</w:t>
      </w:r>
      <w:r w:rsidR="00E27310">
        <w:t>’</w:t>
      </w:r>
      <w:r w:rsidR="008F18E7">
        <w:t>A</w:t>
      </w:r>
      <w:r>
        <w:t xml:space="preserve">vis de défaut, </w:t>
      </w:r>
      <w:r w:rsidR="008F18E7">
        <w:t xml:space="preserve">l’Associé </w:t>
      </w:r>
      <w:r>
        <w:t xml:space="preserve">doit alors </w:t>
      </w:r>
      <w:r w:rsidR="008F18E7">
        <w:t>être</w:t>
      </w:r>
      <w:r>
        <w:t xml:space="preserve"> désign</w:t>
      </w:r>
      <w:r w:rsidR="008F18E7">
        <w:t>é</w:t>
      </w:r>
      <w:r>
        <w:t xml:space="preserve"> comme </w:t>
      </w:r>
      <w:r w:rsidR="008F18E7">
        <w:t>en « </w:t>
      </w:r>
      <w:r w:rsidRPr="008F18E7" w:rsidR="008F18E7">
        <w:rPr>
          <w:b/>
          <w:bCs/>
        </w:rPr>
        <w:t>Défaut</w:t>
      </w:r>
      <w:r w:rsidR="008F18E7">
        <w:t> »</w:t>
      </w:r>
      <w:r>
        <w:t xml:space="preserve"> en vertu </w:t>
      </w:r>
      <w:r w:rsidR="00E536D5">
        <w:t>de la présente Convention</w:t>
      </w:r>
      <w:r>
        <w:t xml:space="preserve"> (un « </w:t>
      </w:r>
      <w:r w:rsidR="008F18E7">
        <w:rPr>
          <w:b/>
        </w:rPr>
        <w:t>Associé défaillant</w:t>
      </w:r>
      <w:r>
        <w:rPr>
          <w:bCs/>
        </w:rPr>
        <w:t xml:space="preserve"> »</w:t>
      </w:r>
      <w:r>
        <w:t xml:space="preserve">) et il sera assujetti </w:t>
      </w:r>
      <w:r w:rsidR="008F18E7">
        <w:t>au présent article</w:t>
      </w:r>
      <w:r>
        <w:t>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B50BE2">
        <w:t>6.6</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Le </w:t>
      </w:r>
      <w:r w:rsidR="008F18E7">
        <w:t>C</w:t>
      </w:r>
      <w:r>
        <w:t>ommandité peut, s</w:t>
      </w:r>
      <w:r w:rsidR="00E27310">
        <w:t>’</w:t>
      </w:r>
      <w:r>
        <w:t>il détermine que cela est dans l</w:t>
      </w:r>
      <w:r w:rsidR="00E27310">
        <w:t>’</w:t>
      </w:r>
      <w:r>
        <w:t xml:space="preserve">intérêt du Fonds et des </w:t>
      </w:r>
      <w:r w:rsidR="008F18E7">
        <w:t>Associés</w:t>
      </w:r>
      <w:r>
        <w:t xml:space="preserve"> non défaillants, choisir de ne désigner aucun </w:t>
      </w:r>
      <w:r w:rsidR="008F18E7">
        <w:t>Associé</w:t>
      </w:r>
      <w:r>
        <w:t xml:space="preserve"> comme </w:t>
      </w:r>
      <w:r w:rsidR="008F18E7">
        <w:rPr>
          <w:szCs w:val="22"/>
        </w:rPr>
        <w:t>Associé</w:t>
      </w:r>
      <w:r>
        <w:rPr>
          <w:szCs w:val="22"/>
        </w:rPr>
        <w:t xml:space="preserve"> défaillant</w:t>
      </w:r>
      <w:r>
        <w:t xml:space="preserve"> et peut convenir de renoncer ou de permettre la </w:t>
      </w:r>
      <w:r w:rsidR="008F18E7">
        <w:t>correction</w:t>
      </w:r>
      <w:r>
        <w:t xml:space="preserve"> de tout </w:t>
      </w:r>
      <w:r w:rsidR="008F18E7">
        <w:t>Défaut</w:t>
      </w:r>
      <w:r>
        <w:t xml:space="preserve"> par un </w:t>
      </w:r>
      <w:r w:rsidR="008F18E7">
        <w:t>Associé</w:t>
      </w:r>
      <w:r>
        <w:t xml:space="preserve">, sous réserve des conditions que le </w:t>
      </w:r>
      <w:r w:rsidR="008F18E7">
        <w:t>C</w:t>
      </w:r>
      <w:r>
        <w:t>ommandité et l</w:t>
      </w:r>
      <w:r w:rsidR="008F18E7">
        <w:t xml:space="preserve">’Associé </w:t>
      </w:r>
      <w:r>
        <w:rPr>
          <w:szCs w:val="22"/>
        </w:rPr>
        <w:t>défaillant</w:t>
      </w:r>
      <w:r>
        <w:t xml:space="preserve"> peuvent convenir, </w:t>
      </w:r>
      <w:r w:rsidRPr="008F18E7">
        <w:rPr>
          <w:u w:val="single"/>
        </w:rPr>
        <w:t>à condition</w:t>
      </w:r>
      <w:r>
        <w:t xml:space="preserve"> que toute décision de ne pas désigner un </w:t>
      </w:r>
      <w:r w:rsidR="008F18E7">
        <w:t>Associé</w:t>
      </w:r>
      <w:r>
        <w:t xml:space="preserve"> affilié comme </w:t>
      </w:r>
      <w:r w:rsidR="008F18E7">
        <w:rPr>
          <w:szCs w:val="22"/>
        </w:rPr>
        <w:t>Associé</w:t>
      </w:r>
      <w:r>
        <w:rPr>
          <w:szCs w:val="22"/>
        </w:rPr>
        <w:t xml:space="preserve"> défaillant</w:t>
      </w:r>
      <w:r>
        <w:t xml:space="preserve"> ou de renoncer ou de permettre la </w:t>
      </w:r>
      <w:r w:rsidR="008F18E7">
        <w:t>correction</w:t>
      </w:r>
      <w:r>
        <w:t xml:space="preserve"> de tout </w:t>
      </w:r>
      <w:r w:rsidR="008F18E7">
        <w:t>D</w:t>
      </w:r>
      <w:r>
        <w:t xml:space="preserve">éfaut par un </w:t>
      </w:r>
      <w:r w:rsidR="008F18E7">
        <w:t>Associé</w:t>
      </w:r>
      <w:r>
        <w:t xml:space="preserve"> affilié soit soumise au consentement écrit préalable du </w:t>
      </w:r>
      <w:r w:rsidR="008F18E7">
        <w:t>C</w:t>
      </w:r>
      <w:r>
        <w:t xml:space="preserve">omité consultatif </w:t>
      </w:r>
      <w:r w:rsidR="008F18E7">
        <w:t>des Commanditaires</w:t>
      </w:r>
      <w:r>
        <w:t>.</w:t>
      </w:r>
      <w:bookmarkEnd w:id="294"/>
    </w:p>
    <w:p w:rsidR="0000160C" w:rsidRDefault="00C517ED" w14:paraId="3135D219" w14:textId="689CEEC3">
      <w:pPr>
        <w:pStyle w:val="ArtBJStyL3"/>
      </w:pPr>
      <w:bookmarkStart w:name="_Ref113892452" w:id="295"/>
      <w:r>
        <w:lastRenderedPageBreak/>
        <w:t xml:space="preserve">Le </w:t>
      </w:r>
      <w:r w:rsidR="008F18E7">
        <w:t>C</w:t>
      </w:r>
      <w:r>
        <w:t xml:space="preserve">ommandité doit informer les </w:t>
      </w:r>
      <w:r w:rsidR="008F18E7">
        <w:t>C</w:t>
      </w:r>
      <w:r>
        <w:t>ommanditaires de la survenance d</w:t>
      </w:r>
      <w:r w:rsidR="00E27310">
        <w:t>’</w:t>
      </w:r>
      <w:r>
        <w:t xml:space="preserve">un tel </w:t>
      </w:r>
      <w:r w:rsidR="005F3D7F">
        <w:t>Défaut</w:t>
      </w:r>
      <w:r>
        <w:t xml:space="preserve"> et de toute mesure prise par lui à l</w:t>
      </w:r>
      <w:r w:rsidR="00E27310">
        <w:t>’</w:t>
      </w:r>
      <w:r>
        <w:t>égard d</w:t>
      </w:r>
      <w:r w:rsidR="00E27310">
        <w:t>’</w:t>
      </w:r>
      <w:r>
        <w:t xml:space="preserve">un </w:t>
      </w:r>
      <w:r w:rsidR="005F3D7F">
        <w:rPr>
          <w:szCs w:val="22"/>
        </w:rPr>
        <w:t>Associé</w:t>
      </w:r>
      <w:r>
        <w:rPr>
          <w:szCs w:val="22"/>
        </w:rPr>
        <w:t xml:space="preserve"> défaillant</w:t>
      </w:r>
      <w:r>
        <w:t xml:space="preserve"> dans les </w:t>
      </w:r>
      <w:r>
        <w:rPr>
          <w:b/>
          <w:highlight w:val="yellow"/>
        </w:rPr>
        <w:t>[30]</w:t>
      </w:r>
      <w:r w:rsidRPr="005F3D7F">
        <w:rPr>
          <w:b/>
        </w:rPr>
        <w:t xml:space="preserve"> </w:t>
      </w:r>
      <w:r>
        <w:t>jours suivant la date à laquelle l</w:t>
      </w:r>
      <w:r w:rsidR="005F3D7F">
        <w:t xml:space="preserve">’Associé défaillant </w:t>
      </w:r>
      <w:r>
        <w:t xml:space="preserve">devient un </w:t>
      </w:r>
      <w:r w:rsidR="005F3D7F">
        <w:rPr>
          <w:szCs w:val="22"/>
        </w:rPr>
        <w:t>Associé défaillant</w:t>
      </w:r>
      <w:r>
        <w:t>.</w:t>
      </w:r>
      <w:bookmarkEnd w:id="295"/>
    </w:p>
    <w:p w:rsidR="0000160C" w:rsidRDefault="00C517ED" w14:paraId="78C9DF9F" w14:textId="24B51593">
      <w:pPr>
        <w:pStyle w:val="ArtBJStyL3"/>
      </w:pPr>
      <w:bookmarkStart w:name="_Ref40802108" w:id="296"/>
      <w:r>
        <w:t xml:space="preserve">Un </w:t>
      </w:r>
      <w:r w:rsidR="005F3D7F">
        <w:t>C</w:t>
      </w:r>
      <w:r>
        <w:t>ommanditaire qui omet d</w:t>
      </w:r>
      <w:r w:rsidR="00E27310">
        <w:t>’</w:t>
      </w:r>
      <w:r>
        <w:t xml:space="preserve">effectuer </w:t>
      </w:r>
      <w:r w:rsidR="006A20EA">
        <w:t>la totalité ou une partie</w:t>
      </w:r>
      <w:r>
        <w:t xml:space="preserve"> </w:t>
      </w:r>
      <w:r w:rsidR="006A20EA">
        <w:t>d’un Apport de</w:t>
      </w:r>
      <w:r>
        <w:t xml:space="preserve"> capital ou d</w:t>
      </w:r>
      <w:r w:rsidR="00E27310">
        <w:t>’</w:t>
      </w:r>
      <w:r>
        <w:t xml:space="preserve">un autre paiement requis en vertu </w:t>
      </w:r>
      <w:r w:rsidR="00E536D5">
        <w:t>de la présente Convention</w:t>
      </w:r>
      <w:r>
        <w:t xml:space="preserve"> à la </w:t>
      </w:r>
      <w:r w:rsidR="006A20EA">
        <w:t>D</w:t>
      </w:r>
      <w:r>
        <w:t>ate d</w:t>
      </w:r>
      <w:r w:rsidR="00E27310">
        <w:t>’</w:t>
      </w:r>
      <w:r>
        <w:t xml:space="preserve">échéance pertinente </w:t>
      </w:r>
      <w:r w:rsidR="006A20EA">
        <w:t>doit payer</w:t>
      </w:r>
      <w:r>
        <w:t xml:space="preserve"> ou rembourser le Fonds pour tout dommage </w:t>
      </w:r>
      <w:r w:rsidR="006A20EA">
        <w:t>qui en résulte</w:t>
      </w:r>
      <w:r>
        <w:t>. En outre, tout montant qui n</w:t>
      </w:r>
      <w:r w:rsidR="00E27310">
        <w:t>’</w:t>
      </w:r>
      <w:r>
        <w:t xml:space="preserve">est pas dûment payé à la </w:t>
      </w:r>
      <w:r w:rsidR="006A20EA">
        <w:t>D</w:t>
      </w:r>
      <w:r>
        <w:t>ate d</w:t>
      </w:r>
      <w:r w:rsidR="00E27310">
        <w:t>’</w:t>
      </w:r>
      <w:r>
        <w:t xml:space="preserve">échéance </w:t>
      </w:r>
      <w:r w:rsidR="006A20EA">
        <w:t>correspondante</w:t>
      </w:r>
      <w:r>
        <w:t xml:space="preserve"> doit </w:t>
      </w:r>
      <w:r w:rsidR="006A20EA">
        <w:t>porter</w:t>
      </w:r>
      <w:r>
        <w:t xml:space="preserve"> intérêt au </w:t>
      </w:r>
      <w:r w:rsidR="006A20EA">
        <w:t>T</w:t>
      </w:r>
      <w:r>
        <w:t xml:space="preserve">aux préférentiel majoré de </w:t>
      </w:r>
      <w:r>
        <w:rPr>
          <w:b/>
          <w:highlight w:val="yellow"/>
        </w:rPr>
        <w:t>[10 %]</w:t>
      </w:r>
      <w:r>
        <w:t xml:space="preserve"> par an</w:t>
      </w:r>
      <w:r w:rsidR="00666F66">
        <w:t>née</w:t>
      </w:r>
      <w:r>
        <w:t xml:space="preserve"> à partir de la </w:t>
      </w:r>
      <w:r w:rsidR="006A20EA">
        <w:t>D</w:t>
      </w:r>
      <w:r>
        <w:t>ate d</w:t>
      </w:r>
      <w:r w:rsidR="00E27310">
        <w:t>’</w:t>
      </w:r>
      <w:r>
        <w:t>échéance spécifiée dans l</w:t>
      </w:r>
      <w:r w:rsidR="00E27310">
        <w:t>’</w:t>
      </w:r>
      <w:r w:rsidR="006A20EA">
        <w:t>A</w:t>
      </w:r>
      <w:r>
        <w:t xml:space="preserve">vis de défaut </w:t>
      </w:r>
      <w:r w:rsidR="006A20EA">
        <w:t>correspondant</w:t>
      </w:r>
      <w:r>
        <w:t xml:space="preserve"> jusqu</w:t>
      </w:r>
      <w:r w:rsidR="00E27310">
        <w:t>’</w:t>
      </w:r>
      <w:r>
        <w:t xml:space="preserve">à la date à laquelle </w:t>
      </w:r>
      <w:r w:rsidR="006A20EA">
        <w:t>le Commanditaire</w:t>
      </w:r>
      <w:r>
        <w:t xml:space="preserve"> effectue l</w:t>
      </w:r>
      <w:r w:rsidR="00E27310">
        <w:t>’</w:t>
      </w:r>
      <w:r w:rsidR="006A20EA">
        <w:t>A</w:t>
      </w:r>
      <w:r>
        <w:t xml:space="preserve">pport </w:t>
      </w:r>
      <w:r w:rsidR="006A20EA">
        <w:t>de</w:t>
      </w:r>
      <w:r>
        <w:t xml:space="preserve"> capital. Tout produit perçu par le Fonds en application </w:t>
      </w:r>
      <w:r w:rsidR="006A20EA">
        <w:t>du présent article</w:t>
      </w:r>
      <w:r>
        <w:t>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B50BE2">
        <w:t>6.6(c)</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et </w:t>
      </w:r>
      <w:r w:rsidR="006A20EA">
        <w:t>de l’article</w:t>
      </w:r>
      <w:r>
        <w:t>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B50BE2">
        <w:t>6.6(d)</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y compris les montants qui auraient autrement été distribués à ce</w:t>
      </w:r>
      <w:r w:rsidR="006A20EA">
        <w:t xml:space="preserve">t Associé </w:t>
      </w:r>
      <w:r>
        <w:t xml:space="preserve">défaillant, </w:t>
      </w:r>
      <w:r>
        <w:rPr>
          <w:iCs/>
        </w:rPr>
        <w:t xml:space="preserve">doit </w:t>
      </w:r>
      <w:bookmarkStart w:name="DocXTextRef46" w:id="297"/>
      <w:r>
        <w:rPr>
          <w:iCs/>
        </w:rPr>
        <w:t>(i)</w:t>
      </w:r>
      <w:bookmarkEnd w:id="297"/>
      <w:r>
        <w:rPr>
          <w:iCs/>
        </w:rPr>
        <w:t xml:space="preserve"> d</w:t>
      </w:r>
      <w:r w:rsidR="00E27310">
        <w:rPr>
          <w:iCs/>
        </w:rPr>
        <w:t>’</w:t>
      </w:r>
      <w:r>
        <w:rPr>
          <w:iCs/>
        </w:rPr>
        <w:t xml:space="preserve">abord être appliqué pour rembourser les Parties du Fonds pour tous les coûts et dépenses connexes encourus en raison du </w:t>
      </w:r>
      <w:r w:rsidR="006A20EA">
        <w:rPr>
          <w:iCs/>
        </w:rPr>
        <w:t>Défaut</w:t>
      </w:r>
      <w:r>
        <w:rPr>
          <w:iCs/>
        </w:rPr>
        <w:t xml:space="preserve"> de c</w:t>
      </w:r>
      <w:r w:rsidR="006A20EA">
        <w:rPr>
          <w:iCs/>
        </w:rPr>
        <w:t>et Associé</w:t>
      </w:r>
      <w:r>
        <w:rPr>
          <w:iCs/>
        </w:rPr>
        <w:t xml:space="preserve"> défaillant tel que déterminé par le </w:t>
      </w:r>
      <w:r w:rsidR="006A20EA">
        <w:rPr>
          <w:iCs/>
        </w:rPr>
        <w:t>Commandité</w:t>
      </w:r>
      <w:r>
        <w:rPr>
          <w:iCs/>
        </w:rPr>
        <w:t xml:space="preserve"> et notifié </w:t>
      </w:r>
      <w:r w:rsidR="00CA5C1B">
        <w:rPr>
          <w:iCs/>
        </w:rPr>
        <w:t xml:space="preserve">à l’Associé défaillant </w:t>
      </w:r>
      <w:r>
        <w:t xml:space="preserve">par le </w:t>
      </w:r>
      <w:r w:rsidR="00CA5C1B">
        <w:t>Commandité</w:t>
      </w:r>
      <w:r>
        <w:t xml:space="preserve">, et </w:t>
      </w:r>
      <w:bookmarkStart w:name="DocXTextRef47" w:id="298"/>
      <w:r>
        <w:t>(ii)</w:t>
      </w:r>
      <w:bookmarkEnd w:id="298"/>
      <w:r>
        <w:t xml:space="preserve"> </w:t>
      </w:r>
      <w:r w:rsidR="00CA5C1B">
        <w:t xml:space="preserve">sera </w:t>
      </w:r>
      <w:r>
        <w:t xml:space="preserve">ensuite distribué aux </w:t>
      </w:r>
      <w:r w:rsidR="00CA5C1B">
        <w:t>Commanditaires</w:t>
      </w:r>
      <w:r>
        <w:t xml:space="preserve"> qui ne sont pas des </w:t>
      </w:r>
      <w:r w:rsidR="00CA5C1B">
        <w:t>Associés</w:t>
      </w:r>
      <w:r>
        <w:t xml:space="preserve"> </w:t>
      </w:r>
      <w:r>
        <w:rPr>
          <w:iCs/>
        </w:rPr>
        <w:t>défaillants</w:t>
      </w:r>
      <w:r>
        <w:t xml:space="preserve"> (les </w:t>
      </w:r>
      <w:r w:rsidR="00CA5C1B">
        <w:t>« </w:t>
      </w:r>
      <w:r w:rsidR="00CA5C1B">
        <w:rPr>
          <w:b/>
        </w:rPr>
        <w:t>Associés</w:t>
      </w:r>
      <w:r>
        <w:rPr>
          <w:b/>
        </w:rPr>
        <w:t xml:space="preserve"> non défaillants</w:t>
      </w:r>
      <w:r w:rsidR="00CA5C1B">
        <w:rPr>
          <w:bCs/>
        </w:rPr>
        <w:t> »</w:t>
      </w:r>
      <w:r>
        <w:t xml:space="preserve">) conformément à </w:t>
      </w:r>
      <w:r w:rsidR="00CA5C1B">
        <w:t>l’</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6A3B29" w:rsidR="006A3B29">
        <w:rPr>
          <w:i/>
        </w:rPr>
        <w:fldChar w:fldCharType="begin"/>
      </w:r>
      <w:r w:rsidRPr="006A3B29" w:rsidR="006A3B29">
        <w:rPr>
          <w:i/>
        </w:rPr>
        <w:instrText xml:space="preserve"> REF _Ref40807042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 xml:space="preserve">DISTRIBUTIONS; </w:t>
      </w:r>
      <w:r w:rsidRPr="006A3B29" w:rsidR="006A3B29">
        <w:rPr>
          <w:i/>
        </w:rPr>
        <w:fldChar w:fldCharType="end"/>
      </w:r>
      <w:r>
        <w:t xml:space="preserve">) </w:t>
      </w:r>
      <w:r w:rsidR="00CA5C1B">
        <w:t>s’il</w:t>
      </w:r>
      <w:r>
        <w:t xml:space="preserve"> est attribuable à un Investissement de portefeuille et </w:t>
      </w:r>
      <w:r w:rsidR="00CA5C1B">
        <w:t>autrement</w:t>
      </w:r>
      <w:r>
        <w:t xml:space="preserve"> </w:t>
      </w:r>
      <w:r w:rsidR="00CA5C1B">
        <w:t>en proportion</w:t>
      </w:r>
      <w:r>
        <w:t xml:space="preserve"> à leurs Engagements (à condition qu</w:t>
      </w:r>
      <w:r w:rsidR="00E27310">
        <w:t>’</w:t>
      </w:r>
      <w:r>
        <w:t xml:space="preserve">un </w:t>
      </w:r>
      <w:r w:rsidR="00CA5C1B">
        <w:t>Associé</w:t>
      </w:r>
      <w:r>
        <w:t xml:space="preserve"> non défaillant ne reçoive pas de distribution relativement à un Investissement de portefeuille pour lequel il est un </w:t>
      </w:r>
      <w:r w:rsidR="00CA5C1B">
        <w:t>Associé dispensé</w:t>
      </w:r>
      <w:r>
        <w:t>).</w:t>
      </w:r>
      <w:bookmarkEnd w:id="296"/>
    </w:p>
    <w:p w:rsidR="0000160C" w:rsidRDefault="00C517ED" w14:paraId="7394CF18" w14:textId="23D9D5E7">
      <w:pPr>
        <w:pStyle w:val="ArtBJStyL3"/>
        <w:keepNext/>
      </w:pPr>
      <w:bookmarkStart w:name="_Ref40803137" w:id="299"/>
      <w:r>
        <w:t xml:space="preserve">Sans </w:t>
      </w:r>
      <w:r w:rsidR="00CA5C1B">
        <w:t>limiter la portée de l’article</w:t>
      </w:r>
      <w:r>
        <w:t>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B50BE2">
        <w:t>6.6(c)</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ci-dessus ou </w:t>
      </w:r>
      <w:r w:rsidR="00CA5C1B">
        <w:t>l’article</w:t>
      </w:r>
      <w:r>
        <w:t> </w:t>
      </w:r>
      <w:r w:rsidR="00BF6EA2">
        <w:fldChar w:fldCharType="begin"/>
      </w:r>
      <w:r w:rsidR="00BF6EA2">
        <w:instrText xml:space="preserve"> REF _Ref94174879 \w \h </w:instrText>
      </w:r>
      <w:r w:rsidR="00BF6EA2">
        <w:fldChar w:fldCharType="separate"/>
      </w:r>
      <w:r w:rsidR="00B50BE2">
        <w:t>6.6(h)</w:t>
      </w:r>
      <w:r w:rsidR="00BF6EA2">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ci-dessous, le </w:t>
      </w:r>
      <w:r w:rsidR="00CA5C1B">
        <w:t>Commandité</w:t>
      </w:r>
      <w:r>
        <w:t xml:space="preserve">, en son nom propre ou au nom du Fonds, peut poursuivre et faire valoir tous droits et recours que le Fonds, le </w:t>
      </w:r>
      <w:r w:rsidR="00CA5C1B">
        <w:t>Commandité</w:t>
      </w:r>
      <w:r>
        <w:t xml:space="preserve"> ou le Gestionnaire peut avoir contre </w:t>
      </w:r>
      <w:r w:rsidR="00CA5C1B">
        <w:t>cet Associé</w:t>
      </w:r>
      <w:r>
        <w:t xml:space="preserve"> </w:t>
      </w:r>
      <w:r w:rsidR="00CA5C1B">
        <w:t>d</w:t>
      </w:r>
      <w:r>
        <w:t>éfaillant en droit</w:t>
      </w:r>
      <w:r w:rsidR="00F47AF9">
        <w:t>, en équité</w:t>
      </w:r>
      <w:r w:rsidR="00CA5C1B">
        <w:t xml:space="preserve"> </w:t>
      </w:r>
      <w:r>
        <w:t xml:space="preserve">ou en vertu de toute autre disposition </w:t>
      </w:r>
      <w:r w:rsidR="00E536D5">
        <w:t>de la présente Convention</w:t>
      </w:r>
      <w:r>
        <w:t xml:space="preserve"> ou autrement, y compris la prise de l</w:t>
      </w:r>
      <w:r w:rsidR="00E27310">
        <w:t>’</w:t>
      </w:r>
      <w:r>
        <w:t>une des actions suivantes dans n</w:t>
      </w:r>
      <w:r w:rsidR="00E27310">
        <w:t>’</w:t>
      </w:r>
      <w:r>
        <w:t>importe quel ordre de priorité</w:t>
      </w:r>
      <w:r w:rsidR="00CA5C1B">
        <w:t xml:space="preserve">, </w:t>
      </w:r>
      <w:r>
        <w:t>étant entendu que la prise d</w:t>
      </w:r>
      <w:r w:rsidR="00E27310">
        <w:t>’</w:t>
      </w:r>
      <w:r>
        <w:t xml:space="preserve">une ou </w:t>
      </w:r>
      <w:r w:rsidR="00CA5C1B">
        <w:t xml:space="preserve">de </w:t>
      </w:r>
      <w:r>
        <w:t xml:space="preserve">plusieurs actions, ou aucune action, par le </w:t>
      </w:r>
      <w:r w:rsidR="00CA5C1B">
        <w:t>Commandité</w:t>
      </w:r>
      <w:r>
        <w:t xml:space="preserve"> à l</w:t>
      </w:r>
      <w:r w:rsidR="00E27310">
        <w:t>’</w:t>
      </w:r>
      <w:r>
        <w:t>égard d</w:t>
      </w:r>
      <w:r w:rsidR="00E27310">
        <w:t>’</w:t>
      </w:r>
      <w:r>
        <w:t xml:space="preserve">un </w:t>
      </w:r>
      <w:r w:rsidR="00CA5C1B">
        <w:t>Associé d</w:t>
      </w:r>
      <w:r>
        <w:t xml:space="preserve">éfaillant conformément </w:t>
      </w:r>
      <w:r w:rsidR="00CA5C1B">
        <w:t>au présent article</w:t>
      </w:r>
      <w:r>
        <w:t>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B50BE2">
        <w:t>6.6(d)</w:t>
      </w:r>
      <w:r w:rsidRPr="006400F9">
        <w:fldChar w:fldCharType="end"/>
      </w:r>
      <w:r>
        <w:t xml:space="preserve"> ne </w:t>
      </w:r>
      <w:r w:rsidR="00CA5C1B">
        <w:t>restreindra</w:t>
      </w:r>
      <w:r>
        <w:t xml:space="preserve"> pas ou ne limitera pas la capacité du </w:t>
      </w:r>
      <w:r w:rsidR="00CA5C1B">
        <w:t>Commandité</w:t>
      </w:r>
      <w:r>
        <w:t xml:space="preserve"> à prendre une ou plusieurs actions non interdites par </w:t>
      </w:r>
      <w:r w:rsidR="00CA5C1B">
        <w:t>la présente Convention</w:t>
      </w:r>
      <w:r>
        <w:t>, ou aucune action du tout, ou dans un ordre de priorité différent, à l</w:t>
      </w:r>
      <w:r w:rsidR="00E27310">
        <w:t>’</w:t>
      </w:r>
      <w:r>
        <w:t xml:space="preserve">égard de tout autre </w:t>
      </w:r>
      <w:r w:rsidR="00CA5C1B">
        <w:t>Associé</w:t>
      </w:r>
      <w:r>
        <w:t xml:space="preserve"> </w:t>
      </w:r>
      <w:r w:rsidR="00CA5C1B">
        <w:t>d</w:t>
      </w:r>
      <w:r>
        <w:t xml:space="preserve">éfaillant conformément </w:t>
      </w:r>
      <w:r w:rsidR="00CA5C1B">
        <w:t>au présent article</w:t>
      </w:r>
      <w:r>
        <w:t> </w:t>
      </w:r>
      <w:r w:rsidRPr="006400F9">
        <w:fldChar w:fldCharType="begin"/>
      </w:r>
      <w:r w:rsidRPr="006400F9">
        <w:instrText xml:space="preserve"> REF _Ref40803137 \w \h </w:instrText>
      </w:r>
      <w:r w:rsidRPr="006400F9" w:rsidR="00791303">
        <w:instrText xml:space="preserve"> \* MERGEFORMAT </w:instrText>
      </w:r>
      <w:r w:rsidRPr="006400F9">
        <w:fldChar w:fldCharType="separate"/>
      </w:r>
      <w:r w:rsidR="00B50BE2">
        <w:t>6.6(d)</w:t>
      </w:r>
      <w:r w:rsidRPr="006400F9">
        <w:fldChar w:fldCharType="end"/>
      </w:r>
      <w:r>
        <w:t>:</w:t>
      </w:r>
      <w:r>
        <w:rPr>
          <w:sz w:val="16"/>
          <w:vertAlign w:val="superscript"/>
        </w:rPr>
        <w:t xml:space="preserve"> </w:t>
      </w:r>
      <w:bookmarkStart w:name="_Ref113892830" w:id="300"/>
      <w:r>
        <w:rPr>
          <w:szCs w:val="22"/>
          <w:vertAlign w:val="superscript"/>
        </w:rPr>
        <w:footnoteReference w:id="84"/>
      </w:r>
      <w:bookmarkEnd w:id="299"/>
      <w:bookmarkEnd w:id="300"/>
    </w:p>
    <w:p w:rsidR="0000160C" w:rsidRDefault="00C517ED" w14:paraId="2ED9C122" w14:textId="0424F58D">
      <w:pPr>
        <w:pStyle w:val="ArtBJStyL4"/>
      </w:pPr>
      <w:bookmarkStart w:name="_Ref113892453" w:id="301"/>
      <w:proofErr w:type="gramStart"/>
      <w:r>
        <w:t>déterminer</w:t>
      </w:r>
      <w:proofErr w:type="gramEnd"/>
      <w:r>
        <w:t xml:space="preserve"> que l</w:t>
      </w:r>
      <w:r w:rsidR="001E5568">
        <w:t xml:space="preserve">’Associé </w:t>
      </w:r>
      <w:r>
        <w:t>défaillant n</w:t>
      </w:r>
      <w:r w:rsidR="00E27310">
        <w:t>’</w:t>
      </w:r>
      <w:r>
        <w:t xml:space="preserve">aura pas le droit de recevoir </w:t>
      </w:r>
      <w:r w:rsidR="001E5568">
        <w:t xml:space="preserve">la totalité </w:t>
      </w:r>
      <w:r>
        <w:rPr>
          <w:szCs w:val="22"/>
        </w:rPr>
        <w:t xml:space="preserve">ou une partie des </w:t>
      </w:r>
      <w:r>
        <w:t>distributions du Fonds (</w:t>
      </w:r>
      <w:r w:rsidR="001E5568">
        <w:t>dont les montant</w:t>
      </w:r>
      <w:r w:rsidR="00E3683B">
        <w:t>s</w:t>
      </w:r>
      <w:r>
        <w:t xml:space="preserve"> </w:t>
      </w:r>
      <w:r w:rsidR="00E3683B">
        <w:t>auxquels devra renoncer</w:t>
      </w:r>
      <w:r>
        <w:t xml:space="preserve"> ce</w:t>
      </w:r>
      <w:r w:rsidR="001E5568">
        <w:t>t</w:t>
      </w:r>
      <w:r>
        <w:t xml:space="preserve"> </w:t>
      </w:r>
      <w:r w:rsidR="001E5568">
        <w:t>Associé</w:t>
      </w:r>
      <w:r>
        <w:t xml:space="preserve"> défaillant</w:t>
      </w:r>
      <w:r>
        <w:rPr>
          <w:szCs w:val="22"/>
        </w:rPr>
        <w:t xml:space="preserve">) qui seraient autrement </w:t>
      </w:r>
      <w:r w:rsidR="001E5568">
        <w:rPr>
          <w:szCs w:val="22"/>
        </w:rPr>
        <w:t>versées</w:t>
      </w:r>
      <w:r>
        <w:rPr>
          <w:szCs w:val="22"/>
        </w:rPr>
        <w:t xml:space="preserve"> </w:t>
      </w:r>
      <w:r w:rsidR="001E5568">
        <w:rPr>
          <w:szCs w:val="22"/>
        </w:rPr>
        <w:t>à l’Associé</w:t>
      </w:r>
      <w:r>
        <w:rPr>
          <w:szCs w:val="22"/>
        </w:rPr>
        <w:t xml:space="preserve"> défaillant conformément </w:t>
      </w:r>
      <w:r w:rsidR="001E5568">
        <w:rPr>
          <w:szCs w:val="22"/>
        </w:rPr>
        <w:t>à la présente Convention</w:t>
      </w:r>
      <w:r>
        <w:rPr>
          <w:szCs w:val="22"/>
        </w:rPr>
        <w:t xml:space="preserve"> et peut appliquer ces distributions retenues pour </w:t>
      </w:r>
      <w:r w:rsidR="001E5568">
        <w:rPr>
          <w:szCs w:val="22"/>
        </w:rPr>
        <w:t>réduire</w:t>
      </w:r>
      <w:r>
        <w:rPr>
          <w:szCs w:val="22"/>
        </w:rPr>
        <w:t xml:space="preserve"> </w:t>
      </w:r>
      <w:r>
        <w:rPr>
          <w:b/>
          <w:bCs/>
          <w:szCs w:val="22"/>
          <w:highlight w:val="yellow"/>
        </w:rPr>
        <w:t>[ou compenser]</w:t>
      </w:r>
      <w:bookmarkStart w:name="_Ref113892831" w:id="302"/>
      <w:r>
        <w:rPr>
          <w:rStyle w:val="FootnoteReference"/>
          <w:b/>
          <w:bCs/>
          <w:szCs w:val="22"/>
        </w:rPr>
        <w:footnoteReference w:id="85"/>
      </w:r>
      <w:bookmarkEnd w:id="302"/>
      <w:r>
        <w:rPr>
          <w:szCs w:val="22"/>
        </w:rPr>
        <w:t xml:space="preserve"> tout montant en défaut dû par l</w:t>
      </w:r>
      <w:r w:rsidR="001E5568">
        <w:rPr>
          <w:szCs w:val="22"/>
        </w:rPr>
        <w:t xml:space="preserve">’Associé </w:t>
      </w:r>
      <w:r>
        <w:rPr>
          <w:szCs w:val="22"/>
        </w:rPr>
        <w:t xml:space="preserve">défaillant au Fonds ou à tout </w:t>
      </w:r>
      <w:r w:rsidR="001E5568">
        <w:rPr>
          <w:szCs w:val="22"/>
        </w:rPr>
        <w:t>V</w:t>
      </w:r>
      <w:r>
        <w:rPr>
          <w:szCs w:val="22"/>
        </w:rPr>
        <w:t>éhicule alternatif;</w:t>
      </w:r>
      <w:bookmarkEnd w:id="301"/>
    </w:p>
    <w:p w:rsidR="0000160C" w:rsidRDefault="00C517ED" w14:paraId="72D3011A" w14:textId="01EB0B1F">
      <w:pPr>
        <w:pStyle w:val="ArtBJStyL4"/>
      </w:pPr>
      <w:bookmarkStart w:name="_Ref113892454" w:id="303"/>
      <w:r>
        <w:t xml:space="preserve">déterminer que la </w:t>
      </w:r>
      <w:r w:rsidR="00730E27">
        <w:t>P</w:t>
      </w:r>
      <w:r>
        <w:t>articipation d</w:t>
      </w:r>
      <w:r w:rsidR="001E5568">
        <w:t xml:space="preserve">e l’Associé </w:t>
      </w:r>
      <w:r>
        <w:t>défaillant peut être vendue pour un prix d</w:t>
      </w:r>
      <w:r w:rsidR="00E27310">
        <w:t>’</w:t>
      </w:r>
      <w:r>
        <w:t xml:space="preserve">achat égal à </w:t>
      </w:r>
      <w:r>
        <w:rPr>
          <w:b/>
        </w:rPr>
        <w:t>[</w:t>
      </w:r>
      <w:r>
        <w:rPr>
          <w:b/>
          <w:highlight w:val="yellow"/>
        </w:rPr>
        <w:t>50</w:t>
      </w:r>
      <w:r>
        <w:rPr>
          <w:b/>
        </w:rPr>
        <w:t>]</w:t>
      </w:r>
      <w:r>
        <w:t xml:space="preserve"> % du moins élevé des montants suivants : </w:t>
      </w:r>
      <w:bookmarkStart w:name="DocXTextRef48" w:id="304"/>
      <w:r>
        <w:t>(i)</w:t>
      </w:r>
      <w:bookmarkEnd w:id="304"/>
      <w:r>
        <w:t xml:space="preserve"> les </w:t>
      </w:r>
      <w:r w:rsidR="006F020B">
        <w:t>A</w:t>
      </w:r>
      <w:r>
        <w:t xml:space="preserve">pports </w:t>
      </w:r>
      <w:r w:rsidR="006F020B">
        <w:t>de</w:t>
      </w:r>
      <w:r>
        <w:t xml:space="preserve"> capital </w:t>
      </w:r>
      <w:r w:rsidR="006F020B">
        <w:t>globaux</w:t>
      </w:r>
      <w:r>
        <w:t xml:space="preserve"> </w:t>
      </w:r>
      <w:r w:rsidR="006F020B">
        <w:t>de l’Associé</w:t>
      </w:r>
      <w:r>
        <w:t xml:space="preserve"> défaillant, ou </w:t>
      </w:r>
      <w:bookmarkStart w:name="DocXTextRef49" w:id="305"/>
      <w:r>
        <w:t>(ii)</w:t>
      </w:r>
      <w:bookmarkEnd w:id="305"/>
      <w:r>
        <w:t xml:space="preserve"> la </w:t>
      </w:r>
      <w:r w:rsidR="00C048AC">
        <w:t>V</w:t>
      </w:r>
      <w:r>
        <w:t xml:space="preserve">aleur de la </w:t>
      </w:r>
      <w:r w:rsidR="00730E27">
        <w:t>P</w:t>
      </w:r>
      <w:r>
        <w:t xml:space="preserve">articipation </w:t>
      </w:r>
      <w:r w:rsidR="00C048AC">
        <w:t>de</w:t>
      </w:r>
      <w:r>
        <w:t xml:space="preserve"> </w:t>
      </w:r>
      <w:r w:rsidR="00C048AC">
        <w:t>l’Associé</w:t>
      </w:r>
      <w:r>
        <w:t xml:space="preserve"> défaillant au moment </w:t>
      </w:r>
      <w:r w:rsidR="00C048AC">
        <w:t>du Défaut</w:t>
      </w:r>
      <w:r>
        <w:t>, dans chaque cas, déduction faite de tout montant payable au Fonds conformément à l</w:t>
      </w:r>
      <w:r w:rsidR="00E27310">
        <w:t>’</w:t>
      </w:r>
      <w:r>
        <w:t>article </w:t>
      </w:r>
      <w:r w:rsidRPr="006400F9">
        <w:fldChar w:fldCharType="begin"/>
      </w:r>
      <w:r w:rsidRPr="006400F9">
        <w:instrText xml:space="preserve"> REF _Ref40802108 \w \h </w:instrText>
      </w:r>
      <w:r w:rsidRPr="006400F9" w:rsidR="00791303">
        <w:instrText xml:space="preserve"> \* MERGEFORMAT </w:instrText>
      </w:r>
      <w:r w:rsidRPr="006400F9">
        <w:fldChar w:fldCharType="separate"/>
      </w:r>
      <w:r w:rsidR="00B50BE2">
        <w:t>6.6(c)</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w:t>
      </w:r>
      <w:r w:rsidR="00C048AC">
        <w:lastRenderedPageBreak/>
        <w:t>à condition</w:t>
      </w:r>
      <w:r>
        <w:t xml:space="preserve"> qu</w:t>
      </w:r>
      <w:r w:rsidR="00C048AC">
        <w:t xml:space="preserve">’une telle </w:t>
      </w:r>
      <w:r>
        <w:t xml:space="preserve">offre ne </w:t>
      </w:r>
      <w:r w:rsidR="00C048AC">
        <w:t>puisse</w:t>
      </w:r>
      <w:r>
        <w:t xml:space="preserve"> être faite à une </w:t>
      </w:r>
      <w:r w:rsidR="00C048AC">
        <w:t>P</w:t>
      </w:r>
      <w:r>
        <w:t>ersonne intéressée qu</w:t>
      </w:r>
      <w:r w:rsidR="00E27310">
        <w:t>’</w:t>
      </w:r>
      <w:r>
        <w:t xml:space="preserve">avec le consentement écrit préalable du </w:t>
      </w:r>
      <w:r w:rsidR="00980C6E">
        <w:t>Comité consultatif des Commanditaires</w:t>
      </w:r>
      <w:r>
        <w:t xml:space="preserve">, et </w:t>
      </w:r>
      <w:r w:rsidR="00C048AC">
        <w:t>à</w:t>
      </w:r>
      <w:r>
        <w:t xml:space="preserve"> </w:t>
      </w:r>
      <w:r w:rsidR="00C048AC">
        <w:t>condition</w:t>
      </w:r>
      <w:r>
        <w:t>, en outre, que l</w:t>
      </w:r>
      <w:r w:rsidR="00C048AC">
        <w:t xml:space="preserve">’Associé </w:t>
      </w:r>
      <w:r>
        <w:t xml:space="preserve">défaillant </w:t>
      </w:r>
      <w:r w:rsidR="00C048AC">
        <w:t>demeure assujetti</w:t>
      </w:r>
      <w:r>
        <w:t xml:space="preserve"> à l</w:t>
      </w:r>
      <w:r w:rsidR="00E27310">
        <w:t>’</w:t>
      </w:r>
      <w:r>
        <w:t>article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Restitution par les Commanditaires.</w:t>
      </w:r>
      <w:r w:rsidRPr="006A3B29" w:rsidR="006A3B29">
        <w:rPr>
          <w:i/>
        </w:rPr>
        <w:fldChar w:fldCharType="end"/>
      </w:r>
      <w:r>
        <w:t xml:space="preserve">) et, lors de ce </w:t>
      </w:r>
      <w:r w:rsidR="00C048AC">
        <w:t>T</w:t>
      </w:r>
      <w:r>
        <w:t>ransfert, l</w:t>
      </w:r>
      <w:r w:rsidR="00C048AC">
        <w:t xml:space="preserve">’Associé </w:t>
      </w:r>
      <w:r>
        <w:t xml:space="preserve">défaillant </w:t>
      </w:r>
      <w:r w:rsidR="00C048AC">
        <w:t xml:space="preserve">cesse d’être </w:t>
      </w:r>
      <w:r>
        <w:t xml:space="preserve">un </w:t>
      </w:r>
      <w:r w:rsidR="00C048AC">
        <w:t>Commanditaire</w:t>
      </w:r>
      <w:r>
        <w:t>;</w:t>
      </w:r>
      <w:r>
        <w:rPr>
          <w:rStyle w:val="FootnoteReference"/>
        </w:rPr>
        <w:t xml:space="preserve"> </w:t>
      </w:r>
      <w:bookmarkStart w:name="_Ref113892832" w:id="306"/>
      <w:r>
        <w:rPr>
          <w:rStyle w:val="FootnoteReference"/>
        </w:rPr>
        <w:footnoteReference w:id="86"/>
      </w:r>
      <w:bookmarkEnd w:id="303"/>
      <w:bookmarkEnd w:id="306"/>
    </w:p>
    <w:p w:rsidR="0000160C" w:rsidRDefault="00C517ED" w14:paraId="23DE34CA" w14:textId="203CF802">
      <w:pPr>
        <w:pStyle w:val="ArtBJStyL4"/>
      </w:pPr>
      <w:bookmarkStart w:name="_Ref40803247" w:id="307"/>
      <w:r>
        <w:t>déterminer que l</w:t>
      </w:r>
      <w:r w:rsidR="00C048AC">
        <w:t xml:space="preserve">’Associé </w:t>
      </w:r>
      <w:r>
        <w:t xml:space="preserve">défaillant doit renoncer </w:t>
      </w:r>
      <w:r w:rsidR="00C048AC">
        <w:t>jusqu’</w:t>
      </w:r>
      <w:r>
        <w:t xml:space="preserve">à 100 % de sa Participation dans le Fonds sans paiement ni autre contrepartie, auquel cas les </w:t>
      </w:r>
      <w:r w:rsidR="00C048AC">
        <w:t>Associés</w:t>
      </w:r>
      <w:r>
        <w:t xml:space="preserve"> non défaillants peuvent acquérir cette </w:t>
      </w:r>
      <w:r w:rsidR="00E3683B">
        <w:t>portion</w:t>
      </w:r>
      <w:r>
        <w:t xml:space="preserve"> </w:t>
      </w:r>
      <w:r w:rsidR="00F47AF9">
        <w:t>perdue</w:t>
      </w:r>
      <w:r>
        <w:t xml:space="preserve"> de la Participation d</w:t>
      </w:r>
      <w:r w:rsidR="00E3683B">
        <w:t xml:space="preserve">e l’Associé </w:t>
      </w:r>
      <w:r>
        <w:t xml:space="preserve">défaillant dans le Fonds </w:t>
      </w:r>
      <w:r w:rsidR="00E3683B">
        <w:t>répartie</w:t>
      </w:r>
      <w:r>
        <w:t xml:space="preserve"> entre </w:t>
      </w:r>
      <w:r w:rsidR="00E3683B">
        <w:t>les</w:t>
      </w:r>
      <w:r>
        <w:t xml:space="preserve"> </w:t>
      </w:r>
      <w:r w:rsidR="00E3683B">
        <w:t>Associés</w:t>
      </w:r>
      <w:r>
        <w:t xml:space="preserve"> non défaillants au prorata de leurs Engagements restants respectifs avec tout ajustement que le </w:t>
      </w:r>
      <w:r w:rsidR="00E3683B">
        <w:t>Commandité</w:t>
      </w:r>
      <w:r>
        <w:t xml:space="preserve"> peut juger équitable afin de refléter toute </w:t>
      </w:r>
      <w:r w:rsidR="00E3683B">
        <w:t>dispense</w:t>
      </w:r>
      <w:r>
        <w:t xml:space="preserve"> conformément à l</w:t>
      </w:r>
      <w:r w:rsidR="00E27310">
        <w:t>’</w:t>
      </w:r>
      <w:r>
        <w:t>article </w:t>
      </w:r>
      <w:r w:rsidRPr="006400F9">
        <w:fldChar w:fldCharType="begin"/>
      </w:r>
      <w:r w:rsidRPr="006400F9">
        <w:instrText xml:space="preserve"> REF _Ref40802008 \w \h </w:instrText>
      </w:r>
      <w:r w:rsidRPr="006400F9" w:rsidR="00791303">
        <w:instrText xml:space="preserve"> \* MERGEFORMAT </w:instrText>
      </w:r>
      <w:r w:rsidRPr="006400F9">
        <w:fldChar w:fldCharType="separate"/>
      </w:r>
      <w:r w:rsidR="00B50BE2">
        <w:t>6.7</w:t>
      </w:r>
      <w:r w:rsidRPr="006400F9">
        <w:fldChar w:fldCharType="end"/>
      </w:r>
      <w:r>
        <w:t xml:space="preserve"> (</w:t>
      </w:r>
      <w:r w:rsidRPr="006A3B29" w:rsidR="006A3B29">
        <w:rPr>
          <w:i/>
        </w:rPr>
        <w:fldChar w:fldCharType="begin"/>
      </w:r>
      <w:r w:rsidRPr="006A3B29" w:rsidR="006A3B29">
        <w:rPr>
          <w:i/>
        </w:rPr>
        <w:instrText xml:space="preserve"> REF _Ref40802008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Commanditaires dispensés.</w:t>
      </w:r>
      <w:r w:rsidRPr="006A3B29" w:rsidR="006A3B29">
        <w:rPr>
          <w:i/>
        </w:rPr>
        <w:fldChar w:fldCharType="end"/>
      </w:r>
      <w:r>
        <w:t xml:space="preserve">). La seule </w:t>
      </w:r>
      <w:r w:rsidR="00E3683B">
        <w:t>contrepartie</w:t>
      </w:r>
      <w:r>
        <w:t xml:space="preserve"> pour l</w:t>
      </w:r>
      <w:r w:rsidR="00E3683B">
        <w:t xml:space="preserve">’Associé </w:t>
      </w:r>
      <w:r>
        <w:t xml:space="preserve">défaillant pour chaque </w:t>
      </w:r>
      <w:r w:rsidR="00E3683B">
        <w:t>portion</w:t>
      </w:r>
      <w:r>
        <w:t xml:space="preserve"> </w:t>
      </w:r>
      <w:r w:rsidR="00E3683B">
        <w:t>de sa Participation</w:t>
      </w:r>
      <w:r>
        <w:t xml:space="preserve"> </w:t>
      </w:r>
      <w:r w:rsidR="00E3683B">
        <w:t>réattribuée</w:t>
      </w:r>
      <w:r>
        <w:t xml:space="preserve"> à un </w:t>
      </w:r>
      <w:r w:rsidR="00E3683B">
        <w:t>Associé</w:t>
      </w:r>
      <w:r>
        <w:t xml:space="preserve"> non défaillant est la prise en charge par ce</w:t>
      </w:r>
      <w:r w:rsidR="00E3683B">
        <w:t xml:space="preserve">t Associé </w:t>
      </w:r>
      <w:r>
        <w:t>non défaillant de l</w:t>
      </w:r>
      <w:r w:rsidR="00E27310">
        <w:t>’</w:t>
      </w:r>
      <w:r>
        <w:t>obligation d</w:t>
      </w:r>
      <w:r w:rsidR="00E3683B">
        <w:t xml:space="preserve">e l’Associé </w:t>
      </w:r>
      <w:r>
        <w:t>défaillant d</w:t>
      </w:r>
      <w:r w:rsidR="00E27310">
        <w:t>’</w:t>
      </w:r>
      <w:r>
        <w:t xml:space="preserve">effectuer à la fois </w:t>
      </w:r>
      <w:r w:rsidR="00E3683B">
        <w:t>l</w:t>
      </w:r>
      <w:r>
        <w:t xml:space="preserve">es Apports </w:t>
      </w:r>
      <w:r w:rsidR="00E3683B">
        <w:t>de</w:t>
      </w:r>
      <w:r>
        <w:t xml:space="preserve"> </w:t>
      </w:r>
      <w:r w:rsidR="00E3683B">
        <w:t>c</w:t>
      </w:r>
      <w:r>
        <w:t xml:space="preserve">apital défaillants et futurs conformément à son Engagement qui sont proportionnels à la </w:t>
      </w:r>
      <w:r w:rsidR="00E3683B">
        <w:t>portion de la Participation</w:t>
      </w:r>
      <w:r>
        <w:t xml:space="preserve"> </w:t>
      </w:r>
      <w:r w:rsidR="00E3683B">
        <w:t>de l’Associé</w:t>
      </w:r>
      <w:r>
        <w:t xml:space="preserve"> défaillant </w:t>
      </w:r>
      <w:r w:rsidR="00E3683B">
        <w:t>réattribué</w:t>
      </w:r>
      <w:r>
        <w:t xml:space="preserve"> à c</w:t>
      </w:r>
      <w:r w:rsidR="00E3683B">
        <w:t xml:space="preserve">et Associé </w:t>
      </w:r>
      <w:r>
        <w:t>non défaillant. L</w:t>
      </w:r>
      <w:r w:rsidR="00E3683B">
        <w:t xml:space="preserve">’Associé </w:t>
      </w:r>
      <w:r>
        <w:t xml:space="preserve">défaillant ne reçoit aucun paiement pour </w:t>
      </w:r>
      <w:r w:rsidR="00A2670C">
        <w:t>toute Participation</w:t>
      </w:r>
      <w:r>
        <w:t xml:space="preserve"> </w:t>
      </w:r>
      <w:r w:rsidR="00A2670C">
        <w:t>réattribuée</w:t>
      </w:r>
      <w:r>
        <w:t xml:space="preserve"> à des </w:t>
      </w:r>
      <w:r w:rsidR="00A2670C">
        <w:t>Associés</w:t>
      </w:r>
      <w:r>
        <w:t xml:space="preserve"> non défaillants conformément </w:t>
      </w:r>
      <w:r w:rsidR="00A2670C">
        <w:t>au présent article</w:t>
      </w:r>
      <w:r>
        <w:t> </w:t>
      </w:r>
      <w:r w:rsidRPr="006400F9">
        <w:fldChar w:fldCharType="begin"/>
      </w:r>
      <w:r w:rsidRPr="006400F9">
        <w:instrText xml:space="preserve"> REF _Ref40803247 \w \h </w:instrText>
      </w:r>
      <w:r w:rsidRPr="006400F9" w:rsidR="00791303">
        <w:instrText xml:space="preserve"> \* MERGEFORMAT </w:instrText>
      </w:r>
      <w:r w:rsidRPr="006400F9">
        <w:fldChar w:fldCharType="separate"/>
      </w:r>
      <w:r w:rsidR="00B50BE2">
        <w:t>6.6(d)(iii)</w:t>
      </w:r>
      <w:r w:rsidRPr="006400F9">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xml:space="preserve">), y compris pour toute </w:t>
      </w:r>
      <w:r w:rsidR="00A2670C">
        <w:t>portion</w:t>
      </w:r>
      <w:r>
        <w:t xml:space="preserve"> financée de son </w:t>
      </w:r>
      <w:r w:rsidR="00A2670C">
        <w:t>E</w:t>
      </w:r>
      <w:r>
        <w:t xml:space="preserve">ngagement </w:t>
      </w:r>
      <w:r w:rsidR="00A2670C">
        <w:t>correspondant</w:t>
      </w:r>
      <w:r>
        <w:t xml:space="preserve"> ou de la part de ce</w:t>
      </w:r>
      <w:r w:rsidR="00A2670C">
        <w:t xml:space="preserve">t Associé </w:t>
      </w:r>
      <w:r>
        <w:t xml:space="preserve">défaillant </w:t>
      </w:r>
      <w:r w:rsidR="00A2670C">
        <w:t>dans les</w:t>
      </w:r>
      <w:r>
        <w:t xml:space="preserve"> bénéfices non encore distribués, même si </w:t>
      </w:r>
      <w:r w:rsidR="00A2670C">
        <w:t>la Participation</w:t>
      </w:r>
      <w:r>
        <w:t xml:space="preserve"> acheté</w:t>
      </w:r>
      <w:r w:rsidR="00A2670C">
        <w:t>e</w:t>
      </w:r>
      <w:r>
        <w:t xml:space="preserve"> </w:t>
      </w:r>
      <w:r w:rsidR="00A2670C">
        <w:t>peut</w:t>
      </w:r>
      <w:r>
        <w:t xml:space="preserve"> </w:t>
      </w:r>
      <w:r w:rsidR="00A2670C">
        <w:t>en fait</w:t>
      </w:r>
      <w:r>
        <w:t xml:space="preserve"> avoir une valeur positive significative au moment de cette </w:t>
      </w:r>
      <w:r w:rsidR="00A2670C">
        <w:t>réattribution</w:t>
      </w:r>
      <w:r>
        <w:t xml:space="preserve"> ou de cet achat; et</w:t>
      </w:r>
      <w:bookmarkEnd w:id="307"/>
    </w:p>
    <w:p w:rsidR="0000160C" w:rsidRDefault="00C517ED" w14:paraId="1E9BE40E" w14:textId="1F218629">
      <w:pPr>
        <w:pStyle w:val="ArtBJStyL4"/>
      </w:pPr>
      <w:bookmarkStart w:name="_Ref113892455" w:id="308"/>
      <w:r>
        <w:t xml:space="preserve">déterminer de réduire toute </w:t>
      </w:r>
      <w:r w:rsidR="00A2670C">
        <w:t>portion</w:t>
      </w:r>
      <w:r>
        <w:t xml:space="preserve"> de l</w:t>
      </w:r>
      <w:r w:rsidR="00E27310">
        <w:t>’</w:t>
      </w:r>
      <w:r w:rsidR="00A2670C">
        <w:t>E</w:t>
      </w:r>
      <w:r>
        <w:t>ngagement de ce</w:t>
      </w:r>
      <w:r w:rsidR="00A2670C">
        <w:t xml:space="preserve">t Associé </w:t>
      </w:r>
      <w:r>
        <w:t>défaillant (qui n</w:t>
      </w:r>
      <w:r w:rsidR="00E27310">
        <w:t>’</w:t>
      </w:r>
      <w:r>
        <w:t xml:space="preserve">a pas été assumée par un autre </w:t>
      </w:r>
      <w:r w:rsidR="00A2670C">
        <w:t>Associé</w:t>
      </w:r>
      <w:r>
        <w:t xml:space="preserve">) au montant des Apports </w:t>
      </w:r>
      <w:r w:rsidR="00A2670C">
        <w:t>de</w:t>
      </w:r>
      <w:r>
        <w:t xml:space="preserve"> capital (qui n</w:t>
      </w:r>
      <w:r w:rsidR="00E27310">
        <w:t>’</w:t>
      </w:r>
      <w:r>
        <w:t>ont pas été acquis) effectués par ce</w:t>
      </w:r>
      <w:r w:rsidR="00A2670C">
        <w:t xml:space="preserve">t Associé </w:t>
      </w:r>
      <w:r>
        <w:t>défaillant (</w:t>
      </w:r>
      <w:r w:rsidR="00A2670C">
        <w:t>déduction faite</w:t>
      </w:r>
      <w:r>
        <w:t xml:space="preserve"> des distributions conformément à </w:t>
      </w:r>
      <w:r w:rsidR="00A2670C">
        <w:t>l’</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6A3B29" w:rsidR="006A3B29">
        <w:rPr>
          <w:i/>
        </w:rPr>
        <w:fldChar w:fldCharType="begin"/>
      </w:r>
      <w:r w:rsidRPr="006A3B29" w:rsidR="006A3B29">
        <w:rPr>
          <w:i/>
        </w:rPr>
        <w:instrText xml:space="preserve"> REF _Ref40807042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 xml:space="preserve">DISTRIBUTIONS; </w:t>
      </w:r>
      <w:r w:rsidRPr="006A3B29" w:rsidR="006A3B29">
        <w:rPr>
          <w:i/>
        </w:rPr>
        <w:fldChar w:fldCharType="end"/>
      </w:r>
      <w:r>
        <w:t xml:space="preserve">)), et les </w:t>
      </w:r>
      <w:r w:rsidR="00A2670C">
        <w:t>E</w:t>
      </w:r>
      <w:r>
        <w:t xml:space="preserve">ngagements globaux du Fonds seront réduits </w:t>
      </w:r>
      <w:r w:rsidR="00EC47A5">
        <w:t>proportionnellement</w:t>
      </w:r>
      <w:r>
        <w:t xml:space="preserve"> et cette </w:t>
      </w:r>
      <w:r w:rsidR="0087204B">
        <w:t>décision</w:t>
      </w:r>
      <w:r>
        <w:t xml:space="preserve"> sera contraignante pour </w:t>
      </w:r>
      <w:r w:rsidR="0087204B">
        <w:t>l’Associé</w:t>
      </w:r>
      <w:r>
        <w:t xml:space="preserve"> défaillant.</w:t>
      </w:r>
      <w:bookmarkEnd w:id="308"/>
    </w:p>
    <w:p w:rsidR="0000160C" w:rsidRDefault="00C517ED" w14:paraId="5D88A92D" w14:textId="02995BEF">
      <w:pPr>
        <w:pStyle w:val="ArtBJStyL3"/>
      </w:pPr>
      <w:bookmarkStart w:name="_Ref94174706" w:id="309"/>
      <w:r>
        <w:t>Tant qu</w:t>
      </w:r>
      <w:r w:rsidR="00E27310">
        <w:t>’</w:t>
      </w:r>
      <w:r>
        <w:t xml:space="preserve">un </w:t>
      </w:r>
      <w:r w:rsidR="0087204B">
        <w:t>Associé</w:t>
      </w:r>
      <w:r>
        <w:t xml:space="preserve"> défaillant est un </w:t>
      </w:r>
      <w:r w:rsidR="0087204B">
        <w:t>Associé</w:t>
      </w:r>
      <w:r>
        <w:t xml:space="preserve"> du Fonds, rien de ce qui est indiqué dans l</w:t>
      </w:r>
      <w:r w:rsidR="0087204B">
        <w:t xml:space="preserve">’article </w:t>
      </w:r>
      <w:r w:rsidRPr="00E9050E" w:rsidR="0044140B">
        <w:fldChar w:fldCharType="begin"/>
      </w:r>
      <w:r w:rsidRPr="00E9050E" w:rsidR="0044140B">
        <w:instrText xml:space="preserve"> REF _Ref40803137 \w \h </w:instrText>
      </w:r>
      <w:r w:rsidRPr="00E9050E" w:rsidR="00791303">
        <w:instrText xml:space="preserve"> \* MERGEFORMAT </w:instrText>
      </w:r>
      <w:r w:rsidRPr="00E9050E" w:rsidR="0044140B">
        <w:fldChar w:fldCharType="separate"/>
      </w:r>
      <w:r w:rsidR="00B50BE2">
        <w:t>6.6(d)</w:t>
      </w:r>
      <w:r w:rsidRPr="00E9050E" w:rsidR="0044140B">
        <w:fldChar w:fldCharType="end"/>
      </w:r>
      <w:r>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t>) aura une incidence sur l</w:t>
      </w:r>
      <w:r w:rsidR="00E27310">
        <w:t>’</w:t>
      </w:r>
      <w:r>
        <w:t>obligation de ce</w:t>
      </w:r>
      <w:r w:rsidR="0087204B">
        <w:t xml:space="preserve">t Associé </w:t>
      </w:r>
      <w:r>
        <w:t xml:space="preserve">défaillant de payer </w:t>
      </w:r>
      <w:r w:rsidR="0087204B">
        <w:t>toute</w:t>
      </w:r>
      <w:r>
        <w:t xml:space="preserve"> </w:t>
      </w:r>
      <w:r w:rsidR="0087204B">
        <w:t>portion</w:t>
      </w:r>
      <w:r>
        <w:t xml:space="preserve"> de son Engagement restant envers le Fonds conformément aux </w:t>
      </w:r>
      <w:r w:rsidR="0087204B">
        <w:t>modalités</w:t>
      </w:r>
      <w:r>
        <w:t xml:space="preserve"> </w:t>
      </w:r>
      <w:r w:rsidR="00E536D5">
        <w:t>de la présente Convention</w:t>
      </w:r>
      <w:r>
        <w:t>, et l</w:t>
      </w:r>
      <w:r w:rsidR="0087204B">
        <w:t xml:space="preserve">’Associé </w:t>
      </w:r>
      <w:r>
        <w:t>défaillant demeurera entièrement responsable de l</w:t>
      </w:r>
      <w:r w:rsidR="00E27310">
        <w:t>’</w:t>
      </w:r>
      <w:r>
        <w:t xml:space="preserve">exécution de ses obligations de paiement en vertu </w:t>
      </w:r>
      <w:r w:rsidR="00E536D5">
        <w:t>de la présente Convention</w:t>
      </w:r>
      <w:r>
        <w:t xml:space="preserve">, nonobstant tout autre droit et recours que le Fonds et le </w:t>
      </w:r>
      <w:r w:rsidR="0087204B">
        <w:t>Commandité</w:t>
      </w:r>
      <w:r>
        <w:t xml:space="preserve"> peuvent avoir en vertu </w:t>
      </w:r>
      <w:r w:rsidR="007A757B">
        <w:t>du droit</w:t>
      </w:r>
      <w:r>
        <w:t xml:space="preserve"> applicable.</w:t>
      </w:r>
      <w:bookmarkEnd w:id="309"/>
    </w:p>
    <w:p w:rsidR="0000160C" w:rsidRDefault="00C517ED" w14:paraId="5ECF171C" w14:textId="5AA52C0B">
      <w:pPr>
        <w:pStyle w:val="ArtBJStyL3"/>
      </w:pPr>
      <w:bookmarkStart w:name="_Ref113892456" w:id="310"/>
      <w:r>
        <w:t xml:space="preserve">En ce qui concerne tout montant en </w:t>
      </w:r>
      <w:r w:rsidR="0087204B">
        <w:t>D</w:t>
      </w:r>
      <w:r>
        <w:t xml:space="preserve">éfaut, le </w:t>
      </w:r>
      <w:r w:rsidR="0087204B">
        <w:t>C</w:t>
      </w:r>
      <w:r>
        <w:t xml:space="preserve">ommandité peut exiger des </w:t>
      </w:r>
      <w:r w:rsidR="0087204B">
        <w:t>Versements</w:t>
      </w:r>
      <w:r>
        <w:t xml:space="preserve"> supplémentaires des </w:t>
      </w:r>
      <w:r w:rsidR="0087204B">
        <w:t>A</w:t>
      </w:r>
      <w:r>
        <w:t xml:space="preserve">ssociés </w:t>
      </w:r>
      <w:r>
        <w:rPr>
          <w:bCs/>
        </w:rPr>
        <w:t>non défaillants</w:t>
      </w:r>
      <w:r>
        <w:t xml:space="preserve"> </w:t>
      </w:r>
      <w:r w:rsidR="0087204B">
        <w:t>en proportion</w:t>
      </w:r>
      <w:r>
        <w:t xml:space="preserve"> </w:t>
      </w:r>
      <w:r w:rsidR="0087204B">
        <w:t>de</w:t>
      </w:r>
      <w:r>
        <w:t xml:space="preserve"> leurs </w:t>
      </w:r>
      <w:r w:rsidR="0087204B">
        <w:t>E</w:t>
      </w:r>
      <w:r>
        <w:t>ngagements restants.</w:t>
      </w:r>
      <w:bookmarkStart w:name="_Ref113892833" w:id="311"/>
      <w:r>
        <w:rPr>
          <w:szCs w:val="22"/>
          <w:vertAlign w:val="superscript"/>
        </w:rPr>
        <w:footnoteReference w:id="87"/>
      </w:r>
      <w:bookmarkEnd w:id="310"/>
      <w:bookmarkEnd w:id="311"/>
      <w:r>
        <w:t xml:space="preserve"> </w:t>
      </w:r>
    </w:p>
    <w:p w:rsidR="0000160C" w:rsidRDefault="00C517ED" w14:paraId="49B67F5D" w14:textId="0E6CC9DD">
      <w:pPr>
        <w:pStyle w:val="ArtBJStyL3"/>
      </w:pPr>
      <w:bookmarkStart w:name="_Ref113892457" w:id="312"/>
      <w:r>
        <w:lastRenderedPageBreak/>
        <w:t xml:space="preserve">Un </w:t>
      </w:r>
      <w:r w:rsidR="0087204B">
        <w:t>Associé</w:t>
      </w:r>
      <w:r>
        <w:t xml:space="preserve"> défaillant cessera d</w:t>
      </w:r>
      <w:r w:rsidR="00E27310">
        <w:t>’</w:t>
      </w:r>
      <w:r>
        <w:t xml:space="preserve">avoir des droits de vote ou de consentement en tant </w:t>
      </w:r>
      <w:r w:rsidR="0087204B">
        <w:t>que Commanditaire</w:t>
      </w:r>
      <w:r>
        <w:t xml:space="preserve"> ou en ce qui concerne son représentant au sein du </w:t>
      </w:r>
      <w:r w:rsidR="00980C6E">
        <w:t>Comité consultatif des Commanditaires</w:t>
      </w:r>
      <w:r>
        <w:t xml:space="preserve"> (le cas échéant pour ce</w:t>
      </w:r>
      <w:r w:rsidR="0087204B">
        <w:t xml:space="preserve">t Associé </w:t>
      </w:r>
      <w:r>
        <w:t xml:space="preserve">défaillant), et tous les actes, consentements et décisions relatifs au Fonds qui seront pris par les </w:t>
      </w:r>
      <w:r w:rsidR="0087204B">
        <w:t>Commanditaires</w:t>
      </w:r>
      <w:r>
        <w:t xml:space="preserve"> ou le </w:t>
      </w:r>
      <w:r w:rsidR="00980C6E">
        <w:t>Comité consultatif des Commanditaires</w:t>
      </w:r>
      <w:r>
        <w:t xml:space="preserve"> seront calculés et pris par les autres </w:t>
      </w:r>
      <w:r w:rsidR="0087204B">
        <w:t>C</w:t>
      </w:r>
      <w:r>
        <w:t>ommanditaires sans égard à l</w:t>
      </w:r>
      <w:r w:rsidR="00E27310">
        <w:t>’</w:t>
      </w:r>
      <w:r>
        <w:t xml:space="preserve">Engagement ou (le cas échéant) le membre du </w:t>
      </w:r>
      <w:r w:rsidR="00980C6E">
        <w:t>Comité consultatif des Commanditaires</w:t>
      </w:r>
      <w:r>
        <w:t xml:space="preserve"> dudit </w:t>
      </w:r>
      <w:r w:rsidR="0087204B">
        <w:t>Associé</w:t>
      </w:r>
      <w:r>
        <w:t xml:space="preserve"> défaillant.</w:t>
      </w:r>
      <w:bookmarkEnd w:id="312"/>
    </w:p>
    <w:p w:rsidR="0000160C" w:rsidRDefault="0087204B" w14:paraId="7940E5BA" w14:textId="016F29CE">
      <w:pPr>
        <w:pStyle w:val="ArtBJStyL3"/>
        <w:rPr>
          <w:b/>
        </w:rPr>
      </w:pPr>
      <w:bookmarkStart w:name="_Ref94174879" w:id="313"/>
      <w:r>
        <w:t>Aucune ligne de condui</w:t>
      </w:r>
      <w:r w:rsidR="006C2EFD">
        <w:t>t</w:t>
      </w:r>
      <w:r>
        <w:t>e</w:t>
      </w:r>
      <w:r w:rsidR="00C517ED">
        <w:t xml:space="preserve"> entre le </w:t>
      </w:r>
      <w:r>
        <w:t>C</w:t>
      </w:r>
      <w:r w:rsidR="00C517ED">
        <w:t xml:space="preserve">ommandité et tout </w:t>
      </w:r>
      <w:r>
        <w:t>Associé</w:t>
      </w:r>
      <w:r w:rsidR="00C517ED">
        <w:t xml:space="preserve"> défaillant et aucun retard dans l</w:t>
      </w:r>
      <w:r w:rsidR="00E27310">
        <w:t>’</w:t>
      </w:r>
      <w:r w:rsidR="00C517ED">
        <w:t xml:space="preserve">exercice de tout droit, pouvoir ou recours conféré dans </w:t>
      </w:r>
      <w:r>
        <w:t>le présent article</w:t>
      </w:r>
      <w:r w:rsidR="00C517ED">
        <w:t> </w:t>
      </w:r>
      <w:r w:rsidRPr="00482039" w:rsidR="00BF6EA2">
        <w:fldChar w:fldCharType="begin"/>
      </w:r>
      <w:r w:rsidRPr="00482039" w:rsidR="00BF6EA2">
        <w:instrText xml:space="preserve"> REF _Ref94174879 \w \h </w:instrText>
      </w:r>
      <w:r w:rsidRPr="00482039" w:rsidR="005E11B4">
        <w:instrText xml:space="preserve"> \* MERGEFORMAT </w:instrText>
      </w:r>
      <w:r w:rsidRPr="00482039" w:rsidR="00BF6EA2">
        <w:fldChar w:fldCharType="separate"/>
      </w:r>
      <w:r w:rsidR="00B50BE2">
        <w:t>6.6(h)</w:t>
      </w:r>
      <w:r w:rsidRPr="00482039" w:rsidR="00BF6EA2">
        <w:fldChar w:fldCharType="end"/>
      </w:r>
      <w:r w:rsidR="00C517ED">
        <w:t xml:space="preserve"> (</w:t>
      </w:r>
      <w:r w:rsidRPr="006A3B29" w:rsidR="006A3B29">
        <w:rPr>
          <w:i/>
        </w:rPr>
        <w:fldChar w:fldCharType="begin"/>
      </w:r>
      <w:r w:rsidRPr="006A3B29" w:rsidR="006A3B29">
        <w:rPr>
          <w:i/>
        </w:rPr>
        <w:instrText xml:space="preserve"> REF _Ref40803112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Associés défaillants.</w:t>
      </w:r>
      <w:r w:rsidRPr="006A3B29" w:rsidR="006A3B29">
        <w:rPr>
          <w:i/>
        </w:rPr>
        <w:fldChar w:fldCharType="end"/>
      </w:r>
      <w:r w:rsidR="00C517ED">
        <w:t xml:space="preserve">) </w:t>
      </w:r>
      <w:r w:rsidR="002A1AE2">
        <w:t>existant actuellement</w:t>
      </w:r>
      <w:r w:rsidR="00C517ED">
        <w:t xml:space="preserve"> ou </w:t>
      </w:r>
      <w:r w:rsidR="002A1AE2">
        <w:t>ultérieurement en droit</w:t>
      </w:r>
      <w:r w:rsidR="00C517ED">
        <w:t xml:space="preserve"> </w:t>
      </w:r>
      <w:r w:rsidR="002A1AE2">
        <w:t>ne peut être considéré</w:t>
      </w:r>
      <w:r w:rsidR="00C517ED">
        <w:t xml:space="preserve"> comme une renonciation </w:t>
      </w:r>
      <w:r w:rsidR="002A1AE2">
        <w:t>à ce droit, pouvoir ou recours ni leur porter atteinte</w:t>
      </w:r>
      <w:r w:rsidR="00C517ED">
        <w:t>.</w:t>
      </w:r>
      <w:bookmarkEnd w:id="313"/>
      <w:r w:rsidR="00C517ED">
        <w:t xml:space="preserve"> </w:t>
      </w:r>
    </w:p>
    <w:p w:rsidR="0000160C" w:rsidRDefault="00C517ED" w14:paraId="49BA13B2" w14:textId="294373FF">
      <w:pPr>
        <w:pStyle w:val="ArtBJStyL3"/>
        <w:rPr>
          <w:b/>
        </w:rPr>
      </w:pPr>
      <w:bookmarkStart w:name="_Ref113892458" w:id="314"/>
      <w:r>
        <w:t xml:space="preserve">Si un </w:t>
      </w:r>
      <w:r w:rsidR="002A1AE2">
        <w:t>Associé</w:t>
      </w:r>
      <w:r>
        <w:t xml:space="preserve"> affilié devient un </w:t>
      </w:r>
      <w:r w:rsidR="002A1AE2">
        <w:t>Associé</w:t>
      </w:r>
      <w:r>
        <w:t xml:space="preserve"> défaillant, toutes les décisions relatives aux actions ou renonciations concernant ce</w:t>
      </w:r>
      <w:r w:rsidR="002A1AE2">
        <w:t xml:space="preserve">t Associé </w:t>
      </w:r>
      <w:r>
        <w:t xml:space="preserve">affilié constitueront un conflit aux fins de </w:t>
      </w:r>
      <w:r w:rsidR="002A1AE2">
        <w:t>l’article</w:t>
      </w:r>
      <w:r>
        <w:t> </w:t>
      </w:r>
      <w:r w:rsidRPr="00B7476C" w:rsidR="0044140B">
        <w:fldChar w:fldCharType="begin"/>
      </w:r>
      <w:r w:rsidRPr="00B7476C" w:rsidR="0044140B">
        <w:instrText xml:space="preserve"> REF _Ref40803336 \w \h  \* MERGEFORMAT </w:instrText>
      </w:r>
      <w:r w:rsidRPr="00B7476C" w:rsidR="0044140B">
        <w:fldChar w:fldCharType="separate"/>
      </w:r>
      <w:r w:rsidR="00B50BE2">
        <w:t>9.5</w:t>
      </w:r>
      <w:r w:rsidRPr="00B7476C" w:rsidR="0044140B">
        <w:fldChar w:fldCharType="end"/>
      </w:r>
      <w:r>
        <w:t xml:space="preserve"> (</w:t>
      </w:r>
      <w:r w:rsidRPr="006A3B29" w:rsidR="006A3B29">
        <w:rPr>
          <w:i/>
        </w:rPr>
        <w:fldChar w:fldCharType="begin"/>
      </w:r>
      <w:r w:rsidRPr="006A3B29" w:rsidR="006A3B29">
        <w:rPr>
          <w:i/>
        </w:rPr>
        <w:instrText xml:space="preserve"> REF _Ref113892527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Autres conflits d’intérêts.</w:t>
      </w:r>
      <w:r w:rsidRPr="006A3B29" w:rsidR="006A3B29">
        <w:rPr>
          <w:i/>
        </w:rPr>
        <w:fldChar w:fldCharType="end"/>
      </w:r>
      <w:r>
        <w:t>) et</w:t>
      </w:r>
      <w:r w:rsidR="002A1AE2">
        <w:t xml:space="preserve"> seront par conséquent</w:t>
      </w:r>
      <w:r>
        <w:t xml:space="preserve"> soumis </w:t>
      </w:r>
      <w:r w:rsidR="002A1AE2">
        <w:t>au consentement</w:t>
      </w:r>
      <w:r>
        <w:t xml:space="preserve"> écrit préalable du </w:t>
      </w:r>
      <w:r w:rsidR="00980C6E">
        <w:t>Comité consultatif des Commanditaires</w:t>
      </w:r>
      <w:r>
        <w:t>.</w:t>
      </w:r>
      <w:bookmarkStart w:name="_Ref113892834" w:id="315"/>
      <w:r>
        <w:rPr>
          <w:rStyle w:val="FootnoteReference"/>
        </w:rPr>
        <w:footnoteReference w:id="88"/>
      </w:r>
      <w:bookmarkEnd w:id="314"/>
      <w:bookmarkEnd w:id="315"/>
    </w:p>
    <w:p w:rsidR="0000160C" w:rsidRDefault="00167D67" w14:paraId="029268B6" w14:textId="0D387584">
      <w:pPr>
        <w:pStyle w:val="ArtBJStyL2"/>
      </w:pPr>
      <w:bookmarkStart w:name="_Ref40802008" w:id="316"/>
      <w:bookmarkStart w:name="_Toc161762340" w:id="317"/>
      <w:r>
        <w:t>Commanditaires</w:t>
      </w:r>
      <w:r w:rsidR="00C517ED">
        <w:t xml:space="preserve"> </w:t>
      </w:r>
      <w:r w:rsidR="008F79CE">
        <w:t>dispensés</w:t>
      </w:r>
      <w:r w:rsidR="00C517ED">
        <w:t>.</w:t>
      </w:r>
      <w:bookmarkEnd w:id="316"/>
      <w:bookmarkEnd w:id="317"/>
    </w:p>
    <w:p w:rsidRPr="00F94B84" w:rsidR="0000160C" w:rsidRDefault="00C517ED" w14:paraId="45C7C7D0" w14:textId="48BAA0C5">
      <w:pPr>
        <w:pStyle w:val="ArtBJStyL3"/>
        <w:keepNext/>
        <w:rPr>
          <w:lang w:val="fr-CA"/>
        </w:rPr>
      </w:pPr>
      <w:bookmarkStart w:name="_Ref40803376" w:id="318"/>
      <w:r>
        <w:t xml:space="preserve">Un </w:t>
      </w:r>
      <w:r w:rsidR="002A1AE2">
        <w:t>C</w:t>
      </w:r>
      <w:r>
        <w:t>ommanditaire n</w:t>
      </w:r>
      <w:r w:rsidR="00E27310">
        <w:t>’</w:t>
      </w:r>
      <w:r>
        <w:t xml:space="preserve">est pas tenu </w:t>
      </w:r>
      <w:r w:rsidR="002A1AE2">
        <w:t>de faire</w:t>
      </w:r>
      <w:r>
        <w:t xml:space="preserve"> des </w:t>
      </w:r>
      <w:r w:rsidR="002A1AE2">
        <w:t>Apports</w:t>
      </w:r>
      <w:r>
        <w:t xml:space="preserve"> </w:t>
      </w:r>
      <w:r w:rsidR="002A1AE2">
        <w:t>de</w:t>
      </w:r>
      <w:r>
        <w:t xml:space="preserve"> capital</w:t>
      </w:r>
      <w:r w:rsidR="002A1AE2">
        <w:t xml:space="preserve">, ni </w:t>
      </w:r>
      <w:r>
        <w:t xml:space="preserve">de financer un montant provenant des </w:t>
      </w:r>
      <w:r w:rsidR="002A1AE2">
        <w:t>P</w:t>
      </w:r>
      <w:r>
        <w:t xml:space="preserve">roduits distribuables </w:t>
      </w:r>
      <w:r w:rsidR="002A1AE2">
        <w:t>retenus</w:t>
      </w:r>
      <w:r>
        <w:t xml:space="preserve"> conformément à l</w:t>
      </w:r>
      <w:r w:rsidR="00E27310">
        <w:t>’</w:t>
      </w:r>
      <w:r>
        <w:t>article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B50BE2">
        <w:t>6.4</w:t>
      </w:r>
      <w:r w:rsidRPr="006400F9">
        <w:fldChar w:fldCharType="end"/>
      </w:r>
      <w:r>
        <w:t xml:space="preserve"> (</w:t>
      </w:r>
      <w:r w:rsidRPr="006A3B29" w:rsidR="006A3B29">
        <w:rPr>
          <w:i/>
        </w:rPr>
        <w:fldChar w:fldCharType="begin"/>
      </w:r>
      <w:r w:rsidRPr="006A3B29" w:rsidR="006A3B29">
        <w:rPr>
          <w:i/>
        </w:rPr>
        <w:instrText xml:space="preserve"> REF _Ref40802292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Réinvestissement.</w:t>
      </w:r>
      <w:r w:rsidRPr="006A3B29" w:rsidR="006A3B29">
        <w:rPr>
          <w:i/>
        </w:rPr>
        <w:fldChar w:fldCharType="end"/>
      </w:r>
      <w:r>
        <w:t>), si les conditions suivantes sont remplies :</w:t>
      </w:r>
      <w:bookmarkEnd w:id="318"/>
    </w:p>
    <w:p w:rsidRPr="00F94B84" w:rsidR="0000160C" w:rsidRDefault="00C517ED" w14:paraId="1C494B29" w14:textId="051CA455">
      <w:pPr>
        <w:pStyle w:val="ArtBJStyL4"/>
        <w:rPr>
          <w:lang w:val="fr-CA"/>
        </w:rPr>
      </w:pPr>
      <w:bookmarkStart w:name="_Ref113892459" w:id="319"/>
      <w:r>
        <w:t xml:space="preserve">le </w:t>
      </w:r>
      <w:r w:rsidR="002A1AE2">
        <w:t>Commanditaire</w:t>
      </w:r>
      <w:r>
        <w:t xml:space="preserve"> a remis au </w:t>
      </w:r>
      <w:r w:rsidR="002A1AE2">
        <w:t>C</w:t>
      </w:r>
      <w:r>
        <w:t xml:space="preserve">ommandité </w:t>
      </w:r>
      <w:r w:rsidR="002A1AE2">
        <w:t>un avis</w:t>
      </w:r>
      <w:r>
        <w:t xml:space="preserve"> accompagnée d</w:t>
      </w:r>
      <w:r w:rsidR="00E27310">
        <w:t>’</w:t>
      </w:r>
      <w:r>
        <w:t xml:space="preserve">un certificat délivré par un </w:t>
      </w:r>
      <w:r w:rsidR="002A1AE2">
        <w:t>membre de la haute direction</w:t>
      </w:r>
      <w:r>
        <w:t xml:space="preserve"> du </w:t>
      </w:r>
      <w:r w:rsidR="002A1AE2">
        <w:t>C</w:t>
      </w:r>
      <w:r>
        <w:t>ommandit</w:t>
      </w:r>
      <w:r w:rsidR="002A1AE2">
        <w:t>aire</w:t>
      </w:r>
      <w:r>
        <w:t xml:space="preserve"> dans les </w:t>
      </w:r>
      <w:r>
        <w:rPr>
          <w:b/>
          <w:highlight w:val="yellow"/>
        </w:rPr>
        <w:t xml:space="preserve">[cinq </w:t>
      </w:r>
      <w:r w:rsidR="002A1AE2">
        <w:rPr>
          <w:b/>
          <w:highlight w:val="yellow"/>
        </w:rPr>
        <w:t>J</w:t>
      </w:r>
      <w:r>
        <w:rPr>
          <w:b/>
          <w:highlight w:val="yellow"/>
        </w:rPr>
        <w:t>ours ouvrables]</w:t>
      </w:r>
      <w:r>
        <w:t xml:space="preserve"> suivant la date de l</w:t>
      </w:r>
      <w:r w:rsidR="00E27310">
        <w:t>’</w:t>
      </w:r>
      <w:r w:rsidR="003F4BE6">
        <w:t>Avis d’appel de versement</w:t>
      </w:r>
      <w:r>
        <w:t xml:space="preserve"> </w:t>
      </w:r>
      <w:r w:rsidR="002A1AE2">
        <w:t>pertinent</w:t>
      </w:r>
      <w:r>
        <w:t xml:space="preserve">, indiquant que le </w:t>
      </w:r>
      <w:r w:rsidR="002A1AE2">
        <w:t>Commanditaire</w:t>
      </w:r>
      <w:r>
        <w:t xml:space="preserve"> est en droit d</w:t>
      </w:r>
      <w:r w:rsidR="00E27310">
        <w:t>’</w:t>
      </w:r>
      <w:r>
        <w:t>être dispensé d</w:t>
      </w:r>
      <w:r w:rsidR="002A1AE2">
        <w:t>’effectuer</w:t>
      </w:r>
      <w:r>
        <w:t xml:space="preserve"> un tel </w:t>
      </w:r>
      <w:r w:rsidR="002A1AE2">
        <w:t>Versement</w:t>
      </w:r>
      <w:r>
        <w:t xml:space="preserve"> </w:t>
      </w:r>
      <w:r w:rsidR="002A1AE2">
        <w:t>en raison de</w:t>
      </w:r>
      <w:r>
        <w:t xml:space="preserve"> la </w:t>
      </w:r>
      <w:r w:rsidR="00F47AF9">
        <w:t>détermination</w:t>
      </w:r>
      <w:r>
        <w:t xml:space="preserve"> raisonnable du </w:t>
      </w:r>
      <w:r w:rsidR="002A1AE2">
        <w:t>Commanditaire</w:t>
      </w:r>
      <w:r>
        <w:t xml:space="preserve"> que la réalisation de </w:t>
      </w:r>
      <w:r w:rsidR="002A1AE2">
        <w:t>la totalité ou d’une partie</w:t>
      </w:r>
      <w:r>
        <w:t xml:space="preserve"> de l</w:t>
      </w:r>
      <w:r w:rsidR="00E27310">
        <w:t>’</w:t>
      </w:r>
      <w:r w:rsidR="002A1AE2">
        <w:t>I</w:t>
      </w:r>
      <w:r>
        <w:t>nvestissement pertinent est raisonnablement susceptible d</w:t>
      </w:r>
      <w:r w:rsidR="00E27310">
        <w:t>’</w:t>
      </w:r>
      <w:r>
        <w:t xml:space="preserve">avoir un </w:t>
      </w:r>
      <w:r w:rsidR="002A1AE2">
        <w:t>E</w:t>
      </w:r>
      <w:r>
        <w:t xml:space="preserve">ffet défavorable important sur le </w:t>
      </w:r>
      <w:r w:rsidR="002A1AE2">
        <w:t>Commanditaire</w:t>
      </w:r>
      <w:r>
        <w:t>; ou</w:t>
      </w:r>
      <w:bookmarkEnd w:id="319"/>
    </w:p>
    <w:p w:rsidRPr="00F94B84" w:rsidR="0000160C" w:rsidRDefault="00C517ED" w14:paraId="42D53125" w14:textId="26178A2F">
      <w:pPr>
        <w:pStyle w:val="ArtBJStyL4"/>
        <w:rPr>
          <w:lang w:val="fr-CA"/>
        </w:rPr>
      </w:pPr>
      <w:bookmarkStart w:name="_Ref40803364" w:id="320"/>
      <w:r>
        <w:t xml:space="preserve">le </w:t>
      </w:r>
      <w:r w:rsidR="002A1AE2">
        <w:t>C</w:t>
      </w:r>
      <w:r>
        <w:t xml:space="preserve">ommandité détermine raisonnablement que </w:t>
      </w:r>
      <w:bookmarkStart w:name="DocXTextRef50" w:id="321"/>
      <w:r>
        <w:t>(i)</w:t>
      </w:r>
      <w:bookmarkEnd w:id="321"/>
      <w:r>
        <w:t xml:space="preserve"> l</w:t>
      </w:r>
      <w:r w:rsidR="00E27310">
        <w:t>’</w:t>
      </w:r>
      <w:r w:rsidR="002C0446">
        <w:t>A</w:t>
      </w:r>
      <w:r>
        <w:t xml:space="preserve">pport </w:t>
      </w:r>
      <w:r w:rsidR="002C0446">
        <w:t>de</w:t>
      </w:r>
      <w:r>
        <w:t xml:space="preserve"> capital du </w:t>
      </w:r>
      <w:r w:rsidR="002C0446">
        <w:t>C</w:t>
      </w:r>
      <w:r>
        <w:t xml:space="preserve">ommanditaire relativement à </w:t>
      </w:r>
      <w:r w:rsidR="002C0446">
        <w:t>la totalité ou une partie</w:t>
      </w:r>
      <w:r>
        <w:t xml:space="preserve"> de l</w:t>
      </w:r>
      <w:r w:rsidR="00E27310">
        <w:t>’</w:t>
      </w:r>
      <w:r>
        <w:t>investissement pertinent est raisonnablement susceptible d</w:t>
      </w:r>
      <w:r w:rsidR="00E27310">
        <w:t>’</w:t>
      </w:r>
      <w:r>
        <w:t xml:space="preserve">avoir un </w:t>
      </w:r>
      <w:r w:rsidR="002C0446">
        <w:t>E</w:t>
      </w:r>
      <w:r>
        <w:t xml:space="preserve">ffet défavorable important, ou </w:t>
      </w:r>
      <w:bookmarkStart w:name="DocXTextRef51" w:id="322"/>
      <w:r>
        <w:t>(ii)</w:t>
      </w:r>
      <w:bookmarkEnd w:id="322"/>
      <w:r>
        <w:t xml:space="preserve"> la </w:t>
      </w:r>
      <w:r w:rsidR="002C0446">
        <w:t>P</w:t>
      </w:r>
      <w:r>
        <w:t xml:space="preserve">articipation du </w:t>
      </w:r>
      <w:r w:rsidR="002C0446">
        <w:t>C</w:t>
      </w:r>
      <w:r>
        <w:t xml:space="preserve">ommanditaire à </w:t>
      </w:r>
      <w:r w:rsidR="002C0446">
        <w:t>la totalité</w:t>
      </w:r>
      <w:r>
        <w:t xml:space="preserve"> ou </w:t>
      </w:r>
      <w:r w:rsidR="002C0446">
        <w:t xml:space="preserve">une </w:t>
      </w:r>
      <w:r>
        <w:t>partie de l</w:t>
      </w:r>
      <w:r w:rsidR="00E27310">
        <w:t>’</w:t>
      </w:r>
      <w:r>
        <w:t xml:space="preserve">investissement pertinent empêcherait </w:t>
      </w:r>
      <w:bookmarkStart w:name="DocXTextRef52" w:id="323"/>
      <w:r>
        <w:t>(A)</w:t>
      </w:r>
      <w:bookmarkEnd w:id="323"/>
      <w:r>
        <w:t xml:space="preserve"> le Fonds d</w:t>
      </w:r>
      <w:r w:rsidR="00E27310">
        <w:t>’</w:t>
      </w:r>
      <w:r>
        <w:t xml:space="preserve">être en mesure de réaliser cet investissement, </w:t>
      </w:r>
      <w:bookmarkStart w:name="DocXTextRef53" w:id="324"/>
      <w:r>
        <w:t>(B)</w:t>
      </w:r>
      <w:bookmarkEnd w:id="324"/>
      <w:r>
        <w:t xml:space="preserve"> entraînerait une augmentation importante du risque ou de la difficulté pour le Fonds </w:t>
      </w:r>
      <w:r w:rsidR="00F47AF9">
        <w:t>à</w:t>
      </w:r>
      <w:r>
        <w:t xml:space="preserve"> réaliser cet investissement, </w:t>
      </w:r>
      <w:bookmarkStart w:name="DocXTextRef54" w:id="325"/>
      <w:r>
        <w:t>(C)</w:t>
      </w:r>
      <w:bookmarkEnd w:id="325"/>
      <w:r>
        <w:t xml:space="preserve"> </w:t>
      </w:r>
      <w:bookmarkStart w:name="DocXTextRef55" w:id="326"/>
      <w:r>
        <w:t xml:space="preserve"> </w:t>
      </w:r>
      <w:bookmarkEnd w:id="326"/>
      <w:r>
        <w:t xml:space="preserve">imposerait un fardeau important en matière </w:t>
      </w:r>
      <w:r w:rsidR="00F47AF9">
        <w:t>de production</w:t>
      </w:r>
      <w:r>
        <w:t>, d</w:t>
      </w:r>
      <w:r w:rsidR="00E27310">
        <w:t>’</w:t>
      </w:r>
      <w:r>
        <w:t xml:space="preserve">impôt, de réglementation ou autre fardeau semblable auquel le Fonds, une </w:t>
      </w:r>
      <w:r w:rsidR="002C0446">
        <w:t>S</w:t>
      </w:r>
      <w:r>
        <w:t xml:space="preserve">ociété de portefeuille, un </w:t>
      </w:r>
      <w:r w:rsidR="002C0446">
        <w:t>Associé</w:t>
      </w:r>
      <w:r>
        <w:t xml:space="preserve"> ou </w:t>
      </w:r>
      <w:r w:rsidR="002C0446">
        <w:t>un Membre du même groupe</w:t>
      </w:r>
      <w:r w:rsidR="00730E27">
        <w:t xml:space="preserve"> que l’Associé</w:t>
      </w:r>
      <w:r>
        <w:t xml:space="preserve"> ne serait pas autrement </w:t>
      </w:r>
      <w:r w:rsidR="002C0446">
        <w:t>assujetti</w:t>
      </w:r>
      <w:r>
        <w:t xml:space="preserve">, ou </w:t>
      </w:r>
      <w:r w:rsidR="002C0446">
        <w:t>(D) ferait autrement en sorte que le Fonds</w:t>
      </w:r>
      <w:r>
        <w:t xml:space="preserve"> </w:t>
      </w:r>
      <w:r w:rsidR="002C0446">
        <w:t>doive encourir des dépenses extraordinaires importantes</w:t>
      </w:r>
      <w:r>
        <w:t>.</w:t>
      </w:r>
      <w:bookmarkEnd w:id="320"/>
    </w:p>
    <w:p w:rsidRPr="00F94B84" w:rsidR="0000160C" w:rsidRDefault="00C517ED" w14:paraId="07CB3CB3" w14:textId="2891BCF8">
      <w:pPr>
        <w:pStyle w:val="ArtBJStyL3"/>
        <w:rPr>
          <w:lang w:val="fr-CA"/>
        </w:rPr>
      </w:pPr>
      <w:bookmarkStart w:name="_Ref113892460" w:id="327"/>
      <w:r>
        <w:t>Dans le cas d</w:t>
      </w:r>
      <w:r w:rsidR="00E27310">
        <w:t>’</w:t>
      </w:r>
      <w:r>
        <w:t xml:space="preserve">une </w:t>
      </w:r>
      <w:r w:rsidR="002C0446">
        <w:t>décision</w:t>
      </w:r>
      <w:r>
        <w:t xml:space="preserve"> par le </w:t>
      </w:r>
      <w:r w:rsidR="002C0446">
        <w:t>C</w:t>
      </w:r>
      <w:r>
        <w:t>ommandité conformément à l</w:t>
      </w:r>
      <w:r w:rsidR="00E27310">
        <w:t>’</w:t>
      </w:r>
      <w:r>
        <w:t>article </w:t>
      </w:r>
      <w:r w:rsidRPr="006400F9">
        <w:rPr>
          <w:lang w:val="en-AU"/>
        </w:rPr>
        <w:fldChar w:fldCharType="begin"/>
      </w:r>
      <w:r w:rsidRPr="00F94B84">
        <w:rPr>
          <w:lang w:val="fr-CA"/>
        </w:rPr>
        <w:instrText xml:space="preserve"> REF _Ref40803364 \w \h </w:instrText>
      </w:r>
      <w:r w:rsidRPr="00F94B84" w:rsidR="00791303">
        <w:rPr>
          <w:lang w:val="fr-CA"/>
        </w:rPr>
        <w:instrText xml:space="preserve"> \* MERGEFORMAT </w:instrText>
      </w:r>
      <w:r w:rsidRPr="006400F9">
        <w:rPr>
          <w:lang w:val="en-AU"/>
        </w:rPr>
      </w:r>
      <w:r w:rsidRPr="006400F9">
        <w:rPr>
          <w:lang w:val="en-AU"/>
        </w:rPr>
        <w:fldChar w:fldCharType="separate"/>
      </w:r>
      <w:r w:rsidRPr="00B50BE2" w:rsidR="00B50BE2">
        <w:t>6.7(a)(ii)</w:t>
      </w:r>
      <w:r w:rsidRPr="006400F9">
        <w:rPr>
          <w:lang w:val="en-AU"/>
        </w:rPr>
        <w:fldChar w:fldCharType="end"/>
      </w:r>
      <w:r>
        <w:t xml:space="preserve"> (</w:t>
      </w:r>
      <w:r w:rsidRPr="006A3B29" w:rsidR="006A3B29">
        <w:rPr>
          <w:i/>
          <w:lang w:val="en-AU"/>
        </w:rPr>
        <w:fldChar w:fldCharType="begin"/>
      </w:r>
      <w:r w:rsidRPr="00F94B84" w:rsidR="006A3B29">
        <w:rPr>
          <w:i/>
          <w:lang w:val="fr-CA"/>
        </w:rPr>
        <w:instrText xml:space="preserve"> REF _Ref40802008 \h  \* MERGEFORMAT </w:instrText>
      </w:r>
      <w:r w:rsidRPr="006A3B29" w:rsidR="006A3B29">
        <w:rPr>
          <w:i/>
          <w:lang w:val="en-AU"/>
        </w:rPr>
      </w:r>
      <w:r w:rsidRPr="006A3B29" w:rsidR="006A3B29">
        <w:rPr>
          <w:i/>
          <w:lang w:val="en-AU"/>
        </w:rPr>
        <w:fldChar w:fldCharType="separate"/>
      </w:r>
      <w:r w:rsidRPr="00B50BE2" w:rsidR="00B50BE2">
        <w:rPr>
          <w:i/>
        </w:rPr>
        <w:t>Commanditaires dispensés.</w:t>
      </w:r>
      <w:r w:rsidRPr="006A3B29" w:rsidR="006A3B29">
        <w:rPr>
          <w:i/>
          <w:lang w:val="en-AU"/>
        </w:rPr>
        <w:fldChar w:fldCharType="end"/>
      </w:r>
      <w:r>
        <w:t xml:space="preserve">), le </w:t>
      </w:r>
      <w:r w:rsidR="002C0446">
        <w:t>C</w:t>
      </w:r>
      <w:r>
        <w:t xml:space="preserve">ommandité doit aviser par écrit ce </w:t>
      </w:r>
      <w:r w:rsidR="002C0446">
        <w:t>C</w:t>
      </w:r>
      <w:r>
        <w:t xml:space="preserve">ommanditaire, au </w:t>
      </w:r>
      <w:r>
        <w:lastRenderedPageBreak/>
        <w:t xml:space="preserve">plus tard </w:t>
      </w:r>
      <w:r>
        <w:rPr>
          <w:b/>
          <w:highlight w:val="yellow"/>
        </w:rPr>
        <w:t>[</w:t>
      </w:r>
      <w:r w:rsidR="00F62B5F">
        <w:rPr>
          <w:b/>
          <w:highlight w:val="yellow"/>
        </w:rPr>
        <w:t>5</w:t>
      </w:r>
      <w:r>
        <w:rPr>
          <w:b/>
          <w:highlight w:val="yellow"/>
        </w:rPr>
        <w:t xml:space="preserve"> </w:t>
      </w:r>
      <w:r w:rsidR="002C0446">
        <w:rPr>
          <w:b/>
          <w:highlight w:val="yellow"/>
        </w:rPr>
        <w:t>J</w:t>
      </w:r>
      <w:r>
        <w:rPr>
          <w:b/>
          <w:highlight w:val="yellow"/>
        </w:rPr>
        <w:t>ours ouvrables]</w:t>
      </w:r>
      <w:r>
        <w:t xml:space="preserve"> après la date de l</w:t>
      </w:r>
      <w:r w:rsidR="00E27310">
        <w:t>’</w:t>
      </w:r>
      <w:r w:rsidR="002C0446">
        <w:t>A</w:t>
      </w:r>
      <w:r>
        <w:t>vis d</w:t>
      </w:r>
      <w:r w:rsidR="002C0446">
        <w:t xml:space="preserve">’appel de versement </w:t>
      </w:r>
      <w:r>
        <w:t>pertinent, de son intention d</w:t>
      </w:r>
      <w:r w:rsidR="00E27310">
        <w:t>’</w:t>
      </w:r>
      <w:r>
        <w:t xml:space="preserve">invoquer les dispositions </w:t>
      </w:r>
      <w:r w:rsidR="002C0446">
        <w:t>du présent article</w:t>
      </w:r>
      <w:r>
        <w:t> </w:t>
      </w:r>
      <w:r w:rsidRPr="006400F9">
        <w:rPr>
          <w:lang w:val="en-AU"/>
        </w:rPr>
        <w:fldChar w:fldCharType="begin"/>
      </w:r>
      <w:r w:rsidRPr="00F94B84">
        <w:rPr>
          <w:lang w:val="fr-CA"/>
        </w:rPr>
        <w:instrText xml:space="preserve"> REF _Ref40803376 \w \h </w:instrText>
      </w:r>
      <w:r w:rsidRPr="00F94B84" w:rsidR="00791303">
        <w:rPr>
          <w:lang w:val="fr-CA"/>
        </w:rPr>
        <w:instrText xml:space="preserve"> \* MERGEFORMAT </w:instrText>
      </w:r>
      <w:r w:rsidRPr="006400F9">
        <w:rPr>
          <w:lang w:val="en-AU"/>
        </w:rPr>
      </w:r>
      <w:r w:rsidRPr="006400F9">
        <w:rPr>
          <w:lang w:val="en-AU"/>
        </w:rPr>
        <w:fldChar w:fldCharType="separate"/>
      </w:r>
      <w:r w:rsidRPr="00B50BE2" w:rsidR="00B50BE2">
        <w:t>6.7(a)</w:t>
      </w:r>
      <w:r w:rsidRPr="006400F9">
        <w:rPr>
          <w:lang w:val="en-AU"/>
        </w:rPr>
        <w:fldChar w:fldCharType="end"/>
      </w:r>
      <w:r>
        <w:t xml:space="preserve"> (</w:t>
      </w:r>
      <w:r w:rsidRPr="006A3B29" w:rsidR="006A3B29">
        <w:rPr>
          <w:i/>
          <w:lang w:val="en-AU"/>
        </w:rPr>
        <w:fldChar w:fldCharType="begin"/>
      </w:r>
      <w:r w:rsidRPr="00F94B84" w:rsidR="006A3B29">
        <w:rPr>
          <w:i/>
          <w:lang w:val="fr-CA"/>
        </w:rPr>
        <w:instrText xml:space="preserve"> REF _Ref40802008 \h  \* MERGEFORMAT </w:instrText>
      </w:r>
      <w:r w:rsidRPr="006A3B29" w:rsidR="006A3B29">
        <w:rPr>
          <w:i/>
          <w:lang w:val="en-AU"/>
        </w:rPr>
      </w:r>
      <w:r w:rsidRPr="006A3B29" w:rsidR="006A3B29">
        <w:rPr>
          <w:i/>
          <w:lang w:val="en-AU"/>
        </w:rPr>
        <w:fldChar w:fldCharType="separate"/>
      </w:r>
      <w:r w:rsidRPr="00B50BE2" w:rsidR="00B50BE2">
        <w:rPr>
          <w:i/>
        </w:rPr>
        <w:t>Commanditaires dispensés.</w:t>
      </w:r>
      <w:r w:rsidRPr="006A3B29" w:rsidR="006A3B29">
        <w:rPr>
          <w:i/>
          <w:lang w:val="en-AU"/>
        </w:rPr>
        <w:fldChar w:fldCharType="end"/>
      </w:r>
      <w:r>
        <w:t xml:space="preserve">) et doit </w:t>
      </w:r>
      <w:r w:rsidR="002C0446">
        <w:t>remettre</w:t>
      </w:r>
      <w:r>
        <w:t xml:space="preserve"> à ce </w:t>
      </w:r>
      <w:r w:rsidR="002C0446">
        <w:t>C</w:t>
      </w:r>
      <w:r>
        <w:t xml:space="preserve">ommanditaire un </w:t>
      </w:r>
      <w:r w:rsidR="002C0446">
        <w:t>avis juridique</w:t>
      </w:r>
      <w:r>
        <w:t xml:space="preserve">, lequel avis et </w:t>
      </w:r>
      <w:r w:rsidR="002C0446">
        <w:t>avocat</w:t>
      </w:r>
      <w:r>
        <w:t xml:space="preserve"> </w:t>
      </w:r>
      <w:r w:rsidR="002C0446">
        <w:t>doivent</w:t>
      </w:r>
      <w:r>
        <w:t xml:space="preserve"> être raisonnablement satisfaisant</w:t>
      </w:r>
      <w:r w:rsidR="002C0446">
        <w:t>s</w:t>
      </w:r>
      <w:r>
        <w:t xml:space="preserve"> pour le </w:t>
      </w:r>
      <w:r w:rsidR="002C0446">
        <w:t>C</w:t>
      </w:r>
      <w:r>
        <w:t xml:space="preserve">ommanditaire, confirmant que la participation de ce </w:t>
      </w:r>
      <w:r w:rsidR="002C0446">
        <w:t>C</w:t>
      </w:r>
      <w:r>
        <w:t>ommanditaire à l</w:t>
      </w:r>
      <w:r w:rsidR="00E27310">
        <w:t>’</w:t>
      </w:r>
      <w:r>
        <w:t>investissement pertinent est raisonnablement susceptible d</w:t>
      </w:r>
      <w:r w:rsidR="00E27310">
        <w:t>’</w:t>
      </w:r>
      <w:r>
        <w:t xml:space="preserve">entraîner un </w:t>
      </w:r>
      <w:r w:rsidR="002C0446">
        <w:t>E</w:t>
      </w:r>
      <w:r>
        <w:t>ffet défavorable important.</w:t>
      </w:r>
      <w:bookmarkEnd w:id="327"/>
    </w:p>
    <w:p w:rsidRPr="00F94B84" w:rsidR="0000160C" w:rsidRDefault="00C517ED" w14:paraId="1AE453DB" w14:textId="2606130E">
      <w:pPr>
        <w:pStyle w:val="ArtBJStyL3"/>
        <w:rPr>
          <w:lang w:val="fr-CA"/>
        </w:rPr>
      </w:pPr>
      <w:bookmarkStart w:name="_Ref113892461" w:id="328"/>
      <w:bookmarkStart w:name="_Ref40801502" w:id="329"/>
      <w:r>
        <w:t xml:space="preserve">Si un </w:t>
      </w:r>
      <w:r w:rsidR="002C0446">
        <w:t>C</w:t>
      </w:r>
      <w:r>
        <w:t xml:space="preserve">ommanditaire est </w:t>
      </w:r>
      <w:r w:rsidR="002C0446">
        <w:t>dispensé</w:t>
      </w:r>
      <w:r>
        <w:t xml:space="preserve"> et ne participe pas à </w:t>
      </w:r>
      <w:r w:rsidR="002C0446">
        <w:t>la totalité ou une partie</w:t>
      </w:r>
      <w:r>
        <w:t xml:space="preserve"> d</w:t>
      </w:r>
      <w:r w:rsidR="00E27310">
        <w:t>’</w:t>
      </w:r>
      <w:r>
        <w:t>un investissement conformément à l</w:t>
      </w:r>
      <w:r w:rsidR="00E27310">
        <w:t>’</w:t>
      </w:r>
      <w:r>
        <w:t>article </w:t>
      </w:r>
      <w:r w:rsidRPr="006400F9">
        <w:fldChar w:fldCharType="begin"/>
      </w:r>
      <w:r w:rsidRPr="006400F9">
        <w:instrText xml:space="preserve"> REF _Ref40803376 \w \h </w:instrText>
      </w:r>
      <w:r w:rsidRPr="006400F9" w:rsidR="00791303">
        <w:instrText xml:space="preserve"> \* MERGEFORMAT </w:instrText>
      </w:r>
      <w:r w:rsidRPr="006400F9">
        <w:fldChar w:fldCharType="separate"/>
      </w:r>
      <w:r w:rsidR="00B50BE2">
        <w:t>6.7(a)</w:t>
      </w:r>
      <w:r w:rsidRPr="006400F9">
        <w:fldChar w:fldCharType="end"/>
      </w:r>
      <w:r>
        <w:t xml:space="preserve"> (</w:t>
      </w:r>
      <w:r w:rsidRPr="006A3B29" w:rsidR="006A3B29">
        <w:rPr>
          <w:i/>
          <w:lang w:val="en-AU"/>
        </w:rPr>
        <w:fldChar w:fldCharType="begin"/>
      </w:r>
      <w:r w:rsidRPr="00F94B84" w:rsidR="006A3B29">
        <w:rPr>
          <w:i/>
          <w:lang w:val="fr-CA"/>
        </w:rPr>
        <w:instrText xml:space="preserve"> REF _Ref40802008 \h  \* MERGEFORMAT </w:instrText>
      </w:r>
      <w:r w:rsidRPr="006A3B29" w:rsidR="006A3B29">
        <w:rPr>
          <w:i/>
          <w:lang w:val="en-AU"/>
        </w:rPr>
      </w:r>
      <w:r w:rsidRPr="006A3B29" w:rsidR="006A3B29">
        <w:rPr>
          <w:i/>
          <w:lang w:val="en-AU"/>
        </w:rPr>
        <w:fldChar w:fldCharType="separate"/>
      </w:r>
      <w:r w:rsidRPr="00B50BE2" w:rsidR="00B50BE2">
        <w:rPr>
          <w:i/>
        </w:rPr>
        <w:t>Commanditaires dispensés.</w:t>
      </w:r>
      <w:r w:rsidRPr="006A3B29" w:rsidR="006A3B29">
        <w:rPr>
          <w:i/>
          <w:lang w:val="en-AU"/>
        </w:rPr>
        <w:fldChar w:fldCharType="end"/>
      </w:r>
      <w:r>
        <w:t xml:space="preserve">), ce </w:t>
      </w:r>
      <w:r w:rsidR="002C0446">
        <w:t>C</w:t>
      </w:r>
      <w:r>
        <w:t xml:space="preserve">ommanditaire sera un </w:t>
      </w:r>
      <w:r w:rsidR="00353884">
        <w:t>« </w:t>
      </w:r>
      <w:r w:rsidRPr="00353884" w:rsidR="00353884">
        <w:rPr>
          <w:b/>
          <w:bCs/>
        </w:rPr>
        <w:t>C</w:t>
      </w:r>
      <w:r w:rsidRPr="00353884">
        <w:rPr>
          <w:b/>
          <w:bCs/>
        </w:rPr>
        <w:t>ommanditaire</w:t>
      </w:r>
      <w:r>
        <w:t xml:space="preserve"> </w:t>
      </w:r>
      <w:r w:rsidR="00353884">
        <w:rPr>
          <w:b/>
        </w:rPr>
        <w:t>dispensé</w:t>
      </w:r>
      <w:r>
        <w:t xml:space="preserve"> » et :</w:t>
      </w:r>
      <w:bookmarkEnd w:id="328"/>
      <w:bookmarkEnd w:id="329"/>
    </w:p>
    <w:p w:rsidR="0000160C" w:rsidRDefault="00C517ED" w14:paraId="4471AE35" w14:textId="5E8C68A4">
      <w:pPr>
        <w:pStyle w:val="ArtBJStyL4"/>
      </w:pPr>
      <w:bookmarkStart w:name="_Ref113892462" w:id="330"/>
      <w:proofErr w:type="gramStart"/>
      <w:r>
        <w:t>si</w:t>
      </w:r>
      <w:proofErr w:type="gramEnd"/>
      <w:r>
        <w:t xml:space="preserve"> l</w:t>
      </w:r>
      <w:r w:rsidR="00E27310">
        <w:t>’</w:t>
      </w:r>
      <w:r w:rsidR="002C0446">
        <w:t>A</w:t>
      </w:r>
      <w:r>
        <w:t xml:space="preserve">pport </w:t>
      </w:r>
      <w:r w:rsidR="002C0446">
        <w:t>de</w:t>
      </w:r>
      <w:r>
        <w:t xml:space="preserve"> capital pertinent a été </w:t>
      </w:r>
      <w:r w:rsidR="002C0446">
        <w:t>versé</w:t>
      </w:r>
      <w:r>
        <w:t xml:space="preserve"> </w:t>
      </w:r>
      <w:r w:rsidR="002C0446">
        <w:t>par</w:t>
      </w:r>
      <w:r>
        <w:t xml:space="preserve"> le </w:t>
      </w:r>
      <w:r w:rsidR="002C0446">
        <w:t>Commanditaire dispensé</w:t>
      </w:r>
      <w:r>
        <w:t xml:space="preserve">, ou si le montant pertinent a été financé à partir des </w:t>
      </w:r>
      <w:r w:rsidR="002C0446">
        <w:t>P</w:t>
      </w:r>
      <w:r>
        <w:t xml:space="preserve">roduits distribuables </w:t>
      </w:r>
      <w:r w:rsidR="002C0446">
        <w:t>retenus</w:t>
      </w:r>
      <w:r>
        <w:t xml:space="preserve"> conformément à </w:t>
      </w:r>
      <w:r w:rsidR="002C0446">
        <w:t>l’article</w:t>
      </w:r>
      <w:r>
        <w:t>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B50BE2">
        <w:t>6.4</w:t>
      </w:r>
      <w:r w:rsidRPr="006400F9">
        <w:fldChar w:fldCharType="end"/>
      </w:r>
      <w:r>
        <w:t xml:space="preserve"> (</w:t>
      </w:r>
      <w:r w:rsidRPr="006A3B29" w:rsidR="006A3B29">
        <w:rPr>
          <w:i/>
        </w:rPr>
        <w:fldChar w:fldCharType="begin"/>
      </w:r>
      <w:r w:rsidRPr="006A3B29" w:rsidR="006A3B29">
        <w:rPr>
          <w:i/>
        </w:rPr>
        <w:instrText xml:space="preserve"> REF _Ref40802292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Réinvestissement.</w:t>
      </w:r>
      <w:r w:rsidRPr="006A3B29" w:rsidR="006A3B29">
        <w:rPr>
          <w:i/>
        </w:rPr>
        <w:fldChar w:fldCharType="end"/>
      </w:r>
      <w:r>
        <w:t xml:space="preserve">), le </w:t>
      </w:r>
      <w:r w:rsidR="002C0446">
        <w:t>Commanditaire dispensé</w:t>
      </w:r>
      <w:r>
        <w:t xml:space="preserve"> doit être remboursé de ce montant dans </w:t>
      </w:r>
      <w:r w:rsidR="0033167C">
        <w:t>les</w:t>
      </w:r>
      <w:r>
        <w:t xml:space="preserve"> </w:t>
      </w:r>
      <w:r>
        <w:rPr>
          <w:b/>
          <w:highlight w:val="yellow"/>
        </w:rPr>
        <w:t>[</w:t>
      </w:r>
      <w:r>
        <w:rPr>
          <w:b/>
          <w:bCs/>
          <w:highlight w:val="yellow"/>
        </w:rPr>
        <w:t>10</w:t>
      </w:r>
      <w:r>
        <w:rPr>
          <w:b/>
          <w:highlight w:val="yellow"/>
        </w:rPr>
        <w:t xml:space="preserve"> Jours </w:t>
      </w:r>
      <w:r w:rsidR="002C0446">
        <w:rPr>
          <w:b/>
          <w:highlight w:val="yellow"/>
        </w:rPr>
        <w:t>o</w:t>
      </w:r>
      <w:r>
        <w:rPr>
          <w:b/>
          <w:highlight w:val="yellow"/>
        </w:rPr>
        <w:t>uvrables]</w:t>
      </w:r>
      <w:r>
        <w:t xml:space="preserve"> et ce montant doit être ajouté à l</w:t>
      </w:r>
      <w:r w:rsidR="00E27310">
        <w:t>’</w:t>
      </w:r>
      <w:r>
        <w:t xml:space="preserve">Engagement restant du </w:t>
      </w:r>
      <w:r w:rsidR="0033167C">
        <w:t>Commanditaire dispensé</w:t>
      </w:r>
      <w:r>
        <w:t>;</w:t>
      </w:r>
      <w:bookmarkEnd w:id="330"/>
    </w:p>
    <w:p w:rsidR="0000160C" w:rsidRDefault="00C517ED" w14:paraId="58350331" w14:textId="4DA00DA4">
      <w:pPr>
        <w:pStyle w:val="ArtBJStyL4"/>
      </w:pPr>
      <w:bookmarkStart w:name="_Ref113892463" w:id="331"/>
      <w:proofErr w:type="gramStart"/>
      <w:r>
        <w:t>si</w:t>
      </w:r>
      <w:proofErr w:type="gramEnd"/>
      <w:r>
        <w:t xml:space="preserve"> l</w:t>
      </w:r>
      <w:r w:rsidR="00E27310">
        <w:t>’</w:t>
      </w:r>
      <w:r w:rsidR="0033167C">
        <w:t>A</w:t>
      </w:r>
      <w:r>
        <w:t xml:space="preserve">pport </w:t>
      </w:r>
      <w:r w:rsidR="0033167C">
        <w:t>de</w:t>
      </w:r>
      <w:r>
        <w:t xml:space="preserve"> capital pertinent n</w:t>
      </w:r>
      <w:r w:rsidR="00E27310">
        <w:t>’</w:t>
      </w:r>
      <w:r>
        <w:t xml:space="preserve">a pas été </w:t>
      </w:r>
      <w:r w:rsidR="0033167C">
        <w:t>versé</w:t>
      </w:r>
      <w:r>
        <w:t xml:space="preserve"> </w:t>
      </w:r>
      <w:r w:rsidR="0033167C">
        <w:t>par</w:t>
      </w:r>
      <w:r>
        <w:t xml:space="preserve"> le </w:t>
      </w:r>
      <w:r w:rsidR="002C0446">
        <w:t>Commanditaire dispensé</w:t>
      </w:r>
      <w:r>
        <w:t xml:space="preserve">, le </w:t>
      </w:r>
      <w:r w:rsidR="002C0446">
        <w:t>Commanditaire dispensé</w:t>
      </w:r>
      <w:r>
        <w:t xml:space="preserve"> n</w:t>
      </w:r>
      <w:r w:rsidR="00E27310">
        <w:t>’</w:t>
      </w:r>
      <w:r>
        <w:t>est pas tenu d</w:t>
      </w:r>
      <w:r w:rsidR="00E27310">
        <w:t>’</w:t>
      </w:r>
      <w:r>
        <w:t xml:space="preserve">avancer cet </w:t>
      </w:r>
      <w:r w:rsidR="0033167C">
        <w:t>A</w:t>
      </w:r>
      <w:r>
        <w:t xml:space="preserve">pport </w:t>
      </w:r>
      <w:r w:rsidR="0033167C">
        <w:t>de</w:t>
      </w:r>
      <w:r>
        <w:t xml:space="preserve"> capital et son </w:t>
      </w:r>
      <w:r w:rsidR="0033167C">
        <w:t>E</w:t>
      </w:r>
      <w:r>
        <w:t>ngagement restant n</w:t>
      </w:r>
      <w:r w:rsidR="00E27310">
        <w:t>’</w:t>
      </w:r>
      <w:r>
        <w:t>est pas réduit d</w:t>
      </w:r>
      <w:r w:rsidR="00E27310">
        <w:t>’</w:t>
      </w:r>
      <w:r>
        <w:t>un tel montant;</w:t>
      </w:r>
      <w:bookmarkEnd w:id="331"/>
    </w:p>
    <w:p w:rsidR="0000160C" w:rsidRDefault="00C517ED" w14:paraId="04C843C6" w14:textId="2B76F046">
      <w:pPr>
        <w:pStyle w:val="ArtBJStyL4"/>
      </w:pPr>
      <w:bookmarkStart w:name="_Ref113892464" w:id="332"/>
      <w:proofErr w:type="gramStart"/>
      <w:r>
        <w:t>le</w:t>
      </w:r>
      <w:proofErr w:type="gramEnd"/>
      <w:r>
        <w:t xml:space="preserve"> </w:t>
      </w:r>
      <w:r w:rsidR="0033167C">
        <w:t>Commanditaire dispensé</w:t>
      </w:r>
      <w:r>
        <w:t xml:space="preserve"> </w:t>
      </w:r>
      <w:r w:rsidR="0033167C">
        <w:t xml:space="preserve">ne doit se faire </w:t>
      </w:r>
      <w:r>
        <w:t xml:space="preserve">attribuer aucun distribution, revenu, gain, perte ou </w:t>
      </w:r>
      <w:r w:rsidR="0082726A">
        <w:t>obligation</w:t>
      </w:r>
      <w:r>
        <w:t xml:space="preserve"> (y compris </w:t>
      </w:r>
      <w:r w:rsidR="0033167C">
        <w:t>toute obligation de réavancer</w:t>
      </w:r>
      <w:r>
        <w:t xml:space="preserve"> des </w:t>
      </w:r>
      <w:r w:rsidR="0033167C">
        <w:t>distributions</w:t>
      </w:r>
      <w:r>
        <w:t xml:space="preserve"> conformément à </w:t>
      </w:r>
      <w:r w:rsidR="0033167C">
        <w:t>l’article</w:t>
      </w:r>
      <w:r>
        <w:t>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sidRPr="006A3B29" w:rsidR="006A3B29">
        <w:rPr>
          <w:i/>
        </w:rPr>
        <w:fldChar w:fldCharType="begin"/>
      </w:r>
      <w:r w:rsidRPr="006A3B29" w:rsidR="006A3B29">
        <w:rPr>
          <w:i/>
        </w:rPr>
        <w:instrText xml:space="preserve"> REF _Ref40803097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Restitution par les Commanditaires.</w:t>
      </w:r>
      <w:r w:rsidRPr="006A3B29" w:rsidR="006A3B29">
        <w:rPr>
          <w:i/>
        </w:rPr>
        <w:fldChar w:fldCharType="end"/>
      </w:r>
      <w:r>
        <w:t xml:space="preserve">)) qui est attribuable </w:t>
      </w:r>
      <w:r w:rsidR="0033167C">
        <w:t>à la totalité ou une partie</w:t>
      </w:r>
      <w:r>
        <w:t xml:space="preserve"> d</w:t>
      </w:r>
      <w:r w:rsidR="00E27310">
        <w:t>’</w:t>
      </w:r>
      <w:r>
        <w:t>un Investissement de portefeuille auquel il ne participe pas;</w:t>
      </w:r>
      <w:bookmarkEnd w:id="332"/>
    </w:p>
    <w:p w:rsidR="0000160C" w:rsidRDefault="00C517ED" w14:paraId="11DCB5A9" w14:textId="21B74B26">
      <w:pPr>
        <w:pStyle w:val="ArtBJStyL4"/>
      </w:pPr>
      <w:bookmarkStart w:name="_Ref113892465" w:id="333"/>
      <w:proofErr w:type="gramStart"/>
      <w:r>
        <w:t>ni</w:t>
      </w:r>
      <w:proofErr w:type="gramEnd"/>
      <w:r>
        <w:t xml:space="preserve"> l</w:t>
      </w:r>
      <w:r w:rsidR="00E27310">
        <w:t>’</w:t>
      </w:r>
      <w:r w:rsidR="0033167C">
        <w:t>E</w:t>
      </w:r>
      <w:r>
        <w:t>ngagement ni l</w:t>
      </w:r>
      <w:r w:rsidR="00E27310">
        <w:t>’</w:t>
      </w:r>
      <w:r w:rsidR="0033167C">
        <w:t>E</w:t>
      </w:r>
      <w:r>
        <w:t>ngagement restant d</w:t>
      </w:r>
      <w:r w:rsidR="00E27310">
        <w:t>’</w:t>
      </w:r>
      <w:r>
        <w:t xml:space="preserve">un </w:t>
      </w:r>
      <w:r w:rsidR="0033167C">
        <w:t>Commanditaire dispensé</w:t>
      </w:r>
      <w:r>
        <w:t xml:space="preserve"> ne </w:t>
      </w:r>
      <w:r w:rsidR="0033167C">
        <w:t>doivent</w:t>
      </w:r>
      <w:r>
        <w:t xml:space="preserve"> être réduits en raison d</w:t>
      </w:r>
      <w:r w:rsidR="00E27310">
        <w:t>’</w:t>
      </w:r>
      <w:r>
        <w:t xml:space="preserve">une </w:t>
      </w:r>
      <w:r w:rsidR="0033167C">
        <w:t>dispensé</w:t>
      </w:r>
      <w:r>
        <w:t xml:space="preserve"> envisagée en vertu </w:t>
      </w:r>
      <w:r w:rsidR="0033167C">
        <w:t>du présent article</w:t>
      </w:r>
      <w:r>
        <w:t> </w:t>
      </w:r>
      <w:r w:rsidRPr="00E9050E">
        <w:fldChar w:fldCharType="begin"/>
      </w:r>
      <w:r w:rsidRPr="00E9050E">
        <w:instrText xml:space="preserve"> REF _Ref40802008 \r \h </w:instrText>
      </w:r>
      <w:r w:rsidRPr="00E9050E" w:rsidR="00791303">
        <w:instrText xml:space="preserve"> \* MERGEFORMAT </w:instrText>
      </w:r>
      <w:r w:rsidRPr="00E9050E">
        <w:fldChar w:fldCharType="separate"/>
      </w:r>
      <w:r w:rsidR="00B50BE2">
        <w:t>6.7</w:t>
      </w:r>
      <w:r w:rsidRPr="00E9050E">
        <w:fldChar w:fldCharType="end"/>
      </w:r>
      <w:r>
        <w:t xml:space="preserve"> (</w:t>
      </w:r>
      <w:r w:rsidRPr="006A3B29" w:rsidR="006A3B29">
        <w:rPr>
          <w:i/>
          <w:lang w:val="en-AU"/>
        </w:rPr>
        <w:fldChar w:fldCharType="begin"/>
      </w:r>
      <w:r w:rsidRPr="00F94B84" w:rsidR="006A3B29">
        <w:rPr>
          <w:i/>
          <w:lang w:val="fr-CA"/>
        </w:rPr>
        <w:instrText xml:space="preserve"> REF _Ref40802008 \h  \* MERGEFORMAT </w:instrText>
      </w:r>
      <w:r w:rsidRPr="006A3B29" w:rsidR="006A3B29">
        <w:rPr>
          <w:i/>
          <w:lang w:val="en-AU"/>
        </w:rPr>
      </w:r>
      <w:r w:rsidRPr="006A3B29" w:rsidR="006A3B29">
        <w:rPr>
          <w:i/>
          <w:lang w:val="en-AU"/>
        </w:rPr>
        <w:fldChar w:fldCharType="separate"/>
      </w:r>
      <w:r w:rsidRPr="00B50BE2" w:rsidR="00B50BE2">
        <w:rPr>
          <w:i/>
        </w:rPr>
        <w:t>Commanditaires dispensés.</w:t>
      </w:r>
      <w:r w:rsidRPr="006A3B29" w:rsidR="006A3B29">
        <w:rPr>
          <w:i/>
          <w:lang w:val="en-AU"/>
        </w:rPr>
        <w:fldChar w:fldCharType="end"/>
      </w:r>
      <w:r>
        <w:t>);</w:t>
      </w:r>
      <w:bookmarkEnd w:id="333"/>
    </w:p>
    <w:p w:rsidR="0000160C" w:rsidRDefault="00C517ED" w14:paraId="5B31C6BF" w14:textId="450EC4F2">
      <w:pPr>
        <w:pStyle w:val="ArtBJStyL4"/>
      </w:pPr>
      <w:bookmarkStart w:name="_Ref113892466" w:id="334"/>
      <w:proofErr w:type="gramStart"/>
      <w:r>
        <w:t>le</w:t>
      </w:r>
      <w:proofErr w:type="gramEnd"/>
      <w:r>
        <w:t xml:space="preserve"> </w:t>
      </w:r>
      <w:r w:rsidR="0033167C">
        <w:t>Commanditaire dispensé</w:t>
      </w:r>
      <w:r>
        <w:t xml:space="preserve"> continue d</w:t>
      </w:r>
      <w:r w:rsidR="00E27310">
        <w:t>’</w:t>
      </w:r>
      <w:r>
        <w:t>être tenu de participer au Fonds et d</w:t>
      </w:r>
      <w:r w:rsidR="00E27310">
        <w:t>’</w:t>
      </w:r>
      <w:r>
        <w:t xml:space="preserve">y contribuer </w:t>
      </w:r>
      <w:r w:rsidR="0038377E">
        <w:t>à l’égard</w:t>
      </w:r>
      <w:r>
        <w:t xml:space="preserve"> </w:t>
      </w:r>
      <w:r w:rsidR="0038377E">
        <w:t>d</w:t>
      </w:r>
      <w:r>
        <w:t xml:space="preserve">es </w:t>
      </w:r>
      <w:r w:rsidR="0038377E">
        <w:t>I</w:t>
      </w:r>
      <w:r>
        <w:t xml:space="preserve">nvestissements de portefeuille, les </w:t>
      </w:r>
      <w:r w:rsidR="0038377E">
        <w:t>D</w:t>
      </w:r>
      <w:r>
        <w:t xml:space="preserve">épenses </w:t>
      </w:r>
      <w:r w:rsidR="0038377E">
        <w:t>du</w:t>
      </w:r>
      <w:r>
        <w:t xml:space="preserve"> </w:t>
      </w:r>
      <w:r w:rsidR="0038377E">
        <w:t>F</w:t>
      </w:r>
      <w:r>
        <w:t xml:space="preserve">onds et les </w:t>
      </w:r>
      <w:r w:rsidR="00D062E3">
        <w:t>Dépenses organisationnelles</w:t>
      </w:r>
      <w:r>
        <w:t xml:space="preserve">, mais non </w:t>
      </w:r>
      <w:r w:rsidR="0038377E">
        <w:t>des</w:t>
      </w:r>
      <w:r>
        <w:t xml:space="preserve"> </w:t>
      </w:r>
      <w:r w:rsidR="0038377E">
        <w:t>I</w:t>
      </w:r>
      <w:r>
        <w:t xml:space="preserve">nvestissements de suivi ou </w:t>
      </w:r>
      <w:r w:rsidR="0038377E">
        <w:t>des</w:t>
      </w:r>
      <w:r>
        <w:t xml:space="preserve"> </w:t>
      </w:r>
      <w:r w:rsidR="0038377E">
        <w:t>D</w:t>
      </w:r>
      <w:r>
        <w:t>épenses d</w:t>
      </w:r>
      <w:r w:rsidR="0038377E">
        <w:t>u</w:t>
      </w:r>
      <w:r>
        <w:t xml:space="preserve"> fonds </w:t>
      </w:r>
      <w:r w:rsidR="0038377E">
        <w:t>à l’égard</w:t>
      </w:r>
      <w:r>
        <w:t xml:space="preserve"> </w:t>
      </w:r>
      <w:r w:rsidR="0038377E">
        <w:t>de</w:t>
      </w:r>
      <w:r>
        <w:t xml:space="preserve"> l</w:t>
      </w:r>
      <w:r w:rsidR="00E27310">
        <w:t>’</w:t>
      </w:r>
      <w:r w:rsidR="0038377E">
        <w:t>I</w:t>
      </w:r>
      <w:r>
        <w:t xml:space="preserve">nvestissement initial </w:t>
      </w:r>
      <w:r w:rsidR="0038377E">
        <w:t>ou d’une</w:t>
      </w:r>
      <w:r>
        <w:t xml:space="preserve"> partie de celui-ci </w:t>
      </w:r>
      <w:r w:rsidR="0038377E">
        <w:t>pour</w:t>
      </w:r>
      <w:r>
        <w:t xml:space="preserve"> </w:t>
      </w:r>
      <w:r w:rsidR="0038377E">
        <w:t>lequel</w:t>
      </w:r>
      <w:r>
        <w:t xml:space="preserve"> il est un </w:t>
      </w:r>
      <w:r w:rsidR="0038377E">
        <w:t>Commanditaire dispensé</w:t>
      </w:r>
      <w:r>
        <w:t>;</w:t>
      </w:r>
      <w:bookmarkEnd w:id="334"/>
    </w:p>
    <w:p w:rsidR="0000160C" w:rsidRDefault="00C517ED" w14:paraId="1FA269A0" w14:textId="4032DE66">
      <w:pPr>
        <w:pStyle w:val="ArtBJStyL4"/>
      </w:pPr>
      <w:bookmarkStart w:name="_Ref113892467" w:id="335"/>
      <w:r>
        <w:t xml:space="preserve">le </w:t>
      </w:r>
      <w:r w:rsidR="0038377E">
        <w:t>C</w:t>
      </w:r>
      <w:r>
        <w:t xml:space="preserve">ommandité peut choisir </w:t>
      </w:r>
      <w:r w:rsidR="0038377E">
        <w:t>de faire en sorte que</w:t>
      </w:r>
      <w:r>
        <w:t xml:space="preserve"> le Fonds </w:t>
      </w:r>
      <w:r w:rsidR="0038377E">
        <w:t>fasse</w:t>
      </w:r>
      <w:r>
        <w:t xml:space="preserve"> un tel </w:t>
      </w:r>
      <w:r w:rsidR="0038377E">
        <w:t>Investissement</w:t>
      </w:r>
      <w:r>
        <w:t xml:space="preserve"> de portefeuille sans la participation du </w:t>
      </w:r>
      <w:r w:rsidR="0038377E">
        <w:t>Commanditaire dispensé</w:t>
      </w:r>
      <w:r>
        <w:t xml:space="preserve"> ou de ne </w:t>
      </w:r>
      <w:r w:rsidR="0038377E">
        <w:t>pas faire cet Investissement</w:t>
      </w:r>
      <w:r>
        <w:t xml:space="preserve"> de portefeuille, et si le </w:t>
      </w:r>
      <w:r w:rsidR="0038377E">
        <w:t>Co</w:t>
      </w:r>
      <w:r>
        <w:t xml:space="preserve">mmandité choisit </w:t>
      </w:r>
      <w:r w:rsidR="0038377E">
        <w:t>de faire en sorte que</w:t>
      </w:r>
      <w:r>
        <w:t xml:space="preserve"> le Fonds </w:t>
      </w:r>
      <w:r w:rsidR="0038377E">
        <w:t>fasse</w:t>
      </w:r>
      <w:r>
        <w:t xml:space="preserve"> un tel </w:t>
      </w:r>
      <w:r w:rsidR="0038377E">
        <w:t>I</w:t>
      </w:r>
      <w:r>
        <w:t xml:space="preserve">nvestissement de portefeuille, le </w:t>
      </w:r>
      <w:r w:rsidR="0038377E">
        <w:t>C</w:t>
      </w:r>
      <w:r>
        <w:t xml:space="preserve">ommandité peut émettre un </w:t>
      </w:r>
      <w:r w:rsidR="003F4BE6">
        <w:t>Avis d’appel de versement</w:t>
      </w:r>
      <w:r>
        <w:t xml:space="preserve"> révisé aux autres </w:t>
      </w:r>
      <w:r w:rsidR="0038377E">
        <w:t>Commanditaires</w:t>
      </w:r>
      <w:r>
        <w:t xml:space="preserve"> afin d</w:t>
      </w:r>
      <w:r w:rsidR="00E27310">
        <w:t>’</w:t>
      </w:r>
      <w:r>
        <w:t xml:space="preserve">augmenter les </w:t>
      </w:r>
      <w:r w:rsidR="0038377E">
        <w:t>Apports</w:t>
      </w:r>
      <w:r>
        <w:t xml:space="preserve"> </w:t>
      </w:r>
      <w:r w:rsidR="0038377E">
        <w:t>de</w:t>
      </w:r>
      <w:r>
        <w:t xml:space="preserve"> capital </w:t>
      </w:r>
      <w:r w:rsidR="0038377E">
        <w:t>à l’égard d’</w:t>
      </w:r>
      <w:r>
        <w:t xml:space="preserve">un tel </w:t>
      </w:r>
      <w:r w:rsidR="0038377E">
        <w:t>I</w:t>
      </w:r>
      <w:r>
        <w:t xml:space="preserve">nvestissement de portefeuille de la part de ces autres </w:t>
      </w:r>
      <w:r w:rsidR="0038377E">
        <w:t>Commanditaires</w:t>
      </w:r>
      <w:r>
        <w:t xml:space="preserve"> </w:t>
      </w:r>
      <w:r w:rsidR="0038377E">
        <w:t>en proportion</w:t>
      </w:r>
      <w:r>
        <w:t xml:space="preserve"> </w:t>
      </w:r>
      <w:r w:rsidR="0038377E">
        <w:t>de</w:t>
      </w:r>
      <w:r>
        <w:t xml:space="preserve"> leurs </w:t>
      </w:r>
      <w:r w:rsidR="0038377E">
        <w:t>E</w:t>
      </w:r>
      <w:r>
        <w:t>ngagements restants dans la mesure nécessaire pour financer le montant</w:t>
      </w:r>
      <w:bookmarkStart w:name="_Ref113892835" w:id="336"/>
      <w:r w:rsidR="0038377E">
        <w:t xml:space="preserve"> dispensé</w:t>
      </w:r>
      <w:r>
        <w:rPr>
          <w:szCs w:val="22"/>
          <w:vertAlign w:val="superscript"/>
        </w:rPr>
        <w:footnoteReference w:id="89"/>
      </w:r>
      <w:bookmarkEnd w:id="336"/>
      <w:r>
        <w:t>; et</w:t>
      </w:r>
      <w:bookmarkEnd w:id="335"/>
    </w:p>
    <w:p w:rsidR="0000160C" w:rsidRDefault="00C517ED" w14:paraId="34BAE99B" w14:textId="7A264687">
      <w:pPr>
        <w:pStyle w:val="ArtBJStyL4"/>
      </w:pPr>
      <w:bookmarkStart w:name="_Ref113892468" w:id="337"/>
      <w:proofErr w:type="gramStart"/>
      <w:r>
        <w:lastRenderedPageBreak/>
        <w:t>le</w:t>
      </w:r>
      <w:proofErr w:type="gramEnd"/>
      <w:r>
        <w:t xml:space="preserve"> </w:t>
      </w:r>
      <w:r w:rsidR="0038377E">
        <w:t>C</w:t>
      </w:r>
      <w:r>
        <w:t xml:space="preserve">ommandité peut </w:t>
      </w:r>
      <w:r w:rsidR="0038377E">
        <w:t>faire les ajustements raisonnables</w:t>
      </w:r>
      <w:r>
        <w:t xml:space="preserve"> aux comptes des </w:t>
      </w:r>
      <w:r w:rsidR="0038377E">
        <w:t>A</w:t>
      </w:r>
      <w:r>
        <w:t xml:space="preserve">ssociés qui sont nécessaires pour </w:t>
      </w:r>
      <w:r w:rsidR="00730E27">
        <w:t xml:space="preserve">les </w:t>
      </w:r>
      <w:r>
        <w:t xml:space="preserve">traiter équitablement entre eux en ce qui concerne un </w:t>
      </w:r>
      <w:r w:rsidR="0038377E">
        <w:t>Commanditaire dispensé</w:t>
      </w:r>
      <w:r>
        <w:t>.</w:t>
      </w:r>
      <w:bookmarkEnd w:id="337"/>
    </w:p>
    <w:p w:rsidRPr="00F94B84" w:rsidR="0000160C" w:rsidRDefault="00C517ED" w14:paraId="01A0A7EB" w14:textId="2BD1558E">
      <w:pPr>
        <w:pStyle w:val="ArtBJStyL3"/>
        <w:rPr>
          <w:lang w:val="fr-CA"/>
        </w:rPr>
      </w:pPr>
      <w:bookmarkStart w:name="_Ref113892469" w:id="338"/>
      <w:r>
        <w:t xml:space="preserve">Aucun </w:t>
      </w:r>
      <w:r w:rsidR="0038377E">
        <w:t>C</w:t>
      </w:r>
      <w:r>
        <w:t xml:space="preserve">ommanditaire ne sera un </w:t>
      </w:r>
      <w:r w:rsidR="0038377E">
        <w:t>A</w:t>
      </w:r>
      <w:r>
        <w:t xml:space="preserve">ssocié défaillant relativement à </w:t>
      </w:r>
      <w:r w:rsidR="0038377E">
        <w:t>un Apport de</w:t>
      </w:r>
      <w:r>
        <w:t xml:space="preserve"> capital à l</w:t>
      </w:r>
      <w:r w:rsidR="00E27310">
        <w:t>’</w:t>
      </w:r>
      <w:r>
        <w:t>égard d</w:t>
      </w:r>
      <w:r w:rsidR="0038377E">
        <w:t xml:space="preserve">uquel </w:t>
      </w:r>
      <w:r>
        <w:t xml:space="preserve">il est un </w:t>
      </w:r>
      <w:r w:rsidR="002C0446">
        <w:t>Commanditaire dispensé</w:t>
      </w:r>
      <w:r>
        <w:t xml:space="preserve"> en vertu du présent article </w:t>
      </w:r>
      <w:r w:rsidRPr="00E9050E" w:rsidR="0044140B">
        <w:rPr>
          <w:lang w:val="en-AU"/>
        </w:rPr>
        <w:fldChar w:fldCharType="begin"/>
      </w:r>
      <w:r w:rsidRPr="00F94B84" w:rsidR="0044140B">
        <w:rPr>
          <w:lang w:val="fr-CA"/>
        </w:rPr>
        <w:instrText xml:space="preserve"> REF _Ref40802008 \w \h </w:instrText>
      </w:r>
      <w:r w:rsidRPr="00F94B84" w:rsidR="00791303">
        <w:rPr>
          <w:lang w:val="fr-CA"/>
        </w:rPr>
        <w:instrText xml:space="preserve"> \* MERGEFORMAT </w:instrText>
      </w:r>
      <w:r w:rsidRPr="00E9050E" w:rsidR="0044140B">
        <w:rPr>
          <w:lang w:val="en-AU"/>
        </w:rPr>
      </w:r>
      <w:r w:rsidRPr="00E9050E" w:rsidR="0044140B">
        <w:rPr>
          <w:lang w:val="en-AU"/>
        </w:rPr>
        <w:fldChar w:fldCharType="separate"/>
      </w:r>
      <w:r w:rsidRPr="00B50BE2" w:rsidR="00B50BE2">
        <w:t>6.7</w:t>
      </w:r>
      <w:r w:rsidRPr="00E9050E" w:rsidR="0044140B">
        <w:rPr>
          <w:lang w:val="en-AU"/>
        </w:rPr>
        <w:fldChar w:fldCharType="end"/>
      </w:r>
      <w:r>
        <w:t xml:space="preserve"> (</w:t>
      </w:r>
      <w:r w:rsidRPr="006A3B29" w:rsidR="006A3B29">
        <w:rPr>
          <w:i/>
          <w:lang w:val="en-AU"/>
        </w:rPr>
        <w:fldChar w:fldCharType="begin"/>
      </w:r>
      <w:r w:rsidRPr="00F94B84" w:rsidR="006A3B29">
        <w:rPr>
          <w:i/>
          <w:lang w:val="fr-CA"/>
        </w:rPr>
        <w:instrText xml:space="preserve"> REF _Ref40802008 \h  \* MERGEFORMAT </w:instrText>
      </w:r>
      <w:r w:rsidRPr="006A3B29" w:rsidR="006A3B29">
        <w:rPr>
          <w:i/>
          <w:lang w:val="en-AU"/>
        </w:rPr>
      </w:r>
      <w:r w:rsidRPr="006A3B29" w:rsidR="006A3B29">
        <w:rPr>
          <w:i/>
          <w:lang w:val="en-AU"/>
        </w:rPr>
        <w:fldChar w:fldCharType="separate"/>
      </w:r>
      <w:r w:rsidRPr="00B50BE2" w:rsidR="00B50BE2">
        <w:rPr>
          <w:i/>
        </w:rPr>
        <w:t>Commanditaires dispensés.</w:t>
      </w:r>
      <w:r w:rsidRPr="006A3B29" w:rsidR="006A3B29">
        <w:rPr>
          <w:i/>
          <w:lang w:val="en-AU"/>
        </w:rPr>
        <w:fldChar w:fldCharType="end"/>
      </w:r>
      <w:r>
        <w:t>).</w:t>
      </w:r>
      <w:bookmarkEnd w:id="338"/>
    </w:p>
    <w:p w:rsidR="0000160C" w:rsidRDefault="00C517ED" w14:paraId="0B56963A" w14:textId="77777777">
      <w:pPr>
        <w:pStyle w:val="ArtBJStyL1"/>
      </w:pPr>
      <w:r>
        <w:br/>
      </w:r>
      <w:bookmarkStart w:name="_Ref40807113" w:id="339"/>
      <w:bookmarkStart w:name="_Toc161762341" w:id="340"/>
      <w:r>
        <w:t>Investissements</w:t>
      </w:r>
      <w:bookmarkEnd w:id="339"/>
      <w:bookmarkEnd w:id="340"/>
    </w:p>
    <w:p w:rsidR="0000160C" w:rsidRDefault="00C517ED" w14:paraId="13CDD6DD" w14:textId="5B6497BB">
      <w:pPr>
        <w:pStyle w:val="ArtBJStyL2"/>
      </w:pPr>
      <w:bookmarkStart w:name="_Ref40802598" w:id="341"/>
      <w:bookmarkStart w:name="_Toc161762342" w:id="342"/>
      <w:r>
        <w:t>Restrictions à l</w:t>
      </w:r>
      <w:r w:rsidR="00E27310">
        <w:t>’</w:t>
      </w:r>
      <w:r>
        <w:t>investissement.</w:t>
      </w:r>
      <w:bookmarkEnd w:id="341"/>
      <w:bookmarkEnd w:id="342"/>
    </w:p>
    <w:p w:rsidR="0000160C" w:rsidRDefault="00C517ED" w14:paraId="5AB88635" w14:textId="72849276">
      <w:pPr>
        <w:pStyle w:val="ArtBJStyL3"/>
      </w:pPr>
      <w:bookmarkStart w:name="_Ref113892470" w:id="343"/>
      <w:r>
        <w:t xml:space="preserve">Le Fonds </w:t>
      </w:r>
      <w:r w:rsidR="0038377E">
        <w:t>doit faire</w:t>
      </w:r>
      <w:r>
        <w:t xml:space="preserve"> des </w:t>
      </w:r>
      <w:r w:rsidR="0038377E">
        <w:t>I</w:t>
      </w:r>
      <w:r>
        <w:t>nvestissements de portefeuille que s</w:t>
      </w:r>
      <w:r w:rsidR="00E27310">
        <w:t>’</w:t>
      </w:r>
      <w:r>
        <w:t xml:space="preserve">ils sont conformes à </w:t>
      </w:r>
      <w:r>
        <w:rPr>
          <w:b/>
          <w:highlight w:val="yellow"/>
        </w:rPr>
        <w:t xml:space="preserve">[la </w:t>
      </w:r>
      <w:r w:rsidR="0038377E">
        <w:rPr>
          <w:b/>
          <w:highlight w:val="yellow"/>
        </w:rPr>
        <w:t>P</w:t>
      </w:r>
      <w:r>
        <w:rPr>
          <w:b/>
          <w:highlight w:val="yellow"/>
        </w:rPr>
        <w:t>olitique d</w:t>
      </w:r>
      <w:r w:rsidR="00E27310">
        <w:rPr>
          <w:b/>
          <w:highlight w:val="yellow"/>
        </w:rPr>
        <w:t>’</w:t>
      </w:r>
      <w:r>
        <w:rPr>
          <w:b/>
          <w:highlight w:val="yellow"/>
        </w:rPr>
        <w:t xml:space="preserve">investissement, le cas échéant, adoptée par le </w:t>
      </w:r>
      <w:r w:rsidR="0038377E">
        <w:rPr>
          <w:b/>
          <w:highlight w:val="yellow"/>
        </w:rPr>
        <w:t>Co</w:t>
      </w:r>
      <w:r>
        <w:rPr>
          <w:b/>
          <w:highlight w:val="yellow"/>
        </w:rPr>
        <w:t xml:space="preserve">mmandité ou le </w:t>
      </w:r>
      <w:r w:rsidR="0038377E">
        <w:rPr>
          <w:b/>
          <w:highlight w:val="yellow"/>
        </w:rPr>
        <w:t>G</w:t>
      </w:r>
      <w:r>
        <w:rPr>
          <w:b/>
          <w:highlight w:val="yellow"/>
        </w:rPr>
        <w:t>estionnaire et</w:t>
      </w:r>
      <w:r w:rsidR="0038377E">
        <w:rPr>
          <w:b/>
          <w:highlight w:val="yellow"/>
        </w:rPr>
        <w:t xml:space="preserve"> à]</w:t>
      </w:r>
      <w:r w:rsidRPr="0038377E">
        <w:rPr>
          <w:bCs/>
        </w:rPr>
        <w:t xml:space="preserve"> l</w:t>
      </w:r>
      <w:r w:rsidR="0038377E">
        <w:rPr>
          <w:bCs/>
        </w:rPr>
        <w:t xml:space="preserve">’article </w:t>
      </w:r>
      <w:r w:rsidRPr="006400F9">
        <w:fldChar w:fldCharType="begin"/>
      </w:r>
      <w:r w:rsidRPr="006400F9">
        <w:instrText xml:space="preserve"> REF _Ref40803445 \w \h </w:instrText>
      </w:r>
      <w:r w:rsidRPr="006400F9" w:rsidR="00791303">
        <w:instrText xml:space="preserve"> \* MERGEFORMAT </w:instrText>
      </w:r>
      <w:r w:rsidRPr="006400F9">
        <w:fldChar w:fldCharType="separate"/>
      </w:r>
      <w:r w:rsidR="00B50BE2">
        <w:t>7.4</w:t>
      </w:r>
      <w:r w:rsidRPr="006400F9">
        <w:fldChar w:fldCharType="end"/>
      </w:r>
      <w:r>
        <w:t xml:space="preserve"> (</w:t>
      </w:r>
      <w:r w:rsidRPr="006A3B29" w:rsidR="006A3B29">
        <w:rPr>
          <w:i/>
        </w:rPr>
        <w:fldChar w:fldCharType="begin"/>
      </w:r>
      <w:r w:rsidRPr="006A3B29" w:rsidR="006A3B29">
        <w:rPr>
          <w:i/>
        </w:rPr>
        <w:instrText xml:space="preserve"> REF _Ref40803445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Investissements après la résiliation de la Période d’engagement.</w:t>
      </w:r>
      <w:r w:rsidRPr="006A3B29" w:rsidR="006A3B29">
        <w:rPr>
          <w:i/>
        </w:rPr>
        <w:fldChar w:fldCharType="end"/>
      </w:r>
      <w:r>
        <w:t>).</w:t>
      </w:r>
      <w:bookmarkEnd w:id="343"/>
    </w:p>
    <w:p w:rsidR="0000160C" w:rsidRDefault="00C517ED" w14:paraId="74017DFF" w14:textId="4CB195AA">
      <w:pPr>
        <w:pStyle w:val="ArtBJStyL3"/>
      </w:pPr>
      <w:bookmarkStart w:name="_Ref113892471" w:id="344"/>
      <w:r>
        <w:t xml:space="preserve">Le Fonds </w:t>
      </w:r>
      <w:r w:rsidR="005A37F7">
        <w:t>doit faire</w:t>
      </w:r>
      <w:r>
        <w:t xml:space="preserve"> tous les Investissements de </w:t>
      </w:r>
      <w:r w:rsidR="005A37F7">
        <w:t>p</w:t>
      </w:r>
      <w:r>
        <w:t xml:space="preserve">ortefeuille conformément à toutes les lois applicables, y compris les lois de la juridiction dans laquelle la Société de </w:t>
      </w:r>
      <w:r w:rsidR="005A37F7">
        <w:t>p</w:t>
      </w:r>
      <w:r>
        <w:t xml:space="preserve">ortefeuille concernée est </w:t>
      </w:r>
      <w:r w:rsidR="002E0386">
        <w:t>organisée</w:t>
      </w:r>
      <w:r>
        <w:t xml:space="preserve"> ou </w:t>
      </w:r>
      <w:proofErr w:type="spellStart"/>
      <w:r w:rsidR="003134DD">
        <w:t>a</w:t>
      </w:r>
      <w:proofErr w:type="spellEnd"/>
      <w:r>
        <w:t xml:space="preserve"> </w:t>
      </w:r>
      <w:r w:rsidR="002E0386">
        <w:t>son établissement</w:t>
      </w:r>
      <w:r w:rsidR="00DF6CF2">
        <w:t xml:space="preserve"> principal</w:t>
      </w:r>
      <w:r>
        <w:t>.</w:t>
      </w:r>
      <w:bookmarkEnd w:id="344"/>
    </w:p>
    <w:p w:rsidR="0000160C" w:rsidRDefault="00C517ED" w14:paraId="784BA6F4" w14:textId="7BBF6023">
      <w:pPr>
        <w:pStyle w:val="ArtBJStyL3"/>
      </w:pPr>
      <w:bookmarkStart w:name="_Ref100249815" w:id="345"/>
      <w:r>
        <w:t xml:space="preserve">Le Fonds </w:t>
      </w:r>
      <w:r w:rsidR="002E0386">
        <w:t>ne doit pas faire</w:t>
      </w:r>
      <w:r>
        <w:t xml:space="preserve"> un </w:t>
      </w:r>
      <w:r w:rsidR="002E0386">
        <w:t>Investissement</w:t>
      </w:r>
      <w:r>
        <w:t xml:space="preserve"> de portefeuille ou exercer des activités dans une juridiction autre que </w:t>
      </w:r>
      <w:r>
        <w:rPr>
          <w:b/>
          <w:highlight w:val="yellow"/>
        </w:rPr>
        <w:t>[le Canada et les États-Unis]</w:t>
      </w:r>
      <w:r>
        <w:t xml:space="preserve"> à moins d</w:t>
      </w:r>
      <w:r w:rsidR="00E27310">
        <w:t>’</w:t>
      </w:r>
      <w:r>
        <w:t>avoir reçu un avis juridique écrit d</w:t>
      </w:r>
      <w:r w:rsidR="00E27310">
        <w:t>’</w:t>
      </w:r>
      <w:r>
        <w:t xml:space="preserve">un avocat </w:t>
      </w:r>
      <w:r w:rsidR="002E0386">
        <w:t>(</w:t>
      </w:r>
      <w:r w:rsidRPr="002E0386" w:rsidR="002E0386">
        <w:t>dans la mesure où le Fonds n</w:t>
      </w:r>
      <w:r w:rsidR="003134DD">
        <w:t>’</w:t>
      </w:r>
      <w:r w:rsidRPr="002E0386" w:rsidR="002E0386">
        <w:t>a pas déjà obtenu un tel avis dans le cadre d</w:t>
      </w:r>
      <w:r w:rsidR="003134DD">
        <w:t>’</w:t>
      </w:r>
      <w:r w:rsidRPr="002E0386" w:rsidR="002E0386">
        <w:t xml:space="preserve">un </w:t>
      </w:r>
      <w:r w:rsidR="002E0386">
        <w:t>investissement</w:t>
      </w:r>
      <w:r w:rsidRPr="002E0386" w:rsidR="002E0386">
        <w:t xml:space="preserve"> antérieur) </w:t>
      </w:r>
      <w:r w:rsidR="002E0386">
        <w:t>autorisé</w:t>
      </w:r>
      <w:r>
        <w:t xml:space="preserve"> </w:t>
      </w:r>
      <w:r w:rsidR="002E0386">
        <w:t>à</w:t>
      </w:r>
      <w:r>
        <w:t xml:space="preserve"> exercer dans la juridiction où une </w:t>
      </w:r>
      <w:r w:rsidR="002E0386">
        <w:t>S</w:t>
      </w:r>
      <w:r>
        <w:t xml:space="preserve">ociété de portefeuille proposée est organisée ou </w:t>
      </w:r>
      <w:proofErr w:type="spellStart"/>
      <w:r w:rsidR="003134DD">
        <w:t>a</w:t>
      </w:r>
      <w:proofErr w:type="spellEnd"/>
      <w:r>
        <w:t xml:space="preserve"> son établissement</w:t>
      </w:r>
      <w:r w:rsidR="00DF6CF2">
        <w:t xml:space="preserve"> principal</w:t>
      </w:r>
      <w:r w:rsidR="002E0386">
        <w:t>,</w:t>
      </w:r>
      <w:r>
        <w:t xml:space="preserve"> substantiellement à l</w:t>
      </w:r>
      <w:r w:rsidR="00E27310">
        <w:t>’</w:t>
      </w:r>
      <w:r>
        <w:t xml:space="preserve">effet que </w:t>
      </w:r>
      <w:bookmarkStart w:name="DocXTextRef56" w:id="346"/>
      <w:r>
        <w:t>(i)</w:t>
      </w:r>
      <w:bookmarkEnd w:id="346"/>
      <w:r>
        <w:t xml:space="preserve"> en vertu des lois de cette juridiction, la responsabilité limitée des </w:t>
      </w:r>
      <w:r w:rsidR="002E0386">
        <w:t>C</w:t>
      </w:r>
      <w:r>
        <w:t>ommanditaires sera reconnue dans la même mesure</w:t>
      </w:r>
      <w:r w:rsidR="002E0386">
        <w:t>,</w:t>
      </w:r>
      <w:r>
        <w:t xml:space="preserve"> à tous égards importants</w:t>
      </w:r>
      <w:r w:rsidR="002E0386">
        <w:t>,</w:t>
      </w:r>
      <w:r>
        <w:t xml:space="preserve"> que celle qui est </w:t>
      </w:r>
      <w:r w:rsidR="002E0386">
        <w:t>accordée</w:t>
      </w:r>
      <w:r>
        <w:t xml:space="preserve"> aux </w:t>
      </w:r>
      <w:r w:rsidR="002E0386">
        <w:t>C</w:t>
      </w:r>
      <w:r>
        <w:t xml:space="preserve">ommanditaires en vertu de la Loi et de la présente </w:t>
      </w:r>
      <w:r w:rsidR="002E0386">
        <w:t>C</w:t>
      </w:r>
      <w:r>
        <w:t xml:space="preserve">onvention et </w:t>
      </w:r>
      <w:bookmarkStart w:name="DocXTextRef57" w:id="347"/>
      <w:r>
        <w:t>(ii)</w:t>
      </w:r>
      <w:bookmarkEnd w:id="347"/>
      <w:r>
        <w:t xml:space="preserve"> </w:t>
      </w:r>
      <w:r>
        <w:rPr>
          <w:szCs w:val="22"/>
        </w:rPr>
        <w:t xml:space="preserve">aucun </w:t>
      </w:r>
      <w:r w:rsidR="002E0386">
        <w:rPr>
          <w:szCs w:val="22"/>
        </w:rPr>
        <w:t>C</w:t>
      </w:r>
      <w:r>
        <w:rPr>
          <w:szCs w:val="22"/>
        </w:rPr>
        <w:t>ommanditaire n</w:t>
      </w:r>
      <w:r w:rsidR="00E27310">
        <w:rPr>
          <w:szCs w:val="22"/>
        </w:rPr>
        <w:t>’</w:t>
      </w:r>
      <w:r>
        <w:rPr>
          <w:szCs w:val="22"/>
        </w:rPr>
        <w:t xml:space="preserve">aura à produire une déclaration </w:t>
      </w:r>
      <w:r w:rsidR="002E0386">
        <w:rPr>
          <w:szCs w:val="22"/>
        </w:rPr>
        <w:t>de revenus</w:t>
      </w:r>
      <w:r>
        <w:rPr>
          <w:szCs w:val="22"/>
        </w:rPr>
        <w:t xml:space="preserve"> ou d</w:t>
      </w:r>
      <w:r w:rsidR="00E27310">
        <w:rPr>
          <w:szCs w:val="22"/>
        </w:rPr>
        <w:t>’</w:t>
      </w:r>
      <w:r>
        <w:rPr>
          <w:szCs w:val="22"/>
        </w:rPr>
        <w:t xml:space="preserve">autres déclarations de renseignements ou de payer des impôts dans un </w:t>
      </w:r>
      <w:r w:rsidR="00DF6CF2">
        <w:rPr>
          <w:szCs w:val="22"/>
        </w:rPr>
        <w:t>endroit</w:t>
      </w:r>
      <w:r>
        <w:rPr>
          <w:szCs w:val="22"/>
        </w:rPr>
        <w:t xml:space="preserve"> situé à l</w:t>
      </w:r>
      <w:r w:rsidR="00E27310">
        <w:rPr>
          <w:szCs w:val="22"/>
        </w:rPr>
        <w:t>’</w:t>
      </w:r>
      <w:r>
        <w:rPr>
          <w:szCs w:val="22"/>
        </w:rPr>
        <w:t xml:space="preserve">extérieur de la juridiction dans laquelle le </w:t>
      </w:r>
      <w:r w:rsidR="00DF6CF2">
        <w:rPr>
          <w:szCs w:val="22"/>
        </w:rPr>
        <w:t>C</w:t>
      </w:r>
      <w:r>
        <w:rPr>
          <w:szCs w:val="22"/>
        </w:rPr>
        <w:t>ommanditaire réside uniquement en raison d</w:t>
      </w:r>
      <w:r w:rsidR="00E27310">
        <w:rPr>
          <w:szCs w:val="22"/>
        </w:rPr>
        <w:t>’</w:t>
      </w:r>
      <w:r>
        <w:rPr>
          <w:szCs w:val="22"/>
        </w:rPr>
        <w:t>un tel investissement.</w:t>
      </w:r>
      <w:bookmarkEnd w:id="345"/>
    </w:p>
    <w:p w:rsidR="0000160C" w:rsidRDefault="00C517ED" w14:paraId="0950E0A5" w14:textId="4C15AAF5">
      <w:pPr>
        <w:pStyle w:val="ArtBJStyL3"/>
        <w:keepNext/>
      </w:pPr>
      <w:bookmarkStart w:name="_Ref45623482" w:id="348"/>
      <w:r>
        <w:t xml:space="preserve">Le Fonds ne peut, sans </w:t>
      </w:r>
      <w:r w:rsidR="00DF6CF2">
        <w:t>le consentement</w:t>
      </w:r>
      <w:r>
        <w:t xml:space="preserve"> écrit préalable du </w:t>
      </w:r>
      <w:r w:rsidR="00DF6CF2">
        <w:t>C</w:t>
      </w:r>
      <w:r>
        <w:t>omité</w:t>
      </w:r>
      <w:bookmarkStart w:name="_Ref113892836" w:id="349"/>
      <w:r w:rsidR="00DF6CF2">
        <w:t xml:space="preserve"> consultatif des Commanditaires</w:t>
      </w:r>
      <w:r>
        <w:rPr>
          <w:szCs w:val="22"/>
          <w:vertAlign w:val="superscript"/>
        </w:rPr>
        <w:footnoteReference w:id="90"/>
      </w:r>
      <w:bookmarkEnd w:id="349"/>
      <w:r>
        <w:t>:</w:t>
      </w:r>
      <w:bookmarkEnd w:id="348"/>
    </w:p>
    <w:p w:rsidR="0000160C" w:rsidRDefault="00C517ED" w14:paraId="7EC6D31C" w14:textId="017D3C0E">
      <w:pPr>
        <w:pStyle w:val="ArtBJStyL4"/>
      </w:pPr>
      <w:bookmarkStart w:name="_Ref113892472" w:id="350"/>
      <w:r>
        <w:rPr>
          <w:b/>
          <w:bCs/>
          <w:highlight w:val="yellow"/>
        </w:rPr>
        <w:t>[</w:t>
      </w:r>
      <w:proofErr w:type="gramStart"/>
      <w:r>
        <w:rPr>
          <w:b/>
          <w:highlight w:val="yellow"/>
        </w:rPr>
        <w:t>investir</w:t>
      </w:r>
      <w:proofErr w:type="gramEnd"/>
      <w:r>
        <w:rPr>
          <w:b/>
          <w:highlight w:val="yellow"/>
        </w:rPr>
        <w:t xml:space="preserve"> plus de [__] % (ou [__] %</w:t>
      </w:r>
      <w:r w:rsidR="00DF6CF2">
        <w:rPr>
          <w:b/>
          <w:highlight w:val="yellow"/>
        </w:rPr>
        <w:t xml:space="preserve"> en incluant</w:t>
      </w:r>
      <w:r>
        <w:rPr>
          <w:b/>
          <w:highlight w:val="yellow"/>
        </w:rPr>
        <w:t xml:space="preserve"> le total de</w:t>
      </w:r>
      <w:r w:rsidR="00DF6CF2">
        <w:rPr>
          <w:b/>
          <w:highlight w:val="yellow"/>
        </w:rPr>
        <w:t>s</w:t>
      </w:r>
      <w:r>
        <w:rPr>
          <w:b/>
          <w:highlight w:val="yellow"/>
        </w:rPr>
        <w:t xml:space="preserve"> </w:t>
      </w:r>
      <w:r w:rsidR="00DF6CF2">
        <w:rPr>
          <w:b/>
          <w:highlight w:val="yellow"/>
        </w:rPr>
        <w:t>Apports de</w:t>
      </w:r>
      <w:r>
        <w:rPr>
          <w:b/>
          <w:highlight w:val="yellow"/>
        </w:rPr>
        <w:t xml:space="preserve"> capital relati</w:t>
      </w:r>
      <w:r w:rsidR="00DF6CF2">
        <w:rPr>
          <w:b/>
          <w:highlight w:val="yellow"/>
        </w:rPr>
        <w:t>f</w:t>
      </w:r>
      <w:r>
        <w:rPr>
          <w:b/>
          <w:highlight w:val="yellow"/>
        </w:rPr>
        <w:t xml:space="preserve">s à tous les </w:t>
      </w:r>
      <w:r w:rsidR="00DF6CF2">
        <w:rPr>
          <w:b/>
          <w:highlight w:val="yellow"/>
        </w:rPr>
        <w:t>I</w:t>
      </w:r>
      <w:r>
        <w:rPr>
          <w:b/>
          <w:highlight w:val="yellow"/>
        </w:rPr>
        <w:t>nvestissements</w:t>
      </w:r>
      <w:r w:rsidR="00DF6CF2">
        <w:rPr>
          <w:b/>
          <w:highlight w:val="yellow"/>
        </w:rPr>
        <w:t>-</w:t>
      </w:r>
      <w:r>
        <w:rPr>
          <w:b/>
          <w:highlight w:val="yellow"/>
        </w:rPr>
        <w:t xml:space="preserve">relais) des </w:t>
      </w:r>
      <w:r w:rsidR="00DF6CF2">
        <w:rPr>
          <w:b/>
          <w:highlight w:val="yellow"/>
        </w:rPr>
        <w:t>E</w:t>
      </w:r>
      <w:r>
        <w:rPr>
          <w:b/>
          <w:highlight w:val="yellow"/>
        </w:rPr>
        <w:t>ngagements globaux, directement ou indirectement, dans un secteur industriel donné</w:t>
      </w:r>
      <w:r>
        <w:rPr>
          <w:b/>
          <w:bCs/>
          <w:highlight w:val="yellow"/>
        </w:rPr>
        <w:t>]</w:t>
      </w:r>
      <w:r>
        <w:t>;</w:t>
      </w:r>
      <w:bookmarkEnd w:id="350"/>
    </w:p>
    <w:p w:rsidR="0000160C" w:rsidRDefault="00C517ED" w14:paraId="2C9DC9B7" w14:textId="79268116">
      <w:pPr>
        <w:pStyle w:val="ArtBJStyL4"/>
        <w:rPr>
          <w:b/>
          <w:highlight w:val="yellow"/>
        </w:rPr>
      </w:pPr>
      <w:bookmarkStart w:name="_Ref40803490" w:id="351"/>
      <w:r>
        <w:rPr>
          <w:b/>
          <w:highlight w:val="yellow"/>
        </w:rPr>
        <w:t>[</w:t>
      </w:r>
      <w:proofErr w:type="gramStart"/>
      <w:r>
        <w:rPr>
          <w:b/>
          <w:highlight w:val="yellow"/>
        </w:rPr>
        <w:t>investir</w:t>
      </w:r>
      <w:proofErr w:type="gramEnd"/>
      <w:r>
        <w:rPr>
          <w:b/>
          <w:highlight w:val="yellow"/>
        </w:rPr>
        <w:t xml:space="preserve"> plus de [__] % (ou [__] %</w:t>
      </w:r>
      <w:r w:rsidR="00DF6CF2">
        <w:rPr>
          <w:b/>
          <w:highlight w:val="yellow"/>
        </w:rPr>
        <w:t xml:space="preserve"> en incluant </w:t>
      </w:r>
      <w:r>
        <w:rPr>
          <w:b/>
          <w:highlight w:val="yellow"/>
        </w:rPr>
        <w:t xml:space="preserve">le total des Apports </w:t>
      </w:r>
      <w:r w:rsidR="00DF6CF2">
        <w:rPr>
          <w:b/>
          <w:highlight w:val="yellow"/>
        </w:rPr>
        <w:t>de</w:t>
      </w:r>
      <w:r>
        <w:rPr>
          <w:b/>
          <w:highlight w:val="yellow"/>
        </w:rPr>
        <w:t xml:space="preserve"> capital relatifs </w:t>
      </w:r>
      <w:r w:rsidR="00DF6CF2">
        <w:rPr>
          <w:b/>
          <w:highlight w:val="yellow"/>
        </w:rPr>
        <w:t>à tous les</w:t>
      </w:r>
      <w:r>
        <w:rPr>
          <w:b/>
          <w:highlight w:val="yellow"/>
        </w:rPr>
        <w:t xml:space="preserve"> Investissements</w:t>
      </w:r>
      <w:r w:rsidR="00DF6CF2">
        <w:rPr>
          <w:b/>
          <w:highlight w:val="yellow"/>
        </w:rPr>
        <w:t>-</w:t>
      </w:r>
      <w:r>
        <w:rPr>
          <w:b/>
          <w:highlight w:val="yellow"/>
        </w:rPr>
        <w:t xml:space="preserve">relais) des Engagements globaux, directement ou indirectement, dans une </w:t>
      </w:r>
      <w:r w:rsidR="00DF6CF2">
        <w:rPr>
          <w:b/>
          <w:highlight w:val="yellow"/>
        </w:rPr>
        <w:t>S</w:t>
      </w:r>
      <w:r>
        <w:rPr>
          <w:b/>
          <w:highlight w:val="yellow"/>
        </w:rPr>
        <w:t>ociété d</w:t>
      </w:r>
      <w:r w:rsidR="00742027">
        <w:rPr>
          <w:b/>
          <w:highlight w:val="yellow"/>
        </w:rPr>
        <w:t>e</w:t>
      </w:r>
      <w:r>
        <w:rPr>
          <w:b/>
          <w:highlight w:val="yellow"/>
        </w:rPr>
        <w:t xml:space="preserve"> portefeuille];</w:t>
      </w:r>
      <w:bookmarkEnd w:id="351"/>
    </w:p>
    <w:p w:rsidR="0000160C" w:rsidRDefault="00C517ED" w14:paraId="3C5044BA" w14:textId="5D8176D9">
      <w:pPr>
        <w:pStyle w:val="ArtBJStyL4"/>
        <w:rPr>
          <w:b/>
        </w:rPr>
      </w:pPr>
      <w:bookmarkStart w:name="_Ref113892473" w:id="352"/>
      <w:r>
        <w:rPr>
          <w:b/>
          <w:highlight w:val="yellow"/>
        </w:rPr>
        <w:t>[</w:t>
      </w:r>
      <w:proofErr w:type="gramStart"/>
      <w:r>
        <w:rPr>
          <w:b/>
          <w:highlight w:val="yellow"/>
        </w:rPr>
        <w:t>investir</w:t>
      </w:r>
      <w:proofErr w:type="gramEnd"/>
      <w:r>
        <w:rPr>
          <w:b/>
          <w:highlight w:val="yellow"/>
        </w:rPr>
        <w:t xml:space="preserve"> plus de [__] % (ou [__] %</w:t>
      </w:r>
      <w:r w:rsidR="00DF6CF2">
        <w:rPr>
          <w:b/>
          <w:highlight w:val="yellow"/>
        </w:rPr>
        <w:t xml:space="preserve"> en incluant </w:t>
      </w:r>
      <w:r>
        <w:rPr>
          <w:b/>
          <w:highlight w:val="yellow"/>
        </w:rPr>
        <w:t xml:space="preserve">le total des Apports </w:t>
      </w:r>
      <w:r w:rsidR="00DF6CF2">
        <w:rPr>
          <w:b/>
          <w:highlight w:val="yellow"/>
        </w:rPr>
        <w:t>de</w:t>
      </w:r>
      <w:r>
        <w:rPr>
          <w:b/>
          <w:highlight w:val="yellow"/>
        </w:rPr>
        <w:t xml:space="preserve"> capital relatifs </w:t>
      </w:r>
      <w:r w:rsidR="00DF6CF2">
        <w:rPr>
          <w:b/>
          <w:highlight w:val="yellow"/>
        </w:rPr>
        <w:t>à tous les</w:t>
      </w:r>
      <w:r>
        <w:rPr>
          <w:b/>
          <w:highlight w:val="yellow"/>
        </w:rPr>
        <w:t xml:space="preserve"> Investissements</w:t>
      </w:r>
      <w:r w:rsidR="00DF6CF2">
        <w:rPr>
          <w:b/>
          <w:highlight w:val="yellow"/>
        </w:rPr>
        <w:t>-</w:t>
      </w:r>
      <w:r>
        <w:rPr>
          <w:b/>
          <w:highlight w:val="yellow"/>
        </w:rPr>
        <w:t xml:space="preserve">relais) </w:t>
      </w:r>
      <w:r w:rsidR="006C2EFD">
        <w:rPr>
          <w:b/>
          <w:highlight w:val="yellow"/>
        </w:rPr>
        <w:t>des</w:t>
      </w:r>
      <w:r>
        <w:rPr>
          <w:b/>
          <w:highlight w:val="yellow"/>
        </w:rPr>
        <w:t xml:space="preserve"> Engagements</w:t>
      </w:r>
      <w:r w:rsidR="00DF6CF2">
        <w:rPr>
          <w:b/>
          <w:highlight w:val="yellow"/>
        </w:rPr>
        <w:t xml:space="preserve"> globaux</w:t>
      </w:r>
      <w:r>
        <w:rPr>
          <w:b/>
          <w:highlight w:val="yellow"/>
        </w:rPr>
        <w:t xml:space="preserve">, </w:t>
      </w:r>
      <w:r>
        <w:rPr>
          <w:b/>
          <w:highlight w:val="yellow"/>
        </w:rPr>
        <w:lastRenderedPageBreak/>
        <w:t xml:space="preserve">directement ou indirectement, dans un groupe de Sociétés du portefeuille qui sont des </w:t>
      </w:r>
      <w:r w:rsidR="00DF6CF2">
        <w:rPr>
          <w:b/>
          <w:highlight w:val="yellow"/>
        </w:rPr>
        <w:t>Membres du même groupe</w:t>
      </w:r>
      <w:r>
        <w:rPr>
          <w:b/>
          <w:highlight w:val="yellow"/>
        </w:rPr>
        <w:t>];</w:t>
      </w:r>
      <w:bookmarkEnd w:id="352"/>
    </w:p>
    <w:p w:rsidR="0000160C" w:rsidRDefault="00C517ED" w14:paraId="6E6965D7" w14:textId="1FC35980">
      <w:pPr>
        <w:pStyle w:val="ArtBJStyL4"/>
        <w:rPr>
          <w:b/>
        </w:rPr>
      </w:pPr>
      <w:bookmarkStart w:name="_Ref113892474" w:id="353"/>
      <w:r>
        <w:rPr>
          <w:b/>
          <w:highlight w:val="yellow"/>
        </w:rPr>
        <w:t>[</w:t>
      </w:r>
      <w:proofErr w:type="gramStart"/>
      <w:r>
        <w:rPr>
          <w:b/>
          <w:highlight w:val="yellow"/>
        </w:rPr>
        <w:t>investir</w:t>
      </w:r>
      <w:proofErr w:type="gramEnd"/>
      <w:r w:rsidR="003134DD">
        <w:rPr>
          <w:b/>
          <w:highlight w:val="yellow"/>
        </w:rPr>
        <w:t>,</w:t>
      </w:r>
      <w:r>
        <w:rPr>
          <w:b/>
          <w:highlight w:val="yellow"/>
        </w:rPr>
        <w:t xml:space="preserve"> directement ou indirectement</w:t>
      </w:r>
      <w:r w:rsidR="003134DD">
        <w:rPr>
          <w:b/>
          <w:highlight w:val="yellow"/>
        </w:rPr>
        <w:t>,</w:t>
      </w:r>
      <w:r>
        <w:rPr>
          <w:b/>
          <w:highlight w:val="yellow"/>
        </w:rPr>
        <w:t xml:space="preserve"> dans des </w:t>
      </w:r>
      <w:r w:rsidR="00DF6CF2">
        <w:rPr>
          <w:b/>
          <w:highlight w:val="yellow"/>
        </w:rPr>
        <w:t>S</w:t>
      </w:r>
      <w:r>
        <w:rPr>
          <w:b/>
          <w:highlight w:val="yellow"/>
        </w:rPr>
        <w:t>ociétés de portefeuille qui n</w:t>
      </w:r>
      <w:r w:rsidR="00E27310">
        <w:rPr>
          <w:b/>
          <w:highlight w:val="yellow"/>
        </w:rPr>
        <w:t>’</w:t>
      </w:r>
      <w:r>
        <w:rPr>
          <w:b/>
          <w:highlight w:val="yellow"/>
        </w:rPr>
        <w:t>ont pas leur établissement principal dans la</w:t>
      </w:r>
      <w:r w:rsidR="00DF6CF2">
        <w:rPr>
          <w:b/>
          <w:highlight w:val="yellow"/>
        </w:rPr>
        <w:t xml:space="preserve"> R</w:t>
      </w:r>
      <w:r>
        <w:rPr>
          <w:b/>
          <w:highlight w:val="yellow"/>
        </w:rPr>
        <w:t xml:space="preserve">égion cible ou qui </w:t>
      </w:r>
      <w:r w:rsidR="00DF6CF2">
        <w:rPr>
          <w:b/>
          <w:highlight w:val="yellow"/>
        </w:rPr>
        <w:t>n’y réalisent pas</w:t>
      </w:r>
      <w:r>
        <w:rPr>
          <w:b/>
          <w:highlight w:val="yellow"/>
        </w:rPr>
        <w:t xml:space="preserve"> une majorité substantielle de leurs </w:t>
      </w:r>
      <w:bookmarkStart w:name="_Ref113892837" w:id="354"/>
      <w:r>
        <w:rPr>
          <w:b/>
          <w:highlight w:val="yellow"/>
        </w:rPr>
        <w:t>revenus];</w:t>
      </w:r>
      <w:r>
        <w:rPr>
          <w:rStyle w:val="FootnoteReference"/>
          <w:b/>
        </w:rPr>
        <w:footnoteReference w:id="91"/>
      </w:r>
      <w:bookmarkEnd w:id="353"/>
      <w:bookmarkEnd w:id="354"/>
    </w:p>
    <w:p w:rsidR="0000160C" w:rsidRDefault="00C517ED" w14:paraId="5C74D3E0" w14:textId="24FAC956">
      <w:pPr>
        <w:pStyle w:val="ArtBJStyL4"/>
        <w:rPr>
          <w:b/>
        </w:rPr>
      </w:pPr>
      <w:bookmarkStart w:name="_Ref113892475" w:id="359"/>
      <w:bookmarkStart w:name="_Ref40803474" w:id="360"/>
      <w:r>
        <w:rPr>
          <w:b/>
          <w:highlight w:val="yellow"/>
        </w:rPr>
        <w:t>[</w:t>
      </w:r>
      <w:proofErr w:type="gramStart"/>
      <w:r>
        <w:rPr>
          <w:b/>
          <w:highlight w:val="yellow"/>
        </w:rPr>
        <w:t>soit</w:t>
      </w:r>
      <w:proofErr w:type="gramEnd"/>
      <w:r>
        <w:rPr>
          <w:b/>
          <w:highlight w:val="yellow"/>
        </w:rPr>
        <w:t xml:space="preserve"> </w:t>
      </w:r>
      <w:bookmarkStart w:name="DocXTextRef62" w:id="361"/>
      <w:r>
        <w:rPr>
          <w:b/>
          <w:highlight w:val="yellow"/>
        </w:rPr>
        <w:t>(i)</w:t>
      </w:r>
      <w:bookmarkEnd w:id="361"/>
      <w:r>
        <w:rPr>
          <w:b/>
          <w:highlight w:val="yellow"/>
        </w:rPr>
        <w:t xml:space="preserve"> </w:t>
      </w:r>
      <w:r w:rsidR="00DF6CF2">
        <w:rPr>
          <w:b/>
          <w:highlight w:val="yellow"/>
        </w:rPr>
        <w:t>faire</w:t>
      </w:r>
      <w:r>
        <w:rPr>
          <w:b/>
          <w:highlight w:val="yellow"/>
        </w:rPr>
        <w:t xml:space="preserve"> tout </w:t>
      </w:r>
      <w:r w:rsidR="00DF6CF2">
        <w:rPr>
          <w:b/>
          <w:highlight w:val="yellow"/>
        </w:rPr>
        <w:t>I</w:t>
      </w:r>
      <w:r>
        <w:rPr>
          <w:b/>
          <w:highlight w:val="yellow"/>
        </w:rPr>
        <w:t xml:space="preserve">nvestissement de suivi après la date qui </w:t>
      </w:r>
      <w:r w:rsidR="00DF6CF2">
        <w:rPr>
          <w:b/>
          <w:highlight w:val="yellow"/>
        </w:rPr>
        <w:t>se situe</w:t>
      </w:r>
      <w:r>
        <w:rPr>
          <w:b/>
          <w:highlight w:val="yellow"/>
        </w:rPr>
        <w:t xml:space="preserve"> [18] mois après la fin de la </w:t>
      </w:r>
      <w:r w:rsidR="00DF6CF2">
        <w:rPr>
          <w:b/>
          <w:highlight w:val="yellow"/>
        </w:rPr>
        <w:t>P</w:t>
      </w:r>
      <w:r>
        <w:rPr>
          <w:b/>
          <w:highlight w:val="yellow"/>
        </w:rPr>
        <w:t>ériode d</w:t>
      </w:r>
      <w:r w:rsidR="00E27310">
        <w:rPr>
          <w:b/>
          <w:highlight w:val="yellow"/>
        </w:rPr>
        <w:t>’</w:t>
      </w:r>
      <w:r>
        <w:rPr>
          <w:b/>
          <w:highlight w:val="yellow"/>
        </w:rPr>
        <w:t xml:space="preserve">engagement, soit </w:t>
      </w:r>
      <w:bookmarkStart w:name="DocXTextRef63" w:id="362"/>
      <w:r>
        <w:rPr>
          <w:b/>
          <w:highlight w:val="yellow"/>
        </w:rPr>
        <w:t>(ii)</w:t>
      </w:r>
      <w:bookmarkEnd w:id="362"/>
      <w:r>
        <w:rPr>
          <w:b/>
          <w:highlight w:val="yellow"/>
        </w:rPr>
        <w:t xml:space="preserve"> investir un montant </w:t>
      </w:r>
      <w:r w:rsidR="00340FE9">
        <w:rPr>
          <w:b/>
          <w:highlight w:val="yellow"/>
        </w:rPr>
        <w:t>global</w:t>
      </w:r>
      <w:r>
        <w:rPr>
          <w:b/>
          <w:highlight w:val="yellow"/>
        </w:rPr>
        <w:t xml:space="preserve"> supérieur à [10-20] % </w:t>
      </w:r>
      <w:r w:rsidR="00340FE9">
        <w:rPr>
          <w:b/>
          <w:highlight w:val="yellow"/>
        </w:rPr>
        <w:t>des Engagements globaux</w:t>
      </w:r>
      <w:r>
        <w:rPr>
          <w:b/>
          <w:highlight w:val="yellow"/>
        </w:rPr>
        <w:t xml:space="preserve"> dans des </w:t>
      </w:r>
      <w:r w:rsidR="00340FE9">
        <w:rPr>
          <w:b/>
          <w:highlight w:val="yellow"/>
        </w:rPr>
        <w:t>I</w:t>
      </w:r>
      <w:r>
        <w:rPr>
          <w:b/>
          <w:highlight w:val="yellow"/>
        </w:rPr>
        <w:t xml:space="preserve">nvestissements de suivi après la </w:t>
      </w:r>
      <w:bookmarkStart w:name="_Ref113892838" w:id="363"/>
      <w:r>
        <w:rPr>
          <w:b/>
          <w:highlight w:val="yellow"/>
        </w:rPr>
        <w:t xml:space="preserve">fin de la </w:t>
      </w:r>
      <w:r w:rsidR="00340FE9">
        <w:rPr>
          <w:b/>
          <w:highlight w:val="yellow"/>
        </w:rPr>
        <w:t>P</w:t>
      </w:r>
      <w:r>
        <w:rPr>
          <w:b/>
          <w:highlight w:val="yellow"/>
        </w:rPr>
        <w:t>ériode d</w:t>
      </w:r>
      <w:r w:rsidR="00E27310">
        <w:rPr>
          <w:b/>
          <w:highlight w:val="yellow"/>
        </w:rPr>
        <w:t>’</w:t>
      </w:r>
      <w:r>
        <w:rPr>
          <w:b/>
          <w:highlight w:val="yellow"/>
        </w:rPr>
        <w:t>engagement];</w:t>
      </w:r>
      <w:bookmarkStart w:name="_Ref120795687" w:id="364"/>
      <w:r>
        <w:rPr>
          <w:rStyle w:val="FootnoteReference"/>
          <w:b/>
        </w:rPr>
        <w:footnoteReference w:id="92"/>
      </w:r>
      <w:bookmarkEnd w:id="359"/>
      <w:bookmarkEnd w:id="360"/>
      <w:bookmarkEnd w:id="363"/>
      <w:bookmarkEnd w:id="364"/>
    </w:p>
    <w:p w:rsidR="0000160C" w:rsidRDefault="00C517ED" w14:paraId="08F13270" w14:textId="6B6DC869">
      <w:pPr>
        <w:pStyle w:val="ArtBJStyL4"/>
        <w:rPr>
          <w:highlight w:val="yellow"/>
        </w:rPr>
      </w:pPr>
      <w:bookmarkStart w:name="_Ref113892476" w:id="365"/>
      <w:r>
        <w:rPr>
          <w:b/>
          <w:highlight w:val="yellow"/>
        </w:rPr>
        <w:t>[</w:t>
      </w:r>
      <w:proofErr w:type="gramStart"/>
      <w:r>
        <w:rPr>
          <w:b/>
          <w:highlight w:val="yellow"/>
        </w:rPr>
        <w:t>investir</w:t>
      </w:r>
      <w:proofErr w:type="gramEnd"/>
      <w:r>
        <w:rPr>
          <w:b/>
          <w:highlight w:val="yellow"/>
        </w:rPr>
        <w:t xml:space="preserve"> dans des titres cotés en bourse (à l</w:t>
      </w:r>
      <w:r w:rsidR="00E27310">
        <w:rPr>
          <w:b/>
          <w:highlight w:val="yellow"/>
        </w:rPr>
        <w:t>’</w:t>
      </w:r>
      <w:r>
        <w:rPr>
          <w:b/>
          <w:highlight w:val="yellow"/>
        </w:rPr>
        <w:t>exclusion de ceux liés à l</w:t>
      </w:r>
      <w:r w:rsidR="00E27310">
        <w:rPr>
          <w:b/>
          <w:highlight w:val="yellow"/>
        </w:rPr>
        <w:t>’</w:t>
      </w:r>
      <w:r>
        <w:rPr>
          <w:b/>
          <w:highlight w:val="yellow"/>
        </w:rPr>
        <w:t>offre publique d</w:t>
      </w:r>
      <w:r w:rsidR="00E27310">
        <w:rPr>
          <w:b/>
          <w:highlight w:val="yellow"/>
        </w:rPr>
        <w:t>’</w:t>
      </w:r>
      <w:r>
        <w:rPr>
          <w:b/>
          <w:highlight w:val="yellow"/>
        </w:rPr>
        <w:t xml:space="preserve">une </w:t>
      </w:r>
      <w:r w:rsidR="00340FE9">
        <w:rPr>
          <w:b/>
          <w:highlight w:val="yellow"/>
        </w:rPr>
        <w:t>S</w:t>
      </w:r>
      <w:r>
        <w:rPr>
          <w:b/>
          <w:highlight w:val="yellow"/>
        </w:rPr>
        <w:t xml:space="preserve">ociété de portefeuille existante ou </w:t>
      </w:r>
      <w:r w:rsidR="00340FE9">
        <w:rPr>
          <w:b/>
          <w:highlight w:val="yellow"/>
        </w:rPr>
        <w:t>des titres</w:t>
      </w:r>
      <w:r>
        <w:rPr>
          <w:b/>
          <w:highlight w:val="yellow"/>
        </w:rPr>
        <w:t xml:space="preserve"> acquis lors de la vente ou de la fusion d</w:t>
      </w:r>
      <w:r w:rsidR="00E27310">
        <w:rPr>
          <w:b/>
          <w:highlight w:val="yellow"/>
        </w:rPr>
        <w:t>’</w:t>
      </w:r>
      <w:r>
        <w:rPr>
          <w:b/>
          <w:highlight w:val="yellow"/>
        </w:rPr>
        <w:t xml:space="preserve">une </w:t>
      </w:r>
      <w:r w:rsidR="00340FE9">
        <w:rPr>
          <w:b/>
          <w:highlight w:val="yellow"/>
        </w:rPr>
        <w:t>S</w:t>
      </w:r>
      <w:r>
        <w:rPr>
          <w:b/>
          <w:highlight w:val="yellow"/>
        </w:rPr>
        <w:t>ociété de portefeuille existante)]</w:t>
      </w:r>
      <w:bookmarkStart w:name="_Ref113892839" w:id="366"/>
      <w:bookmarkStart w:name="_Ref120795112" w:id="367"/>
      <w:r>
        <w:rPr>
          <w:rStyle w:val="FootnoteReference"/>
          <w:b/>
          <w:highlight w:val="yellow"/>
        </w:rPr>
        <w:footnoteReference w:id="93"/>
      </w:r>
      <w:bookmarkEnd w:id="366"/>
      <w:bookmarkEnd w:id="367"/>
      <w:r>
        <w:rPr>
          <w:highlight w:val="yellow"/>
        </w:rPr>
        <w:t>;</w:t>
      </w:r>
      <w:bookmarkEnd w:id="365"/>
    </w:p>
    <w:p w:rsidR="0000160C" w:rsidRDefault="00C517ED" w14:paraId="2828A20B" w14:textId="226386AD">
      <w:pPr>
        <w:pStyle w:val="ArtBJStyL4"/>
        <w:rPr>
          <w:b/>
          <w:highlight w:val="yellow"/>
        </w:rPr>
      </w:pPr>
      <w:bookmarkStart w:name="_Ref113892477" w:id="368"/>
      <w:r>
        <w:rPr>
          <w:b/>
          <w:highlight w:val="yellow"/>
        </w:rPr>
        <w:t>[</w:t>
      </w:r>
      <w:proofErr w:type="gramStart"/>
      <w:r w:rsidR="00340FE9">
        <w:rPr>
          <w:b/>
          <w:highlight w:val="yellow"/>
        </w:rPr>
        <w:t>s’engager</w:t>
      </w:r>
      <w:proofErr w:type="gramEnd"/>
      <w:r w:rsidR="00340FE9">
        <w:rPr>
          <w:b/>
          <w:highlight w:val="yellow"/>
        </w:rPr>
        <w:t xml:space="preserve"> dans</w:t>
      </w:r>
      <w:r>
        <w:rPr>
          <w:b/>
          <w:highlight w:val="yellow"/>
        </w:rPr>
        <w:t xml:space="preserve"> des activités d</w:t>
      </w:r>
      <w:r w:rsidR="00E27310">
        <w:rPr>
          <w:b/>
          <w:highlight w:val="yellow"/>
        </w:rPr>
        <w:t>’</w:t>
      </w:r>
      <w:r>
        <w:rPr>
          <w:b/>
          <w:highlight w:val="yellow"/>
        </w:rPr>
        <w:t xml:space="preserve">investissement portant sur des </w:t>
      </w:r>
      <w:r w:rsidR="00340FE9">
        <w:rPr>
          <w:b/>
          <w:highlight w:val="yellow"/>
        </w:rPr>
        <w:t>marchandises</w:t>
      </w:r>
      <w:r>
        <w:rPr>
          <w:b/>
          <w:highlight w:val="yellow"/>
        </w:rPr>
        <w:t xml:space="preserve">, des contrats </w:t>
      </w:r>
      <w:r w:rsidR="00340FE9">
        <w:rPr>
          <w:b/>
          <w:highlight w:val="yellow"/>
        </w:rPr>
        <w:t>de marchandises</w:t>
      </w:r>
      <w:r>
        <w:rPr>
          <w:b/>
          <w:highlight w:val="yellow"/>
        </w:rPr>
        <w:t xml:space="preserve"> et des contrats de change à terme, à l</w:t>
      </w:r>
      <w:r w:rsidR="00E27310">
        <w:rPr>
          <w:b/>
          <w:highlight w:val="yellow"/>
        </w:rPr>
        <w:t>’</w:t>
      </w:r>
      <w:r>
        <w:rPr>
          <w:b/>
          <w:highlight w:val="yellow"/>
        </w:rPr>
        <w:t>exception des opérations de couverture effectuées conformément à la Politique d</w:t>
      </w:r>
      <w:r w:rsidR="00E27310">
        <w:rPr>
          <w:b/>
          <w:highlight w:val="yellow"/>
        </w:rPr>
        <w:t>’</w:t>
      </w:r>
      <w:r>
        <w:rPr>
          <w:b/>
          <w:highlight w:val="yellow"/>
        </w:rPr>
        <w:t xml:space="preserve">investissement, si elle est adoptée par le </w:t>
      </w:r>
      <w:r w:rsidR="00340FE9">
        <w:rPr>
          <w:b/>
          <w:highlight w:val="yellow"/>
        </w:rPr>
        <w:t>C</w:t>
      </w:r>
      <w:r>
        <w:rPr>
          <w:b/>
          <w:highlight w:val="yellow"/>
        </w:rPr>
        <w:t xml:space="preserve">ommandité ou le </w:t>
      </w:r>
      <w:r w:rsidR="00340FE9">
        <w:rPr>
          <w:b/>
          <w:highlight w:val="yellow"/>
        </w:rPr>
        <w:t>G</w:t>
      </w:r>
      <w:r>
        <w:rPr>
          <w:b/>
          <w:highlight w:val="yellow"/>
        </w:rPr>
        <w:t xml:space="preserve">estionnaire, et </w:t>
      </w:r>
      <w:r w:rsidR="00340FE9">
        <w:rPr>
          <w:b/>
          <w:highlight w:val="yellow"/>
        </w:rPr>
        <w:t>à la présente Convention</w:t>
      </w:r>
      <w:r>
        <w:rPr>
          <w:b/>
          <w:highlight w:val="yellow"/>
        </w:rPr>
        <w:t>];</w:t>
      </w:r>
      <w:bookmarkEnd w:id="368"/>
    </w:p>
    <w:p w:rsidR="0000160C" w:rsidRDefault="00C517ED" w14:paraId="39DD520B" w14:textId="470F8CEB">
      <w:pPr>
        <w:pStyle w:val="ArtBJStyL4"/>
        <w:rPr>
          <w:highlight w:val="yellow"/>
        </w:rPr>
      </w:pPr>
      <w:bookmarkStart w:name="_Ref113892478" w:id="369"/>
      <w:r>
        <w:rPr>
          <w:b/>
          <w:highlight w:val="yellow"/>
        </w:rPr>
        <w:t>[</w:t>
      </w:r>
      <w:proofErr w:type="gramStart"/>
      <w:r>
        <w:rPr>
          <w:b/>
          <w:highlight w:val="yellow"/>
        </w:rPr>
        <w:t>être</w:t>
      </w:r>
      <w:proofErr w:type="gramEnd"/>
      <w:r>
        <w:rPr>
          <w:b/>
          <w:highlight w:val="yellow"/>
        </w:rPr>
        <w:t xml:space="preserve"> impliqué dans des offres hostiles (une offre hostile étant définie comme une offre visant à acquérir une participation </w:t>
      </w:r>
      <w:r w:rsidR="00340FE9">
        <w:rPr>
          <w:b/>
          <w:highlight w:val="yellow"/>
        </w:rPr>
        <w:t>majoritaire</w:t>
      </w:r>
      <w:r>
        <w:rPr>
          <w:b/>
          <w:highlight w:val="yellow"/>
        </w:rPr>
        <w:t xml:space="preserve"> dans une entité cotée en bourse sans </w:t>
      </w:r>
      <w:r w:rsidR="00340FE9">
        <w:rPr>
          <w:b/>
          <w:highlight w:val="yellow"/>
        </w:rPr>
        <w:t xml:space="preserve">l’appui </w:t>
      </w:r>
      <w:r>
        <w:rPr>
          <w:b/>
          <w:highlight w:val="yellow"/>
        </w:rPr>
        <w:t>d</w:t>
      </w:r>
      <w:r w:rsidR="00E27310">
        <w:rPr>
          <w:b/>
          <w:highlight w:val="yellow"/>
        </w:rPr>
        <w:t>’</w:t>
      </w:r>
      <w:r>
        <w:rPr>
          <w:b/>
          <w:highlight w:val="yellow"/>
        </w:rPr>
        <w:t xml:space="preserve">une majorité </w:t>
      </w:r>
      <w:r w:rsidR="00340FE9">
        <w:rPr>
          <w:b/>
          <w:highlight w:val="yellow"/>
        </w:rPr>
        <w:t>des actionnaires</w:t>
      </w:r>
      <w:r>
        <w:rPr>
          <w:b/>
          <w:highlight w:val="yellow"/>
        </w:rPr>
        <w:t xml:space="preserve"> avec droit de vote ou </w:t>
      </w:r>
      <w:r w:rsidR="00340FE9">
        <w:rPr>
          <w:b/>
          <w:highlight w:val="yellow"/>
        </w:rPr>
        <w:t>du</w:t>
      </w:r>
      <w:r>
        <w:rPr>
          <w:b/>
          <w:highlight w:val="yellow"/>
        </w:rPr>
        <w:t xml:space="preserve"> conseil d</w:t>
      </w:r>
      <w:r w:rsidR="00E27310">
        <w:rPr>
          <w:b/>
          <w:highlight w:val="yellow"/>
        </w:rPr>
        <w:t>’</w:t>
      </w:r>
      <w:r>
        <w:rPr>
          <w:b/>
          <w:highlight w:val="yellow"/>
        </w:rPr>
        <w:t xml:space="preserve">administration (ou </w:t>
      </w:r>
      <w:r w:rsidR="00340FE9">
        <w:rPr>
          <w:b/>
          <w:highlight w:val="yellow"/>
        </w:rPr>
        <w:t>l’</w:t>
      </w:r>
      <w:r>
        <w:rPr>
          <w:b/>
          <w:highlight w:val="yellow"/>
        </w:rPr>
        <w:t>équivalent) de l</w:t>
      </w:r>
      <w:r w:rsidR="00E27310">
        <w:rPr>
          <w:b/>
          <w:highlight w:val="yellow"/>
        </w:rPr>
        <w:t>’</w:t>
      </w:r>
      <w:r>
        <w:rPr>
          <w:b/>
          <w:highlight w:val="yellow"/>
        </w:rPr>
        <w:t>entité)];</w:t>
      </w:r>
      <w:r>
        <w:rPr>
          <w:highlight w:val="yellow"/>
        </w:rPr>
        <w:t xml:space="preserve"> ou</w:t>
      </w:r>
      <w:bookmarkEnd w:id="369"/>
    </w:p>
    <w:p w:rsidR="0000160C" w:rsidRDefault="00C517ED" w14:paraId="7AA145DC" w14:textId="2FB06A05">
      <w:pPr>
        <w:pStyle w:val="ArtBJStyL4"/>
      </w:pPr>
      <w:bookmarkStart w:name="_Ref113892479" w:id="370"/>
      <w:r>
        <w:rPr>
          <w:b/>
          <w:highlight w:val="yellow"/>
        </w:rPr>
        <w:t>[</w:t>
      </w:r>
      <w:proofErr w:type="gramStart"/>
      <w:r>
        <w:rPr>
          <w:b/>
          <w:highlight w:val="yellow"/>
        </w:rPr>
        <w:t>investir</w:t>
      </w:r>
      <w:proofErr w:type="gramEnd"/>
      <w:r>
        <w:rPr>
          <w:b/>
          <w:highlight w:val="yellow"/>
        </w:rPr>
        <w:t xml:space="preserve"> dans un véhicule ou une </w:t>
      </w:r>
      <w:r w:rsidR="00340FE9">
        <w:rPr>
          <w:b/>
          <w:highlight w:val="yellow"/>
        </w:rPr>
        <w:t>P</w:t>
      </w:r>
      <w:r>
        <w:rPr>
          <w:b/>
          <w:highlight w:val="yellow"/>
        </w:rPr>
        <w:t>ersonne qui facture des frais ou une part des bénéfices]</w:t>
      </w:r>
      <w:r>
        <w:t xml:space="preserve">; à </w:t>
      </w:r>
      <w:bookmarkEnd w:id="370"/>
      <w:r>
        <w:t>condition qu</w:t>
      </w:r>
      <w:r w:rsidR="00340FE9">
        <w:t>’</w:t>
      </w:r>
      <w:r>
        <w:t xml:space="preserve">aux fins </w:t>
      </w:r>
      <w:r w:rsidR="00340FE9">
        <w:t>du présent article</w:t>
      </w:r>
      <w:r>
        <w:t> </w:t>
      </w:r>
      <w:r w:rsidRPr="00FB2B1E">
        <w:fldChar w:fldCharType="begin"/>
      </w:r>
      <w:r w:rsidRPr="00FB2B1E">
        <w:instrText xml:space="preserve"> REF _Ref45623482 \w \h </w:instrText>
      </w:r>
      <w:r w:rsidRPr="00FB2B1E" w:rsidR="00791303">
        <w:instrText xml:space="preserve"> \* MERGEFORMAT </w:instrText>
      </w:r>
      <w:r w:rsidRPr="00FB2B1E">
        <w:fldChar w:fldCharType="separate"/>
      </w:r>
      <w:r w:rsidR="00B50BE2">
        <w:t>7.1(d)</w:t>
      </w:r>
      <w:r w:rsidRPr="00FB2B1E">
        <w:fldChar w:fldCharType="end"/>
      </w:r>
      <w:r>
        <w:t xml:space="preserve"> (</w:t>
      </w:r>
      <w:r w:rsidRPr="00FB2B1E" w:rsidR="006A3B29">
        <w:rPr>
          <w:i/>
        </w:rPr>
        <w:fldChar w:fldCharType="begin"/>
      </w:r>
      <w:r w:rsidRPr="00FB2B1E" w:rsidR="006A3B29">
        <w:rPr>
          <w:i/>
        </w:rPr>
        <w:instrText xml:space="preserve"> REF _Ref40802598 \h  \* MERGEFORMAT </w:instrText>
      </w:r>
      <w:r w:rsidRPr="00FB2B1E" w:rsidR="006A3B29">
        <w:rPr>
          <w:i/>
        </w:rPr>
      </w:r>
      <w:r w:rsidRPr="00FB2B1E" w:rsidR="006A3B29">
        <w:rPr>
          <w:i/>
        </w:rPr>
        <w:fldChar w:fldCharType="separate"/>
      </w:r>
      <w:r w:rsidRPr="00B50BE2" w:rsidR="00B50BE2">
        <w:rPr>
          <w:i/>
        </w:rPr>
        <w:t>Restrictions à l’investissement.</w:t>
      </w:r>
      <w:r w:rsidRPr="00FB2B1E" w:rsidR="006A3B29">
        <w:rPr>
          <w:i/>
        </w:rPr>
        <w:fldChar w:fldCharType="end"/>
      </w:r>
      <w:r>
        <w:t>)</w:t>
      </w:r>
      <w:r w:rsidR="00340FE9">
        <w:t>,</w:t>
      </w:r>
      <w:r>
        <w:t xml:space="preserve"> les montants investis par le Fonds doivent tenir compte </w:t>
      </w:r>
      <w:r>
        <w:rPr>
          <w:b/>
          <w:highlight w:val="yellow"/>
        </w:rPr>
        <w:t>[à la fois]</w:t>
      </w:r>
      <w:r>
        <w:t xml:space="preserve"> des montants financés par des </w:t>
      </w:r>
      <w:r w:rsidR="00340FE9">
        <w:t>A</w:t>
      </w:r>
      <w:r>
        <w:t xml:space="preserve">pports </w:t>
      </w:r>
      <w:r w:rsidR="00340FE9">
        <w:t>de</w:t>
      </w:r>
      <w:r>
        <w:t xml:space="preserve"> capital </w:t>
      </w:r>
      <w:r>
        <w:rPr>
          <w:b/>
          <w:highlight w:val="yellow"/>
        </w:rPr>
        <w:t xml:space="preserve">[et des montants </w:t>
      </w:r>
      <w:r w:rsidR="00340FE9">
        <w:rPr>
          <w:b/>
          <w:highlight w:val="yellow"/>
        </w:rPr>
        <w:t>versés</w:t>
      </w:r>
      <w:r>
        <w:rPr>
          <w:b/>
          <w:highlight w:val="yellow"/>
        </w:rPr>
        <w:t xml:space="preserve"> au titre de la </w:t>
      </w:r>
      <w:r w:rsidR="00340FE9">
        <w:rPr>
          <w:b/>
          <w:highlight w:val="yellow"/>
        </w:rPr>
        <w:t>F</w:t>
      </w:r>
      <w:r>
        <w:rPr>
          <w:b/>
          <w:highlight w:val="yellow"/>
        </w:rPr>
        <w:t>acilité de crédit]</w:t>
      </w:r>
      <w:r>
        <w:t>.</w:t>
      </w:r>
    </w:p>
    <w:p w:rsidR="0000160C" w:rsidRDefault="00C517ED" w14:paraId="18020F45" w14:textId="3A35B4B9">
      <w:pPr>
        <w:pStyle w:val="ArtBJStyL3"/>
        <w:rPr>
          <w:b/>
        </w:rPr>
      </w:pPr>
      <w:bookmarkStart w:name="_Ref113892480" w:id="371"/>
      <w:r>
        <w:rPr>
          <w:b/>
          <w:highlight w:val="yellow"/>
        </w:rPr>
        <w:t xml:space="preserve">[Le Fonds </w:t>
      </w:r>
      <w:r w:rsidR="00340FE9">
        <w:rPr>
          <w:b/>
          <w:highlight w:val="yellow"/>
        </w:rPr>
        <w:t xml:space="preserve">doit </w:t>
      </w:r>
      <w:proofErr w:type="gramStart"/>
      <w:r w:rsidR="00CA6599">
        <w:rPr>
          <w:b/>
          <w:highlight w:val="yellow"/>
        </w:rPr>
        <w:t>faire</w:t>
      </w:r>
      <w:proofErr w:type="gramEnd"/>
      <w:r>
        <w:rPr>
          <w:b/>
          <w:highlight w:val="yellow"/>
        </w:rPr>
        <w:t xml:space="preserve"> </w:t>
      </w:r>
      <w:r w:rsidR="00340FE9">
        <w:rPr>
          <w:b/>
          <w:highlight w:val="yellow"/>
        </w:rPr>
        <w:t>d</w:t>
      </w:r>
      <w:r w:rsidR="005243C3">
        <w:rPr>
          <w:b/>
          <w:highlight w:val="yellow"/>
        </w:rPr>
        <w:t xml:space="preserve">es </w:t>
      </w:r>
      <w:r>
        <w:rPr>
          <w:b/>
          <w:highlight w:val="yellow"/>
        </w:rPr>
        <w:t>efforts raisonnables</w:t>
      </w:r>
      <w:r w:rsidR="00340FE9">
        <w:rPr>
          <w:b/>
          <w:highlight w:val="yellow"/>
        </w:rPr>
        <w:t xml:space="preserve"> sur le plan commercial</w:t>
      </w:r>
      <w:r>
        <w:rPr>
          <w:b/>
          <w:highlight w:val="yellow"/>
        </w:rPr>
        <w:t xml:space="preserve"> pour tenir compte des considérations et des politiques des investisseurs en matière d</w:t>
      </w:r>
      <w:r w:rsidR="00E27310">
        <w:rPr>
          <w:b/>
          <w:highlight w:val="yellow"/>
        </w:rPr>
        <w:t>’</w:t>
      </w:r>
      <w:r>
        <w:rPr>
          <w:b/>
          <w:highlight w:val="yellow"/>
        </w:rPr>
        <w:t xml:space="preserve">environnement, de société et de gouvernance, conformément </w:t>
      </w:r>
      <w:r w:rsidR="00340FE9">
        <w:rPr>
          <w:b/>
          <w:highlight w:val="yellow"/>
        </w:rPr>
        <w:t xml:space="preserve">aux </w:t>
      </w:r>
      <w:r w:rsidR="009A429E">
        <w:rPr>
          <w:b/>
          <w:highlight w:val="yellow"/>
        </w:rPr>
        <w:t>O</w:t>
      </w:r>
      <w:r>
        <w:rPr>
          <w:b/>
          <w:highlight w:val="yellow"/>
        </w:rPr>
        <w:t>bjectifs d</w:t>
      </w:r>
      <w:r w:rsidR="00E27310">
        <w:rPr>
          <w:b/>
          <w:highlight w:val="yellow"/>
        </w:rPr>
        <w:t>’</w:t>
      </w:r>
      <w:r>
        <w:rPr>
          <w:b/>
          <w:highlight w:val="yellow"/>
        </w:rPr>
        <w:t>investissement</w:t>
      </w:r>
      <w:r w:rsidR="00340FE9">
        <w:rPr>
          <w:b/>
          <w:highlight w:val="yellow"/>
        </w:rPr>
        <w:t xml:space="preserve"> du Fonds</w:t>
      </w:r>
      <w:r>
        <w:rPr>
          <w:b/>
          <w:highlight w:val="yellow"/>
        </w:rPr>
        <w:t>.]</w:t>
      </w:r>
      <w:bookmarkStart w:name="_Ref113892840" w:id="372"/>
      <w:r>
        <w:rPr>
          <w:rStyle w:val="FootnoteReference"/>
          <w:b/>
        </w:rPr>
        <w:footnoteReference w:id="94"/>
      </w:r>
      <w:bookmarkEnd w:id="371"/>
      <w:bookmarkEnd w:id="372"/>
    </w:p>
    <w:p w:rsidR="0000160C" w:rsidRDefault="00C517ED" w14:paraId="221097C5" w14:textId="6F285013">
      <w:pPr>
        <w:pStyle w:val="ArtBJStyL2"/>
      </w:pPr>
      <w:bookmarkStart w:name="_Ref113892481" w:id="373"/>
      <w:bookmarkStart w:name="_Ref40803568" w:id="374"/>
      <w:bookmarkStart w:name="_Toc161762343" w:id="375"/>
      <w:r>
        <w:lastRenderedPageBreak/>
        <w:t xml:space="preserve">Limitation de </w:t>
      </w:r>
      <w:r w:rsidR="00AF146D">
        <w:t>la dette</w:t>
      </w:r>
      <w:r>
        <w:t>.</w:t>
      </w:r>
      <w:bookmarkStart w:name="_Ref113892841" w:id="376"/>
      <w:r>
        <w:rPr>
          <w:rFonts w:ascii="Times New Roman" w:hAnsi="Times New Roman"/>
          <w:b w:val="0"/>
          <w:szCs w:val="22"/>
          <w:vertAlign w:val="superscript"/>
        </w:rPr>
        <w:footnoteReference w:id="95"/>
      </w:r>
      <w:bookmarkEnd w:id="373"/>
      <w:bookmarkEnd w:id="374"/>
      <w:bookmarkEnd w:id="375"/>
      <w:bookmarkEnd w:id="376"/>
    </w:p>
    <w:p w:rsidR="0000160C" w:rsidRDefault="00C517ED" w14:paraId="719B21E7" w14:textId="0A32EF56">
      <w:pPr>
        <w:pStyle w:val="ArtBJStyL3"/>
      </w:pPr>
      <w:bookmarkStart w:name="_Ref113892482" w:id="377"/>
      <w:bookmarkStart w:name="_Ref40803460" w:id="378"/>
      <w:r>
        <w:t xml:space="preserve">Le Fonds ne peut pas emprunter des montants, émettre des garanties ou </w:t>
      </w:r>
      <w:r w:rsidR="008047E0">
        <w:t xml:space="preserve">autrement </w:t>
      </w:r>
      <w:r>
        <w:t xml:space="preserve">contracter </w:t>
      </w:r>
      <w:r w:rsidR="008047E0">
        <w:t>des</w:t>
      </w:r>
      <w:r>
        <w:t xml:space="preserve"> dettes, sauf à court terme pour des périodes de moins de </w:t>
      </w:r>
      <w:r>
        <w:rPr>
          <w:b/>
        </w:rPr>
        <w:t>[</w:t>
      </w:r>
      <w:r>
        <w:rPr>
          <w:b/>
          <w:highlight w:val="yellow"/>
        </w:rPr>
        <w:t>12-18 mois</w:t>
      </w:r>
      <w:r>
        <w:rPr>
          <w:b/>
        </w:rPr>
        <w:t>]</w:t>
      </w:r>
      <w:r>
        <w:t xml:space="preserve"> pour financer des investissements </w:t>
      </w:r>
      <w:r w:rsidR="008047E0">
        <w:t>en attendant la</w:t>
      </w:r>
      <w:r>
        <w:t xml:space="preserve"> réception par le Fonds d</w:t>
      </w:r>
      <w:r w:rsidR="008047E0">
        <w:t>es Versements</w:t>
      </w:r>
      <w:r>
        <w:t xml:space="preserve">, à condition </w:t>
      </w:r>
      <w:bookmarkStart w:name="DocXTextRef64" w:id="379"/>
      <w:r>
        <w:t>(i)</w:t>
      </w:r>
      <w:bookmarkEnd w:id="379"/>
      <w:r>
        <w:t xml:space="preserve"> que tout emprunt auprès du </w:t>
      </w:r>
      <w:r w:rsidR="008047E0">
        <w:t>C</w:t>
      </w:r>
      <w:r>
        <w:t xml:space="preserve">ommandité, du </w:t>
      </w:r>
      <w:r w:rsidR="008047E0">
        <w:t>G</w:t>
      </w:r>
      <w:r>
        <w:t xml:space="preserve">estionnaire ou </w:t>
      </w:r>
      <w:r w:rsidR="008047E0">
        <w:t>Membres respectifs du même groupe</w:t>
      </w:r>
      <w:r w:rsidR="005243C3">
        <w:t xml:space="preserve"> </w:t>
      </w:r>
      <w:r w:rsidR="00335434">
        <w:t>que l’une des Personnes précédentes</w:t>
      </w:r>
      <w:r>
        <w:t xml:space="preserve"> </w:t>
      </w:r>
      <w:bookmarkStart w:name="DocXTextRef65" w:id="380"/>
      <w:r>
        <w:t>(A)</w:t>
      </w:r>
      <w:bookmarkEnd w:id="380"/>
      <w:r>
        <w:t xml:space="preserve"> </w:t>
      </w:r>
      <w:r w:rsidR="008047E0">
        <w:t>comporte</w:t>
      </w:r>
      <w:r>
        <w:t xml:space="preserve"> des </w:t>
      </w:r>
      <w:r w:rsidR="008047E0">
        <w:t>modalités</w:t>
      </w:r>
      <w:r>
        <w:t xml:space="preserve"> qui ne soient pas moins favorables au Fonds que celles qui pourraient être obtenues dans le cadre de négociations sans lien de dépendance avec des tiers indépendants pour des emprunts similaires, et </w:t>
      </w:r>
      <w:bookmarkStart w:name="DocXTextRef66" w:id="381"/>
      <w:r>
        <w:t>(B)</w:t>
      </w:r>
      <w:bookmarkEnd w:id="381"/>
      <w:r>
        <w:t xml:space="preserve"> qu</w:t>
      </w:r>
      <w:r w:rsidR="00E27310">
        <w:t>’</w:t>
      </w:r>
      <w:r>
        <w:t xml:space="preserve">il exige le consentement écrit préalable du </w:t>
      </w:r>
      <w:r w:rsidR="008047E0">
        <w:t>C</w:t>
      </w:r>
      <w:r>
        <w:t>omité consultatif d</w:t>
      </w:r>
      <w:r w:rsidR="008047E0">
        <w:t>es Commanditaires</w:t>
      </w:r>
      <w:r>
        <w:t xml:space="preserve">, et </w:t>
      </w:r>
      <w:bookmarkStart w:name="DocXTextRef67" w:id="382"/>
      <w:r>
        <w:t>(ii)</w:t>
      </w:r>
      <w:bookmarkEnd w:id="382"/>
      <w:r>
        <w:t xml:space="preserve"> </w:t>
      </w:r>
      <w:r w:rsidR="008047E0">
        <w:t>qu’à tout moment</w:t>
      </w:r>
      <w:r>
        <w:t xml:space="preserve">, </w:t>
      </w:r>
      <w:r w:rsidR="0082726A">
        <w:t>les dettes globales</w:t>
      </w:r>
      <w:r>
        <w:t xml:space="preserve"> du Fonds à l</w:t>
      </w:r>
      <w:r w:rsidR="00E27310">
        <w:t>’</w:t>
      </w:r>
      <w:r>
        <w:t xml:space="preserve">égard de tous ces emprunts, garanties et dettes ne dépasse pas le moindre des montants suivants : </w:t>
      </w:r>
      <w:bookmarkStart w:name="DocXTextRef68" w:id="383"/>
      <w:r>
        <w:t>(A)</w:t>
      </w:r>
      <w:bookmarkEnd w:id="383"/>
      <w:r>
        <w:t xml:space="preserve"> </w:t>
      </w:r>
      <w:r>
        <w:rPr>
          <w:b/>
          <w:highlight w:val="yellow"/>
        </w:rPr>
        <w:t>[20-30]</w:t>
      </w:r>
      <w:r>
        <w:rPr>
          <w:highlight w:val="yellow"/>
        </w:rPr>
        <w:t>%</w:t>
      </w:r>
      <w:r>
        <w:t xml:space="preserve"> du total des </w:t>
      </w:r>
      <w:r w:rsidR="007B1E52">
        <w:t>E</w:t>
      </w:r>
      <w:r>
        <w:t>ngagements, et (B)</w:t>
      </w:r>
      <w:r w:rsidR="007B1E52">
        <w:t xml:space="preserve"> </w:t>
      </w:r>
      <w:r>
        <w:t xml:space="preserve">le montant </w:t>
      </w:r>
      <w:r w:rsidR="007B1E52">
        <w:t>global</w:t>
      </w:r>
      <w:r>
        <w:t xml:space="preserve"> des </w:t>
      </w:r>
      <w:r w:rsidR="007B1E52">
        <w:t>E</w:t>
      </w:r>
      <w:r>
        <w:t>ngagements restants moins une estimation raisonnable à l</w:t>
      </w:r>
      <w:r w:rsidR="00E27310">
        <w:t>’</w:t>
      </w:r>
      <w:r>
        <w:t xml:space="preserve">égard des </w:t>
      </w:r>
      <w:r w:rsidR="007B1E52">
        <w:t>D</w:t>
      </w:r>
      <w:r>
        <w:t>épenses du Fonds.</w:t>
      </w:r>
      <w:bookmarkStart w:name="_Ref113892842" w:id="384"/>
      <w:r>
        <w:rPr>
          <w:rStyle w:val="FootnoteReference"/>
        </w:rPr>
        <w:footnoteReference w:id="96"/>
      </w:r>
      <w:bookmarkEnd w:id="377"/>
      <w:bookmarkEnd w:id="378"/>
      <w:bookmarkEnd w:id="384"/>
    </w:p>
    <w:p w:rsidRPr="003C48DB" w:rsidR="0000160C" w:rsidRDefault="00C517ED" w14:paraId="677083BE" w14:textId="740DFAFB">
      <w:pPr>
        <w:pStyle w:val="ArtBJStyL3"/>
        <w:rPr>
          <w:lang w:val="fr-CA"/>
        </w:rPr>
      </w:pPr>
      <w:bookmarkStart w:name="_Ref113892483" w:id="385"/>
      <w:bookmarkStart w:name="_Ref40801069" w:id="386"/>
      <w:r>
        <w:rPr>
          <w:b/>
          <w:highlight w:val="yellow"/>
        </w:rPr>
        <w:t xml:space="preserve">[Sous réserve </w:t>
      </w:r>
      <w:r w:rsidR="007B1E52">
        <w:rPr>
          <w:b/>
          <w:highlight w:val="yellow"/>
        </w:rPr>
        <w:t>de l’article</w:t>
      </w:r>
      <w:r>
        <w:rPr>
          <w:b/>
          <w:highlight w:val="yellow"/>
        </w:rPr>
        <w:t> </w:t>
      </w:r>
      <w:r w:rsidRPr="008A5873">
        <w:rPr>
          <w:b/>
          <w:highlight w:val="yellow"/>
        </w:rPr>
        <w:fldChar w:fldCharType="begin"/>
      </w:r>
      <w:r w:rsidRPr="008A5873">
        <w:rPr>
          <w:b/>
          <w:highlight w:val="yellow"/>
        </w:rPr>
        <w:instrText xml:space="preserve"> REF _Ref40803460 \w \h  \* MERGEFORMAT </w:instrText>
      </w:r>
      <w:r w:rsidRPr="008A5873">
        <w:rPr>
          <w:b/>
          <w:highlight w:val="yellow"/>
        </w:rPr>
      </w:r>
      <w:r w:rsidRPr="008A5873">
        <w:rPr>
          <w:b/>
          <w:highlight w:val="yellow"/>
        </w:rPr>
        <w:fldChar w:fldCharType="separate"/>
      </w:r>
      <w:r w:rsidR="00B50BE2">
        <w:rPr>
          <w:b/>
          <w:highlight w:val="yellow"/>
        </w:rPr>
        <w:t>7.2(a)</w:t>
      </w:r>
      <w:r w:rsidRPr="008A5873">
        <w:rPr>
          <w:b/>
          <w:highlight w:val="yellow"/>
        </w:rPr>
        <w:fldChar w:fldCharType="end"/>
      </w:r>
      <w:r>
        <w:rPr>
          <w:b/>
          <w:highlight w:val="yellow"/>
        </w:rPr>
        <w:t xml:space="preserve"> (</w:t>
      </w:r>
      <w:r w:rsidRPr="008A5873" w:rsidR="006A3B29">
        <w:rPr>
          <w:b/>
          <w:i/>
          <w:highlight w:val="yellow"/>
        </w:rPr>
        <w:fldChar w:fldCharType="begin"/>
      </w:r>
      <w:r w:rsidRPr="008A5873" w:rsidR="006A3B29">
        <w:rPr>
          <w:b/>
          <w:i/>
          <w:highlight w:val="yellow"/>
        </w:rPr>
        <w:instrText xml:space="preserve"> REF _Ref113892481 \h  \* MERGEFORMAT </w:instrText>
      </w:r>
      <w:r w:rsidRPr="008A5873" w:rsidR="006A3B29">
        <w:rPr>
          <w:b/>
          <w:i/>
          <w:highlight w:val="yellow"/>
        </w:rPr>
      </w:r>
      <w:r w:rsidRPr="008A5873" w:rsidR="006A3B29">
        <w:rPr>
          <w:b/>
          <w:i/>
          <w:highlight w:val="yellow"/>
        </w:rPr>
        <w:fldChar w:fldCharType="separate"/>
      </w:r>
      <w:r w:rsidRPr="00B50BE2" w:rsidR="00B50BE2">
        <w:rPr>
          <w:i/>
          <w:highlight w:val="yellow"/>
        </w:rPr>
        <w:t>Limitation de la dette.</w:t>
      </w:r>
      <w:r w:rsidRPr="008A5873" w:rsidR="006A3B29">
        <w:rPr>
          <w:b/>
          <w:i/>
          <w:highlight w:val="yellow"/>
        </w:rPr>
        <w:fldChar w:fldCharType="end"/>
      </w:r>
      <w:r>
        <w:rPr>
          <w:b/>
          <w:highlight w:val="yellow"/>
        </w:rPr>
        <w:t xml:space="preserve">), le Gestionnaire ou le </w:t>
      </w:r>
      <w:r w:rsidR="00CB79EC">
        <w:rPr>
          <w:b/>
          <w:highlight w:val="yellow"/>
        </w:rPr>
        <w:t>C</w:t>
      </w:r>
      <w:r>
        <w:rPr>
          <w:b/>
          <w:highlight w:val="yellow"/>
        </w:rPr>
        <w:t xml:space="preserve">ommandité peut établir une </w:t>
      </w:r>
      <w:r w:rsidR="00CB79EC">
        <w:rPr>
          <w:b/>
          <w:highlight w:val="yellow"/>
        </w:rPr>
        <w:t>F</w:t>
      </w:r>
      <w:r>
        <w:rPr>
          <w:b/>
          <w:highlight w:val="yellow"/>
        </w:rPr>
        <w:t>acilité de crédit pour le Fonds auprès d</w:t>
      </w:r>
      <w:r w:rsidR="00E27310">
        <w:rPr>
          <w:b/>
          <w:highlight w:val="yellow"/>
        </w:rPr>
        <w:t>’</w:t>
      </w:r>
      <w:r>
        <w:rPr>
          <w:b/>
          <w:highlight w:val="yellow"/>
        </w:rPr>
        <w:t>un</w:t>
      </w:r>
      <w:r w:rsidR="00CB79EC">
        <w:rPr>
          <w:b/>
          <w:highlight w:val="yellow"/>
        </w:rPr>
        <w:t>e</w:t>
      </w:r>
      <w:r>
        <w:rPr>
          <w:b/>
          <w:highlight w:val="yellow"/>
        </w:rPr>
        <w:t xml:space="preserve"> ou de plusieurs </w:t>
      </w:r>
      <w:r w:rsidR="003C48DB">
        <w:rPr>
          <w:b/>
          <w:highlight w:val="yellow"/>
        </w:rPr>
        <w:t>i</w:t>
      </w:r>
      <w:r w:rsidR="00CB79EC">
        <w:rPr>
          <w:b/>
          <w:highlight w:val="yellow"/>
        </w:rPr>
        <w:t>nstitutions</w:t>
      </w:r>
      <w:r>
        <w:rPr>
          <w:b/>
          <w:highlight w:val="yellow"/>
        </w:rPr>
        <w:t xml:space="preserve"> financi</w:t>
      </w:r>
      <w:r w:rsidR="00CB79EC">
        <w:rPr>
          <w:b/>
          <w:highlight w:val="yellow"/>
        </w:rPr>
        <w:t>è</w:t>
      </w:r>
      <w:r>
        <w:rPr>
          <w:b/>
          <w:highlight w:val="yellow"/>
        </w:rPr>
        <w:t>r</w:t>
      </w:r>
      <w:r w:rsidR="00CB79EC">
        <w:rPr>
          <w:b/>
          <w:highlight w:val="yellow"/>
        </w:rPr>
        <w:t>e</w:t>
      </w:r>
      <w:r>
        <w:rPr>
          <w:b/>
          <w:highlight w:val="yellow"/>
        </w:rPr>
        <w:t>s,</w:t>
      </w:r>
      <w:r>
        <w:rPr>
          <w:b/>
          <w:szCs w:val="22"/>
          <w:highlight w:val="yellow"/>
        </w:rPr>
        <w:t xml:space="preserve"> en vertu de laquelle les </w:t>
      </w:r>
      <w:r>
        <w:rPr>
          <w:b/>
          <w:highlight w:val="yellow"/>
        </w:rPr>
        <w:t xml:space="preserve">obligations du Fonds sont garanties par un </w:t>
      </w:r>
      <w:r w:rsidR="00CB79EC">
        <w:rPr>
          <w:b/>
          <w:highlight w:val="yellow"/>
        </w:rPr>
        <w:t>gage</w:t>
      </w:r>
      <w:r>
        <w:rPr>
          <w:b/>
          <w:highlight w:val="yellow"/>
        </w:rPr>
        <w:t xml:space="preserve"> ou un</w:t>
      </w:r>
      <w:r w:rsidR="00E2538D">
        <w:rPr>
          <w:b/>
          <w:highlight w:val="yellow"/>
        </w:rPr>
        <w:t>e</w:t>
      </w:r>
      <w:r>
        <w:rPr>
          <w:b/>
          <w:highlight w:val="yellow"/>
        </w:rPr>
        <w:t xml:space="preserve"> autre</w:t>
      </w:r>
      <w:r w:rsidR="00E2538D">
        <w:rPr>
          <w:b/>
          <w:highlight w:val="yellow"/>
        </w:rPr>
        <w:t xml:space="preserve"> forme</w:t>
      </w:r>
      <w:r>
        <w:rPr>
          <w:b/>
          <w:highlight w:val="yellow"/>
        </w:rPr>
        <w:t xml:space="preserve"> </w:t>
      </w:r>
      <w:r w:rsidR="003C48DB">
        <w:rPr>
          <w:b/>
          <w:highlight w:val="yellow"/>
        </w:rPr>
        <w:t>de</w:t>
      </w:r>
      <w:r>
        <w:rPr>
          <w:b/>
          <w:highlight w:val="yellow"/>
        </w:rPr>
        <w:t xml:space="preserve"> sûreté et la cession par le </w:t>
      </w:r>
      <w:r w:rsidR="00982FD5">
        <w:rPr>
          <w:b/>
          <w:highlight w:val="yellow"/>
        </w:rPr>
        <w:t>C</w:t>
      </w:r>
      <w:r>
        <w:rPr>
          <w:b/>
          <w:highlight w:val="yellow"/>
        </w:rPr>
        <w:t xml:space="preserve">ommandité au prêteur </w:t>
      </w:r>
      <w:r w:rsidR="0082726A">
        <w:rPr>
          <w:b/>
          <w:highlight w:val="yellow"/>
        </w:rPr>
        <w:t>concerné</w:t>
      </w:r>
      <w:r>
        <w:rPr>
          <w:b/>
          <w:highlight w:val="yellow"/>
        </w:rPr>
        <w:t xml:space="preserve"> des droits du </w:t>
      </w:r>
      <w:r w:rsidR="00982FD5">
        <w:rPr>
          <w:b/>
          <w:highlight w:val="yellow"/>
        </w:rPr>
        <w:t>C</w:t>
      </w:r>
      <w:r>
        <w:rPr>
          <w:b/>
          <w:highlight w:val="yellow"/>
        </w:rPr>
        <w:t xml:space="preserve">ommandité de remettre des </w:t>
      </w:r>
      <w:r w:rsidR="003F4BE6">
        <w:rPr>
          <w:b/>
          <w:highlight w:val="yellow"/>
        </w:rPr>
        <w:t>Avis d’appel de versement</w:t>
      </w:r>
      <w:r>
        <w:rPr>
          <w:b/>
          <w:highlight w:val="yellow"/>
        </w:rPr>
        <w:t xml:space="preserve"> aux </w:t>
      </w:r>
      <w:r w:rsidR="00982FD5">
        <w:rPr>
          <w:b/>
          <w:highlight w:val="yellow"/>
        </w:rPr>
        <w:t>Commanditaires</w:t>
      </w:r>
      <w:r>
        <w:rPr>
          <w:b/>
          <w:highlight w:val="yellow"/>
        </w:rPr>
        <w:t xml:space="preserve"> et </w:t>
      </w:r>
      <w:r w:rsidR="00982FD5">
        <w:rPr>
          <w:b/>
          <w:highlight w:val="yellow"/>
        </w:rPr>
        <w:t>d’exercer tous les recours</w:t>
      </w:r>
      <w:r>
        <w:rPr>
          <w:b/>
          <w:highlight w:val="yellow"/>
        </w:rPr>
        <w:t xml:space="preserve"> contre les </w:t>
      </w:r>
      <w:r w:rsidR="00982FD5">
        <w:rPr>
          <w:b/>
          <w:highlight w:val="yellow"/>
        </w:rPr>
        <w:t>Commanditaires</w:t>
      </w:r>
      <w:r>
        <w:rPr>
          <w:b/>
          <w:highlight w:val="yellow"/>
        </w:rPr>
        <w:t xml:space="preserve"> qui </w:t>
      </w:r>
      <w:r w:rsidR="00982FD5">
        <w:rPr>
          <w:b/>
          <w:highlight w:val="yellow"/>
        </w:rPr>
        <w:t xml:space="preserve">omettent de financer </w:t>
      </w:r>
      <w:r>
        <w:rPr>
          <w:b/>
          <w:highlight w:val="yellow"/>
        </w:rPr>
        <w:t xml:space="preserve">leurs </w:t>
      </w:r>
      <w:r w:rsidR="00982FD5">
        <w:rPr>
          <w:b/>
          <w:highlight w:val="yellow"/>
        </w:rPr>
        <w:t>E</w:t>
      </w:r>
      <w:r>
        <w:rPr>
          <w:b/>
          <w:highlight w:val="yellow"/>
        </w:rPr>
        <w:t xml:space="preserve">ngagements restants respectifs conformément aux </w:t>
      </w:r>
      <w:r w:rsidR="00982FD5">
        <w:rPr>
          <w:b/>
          <w:highlight w:val="yellow"/>
        </w:rPr>
        <w:t>modalités</w:t>
      </w:r>
      <w:r>
        <w:rPr>
          <w:b/>
          <w:highlight w:val="yellow"/>
        </w:rPr>
        <w:t xml:space="preserve"> </w:t>
      </w:r>
      <w:r w:rsidR="00E536D5">
        <w:rPr>
          <w:b/>
          <w:highlight w:val="yellow"/>
        </w:rPr>
        <w:t>de la présente Convention</w:t>
      </w:r>
      <w:r>
        <w:rPr>
          <w:b/>
          <w:highlight w:val="yellow"/>
        </w:rPr>
        <w:t xml:space="preserve"> (une « </w:t>
      </w:r>
      <w:r w:rsidR="00982FD5">
        <w:rPr>
          <w:b/>
          <w:highlight w:val="yellow"/>
        </w:rPr>
        <w:t>F</w:t>
      </w:r>
      <w:r>
        <w:rPr>
          <w:b/>
          <w:highlight w:val="yellow"/>
        </w:rPr>
        <w:t>acilité de crédit »).]</w:t>
      </w:r>
      <w:bookmarkStart w:name="_Ref113892843" w:id="387"/>
      <w:r>
        <w:rPr>
          <w:szCs w:val="22"/>
          <w:vertAlign w:val="superscript"/>
        </w:rPr>
        <w:footnoteReference w:id="97"/>
      </w:r>
      <w:bookmarkEnd w:id="385"/>
      <w:bookmarkEnd w:id="386"/>
      <w:bookmarkEnd w:id="387"/>
    </w:p>
    <w:p w:rsidR="0000160C" w:rsidRDefault="00C517ED" w14:paraId="627AEE5B" w14:textId="77777777">
      <w:pPr>
        <w:pStyle w:val="ArtBJStyL2"/>
      </w:pPr>
      <w:bookmarkStart w:name="_Ref113892484" w:id="388"/>
      <w:bookmarkStart w:name="_Toc161762344" w:id="389"/>
      <w:r>
        <w:t>Investissements temporaires.</w:t>
      </w:r>
      <w:bookmarkEnd w:id="388"/>
      <w:bookmarkEnd w:id="389"/>
    </w:p>
    <w:p w:rsidR="0000160C" w:rsidRDefault="00C517ED" w14:paraId="21170D33" w14:textId="02997BD5">
      <w:pPr>
        <w:pStyle w:val="ArtBJStyCont2"/>
      </w:pPr>
      <w:r>
        <w:t xml:space="preserve">Le Fonds </w:t>
      </w:r>
      <w:r w:rsidR="00982FD5">
        <w:t>doit investir</w:t>
      </w:r>
      <w:r>
        <w:t xml:space="preserve"> les </w:t>
      </w:r>
      <w:r w:rsidR="00650804">
        <w:t>liquidités</w:t>
      </w:r>
      <w:r>
        <w:t xml:space="preserve"> détenues par le Fonds </w:t>
      </w:r>
      <w:r w:rsidR="00982FD5">
        <w:t>en attendant de les investir</w:t>
      </w:r>
      <w:r>
        <w:t xml:space="preserve"> dans des </w:t>
      </w:r>
      <w:r w:rsidR="00982FD5">
        <w:t>I</w:t>
      </w:r>
      <w:r>
        <w:t xml:space="preserve">nvestissements de portefeuille, de </w:t>
      </w:r>
      <w:r w:rsidR="00982FD5">
        <w:t>les distribuer</w:t>
      </w:r>
      <w:r>
        <w:t xml:space="preserve"> ou </w:t>
      </w:r>
      <w:r w:rsidR="00982FD5">
        <w:t>de payer</w:t>
      </w:r>
      <w:r>
        <w:t xml:space="preserve"> </w:t>
      </w:r>
      <w:r w:rsidR="00982FD5">
        <w:t>les F</w:t>
      </w:r>
      <w:r>
        <w:t xml:space="preserve">rais de gestion, </w:t>
      </w:r>
      <w:r w:rsidR="00982FD5">
        <w:t>les</w:t>
      </w:r>
      <w:r>
        <w:t xml:space="preserve"> </w:t>
      </w:r>
      <w:r w:rsidR="00D062E3">
        <w:t>Dépenses organisationnelles</w:t>
      </w:r>
      <w:r>
        <w:t xml:space="preserve"> ou d</w:t>
      </w:r>
      <w:r w:rsidR="00E27310">
        <w:t>’</w:t>
      </w:r>
      <w:r>
        <w:t xml:space="preserve">autres </w:t>
      </w:r>
      <w:r w:rsidR="00982FD5">
        <w:t>D</w:t>
      </w:r>
      <w:r>
        <w:t xml:space="preserve">épenses du Fonds uniquement dans des </w:t>
      </w:r>
      <w:r w:rsidR="00982FD5">
        <w:t>I</w:t>
      </w:r>
      <w:r>
        <w:t>nvestissements temporaires.</w:t>
      </w:r>
    </w:p>
    <w:p w:rsidR="0000160C" w:rsidRDefault="00C517ED" w14:paraId="0C6225D6" w14:textId="02C4F564">
      <w:pPr>
        <w:pStyle w:val="ArtBJStyL2"/>
      </w:pPr>
      <w:bookmarkStart w:name="_Ref40803445" w:id="390"/>
      <w:bookmarkStart w:name="_Toc161762345" w:id="391"/>
      <w:r>
        <w:t xml:space="preserve">Investissements après la </w:t>
      </w:r>
      <w:r w:rsidR="0038377E">
        <w:t>résiliation</w:t>
      </w:r>
      <w:r>
        <w:t xml:space="preserve"> de la </w:t>
      </w:r>
      <w:r w:rsidR="0038377E">
        <w:t>P</w:t>
      </w:r>
      <w:r>
        <w:t>ériode d</w:t>
      </w:r>
      <w:r w:rsidR="00E27310">
        <w:t>’</w:t>
      </w:r>
      <w:r>
        <w:t>engagement.</w:t>
      </w:r>
      <w:bookmarkEnd w:id="390"/>
      <w:bookmarkEnd w:id="391"/>
    </w:p>
    <w:p w:rsidR="0000160C" w:rsidRDefault="00C517ED" w14:paraId="2C524116" w14:textId="6B194582">
      <w:pPr>
        <w:pStyle w:val="ArtBJStyCont2"/>
        <w:keepNext/>
      </w:pPr>
      <w:r>
        <w:t xml:space="preserve">Le Fonds </w:t>
      </w:r>
      <w:r w:rsidR="00C64A90">
        <w:t>ne doit pas faire de Versements</w:t>
      </w:r>
      <w:r>
        <w:t xml:space="preserve"> après la fin de la </w:t>
      </w:r>
      <w:r w:rsidR="00C64A90">
        <w:t>P</w:t>
      </w:r>
      <w:r>
        <w:t>ériode d</w:t>
      </w:r>
      <w:r w:rsidR="00E27310">
        <w:t>’</w:t>
      </w:r>
      <w:r>
        <w:t>engagemen</w:t>
      </w:r>
      <w:r w:rsidR="00C64A90">
        <w:t>t, sauf pour :</w:t>
      </w:r>
    </w:p>
    <w:p w:rsidR="0000160C" w:rsidRDefault="00C517ED" w14:paraId="6A97A143" w14:textId="05EFF74C">
      <w:pPr>
        <w:pStyle w:val="ArtBJStyL3"/>
      </w:pPr>
      <w:bookmarkStart w:name="_Ref113892485" w:id="392"/>
      <w:proofErr w:type="gramStart"/>
      <w:r>
        <w:t>payer</w:t>
      </w:r>
      <w:proofErr w:type="gramEnd"/>
      <w:r>
        <w:t xml:space="preserve"> les </w:t>
      </w:r>
      <w:r w:rsidR="00C64A90">
        <w:t>D</w:t>
      </w:r>
      <w:r>
        <w:t xml:space="preserve">épenses du </w:t>
      </w:r>
      <w:r w:rsidR="00C64A90">
        <w:t>F</w:t>
      </w:r>
      <w:r>
        <w:t>onds;</w:t>
      </w:r>
      <w:bookmarkEnd w:id="392"/>
    </w:p>
    <w:p w:rsidR="0000160C" w:rsidRDefault="00C517ED" w14:paraId="561270FD" w14:textId="412EA163">
      <w:pPr>
        <w:pStyle w:val="ArtBJStyL3"/>
      </w:pPr>
      <w:bookmarkStart w:name="_Ref113892486" w:id="393"/>
      <w:proofErr w:type="gramStart"/>
      <w:r>
        <w:t>sous</w:t>
      </w:r>
      <w:proofErr w:type="gramEnd"/>
      <w:r>
        <w:t xml:space="preserve"> réserve de </w:t>
      </w:r>
      <w:r w:rsidR="00C64A90">
        <w:t>l’article</w:t>
      </w:r>
      <w:r>
        <w:t> </w:t>
      </w:r>
      <w:r w:rsidRPr="006400F9">
        <w:fldChar w:fldCharType="begin"/>
      </w:r>
      <w:r w:rsidRPr="006400F9">
        <w:instrText xml:space="preserve"> REF _Ref40803474 \w \h </w:instrText>
      </w:r>
      <w:r w:rsidRPr="006400F9" w:rsidR="00791303">
        <w:instrText xml:space="preserve"> \* MERGEFORMAT </w:instrText>
      </w:r>
      <w:r w:rsidRPr="006400F9">
        <w:fldChar w:fldCharType="separate"/>
      </w:r>
      <w:r w:rsidR="00B50BE2">
        <w:t>7.1(d)(v)</w:t>
      </w:r>
      <w:r w:rsidRPr="006400F9">
        <w:fldChar w:fldCharType="end"/>
      </w:r>
      <w:r>
        <w:t xml:space="preserve"> (</w:t>
      </w:r>
      <w:r w:rsidRPr="006A3B29" w:rsidR="006A3B29">
        <w:rPr>
          <w:i/>
        </w:rPr>
        <w:fldChar w:fldCharType="begin"/>
      </w:r>
      <w:r w:rsidRPr="006A3B29" w:rsidR="006A3B29">
        <w:rPr>
          <w:i/>
        </w:rPr>
        <w:instrText xml:space="preserve"> REF _Ref40802598 \h </w:instrText>
      </w:r>
      <w:r w:rsidR="006A3B29">
        <w:rPr>
          <w:i/>
        </w:rPr>
        <w:instrText xml:space="preserve"> \* MERGEFORMAT </w:instrText>
      </w:r>
      <w:r w:rsidRPr="006A3B29" w:rsidR="006A3B29">
        <w:rPr>
          <w:i/>
        </w:rPr>
      </w:r>
      <w:r w:rsidRPr="006A3B29" w:rsidR="006A3B29">
        <w:rPr>
          <w:i/>
        </w:rPr>
        <w:fldChar w:fldCharType="separate"/>
      </w:r>
      <w:r w:rsidRPr="00B50BE2" w:rsidR="00B50BE2">
        <w:rPr>
          <w:i/>
        </w:rPr>
        <w:t>Restrictions à l’investissement.</w:t>
      </w:r>
      <w:r w:rsidRPr="006A3B29" w:rsidR="006A3B29">
        <w:rPr>
          <w:i/>
        </w:rPr>
        <w:fldChar w:fldCharType="end"/>
      </w:r>
      <w:r>
        <w:t xml:space="preserve">), faire des </w:t>
      </w:r>
      <w:r w:rsidR="00C64A90">
        <w:t>I</w:t>
      </w:r>
      <w:r>
        <w:t>nvestissements de suivi;</w:t>
      </w:r>
      <w:bookmarkEnd w:id="393"/>
    </w:p>
    <w:p w:rsidR="0000160C" w:rsidRDefault="00DA48A0" w14:paraId="1C857819" w14:textId="1D49575A">
      <w:pPr>
        <w:pStyle w:val="ArtBJStyL3"/>
      </w:pPr>
      <w:bookmarkStart w:name="_Ref113892487" w:id="394"/>
      <w:r>
        <w:t xml:space="preserve">compléter </w:t>
      </w:r>
      <w:r w:rsidR="00C517ED">
        <w:t xml:space="preserve">les </w:t>
      </w:r>
      <w:r>
        <w:t>I</w:t>
      </w:r>
      <w:r w:rsidR="00C517ED">
        <w:t xml:space="preserve">nvestissements de portefeuille pour lesquels le Fonds a, avant la fin de la </w:t>
      </w:r>
      <w:r>
        <w:t>P</w:t>
      </w:r>
      <w:r w:rsidR="00C517ED">
        <w:t>ériode d</w:t>
      </w:r>
      <w:r w:rsidR="00E27310">
        <w:t>’</w:t>
      </w:r>
      <w:r w:rsidR="00C517ED">
        <w:t xml:space="preserve">engagement, pris un engagement </w:t>
      </w:r>
      <w:r>
        <w:t>juridiquement</w:t>
      </w:r>
      <w:r w:rsidR="00C517ED">
        <w:t xml:space="preserve"> contraignant d</w:t>
      </w:r>
      <w:r w:rsidR="00E27310">
        <w:t>’</w:t>
      </w:r>
      <w:r w:rsidR="00C517ED">
        <w:t xml:space="preserve">investir et dont la clôture est raisonnablement attendue dans les </w:t>
      </w:r>
      <w:r w:rsidR="00C517ED">
        <w:rPr>
          <w:b/>
        </w:rPr>
        <w:t>[</w:t>
      </w:r>
      <w:r w:rsidR="00C517ED">
        <w:rPr>
          <w:b/>
          <w:highlight w:val="yellow"/>
        </w:rPr>
        <w:t>4 à 12</w:t>
      </w:r>
      <w:r w:rsidR="00C517ED">
        <w:rPr>
          <w:b/>
        </w:rPr>
        <w:t xml:space="preserve">] </w:t>
      </w:r>
      <w:r w:rsidR="00C517ED">
        <w:t xml:space="preserve">mois à compter de la date de la </w:t>
      </w:r>
      <w:r w:rsidR="00C517ED">
        <w:lastRenderedPageBreak/>
        <w:t xml:space="preserve">fin de la </w:t>
      </w:r>
      <w:r>
        <w:t>P</w:t>
      </w:r>
      <w:r w:rsidR="00C517ED">
        <w:t>ériode d</w:t>
      </w:r>
      <w:r w:rsidR="00E27310">
        <w:t>’</w:t>
      </w:r>
      <w:r w:rsidR="00C517ED">
        <w:t xml:space="preserve">engagement </w:t>
      </w:r>
      <w:r w:rsidR="00C517ED">
        <w:rPr>
          <w:b/>
          <w:highlight w:val="yellow"/>
        </w:rPr>
        <w:t xml:space="preserve">[ou à toute date ultérieure qui peut être approuvée par le </w:t>
      </w:r>
      <w:r w:rsidR="00980C6E">
        <w:rPr>
          <w:b/>
          <w:highlight w:val="yellow"/>
        </w:rPr>
        <w:t>Comité consultatif des Commanditaires</w:t>
      </w:r>
      <w:r w:rsidR="00C517ED">
        <w:rPr>
          <w:b/>
          <w:highlight w:val="yellow"/>
        </w:rPr>
        <w:t>]</w:t>
      </w:r>
      <w:r w:rsidR="00C517ED">
        <w:t xml:space="preserve">, à condition que le </w:t>
      </w:r>
      <w:r>
        <w:t>C</w:t>
      </w:r>
      <w:r w:rsidR="00C517ED">
        <w:t>ommandité</w:t>
      </w:r>
      <w:r>
        <w:t xml:space="preserve"> avise</w:t>
      </w:r>
      <w:r w:rsidR="00C517ED">
        <w:t xml:space="preserve"> les </w:t>
      </w:r>
      <w:r>
        <w:t>C</w:t>
      </w:r>
      <w:r w:rsidR="00C517ED">
        <w:t xml:space="preserve">ommanditaires de tous ces investissements au moins 10 jours ouvrables avant la fin de la </w:t>
      </w:r>
      <w:r>
        <w:t>P</w:t>
      </w:r>
      <w:r w:rsidR="00C517ED">
        <w:t>ériode d</w:t>
      </w:r>
      <w:r w:rsidR="00E27310">
        <w:t>’</w:t>
      </w:r>
      <w:r w:rsidR="00C517ED">
        <w:t>engagement.</w:t>
      </w:r>
      <w:bookmarkEnd w:id="394"/>
    </w:p>
    <w:p w:rsidR="0000160C" w:rsidRDefault="00C517ED" w14:paraId="475D16EC" w14:textId="52A5242F">
      <w:pPr>
        <w:pStyle w:val="ArtBJStyL2"/>
      </w:pPr>
      <w:bookmarkStart w:name="_Ref40800945" w:id="395"/>
      <w:bookmarkStart w:name="_Toc161762346" w:id="396"/>
      <w:r>
        <w:t>Investissements</w:t>
      </w:r>
      <w:r w:rsidR="00587B62">
        <w:t>-</w:t>
      </w:r>
      <w:r>
        <w:t>relais.</w:t>
      </w:r>
      <w:bookmarkEnd w:id="395"/>
      <w:bookmarkEnd w:id="396"/>
    </w:p>
    <w:p w:rsidR="0000160C" w:rsidRDefault="00C517ED" w14:paraId="59452C48" w14:textId="55B0604E">
      <w:pPr>
        <w:pStyle w:val="ArtBJStyCont2"/>
      </w:pPr>
      <w:r>
        <w:t>Le Fonds peut fournir un financement provisoire</w:t>
      </w:r>
      <w:r w:rsidR="00DA48A0">
        <w:t xml:space="preserve"> à,</w:t>
      </w:r>
      <w:r>
        <w:t xml:space="preserve"> ou effectuer des </w:t>
      </w:r>
      <w:r w:rsidR="00DA48A0">
        <w:t>investissements</w:t>
      </w:r>
      <w:r>
        <w:t xml:space="preserve"> destinés à être de nature temporaire dans des Titres de toute Société de </w:t>
      </w:r>
      <w:r w:rsidR="00DA48A0">
        <w:t>p</w:t>
      </w:r>
      <w:r>
        <w:t>ortefeuille dans le cadre ou à la suite d</w:t>
      </w:r>
      <w:r w:rsidR="00E27310">
        <w:t>’</w:t>
      </w:r>
      <w:r>
        <w:t xml:space="preserve">un Investissement de </w:t>
      </w:r>
      <w:r w:rsidR="00DA48A0">
        <w:t>p</w:t>
      </w:r>
      <w:r>
        <w:t xml:space="preserve">ortefeuille par le Fonds dans cette Société de </w:t>
      </w:r>
      <w:r w:rsidR="00DA48A0">
        <w:t>p</w:t>
      </w:r>
      <w:r>
        <w:t xml:space="preserve">ortefeuille (chacun un « </w:t>
      </w:r>
      <w:r>
        <w:rPr>
          <w:b/>
        </w:rPr>
        <w:t>Investissement</w:t>
      </w:r>
      <w:r w:rsidR="00DA48A0">
        <w:rPr>
          <w:b/>
        </w:rPr>
        <w:t>-</w:t>
      </w:r>
      <w:r>
        <w:rPr>
          <w:b/>
        </w:rPr>
        <w:t>relais</w:t>
      </w:r>
      <w:r>
        <w:t xml:space="preserve"> »), sous réserve de </w:t>
      </w:r>
      <w:r w:rsidR="00DA48A0">
        <w:t>l’article</w:t>
      </w:r>
      <w:r>
        <w:t> </w:t>
      </w:r>
      <w:r w:rsidRPr="006400F9">
        <w:fldChar w:fldCharType="begin"/>
      </w:r>
      <w:r w:rsidRPr="006400F9">
        <w:instrText xml:space="preserve"> REF _Ref40803490 \w \h </w:instrText>
      </w:r>
      <w:r w:rsidRPr="006400F9" w:rsidR="00791303">
        <w:instrText xml:space="preserve"> \* MERGEFORMAT </w:instrText>
      </w:r>
      <w:r w:rsidRPr="006400F9">
        <w:fldChar w:fldCharType="separate"/>
      </w:r>
      <w:r w:rsidR="00B50BE2">
        <w:t>7.1(d)(ii)</w:t>
      </w:r>
      <w:r w:rsidRPr="006400F9">
        <w:fldChar w:fldCharType="end"/>
      </w:r>
      <w:r>
        <w:t xml:space="preserve"> (</w:t>
      </w:r>
      <w:r w:rsidRPr="006A3B29" w:rsidR="00CA7801">
        <w:rPr>
          <w:i/>
        </w:rPr>
        <w:fldChar w:fldCharType="begin"/>
      </w:r>
      <w:r w:rsidRPr="006A3B29" w:rsidR="00CA7801">
        <w:rPr>
          <w:i/>
        </w:rPr>
        <w:instrText xml:space="preserve"> REF _Ref40802598 \h </w:instrText>
      </w:r>
      <w:r w:rsidR="00CA7801">
        <w:rPr>
          <w:i/>
        </w:rPr>
        <w:instrText xml:space="preserve"> \* MERGEFORMAT </w:instrText>
      </w:r>
      <w:r w:rsidRPr="006A3B29" w:rsidR="00CA7801">
        <w:rPr>
          <w:i/>
        </w:rPr>
      </w:r>
      <w:r w:rsidRPr="006A3B29" w:rsidR="00CA7801">
        <w:rPr>
          <w:i/>
        </w:rPr>
        <w:fldChar w:fldCharType="separate"/>
      </w:r>
      <w:r w:rsidRPr="00B50BE2" w:rsidR="00B50BE2">
        <w:rPr>
          <w:i/>
        </w:rPr>
        <w:t>Restrictions à l’investissement.</w:t>
      </w:r>
      <w:r w:rsidRPr="006A3B29" w:rsidR="00CA7801">
        <w:rPr>
          <w:i/>
        </w:rPr>
        <w:fldChar w:fldCharType="end"/>
      </w:r>
      <w:r>
        <w:t xml:space="preserve">). Si un </w:t>
      </w:r>
      <w:r w:rsidR="00DA48A0">
        <w:t>Investissement-</w:t>
      </w:r>
      <w:r>
        <w:t>relais n</w:t>
      </w:r>
      <w:r w:rsidR="00E27310">
        <w:t>’</w:t>
      </w:r>
      <w:r>
        <w:t>est pas remboursé, refinancé ou autrement cédé avant</w:t>
      </w:r>
      <w:r w:rsidR="00DA48A0">
        <w:t xml:space="preserve"> les</w:t>
      </w:r>
      <w:r>
        <w:t xml:space="preserve"> </w:t>
      </w:r>
      <w:r>
        <w:rPr>
          <w:b/>
        </w:rPr>
        <w:t>[</w:t>
      </w:r>
      <w:r>
        <w:rPr>
          <w:b/>
          <w:highlight w:val="yellow"/>
        </w:rPr>
        <w:t>12</w:t>
      </w:r>
      <w:r w:rsidR="00DA48A0">
        <w:rPr>
          <w:b/>
          <w:highlight w:val="yellow"/>
        </w:rPr>
        <w:t xml:space="preserve"> à </w:t>
      </w:r>
      <w:r>
        <w:rPr>
          <w:b/>
          <w:highlight w:val="yellow"/>
        </w:rPr>
        <w:t>18</w:t>
      </w:r>
      <w:r>
        <w:rPr>
          <w:b/>
        </w:rPr>
        <w:t xml:space="preserve">] </w:t>
      </w:r>
      <w:r>
        <w:t>mois à compter de la date à laquelle ce</w:t>
      </w:r>
      <w:r w:rsidR="00DA48A0">
        <w:t>t Investissement-</w:t>
      </w:r>
      <w:r>
        <w:t xml:space="preserve">relais a été acquis, </w:t>
      </w:r>
      <w:r w:rsidR="00DA48A0">
        <w:t>cet Investissement-relais</w:t>
      </w:r>
      <w:r>
        <w:t xml:space="preserve"> doit, sauf </w:t>
      </w:r>
      <w:r w:rsidR="00DA48A0">
        <w:t>si le</w:t>
      </w:r>
      <w:r>
        <w:t xml:space="preserve"> </w:t>
      </w:r>
      <w:r w:rsidR="00980C6E">
        <w:t>Comité consultatif des Commanditaires</w:t>
      </w:r>
      <w:r w:rsidR="00DA48A0">
        <w:t xml:space="preserve"> en convient autrement</w:t>
      </w:r>
      <w:r>
        <w:t>, cesser d</w:t>
      </w:r>
      <w:r w:rsidR="00E27310">
        <w:t>’</w:t>
      </w:r>
      <w:r>
        <w:t xml:space="preserve">être traité comme un </w:t>
      </w:r>
      <w:r w:rsidR="00DA48A0">
        <w:t>Investissement-</w:t>
      </w:r>
      <w:r>
        <w:t>relais à l</w:t>
      </w:r>
      <w:r w:rsidR="00E27310">
        <w:t>’</w:t>
      </w:r>
      <w:r>
        <w:t xml:space="preserve">expiration de cette période de </w:t>
      </w:r>
      <w:r>
        <w:rPr>
          <w:b/>
        </w:rPr>
        <w:t>[</w:t>
      </w:r>
      <w:r>
        <w:rPr>
          <w:b/>
          <w:highlight w:val="yellow"/>
        </w:rPr>
        <w:t>12</w:t>
      </w:r>
      <w:r w:rsidR="00DA48A0">
        <w:rPr>
          <w:b/>
          <w:highlight w:val="yellow"/>
        </w:rPr>
        <w:t xml:space="preserve"> à </w:t>
      </w:r>
      <w:r>
        <w:rPr>
          <w:b/>
          <w:highlight w:val="yellow"/>
        </w:rPr>
        <w:t>18</w:t>
      </w:r>
      <w:r>
        <w:rPr>
          <w:b/>
        </w:rPr>
        <w:t>]</w:t>
      </w:r>
      <w:r>
        <w:t xml:space="preserve"> mois et doit être traité comme un </w:t>
      </w:r>
      <w:r w:rsidR="00DA48A0">
        <w:t>Investissement</w:t>
      </w:r>
      <w:r>
        <w:t xml:space="preserve"> de portefeuille qui n</w:t>
      </w:r>
      <w:r w:rsidR="00E27310">
        <w:t>’</w:t>
      </w:r>
      <w:r>
        <w:t xml:space="preserve">est pas un </w:t>
      </w:r>
      <w:r w:rsidR="00DA48A0">
        <w:t>Investissement-</w:t>
      </w:r>
      <w:r>
        <w:t>relais à compter de la date d</w:t>
      </w:r>
      <w:r w:rsidR="00E27310">
        <w:t>’</w:t>
      </w:r>
      <w:r>
        <w:t>acquisition de ce</w:t>
      </w:r>
      <w:r w:rsidR="00DA48A0">
        <w:t>t Investissement-</w:t>
      </w:r>
      <w:r>
        <w:t>relais.</w:t>
      </w:r>
    </w:p>
    <w:p w:rsidR="0000160C" w:rsidRDefault="00C517ED" w14:paraId="4DC0AA1C" w14:textId="77777777">
      <w:pPr>
        <w:pStyle w:val="ArtBJStyL1"/>
      </w:pPr>
      <w:r>
        <w:rPr>
          <w:color w:val="000000"/>
        </w:rPr>
        <w:br/>
      </w:r>
      <w:bookmarkStart w:name="_Ref113892488" w:id="397"/>
      <w:bookmarkStart w:name="_Toc161762347" w:id="398"/>
      <w:r>
        <w:t>Gestion</w:t>
      </w:r>
      <w:bookmarkEnd w:id="397"/>
      <w:bookmarkEnd w:id="398"/>
    </w:p>
    <w:p w:rsidR="0000160C" w:rsidRDefault="00C517ED" w14:paraId="734AD9D9" w14:textId="77777777">
      <w:pPr>
        <w:pStyle w:val="ArtBJStyL2"/>
      </w:pPr>
      <w:bookmarkStart w:name="_Ref113892489" w:id="399"/>
      <w:bookmarkStart w:name="_Toc161762348" w:id="400"/>
      <w:r>
        <w:t>Gestion du Fonds.</w:t>
      </w:r>
      <w:bookmarkEnd w:id="399"/>
      <w:bookmarkEnd w:id="400"/>
    </w:p>
    <w:p w:rsidR="0000160C" w:rsidRDefault="00C517ED" w14:paraId="19944655" w14:textId="3A49292E">
      <w:pPr>
        <w:pStyle w:val="ArtBJStyL3"/>
      </w:pPr>
      <w:bookmarkStart w:name="_Ref113892490" w:id="401"/>
      <w:r>
        <w:t xml:space="preserve">Le </w:t>
      </w:r>
      <w:r w:rsidR="00DA48A0">
        <w:t>C</w:t>
      </w:r>
      <w:r>
        <w:t xml:space="preserve">ommandité doit, et doit </w:t>
      </w:r>
      <w:r w:rsidR="00DA48A0">
        <w:t>faire en sorte que</w:t>
      </w:r>
      <w:r>
        <w:t xml:space="preserve"> le Fonds</w:t>
      </w:r>
      <w:r w:rsidR="00701EE5">
        <w:t>,</w:t>
      </w:r>
      <w:r>
        <w:t xml:space="preserve"> respecte en tout temps </w:t>
      </w:r>
      <w:r w:rsidR="00DA48A0">
        <w:t>la présente Convention</w:t>
      </w:r>
      <w:r>
        <w:t>, y compris les Objectifs d</w:t>
      </w:r>
      <w:r w:rsidR="00E27310">
        <w:t>’</w:t>
      </w:r>
      <w:r>
        <w:t xml:space="preserve">investissement, </w:t>
      </w:r>
      <w:r>
        <w:rPr>
          <w:b/>
          <w:highlight w:val="yellow"/>
        </w:rPr>
        <w:t>[la Politique d</w:t>
      </w:r>
      <w:r w:rsidR="00E27310">
        <w:rPr>
          <w:b/>
          <w:highlight w:val="yellow"/>
        </w:rPr>
        <w:t>’</w:t>
      </w:r>
      <w:r>
        <w:rPr>
          <w:b/>
          <w:highlight w:val="yellow"/>
        </w:rPr>
        <w:t xml:space="preserve">investissement, le cas échéant, adoptée par le </w:t>
      </w:r>
      <w:r w:rsidR="00DA48A0">
        <w:rPr>
          <w:b/>
          <w:highlight w:val="yellow"/>
        </w:rPr>
        <w:t>C</w:t>
      </w:r>
      <w:r>
        <w:rPr>
          <w:b/>
          <w:highlight w:val="yellow"/>
        </w:rPr>
        <w:t>ommandité ou le Gestionnaire,]</w:t>
      </w:r>
      <w:r>
        <w:t xml:space="preserve"> les restrictions </w:t>
      </w:r>
      <w:r w:rsidR="00DA48A0">
        <w:t>à l’</w:t>
      </w:r>
      <w:r>
        <w:t xml:space="preserve">investissement énoncées </w:t>
      </w:r>
      <w:r w:rsidR="00DA48A0">
        <w:t>à l’article</w:t>
      </w:r>
      <w:r>
        <w:t>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B50BE2">
        <w:t>7.1</w:t>
      </w:r>
      <w:r w:rsidRPr="006400F9">
        <w:fldChar w:fldCharType="end"/>
      </w:r>
      <w:r>
        <w:t xml:space="preserve"> (</w:t>
      </w:r>
      <w:r w:rsidRPr="006A3B29" w:rsidR="00CA7801">
        <w:rPr>
          <w:i/>
        </w:rPr>
        <w:fldChar w:fldCharType="begin"/>
      </w:r>
      <w:r w:rsidRPr="006A3B29" w:rsidR="00CA7801">
        <w:rPr>
          <w:i/>
        </w:rPr>
        <w:instrText xml:space="preserve"> REF _Ref40802598 \h </w:instrText>
      </w:r>
      <w:r w:rsidR="00CA7801">
        <w:rPr>
          <w:i/>
        </w:rPr>
        <w:instrText xml:space="preserve"> \* MERGEFORMAT </w:instrText>
      </w:r>
      <w:r w:rsidRPr="006A3B29" w:rsidR="00CA7801">
        <w:rPr>
          <w:i/>
        </w:rPr>
      </w:r>
      <w:r w:rsidRPr="006A3B29" w:rsidR="00CA7801">
        <w:rPr>
          <w:i/>
        </w:rPr>
        <w:fldChar w:fldCharType="separate"/>
      </w:r>
      <w:r w:rsidRPr="00B50BE2" w:rsidR="00B50BE2">
        <w:rPr>
          <w:i/>
        </w:rPr>
        <w:t>Restrictions à l’investissement</w:t>
      </w:r>
      <w:r w:rsidR="00B50BE2">
        <w:t>.</w:t>
      </w:r>
      <w:r w:rsidRPr="006A3B29" w:rsidR="00CA7801">
        <w:rPr>
          <w:i/>
        </w:rPr>
        <w:fldChar w:fldCharType="end"/>
      </w:r>
      <w:r>
        <w:t xml:space="preserve">) et la norme de diligence énoncée à </w:t>
      </w:r>
      <w:r w:rsidR="00DA48A0">
        <w:t>l’article</w:t>
      </w:r>
      <w:r>
        <w:t> </w:t>
      </w:r>
      <w:r w:rsidRPr="006400F9">
        <w:fldChar w:fldCharType="begin"/>
      </w:r>
      <w:r w:rsidRPr="006400F9">
        <w:instrText xml:space="preserve"> REF _Ref48208467 \w \h </w:instrText>
      </w:r>
      <w:r w:rsidRPr="006400F9" w:rsidR="00791303">
        <w:instrText xml:space="preserve"> \* MERGEFORMAT </w:instrText>
      </w:r>
      <w:r w:rsidRPr="006400F9">
        <w:fldChar w:fldCharType="separate"/>
      </w:r>
      <w:r w:rsidR="00B50BE2">
        <w:t>8.3</w:t>
      </w:r>
      <w:r w:rsidRPr="006400F9">
        <w:fldChar w:fldCharType="end"/>
      </w:r>
      <w:r>
        <w:t xml:space="preserve"> (</w:t>
      </w:r>
      <w:r w:rsidRPr="00CA7801" w:rsidR="00CA7801">
        <w:rPr>
          <w:i/>
        </w:rPr>
        <w:fldChar w:fldCharType="begin"/>
      </w:r>
      <w:r w:rsidRPr="00CA7801" w:rsidR="00CA7801">
        <w:rPr>
          <w:i/>
        </w:rPr>
        <w:instrText xml:space="preserve"> REF _Ref113892513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Norme de diligence</w:t>
      </w:r>
      <w:r w:rsidR="00B50BE2">
        <w:t>.</w:t>
      </w:r>
      <w:r w:rsidRPr="00CA7801" w:rsidR="00CA7801">
        <w:rPr>
          <w:i/>
        </w:rPr>
        <w:fldChar w:fldCharType="end"/>
      </w:r>
      <w:r>
        <w:t>).</w:t>
      </w:r>
      <w:bookmarkEnd w:id="401"/>
    </w:p>
    <w:p w:rsidR="0000160C" w:rsidRDefault="00C517ED" w14:paraId="685ADEF4" w14:textId="53C54BE6">
      <w:pPr>
        <w:pStyle w:val="ArtBJStyL3"/>
      </w:pPr>
      <w:bookmarkStart w:name="_Ref113892491" w:id="402"/>
      <w:r>
        <w:t>L</w:t>
      </w:r>
      <w:r w:rsidR="00E27310">
        <w:t>’</w:t>
      </w:r>
      <w:r>
        <w:t>organisation, la conduite, la gestion, le contrôle et l</w:t>
      </w:r>
      <w:r w:rsidR="00A93978">
        <w:t>’exploitation</w:t>
      </w:r>
      <w:r>
        <w:t xml:space="preserve"> du Fonds, ainsi que ses investissements et autres activités sont confiés au </w:t>
      </w:r>
      <w:r w:rsidR="00701EE5">
        <w:t>C</w:t>
      </w:r>
      <w:r>
        <w:t xml:space="preserve">ommandité, qui est par les présentes autorisé et habilité, au nom et pour le compte du Fonds, sous réserve </w:t>
      </w:r>
      <w:r w:rsidR="00E536D5">
        <w:t>de la présente Convention</w:t>
      </w:r>
      <w:r>
        <w:t>, à exercer et à réaliser l</w:t>
      </w:r>
      <w:r w:rsidR="00E27310">
        <w:t>’</w:t>
      </w:r>
      <w:r>
        <w:t xml:space="preserve">un </w:t>
      </w:r>
      <w:r w:rsidR="00701EE5">
        <w:t>ou l’autre</w:t>
      </w:r>
      <w:r>
        <w:t xml:space="preserve"> des </w:t>
      </w:r>
      <w:r w:rsidR="00701EE5">
        <w:t>objectifs</w:t>
      </w:r>
      <w:r>
        <w:t xml:space="preserve"> du Fonds et à accomplir tous les actes, ainsi qu</w:t>
      </w:r>
      <w:r w:rsidR="00E27310">
        <w:t>’</w:t>
      </w:r>
      <w:r>
        <w:t xml:space="preserve">à conclure et à exécuter tous les contrats et autres engagements qui peuvent être nécessaires, </w:t>
      </w:r>
      <w:r w:rsidR="00701EE5">
        <w:t>souhaitables</w:t>
      </w:r>
      <w:r>
        <w:t xml:space="preserve"> ou accessoires, sans autre acte, approbation ou vote </w:t>
      </w:r>
      <w:r w:rsidR="00701EE5">
        <w:t>de toute</w:t>
      </w:r>
      <w:r>
        <w:t xml:space="preserve"> personne, y compris de tout </w:t>
      </w:r>
      <w:r w:rsidR="00701EE5">
        <w:t>C</w:t>
      </w:r>
      <w:r>
        <w:t>ommanditaire.</w:t>
      </w:r>
      <w:bookmarkStart w:name="_Ref113892844" w:id="403"/>
      <w:r>
        <w:rPr>
          <w:rStyle w:val="FootnoteReference"/>
        </w:rPr>
        <w:footnoteReference w:id="98"/>
      </w:r>
      <w:bookmarkEnd w:id="402"/>
      <w:bookmarkEnd w:id="403"/>
    </w:p>
    <w:p w:rsidR="0000160C" w:rsidRDefault="00C517ED" w14:paraId="012819B3" w14:textId="3FEE3957">
      <w:pPr>
        <w:pStyle w:val="ArtBJStyL3"/>
      </w:pPr>
      <w:bookmarkStart w:name="_Ref113892492" w:id="404"/>
      <w:r>
        <w:t xml:space="preserve">Le </w:t>
      </w:r>
      <w:r w:rsidR="00701EE5">
        <w:t>C</w:t>
      </w:r>
      <w:r>
        <w:t xml:space="preserve">ommandité doit, dans la mesure maximale permise par la Loi, déléguer au </w:t>
      </w:r>
      <w:r w:rsidR="00701EE5">
        <w:t>Gestionnaire</w:t>
      </w:r>
      <w:r>
        <w:t xml:space="preserve"> tous les pouvoirs du </w:t>
      </w:r>
      <w:r w:rsidR="00701EE5">
        <w:t>C</w:t>
      </w:r>
      <w:r>
        <w:t xml:space="preserve">ommandité </w:t>
      </w:r>
      <w:r>
        <w:rPr>
          <w:b/>
          <w:highlight w:val="yellow"/>
        </w:rPr>
        <w:t>[</w:t>
      </w:r>
      <w:r w:rsidR="00701EE5">
        <w:rPr>
          <w:b/>
          <w:highlight w:val="yellow"/>
        </w:rPr>
        <w:t>autres que</w:t>
      </w:r>
      <w:r>
        <w:rPr>
          <w:b/>
          <w:highlight w:val="yellow"/>
        </w:rPr>
        <w:t xml:space="preserve"> les décisions d</w:t>
      </w:r>
      <w:r w:rsidR="00E27310">
        <w:rPr>
          <w:b/>
          <w:highlight w:val="yellow"/>
        </w:rPr>
        <w:t>’</w:t>
      </w:r>
      <w:r>
        <w:rPr>
          <w:b/>
          <w:highlight w:val="yellow"/>
        </w:rPr>
        <w:t>acquisition</w:t>
      </w:r>
      <w:r w:rsidR="00701EE5">
        <w:rPr>
          <w:b/>
          <w:highlight w:val="yellow"/>
        </w:rPr>
        <w:t xml:space="preserve"> ou d’aliénation</w:t>
      </w:r>
      <w:r>
        <w:rPr>
          <w:b/>
          <w:highlight w:val="yellow"/>
        </w:rPr>
        <w:t xml:space="preserve"> </w:t>
      </w:r>
      <w:r w:rsidR="00701EE5">
        <w:rPr>
          <w:b/>
          <w:highlight w:val="yellow"/>
        </w:rPr>
        <w:t>en matière d’investissement</w:t>
      </w:r>
      <w:r>
        <w:rPr>
          <w:b/>
          <w:highlight w:val="yellow"/>
        </w:rPr>
        <w:t>]</w:t>
      </w:r>
      <w:r>
        <w:t>,</w:t>
      </w:r>
      <w:bookmarkStart w:name="_Ref113892845" w:id="405"/>
      <w:r>
        <w:rPr>
          <w:szCs w:val="22"/>
          <w:vertAlign w:val="superscript"/>
        </w:rPr>
        <w:footnoteReference w:id="99"/>
      </w:r>
      <w:bookmarkEnd w:id="405"/>
      <w:r>
        <w:t xml:space="preserve"> </w:t>
      </w:r>
      <w:r w:rsidR="00701EE5">
        <w:t>à condition</w:t>
      </w:r>
      <w:r>
        <w:t xml:space="preserve"> </w:t>
      </w:r>
      <w:r w:rsidR="00701EE5">
        <w:t>qu’une telle</w:t>
      </w:r>
      <w:r>
        <w:t xml:space="preserve"> délégation ne réduise la responsabilité du </w:t>
      </w:r>
      <w:r w:rsidR="00701EE5">
        <w:t>C</w:t>
      </w:r>
      <w:r>
        <w:t xml:space="preserve">ommandité </w:t>
      </w:r>
      <w:r w:rsidR="00701EE5">
        <w:t>à l’égard de</w:t>
      </w:r>
      <w:r>
        <w:t xml:space="preserve"> la conduite du </w:t>
      </w:r>
      <w:r w:rsidR="00701EE5">
        <w:t>F</w:t>
      </w:r>
      <w:r>
        <w:t xml:space="preserve">onds et que le </w:t>
      </w:r>
      <w:r w:rsidR="00701EE5">
        <w:t>C</w:t>
      </w:r>
      <w:r>
        <w:t xml:space="preserve">ommandité soit responsable de la conduite du </w:t>
      </w:r>
      <w:r w:rsidR="00701EE5">
        <w:t>Gestionnaire</w:t>
      </w:r>
      <w:r>
        <w:t xml:space="preserve"> comme si cette conduite était celle du </w:t>
      </w:r>
      <w:r w:rsidR="00701EE5">
        <w:t>C</w:t>
      </w:r>
      <w:r>
        <w:t xml:space="preserve">ommandité. À cette fin, le </w:t>
      </w:r>
      <w:r w:rsidR="00701EE5">
        <w:t>C</w:t>
      </w:r>
      <w:r>
        <w:t xml:space="preserve">ommandité est autorisé à conclure </w:t>
      </w:r>
      <w:r w:rsidR="00701EE5">
        <w:t>l’Entente</w:t>
      </w:r>
      <w:r>
        <w:t xml:space="preserve"> de gestion avec le </w:t>
      </w:r>
      <w:r w:rsidR="00701EE5">
        <w:t>G</w:t>
      </w:r>
      <w:r>
        <w:t xml:space="preserve">estionnaire au nom du </w:t>
      </w:r>
      <w:r w:rsidR="005243C3">
        <w:t>F</w:t>
      </w:r>
      <w:r>
        <w:t>onds.</w:t>
      </w:r>
      <w:bookmarkEnd w:id="404"/>
      <w:r>
        <w:t xml:space="preserve"> </w:t>
      </w:r>
    </w:p>
    <w:p w:rsidR="0000160C" w:rsidRDefault="00C517ED" w14:paraId="7A6EA072" w14:textId="4BEF6D80">
      <w:pPr>
        <w:pStyle w:val="ArtBJStyL3"/>
      </w:pPr>
      <w:bookmarkStart w:name="_Ref113892493" w:id="406"/>
      <w:r>
        <w:lastRenderedPageBreak/>
        <w:t xml:space="preserve">Nonobstant toute disposition contraire des présentes, ni le </w:t>
      </w:r>
      <w:r w:rsidR="00701EE5">
        <w:t>C</w:t>
      </w:r>
      <w:r>
        <w:t xml:space="preserve">ommandité ni le </w:t>
      </w:r>
      <w:r w:rsidR="00701EE5">
        <w:t>G</w:t>
      </w:r>
      <w:r>
        <w:t>estionnaire ne peuvent, ni ne doivent avoir le droit, le pouvoir ou l</w:t>
      </w:r>
      <w:r w:rsidR="00E27310">
        <w:t>’</w:t>
      </w:r>
      <w:r>
        <w:t>autorité</w:t>
      </w:r>
      <w:r w:rsidR="00701EE5">
        <w:t>,</w:t>
      </w:r>
      <w:r>
        <w:t xml:space="preserve"> de se soustraire à </w:t>
      </w:r>
      <w:r w:rsidR="00701EE5">
        <w:t>leurs</w:t>
      </w:r>
      <w:r>
        <w:t xml:space="preserve"> obligations en vertu </w:t>
      </w:r>
      <w:r w:rsidR="00E536D5">
        <w:t>de la présente Convention</w:t>
      </w:r>
      <w:r>
        <w:t xml:space="preserve"> par délégation de pouvoir ou de responsabilité.</w:t>
      </w:r>
      <w:bookmarkEnd w:id="406"/>
    </w:p>
    <w:p w:rsidR="0000160C" w:rsidRDefault="00C517ED" w14:paraId="010E2D01" w14:textId="6F64B59E">
      <w:pPr>
        <w:pStyle w:val="ArtBJStyL2"/>
      </w:pPr>
      <w:bookmarkStart w:name="_Ref113892494" w:id="407"/>
      <w:bookmarkStart w:name="_Toc161762349" w:id="408"/>
      <w:r>
        <w:t xml:space="preserve">Pouvoirs du </w:t>
      </w:r>
      <w:r w:rsidR="00701EE5">
        <w:t>C</w:t>
      </w:r>
      <w:r>
        <w:t>ommandité.</w:t>
      </w:r>
      <w:bookmarkEnd w:id="407"/>
      <w:bookmarkEnd w:id="408"/>
    </w:p>
    <w:p w:rsidR="0000160C" w:rsidRDefault="00C517ED" w14:paraId="17E13A7C" w14:textId="63DC2843">
      <w:pPr>
        <w:pStyle w:val="ArtBJStyCont2"/>
        <w:keepNext/>
      </w:pPr>
      <w:r>
        <w:t xml:space="preserve">Le </w:t>
      </w:r>
      <w:r w:rsidR="00701EE5">
        <w:t>C</w:t>
      </w:r>
      <w:r>
        <w:t xml:space="preserve">ommandité a tous les droits, pouvoirs et </w:t>
      </w:r>
      <w:r w:rsidR="003278C2">
        <w:t>autorité</w:t>
      </w:r>
      <w:r>
        <w:t xml:space="preserve"> d</w:t>
      </w:r>
      <w:r w:rsidR="00E27310">
        <w:t>’</w:t>
      </w:r>
      <w:r>
        <w:t xml:space="preserve">un </w:t>
      </w:r>
      <w:r w:rsidR="003278C2">
        <w:t>C</w:t>
      </w:r>
      <w:r>
        <w:t xml:space="preserve">ommandité en vertu de la Loi et autrement en vertu </w:t>
      </w:r>
      <w:r w:rsidR="007A757B">
        <w:t>du droit</w:t>
      </w:r>
      <w:r>
        <w:t xml:space="preserve"> applicable, et </w:t>
      </w:r>
      <w:r w:rsidR="003278C2">
        <w:t>tel que</w:t>
      </w:r>
      <w:r>
        <w:t xml:space="preserve"> prévu dans </w:t>
      </w:r>
      <w:r w:rsidR="003278C2">
        <w:t>la présente Convention</w:t>
      </w:r>
      <w:r>
        <w:t xml:space="preserve">. Par conséquent, le </w:t>
      </w:r>
      <w:r w:rsidR="003278C2">
        <w:t>C</w:t>
      </w:r>
      <w:r>
        <w:t xml:space="preserve">ommandité a tous les droits, pouvoirs et </w:t>
      </w:r>
      <w:r w:rsidR="003278C2">
        <w:t>autorité</w:t>
      </w:r>
      <w:r>
        <w:t xml:space="preserve"> de gérer, contrôler et diriger les affaires du Fonds et de faire tout acte au nom du Fonds qui est nécessaire, souhaitable ou accessoire à l</w:t>
      </w:r>
      <w:r w:rsidR="00E27310">
        <w:t>’</w:t>
      </w:r>
      <w:r>
        <w:t xml:space="preserve">accomplissement de ses devoirs en vertu </w:t>
      </w:r>
      <w:r w:rsidR="00E536D5">
        <w:t>de la présente Convention</w:t>
      </w:r>
      <w:r>
        <w:t xml:space="preserve"> et à la gestion des affaires du Fonds, y compris :</w:t>
      </w:r>
      <w:bookmarkStart w:name="_Ref113892846" w:id="409"/>
      <w:r>
        <w:rPr>
          <w:rStyle w:val="FootnoteReference"/>
        </w:rPr>
        <w:footnoteReference w:id="100"/>
      </w:r>
      <w:bookmarkEnd w:id="409"/>
    </w:p>
    <w:p w:rsidR="0000160C" w:rsidRDefault="00C517ED" w14:paraId="368D6697" w14:textId="7DEC2102">
      <w:pPr>
        <w:pStyle w:val="ArtBJStyL3"/>
      </w:pPr>
      <w:bookmarkStart w:name="_Ref113892495" w:id="410"/>
      <w:proofErr w:type="gramStart"/>
      <w:r>
        <w:t>gérer</w:t>
      </w:r>
      <w:proofErr w:type="gramEnd"/>
      <w:r>
        <w:t xml:space="preserve"> le Fonds au </w:t>
      </w:r>
      <w:r w:rsidR="003278C2">
        <w:t>quotidien</w:t>
      </w:r>
      <w:r>
        <w:t>;</w:t>
      </w:r>
      <w:bookmarkEnd w:id="410"/>
    </w:p>
    <w:p w:rsidR="0000160C" w:rsidRDefault="00C517ED" w14:paraId="69A56F08" w14:textId="10E3FCB4">
      <w:pPr>
        <w:pStyle w:val="ArtBJStyL3"/>
      </w:pPr>
      <w:bookmarkStart w:name="_Ref113892496" w:id="411"/>
      <w:proofErr w:type="gramStart"/>
      <w:r>
        <w:t>permettre</w:t>
      </w:r>
      <w:proofErr w:type="gramEnd"/>
      <w:r>
        <w:t xml:space="preserve"> le retrait et l</w:t>
      </w:r>
      <w:r w:rsidR="00E27310">
        <w:t>’</w:t>
      </w:r>
      <w:r>
        <w:t xml:space="preserve">admission de </w:t>
      </w:r>
      <w:r w:rsidR="003278C2">
        <w:t>C</w:t>
      </w:r>
      <w:r>
        <w:t xml:space="preserve">ommanditaires </w:t>
      </w:r>
      <w:r w:rsidR="003278C2">
        <w:t>à partir de, dans et entre les</w:t>
      </w:r>
      <w:r>
        <w:t xml:space="preserve"> </w:t>
      </w:r>
      <w:r w:rsidR="003278C2">
        <w:t>V</w:t>
      </w:r>
      <w:r>
        <w:t>éhicules du Fonds, sous réserve de</w:t>
      </w:r>
      <w:r w:rsidR="003278C2">
        <w:t xml:space="preserve"> l’article </w:t>
      </w:r>
      <w:r w:rsidRPr="006400F9">
        <w:fldChar w:fldCharType="begin"/>
      </w:r>
      <w:r w:rsidRPr="006400F9">
        <w:instrText xml:space="preserve"> REF _Ref45709994 \r \h  \* MERGEFORMAT </w:instrText>
      </w:r>
      <w:r w:rsidRPr="006400F9">
        <w:fldChar w:fldCharType="separate"/>
      </w:r>
      <w:r w:rsidR="00B50BE2">
        <w:t>5.1</w:t>
      </w:r>
      <w:r w:rsidRPr="006400F9">
        <w:fldChar w:fldCharType="end"/>
      </w:r>
      <w:r>
        <w:t xml:space="preserve"> (</w:t>
      </w:r>
      <w:r w:rsidRPr="00CA7801" w:rsidR="00CA7801">
        <w:rPr>
          <w:i/>
        </w:rPr>
        <w:fldChar w:fldCharType="begin"/>
      </w:r>
      <w:r w:rsidRPr="00CA7801" w:rsidR="00CA7801">
        <w:rPr>
          <w:i/>
        </w:rPr>
        <w:instrText xml:space="preserve"> REF _Ref45709994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Admission en tant que Commanditaire.</w:t>
      </w:r>
      <w:r w:rsidRPr="00CA7801" w:rsidR="00CA7801">
        <w:rPr>
          <w:i/>
        </w:rPr>
        <w:fldChar w:fldCharType="end"/>
      </w:r>
      <w:r>
        <w:t>)</w:t>
      </w:r>
      <w:r w:rsidR="003278C2">
        <w:t xml:space="preserve"> </w:t>
      </w:r>
      <w:r>
        <w:t xml:space="preserve">et </w:t>
      </w:r>
      <w:r w:rsidR="003278C2">
        <w:t xml:space="preserve">de l’article </w:t>
      </w:r>
      <w:r w:rsidRPr="006400F9">
        <w:fldChar w:fldCharType="begin"/>
      </w:r>
      <w:r w:rsidRPr="006400F9">
        <w:instrText xml:space="preserve"> REF _Ref45709997 \r \h  \* MERGEFORMAT </w:instrText>
      </w:r>
      <w:r w:rsidRPr="006400F9">
        <w:fldChar w:fldCharType="separate"/>
      </w:r>
      <w:r w:rsidR="00B50BE2">
        <w:t>5.2</w:t>
      </w:r>
      <w:r w:rsidRPr="006400F9">
        <w:fldChar w:fldCharType="end"/>
      </w:r>
      <w:r>
        <w:t xml:space="preserve"> (</w:t>
      </w:r>
      <w:r w:rsidRPr="00CA7801" w:rsidR="00CA7801">
        <w:rPr>
          <w:i/>
        </w:rPr>
        <w:fldChar w:fldCharType="begin"/>
      </w:r>
      <w:r w:rsidRPr="00CA7801" w:rsidR="00CA7801">
        <w:rPr>
          <w:i/>
        </w:rPr>
        <w:instrText xml:space="preserve"> REF _Ref45709997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Qui ne peut pas souscrire.</w:t>
      </w:r>
      <w:r w:rsidRPr="00CA7801" w:rsidR="00CA7801">
        <w:rPr>
          <w:i/>
        </w:rPr>
        <w:fldChar w:fldCharType="end"/>
      </w:r>
      <w:r>
        <w:t>);</w:t>
      </w:r>
      <w:bookmarkEnd w:id="411"/>
    </w:p>
    <w:p w:rsidR="0000160C" w:rsidRDefault="00C517ED" w14:paraId="0AA162AC" w14:textId="0F36110E">
      <w:pPr>
        <w:pStyle w:val="ArtBJStyL3"/>
      </w:pPr>
      <w:bookmarkStart w:name="_Ref113892497" w:id="412"/>
      <w:proofErr w:type="gramStart"/>
      <w:r>
        <w:t>émettre</w:t>
      </w:r>
      <w:proofErr w:type="gramEnd"/>
      <w:r>
        <w:t xml:space="preserve"> des </w:t>
      </w:r>
      <w:r w:rsidR="003278C2">
        <w:t>Avis d’appel de versement</w:t>
      </w:r>
      <w:r>
        <w:t xml:space="preserve"> et </w:t>
      </w:r>
      <w:r w:rsidR="003278C2">
        <w:t>faire</w:t>
      </w:r>
      <w:r>
        <w:t xml:space="preserve"> des </w:t>
      </w:r>
      <w:r w:rsidR="003278C2">
        <w:t>Versements</w:t>
      </w:r>
      <w:r>
        <w:t xml:space="preserve"> au nom du Fonds;</w:t>
      </w:r>
      <w:bookmarkEnd w:id="412"/>
      <w:r>
        <w:t xml:space="preserve"> </w:t>
      </w:r>
    </w:p>
    <w:p w:rsidR="0000160C" w:rsidRDefault="00C517ED" w14:paraId="6C530F03" w14:textId="3E0BAE7B">
      <w:pPr>
        <w:pStyle w:val="ArtBJStyL3"/>
      </w:pPr>
      <w:bookmarkStart w:name="_Ref113892498" w:id="413"/>
      <w:proofErr w:type="gramStart"/>
      <w:r>
        <w:t>acquérir</w:t>
      </w:r>
      <w:proofErr w:type="gramEnd"/>
      <w:r>
        <w:t xml:space="preserve">, détenir, </w:t>
      </w:r>
      <w:r w:rsidR="003278C2">
        <w:t>T</w:t>
      </w:r>
      <w:r>
        <w:t xml:space="preserve">ransférer, gérer, voter et détenir des </w:t>
      </w:r>
      <w:r w:rsidR="003278C2">
        <w:t>T</w:t>
      </w:r>
      <w:r>
        <w:t xml:space="preserve">itres et tout autre actif détenu par le Fonds, conformément et sous réserve de </w:t>
      </w:r>
      <w:r w:rsidR="003278C2">
        <w:t>l’</w:t>
      </w:r>
      <w:r w:rsidRPr="006400F9">
        <w:fldChar w:fldCharType="begin"/>
      </w:r>
      <w:r w:rsidRPr="006400F9">
        <w:instrText xml:space="preserve"> REF _Ref40807113 \w \h  \* MERGEFORMAT </w:instrText>
      </w:r>
      <w:r w:rsidRPr="006400F9">
        <w:fldChar w:fldCharType="separate"/>
      </w:r>
      <w:r w:rsidR="00B50BE2">
        <w:t>Article 7</w:t>
      </w:r>
      <w:r w:rsidRPr="006400F9">
        <w:fldChar w:fldCharType="end"/>
      </w:r>
      <w:r>
        <w:t xml:space="preserve"> (</w:t>
      </w:r>
      <w:r w:rsidRPr="00CA7801" w:rsidR="00CA7801">
        <w:rPr>
          <w:i/>
        </w:rPr>
        <w:fldChar w:fldCharType="begin"/>
      </w:r>
      <w:r w:rsidRPr="00CA7801" w:rsidR="00CA7801">
        <w:rPr>
          <w:i/>
        </w:rPr>
        <w:instrText xml:space="preserve"> REF _Ref40807113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Investissements</w:t>
      </w:r>
      <w:r w:rsidRPr="00CA7801" w:rsidR="00CA7801">
        <w:rPr>
          <w:i/>
        </w:rPr>
        <w:fldChar w:fldCharType="end"/>
      </w:r>
      <w:r>
        <w:t>);</w:t>
      </w:r>
      <w:bookmarkEnd w:id="413"/>
    </w:p>
    <w:p w:rsidR="0000160C" w:rsidRDefault="00C517ED" w14:paraId="4973DE93" w14:textId="0BA54DA0">
      <w:pPr>
        <w:pStyle w:val="ArtBJStyL3"/>
      </w:pPr>
      <w:bookmarkStart w:name="_Ref113892499" w:id="414"/>
      <w:proofErr w:type="gramStart"/>
      <w:r>
        <w:t>mettre</w:t>
      </w:r>
      <w:proofErr w:type="gramEnd"/>
      <w:r>
        <w:t xml:space="preserve"> </w:t>
      </w:r>
      <w:r w:rsidR="003278C2">
        <w:t xml:space="preserve">de côté </w:t>
      </w:r>
      <w:r>
        <w:t xml:space="preserve">des fonds pour les </w:t>
      </w:r>
      <w:r w:rsidR="003278C2">
        <w:t>R</w:t>
      </w:r>
      <w:r>
        <w:t>éserves;</w:t>
      </w:r>
      <w:bookmarkEnd w:id="414"/>
    </w:p>
    <w:p w:rsidR="0000160C" w:rsidRDefault="00C517ED" w14:paraId="7D2E8A3C" w14:textId="40CBE436">
      <w:pPr>
        <w:pStyle w:val="ArtBJStyL3"/>
      </w:pPr>
      <w:bookmarkStart w:name="_Ref113892500" w:id="415"/>
      <w:proofErr w:type="gramStart"/>
      <w:r>
        <w:t>sou</w:t>
      </w:r>
      <w:r w:rsidR="003278C2">
        <w:t>s</w:t>
      </w:r>
      <w:proofErr w:type="gramEnd"/>
      <w:r w:rsidR="003278C2">
        <w:t xml:space="preserve"> réserve de l’</w:t>
      </w:r>
      <w:r w:rsidRPr="006400F9">
        <w:fldChar w:fldCharType="begin"/>
      </w:r>
      <w:r w:rsidRPr="006400F9">
        <w:instrText xml:space="preserve"> REF _Ref40807042 \r \h  \* MERGEFORMAT </w:instrText>
      </w:r>
      <w:r w:rsidRPr="006400F9">
        <w:fldChar w:fldCharType="separate"/>
      </w:r>
      <w:r w:rsidR="00B50BE2">
        <w:t>Article 14</w:t>
      </w:r>
      <w:r w:rsidRPr="006400F9">
        <w:fldChar w:fldCharType="end"/>
      </w:r>
      <w:r>
        <w:t xml:space="preserve"> (</w:t>
      </w:r>
      <w:r w:rsidRPr="00CA7801" w:rsidR="00CA7801">
        <w:rPr>
          <w:i/>
        </w:rPr>
        <w:fldChar w:fldCharType="begin"/>
      </w:r>
      <w:r w:rsidRPr="00CA7801" w:rsidR="00CA7801">
        <w:rPr>
          <w:i/>
        </w:rPr>
        <w:instrText xml:space="preserve"> REF _Ref40807042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 xml:space="preserve">DISTRIBUTIONS; </w:t>
      </w:r>
      <w:r w:rsidRPr="00CA7801" w:rsidR="00CA7801">
        <w:rPr>
          <w:i/>
        </w:rPr>
        <w:fldChar w:fldCharType="end"/>
      </w:r>
      <w:r>
        <w:t>)</w:t>
      </w:r>
      <w:r w:rsidR="00D66438">
        <w:t xml:space="preserve"> </w:t>
      </w:r>
      <w:r>
        <w:t xml:space="preserve">et </w:t>
      </w:r>
      <w:r w:rsidR="003278C2">
        <w:t>de l’</w:t>
      </w:r>
      <w:r w:rsidRPr="006400F9">
        <w:fldChar w:fldCharType="begin"/>
      </w:r>
      <w:r w:rsidRPr="006400F9">
        <w:instrText xml:space="preserve"> REF _Ref40807162 \r \h  \* MERGEFORMAT </w:instrText>
      </w:r>
      <w:r w:rsidRPr="006400F9">
        <w:fldChar w:fldCharType="separate"/>
      </w:r>
      <w:r w:rsidR="00B50BE2">
        <w:t>Article 18</w:t>
      </w:r>
      <w:r w:rsidRPr="006400F9">
        <w:fldChar w:fldCharType="end"/>
      </w:r>
      <w:r>
        <w:t xml:space="preserve"> (</w:t>
      </w:r>
      <w:proofErr w:type="spellStart"/>
      <w:r w:rsidRPr="00CA7801" w:rsidR="00CA7801">
        <w:rPr>
          <w:i/>
        </w:rPr>
        <w:fldChar w:fldCharType="begin"/>
      </w:r>
      <w:r w:rsidRPr="00CA7801" w:rsidR="00CA7801">
        <w:rPr>
          <w:i/>
        </w:rPr>
        <w:instrText xml:space="preserve"> REF _Ref40807162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DurÉe</w:t>
      </w:r>
      <w:proofErr w:type="spellEnd"/>
      <w:r w:rsidRPr="00B50BE2" w:rsidR="00B50BE2">
        <w:rPr>
          <w:i/>
        </w:rPr>
        <w:t xml:space="preserve"> et dissolution du Fonds</w:t>
      </w:r>
      <w:r w:rsidRPr="00CA7801" w:rsidR="00CA7801">
        <w:rPr>
          <w:i/>
        </w:rPr>
        <w:fldChar w:fldCharType="end"/>
      </w:r>
      <w:r>
        <w:t xml:space="preserve">), décider quand et comment les biens du Fonds doivent être distribués aux </w:t>
      </w:r>
      <w:r w:rsidR="00D66438">
        <w:t>Associés</w:t>
      </w:r>
      <w:r>
        <w:t xml:space="preserve"> et </w:t>
      </w:r>
      <w:r w:rsidR="00D66438">
        <w:t>le</w:t>
      </w:r>
      <w:r>
        <w:t xml:space="preserve"> montant de cette distribution;</w:t>
      </w:r>
      <w:bookmarkEnd w:id="415"/>
    </w:p>
    <w:p w:rsidR="0000160C" w:rsidRDefault="00D66438" w14:paraId="7D7A2205" w14:textId="23E2D38E">
      <w:pPr>
        <w:pStyle w:val="ArtBJStyL3"/>
      </w:pPr>
      <w:bookmarkStart w:name="_Ref113892501" w:id="416"/>
      <w:r>
        <w:rPr>
          <w:color w:val="000000"/>
        </w:rPr>
        <w:t>intenter</w:t>
      </w:r>
      <w:r w:rsidR="00C517ED">
        <w:rPr>
          <w:color w:val="000000"/>
        </w:rPr>
        <w:t xml:space="preserve">, </w:t>
      </w:r>
      <w:r w:rsidR="00C517ED">
        <w:t>défendre, régler et disposer des Procédures, à condition qu</w:t>
      </w:r>
      <w:r w:rsidR="00E27310">
        <w:t>’</w:t>
      </w:r>
      <w:r w:rsidR="00C517ED">
        <w:t xml:space="preserve">aucune Personne </w:t>
      </w:r>
      <w:r>
        <w:t>c</w:t>
      </w:r>
      <w:r w:rsidR="00C517ED">
        <w:t xml:space="preserve">ouverte ne soit </w:t>
      </w:r>
      <w:r>
        <w:t>exonérée</w:t>
      </w:r>
      <w:r w:rsidR="00C517ED">
        <w:t xml:space="preserve"> ou indemnisée ou autrement tenue à </w:t>
      </w:r>
      <w:r>
        <w:t>couvert</w:t>
      </w:r>
      <w:r w:rsidR="00C517ED">
        <w:t xml:space="preserve"> de toute responsabilité, sauf dans la mesure requise par </w:t>
      </w:r>
      <w:r>
        <w:t xml:space="preserve">l’article </w:t>
      </w:r>
      <w:r w:rsidRPr="0053290C" w:rsidR="00C517ED">
        <w:fldChar w:fldCharType="begin"/>
      </w:r>
      <w:r w:rsidRPr="0053290C" w:rsidR="00C517ED">
        <w:instrText xml:space="preserve"> REF _Ref40801087 \w \h  \* MERGEFORMAT </w:instrText>
      </w:r>
      <w:r w:rsidRPr="0053290C" w:rsidR="00C517ED">
        <w:fldChar w:fldCharType="separate"/>
      </w:r>
      <w:r w:rsidR="00B50BE2">
        <w:t>16.1</w:t>
      </w:r>
      <w:r w:rsidRPr="0053290C" w:rsidR="00C517ED">
        <w:fldChar w:fldCharType="end"/>
      </w:r>
      <w:r w:rsidR="00C517ED">
        <w:t xml:space="preserve"> (</w:t>
      </w:r>
      <w:r w:rsidRPr="00CA7801" w:rsidR="00CA7801">
        <w:rPr>
          <w:i/>
        </w:rPr>
        <w:fldChar w:fldCharType="begin"/>
      </w:r>
      <w:r w:rsidRPr="00CA7801" w:rsidR="00CA7801">
        <w:rPr>
          <w:i/>
        </w:rPr>
        <w:instrText xml:space="preserve"> REF _Ref40801087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Exonération des Personnes couvertes.</w:t>
      </w:r>
      <w:r w:rsidRPr="00CA7801" w:rsidR="00CA7801">
        <w:rPr>
          <w:i/>
        </w:rPr>
        <w:fldChar w:fldCharType="end"/>
      </w:r>
      <w:r w:rsidR="00C517ED">
        <w:t>)</w:t>
      </w:r>
      <w:r>
        <w:t xml:space="preserve"> </w:t>
      </w:r>
      <w:r w:rsidR="00C517ED">
        <w:t>ou</w:t>
      </w:r>
      <w:r>
        <w:t xml:space="preserve"> l’article</w:t>
      </w:r>
      <w:r w:rsidR="00C517ED">
        <w:t xml:space="preserve"> </w:t>
      </w:r>
      <w:r w:rsidRPr="0053290C" w:rsidR="00C517ED">
        <w:fldChar w:fldCharType="begin"/>
      </w:r>
      <w:r w:rsidRPr="0053290C" w:rsidR="00C517ED">
        <w:instrText xml:space="preserve"> REF _Ref40803551 \w \h  \* MERGEFORMAT </w:instrText>
      </w:r>
      <w:r w:rsidRPr="0053290C" w:rsidR="00C517ED">
        <w:fldChar w:fldCharType="separate"/>
      </w:r>
      <w:r w:rsidR="00B50BE2">
        <w:t>16.2</w:t>
      </w:r>
      <w:r w:rsidRPr="0053290C" w:rsidR="00C517ED">
        <w:fldChar w:fldCharType="end"/>
      </w:r>
      <w:r w:rsidR="00C517ED">
        <w:t xml:space="preserve"> (</w:t>
      </w:r>
      <w:r w:rsidRPr="00CA7801" w:rsidR="00CA7801">
        <w:rPr>
          <w:i/>
        </w:rPr>
        <w:fldChar w:fldCharType="begin"/>
      </w:r>
      <w:r w:rsidRPr="00CA7801" w:rsidR="00CA7801">
        <w:rPr>
          <w:i/>
        </w:rPr>
        <w:instrText xml:space="preserve"> REF _Ref40803551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Indemnisation des Personnes couvertes.</w:t>
      </w:r>
      <w:r w:rsidRPr="00CA7801" w:rsidR="00CA7801">
        <w:rPr>
          <w:i/>
        </w:rPr>
        <w:fldChar w:fldCharType="end"/>
      </w:r>
      <w:r w:rsidR="00C517ED">
        <w:t>);</w:t>
      </w:r>
      <w:bookmarkEnd w:id="416"/>
    </w:p>
    <w:p w:rsidR="0000160C" w:rsidRDefault="00C517ED" w14:paraId="51780E54" w14:textId="4CD5285D">
      <w:pPr>
        <w:pStyle w:val="ArtBJStyL3"/>
      </w:pPr>
      <w:bookmarkStart w:name="_Ref113892502" w:id="417"/>
      <w:r>
        <w:t xml:space="preserve">retenir </w:t>
      </w:r>
      <w:r w:rsidR="007C4797">
        <w:t>les services</w:t>
      </w:r>
      <w:r>
        <w:t xml:space="preserve"> </w:t>
      </w:r>
      <w:r w:rsidR="007C4797">
        <w:t>de comptables</w:t>
      </w:r>
      <w:r>
        <w:t xml:space="preserve">, </w:t>
      </w:r>
      <w:r w:rsidR="007C4797">
        <w:t>de conseillers juridiques</w:t>
      </w:r>
      <w:r>
        <w:t xml:space="preserve">, </w:t>
      </w:r>
      <w:r w:rsidR="007C4797">
        <w:t>de banquiers d’investissement</w:t>
      </w:r>
      <w:r>
        <w:t xml:space="preserve">, </w:t>
      </w:r>
      <w:r w:rsidR="007C4797">
        <w:t>de fiscalistes</w:t>
      </w:r>
      <w:r>
        <w:t xml:space="preserve">, </w:t>
      </w:r>
      <w:r w:rsidR="007C4797">
        <w:t>d’évaluateurs</w:t>
      </w:r>
      <w:r>
        <w:t xml:space="preserve">, </w:t>
      </w:r>
      <w:r w:rsidR="007C4797">
        <w:t>d’ingénieurs</w:t>
      </w:r>
      <w:r>
        <w:t xml:space="preserve">, </w:t>
      </w:r>
      <w:r w:rsidR="007C4797">
        <w:t>de spécialistes en marketing</w:t>
      </w:r>
      <w:r>
        <w:t xml:space="preserve"> et d</w:t>
      </w:r>
      <w:r w:rsidR="00E27310">
        <w:t>’</w:t>
      </w:r>
      <w:r>
        <w:t>autres conseillers ou consultants professionnels,</w:t>
      </w:r>
      <w:r w:rsidR="007C4797">
        <w:t xml:space="preserve"> ou les décharger de leurs fonctions, pour le compte du Fonds,</w:t>
      </w:r>
      <w:r>
        <w:t xml:space="preserve"> s</w:t>
      </w:r>
      <w:r w:rsidR="00E27310">
        <w:t>’</w:t>
      </w:r>
      <w:r>
        <w:t>il le juge souhaitable</w:t>
      </w:r>
      <w:bookmarkStart w:name="_Ref113892847" w:id="418"/>
      <w:r>
        <w:rPr>
          <w:szCs w:val="22"/>
          <w:vertAlign w:val="superscript"/>
        </w:rPr>
        <w:footnoteReference w:id="101"/>
      </w:r>
      <w:bookmarkEnd w:id="418"/>
      <w:r>
        <w:t xml:space="preserve"> et conforme aux obligations du </w:t>
      </w:r>
      <w:r w:rsidR="007C4797">
        <w:t>C</w:t>
      </w:r>
      <w:r>
        <w:t>ommandité énoncées à l</w:t>
      </w:r>
      <w:r w:rsidR="007C4797">
        <w:t xml:space="preserve">’article </w:t>
      </w:r>
      <w:r w:rsidRPr="0053290C">
        <w:fldChar w:fldCharType="begin"/>
      </w:r>
      <w:r w:rsidRPr="0053290C">
        <w:instrText xml:space="preserve"> REF _Ref48208467 \w \h </w:instrText>
      </w:r>
      <w:r w:rsidRPr="0053290C" w:rsidR="00791303">
        <w:instrText xml:space="preserve"> \* MERGEFORMAT </w:instrText>
      </w:r>
      <w:r w:rsidRPr="0053290C">
        <w:fldChar w:fldCharType="separate"/>
      </w:r>
      <w:r w:rsidR="00B50BE2">
        <w:t>8.3</w:t>
      </w:r>
      <w:r w:rsidRPr="0053290C">
        <w:fldChar w:fldCharType="end"/>
      </w:r>
      <w:r>
        <w:t xml:space="preserve"> (</w:t>
      </w:r>
      <w:r w:rsidRPr="00CA7801" w:rsidR="00CA7801">
        <w:rPr>
          <w:i/>
        </w:rPr>
        <w:fldChar w:fldCharType="begin"/>
      </w:r>
      <w:r w:rsidRPr="00CA7801" w:rsidR="00CA7801">
        <w:rPr>
          <w:i/>
        </w:rPr>
        <w:instrText xml:space="preserve"> REF _Ref113892513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Norme de diligence.</w:t>
      </w:r>
      <w:r w:rsidRPr="00CA7801" w:rsidR="00CA7801">
        <w:rPr>
          <w:i/>
        </w:rPr>
        <w:fldChar w:fldCharType="end"/>
      </w:r>
      <w:r>
        <w:t xml:space="preserve">), à condition que tout engagement, arrangement, transaction ou </w:t>
      </w:r>
      <w:r w:rsidR="007C4797">
        <w:t>entente</w:t>
      </w:r>
      <w:r>
        <w:t xml:space="preserve"> avec une </w:t>
      </w:r>
      <w:r w:rsidR="007C4797">
        <w:t>P</w:t>
      </w:r>
      <w:r>
        <w:t xml:space="preserve">ersonne intéressée </w:t>
      </w:r>
      <w:bookmarkStart w:name="DocXTextRef74" w:id="419"/>
      <w:r>
        <w:rPr>
          <w:b/>
          <w:highlight w:val="yellow"/>
        </w:rPr>
        <w:t>[(i)</w:t>
      </w:r>
      <w:bookmarkEnd w:id="419"/>
      <w:r>
        <w:rPr>
          <w:b/>
          <w:highlight w:val="yellow"/>
        </w:rPr>
        <w:t>]</w:t>
      </w:r>
      <w:r>
        <w:t xml:space="preserve"> contienne des conditions qui ne sont pas moins favorables au Fonds ou à la </w:t>
      </w:r>
      <w:r w:rsidR="007C4797">
        <w:t>S</w:t>
      </w:r>
      <w:r>
        <w:t xml:space="preserve">ociété de portefeuille </w:t>
      </w:r>
      <w:r w:rsidR="007C4797">
        <w:t>pertinente</w:t>
      </w:r>
      <w:r>
        <w:t xml:space="preserve"> que celles qui pourraient être obtenues dans le cadre de négociations sans lien de dépendance avec des tiers non liés pour des services similaires</w:t>
      </w:r>
      <w:r>
        <w:rPr>
          <w:b/>
          <w:highlight w:val="yellow"/>
        </w:rPr>
        <w:t xml:space="preserve">[, et </w:t>
      </w:r>
      <w:bookmarkStart w:name="DocXTextRef75" w:id="420"/>
      <w:r>
        <w:rPr>
          <w:b/>
          <w:highlight w:val="yellow"/>
        </w:rPr>
        <w:t>(ii)</w:t>
      </w:r>
      <w:bookmarkEnd w:id="420"/>
      <w:r>
        <w:rPr>
          <w:b/>
          <w:highlight w:val="yellow"/>
        </w:rPr>
        <w:t xml:space="preserve"> nécessitent le consentement écrit préalable du </w:t>
      </w:r>
      <w:r w:rsidR="00980C6E">
        <w:rPr>
          <w:b/>
          <w:highlight w:val="yellow"/>
        </w:rPr>
        <w:t>Comité consultatif des Commanditaires</w:t>
      </w:r>
      <w:r>
        <w:rPr>
          <w:b/>
          <w:highlight w:val="yellow"/>
        </w:rPr>
        <w:t xml:space="preserve"> ou d</w:t>
      </w:r>
      <w:r w:rsidR="00E27310">
        <w:rPr>
          <w:b/>
          <w:highlight w:val="yellow"/>
        </w:rPr>
        <w:t>’</w:t>
      </w:r>
      <w:r>
        <w:rPr>
          <w:b/>
          <w:highlight w:val="yellow"/>
        </w:rPr>
        <w:t xml:space="preserve">une </w:t>
      </w:r>
      <w:r w:rsidR="0072655F">
        <w:rPr>
          <w:b/>
          <w:highlight w:val="yellow"/>
        </w:rPr>
        <w:t>Majorité de Participations</w:t>
      </w:r>
      <w:r>
        <w:rPr>
          <w:b/>
          <w:highlight w:val="yellow"/>
        </w:rPr>
        <w:t>]</w:t>
      </w:r>
      <w:r>
        <w:rPr>
          <w:highlight w:val="yellow"/>
        </w:rPr>
        <w:t>;</w:t>
      </w:r>
      <w:bookmarkEnd w:id="417"/>
    </w:p>
    <w:p w:rsidR="0000160C" w:rsidRDefault="00C517ED" w14:paraId="05CA97BE" w14:textId="6D77B5D8">
      <w:pPr>
        <w:pStyle w:val="ArtBJStyL3"/>
      </w:pPr>
      <w:bookmarkStart w:name="_Ref113892503" w:id="421"/>
      <w:proofErr w:type="gramStart"/>
      <w:r>
        <w:lastRenderedPageBreak/>
        <w:t>sous</w:t>
      </w:r>
      <w:proofErr w:type="gramEnd"/>
      <w:r>
        <w:t xml:space="preserve"> réserve des autres </w:t>
      </w:r>
      <w:r w:rsidR="007C4797">
        <w:t>modalités</w:t>
      </w:r>
      <w:r>
        <w:t xml:space="preserve"> </w:t>
      </w:r>
      <w:r w:rsidR="00E536D5">
        <w:t>de la présente Convention</w:t>
      </w:r>
      <w:r>
        <w:t xml:space="preserve">, signer, </w:t>
      </w:r>
      <w:r w:rsidR="007C4797">
        <w:t xml:space="preserve">remettre </w:t>
      </w:r>
      <w:r>
        <w:t xml:space="preserve">et exécuter </w:t>
      </w:r>
      <w:r w:rsidR="007C4797">
        <w:t>ses</w:t>
      </w:r>
      <w:r>
        <w:t xml:space="preserve"> obligations en vertu de contrats et </w:t>
      </w:r>
      <w:r w:rsidR="007C4797">
        <w:t>d</w:t>
      </w:r>
      <w:r w:rsidR="00D43372">
        <w:t>’</w:t>
      </w:r>
      <w:r w:rsidR="007C4797">
        <w:t>ententes</w:t>
      </w:r>
      <w:r>
        <w:t xml:space="preserve"> de toute nature nécessaires ou accessoires à la réalisation des objectifs du Fonds, et prendre ou omettre de prendre toute autre mesure en rapport avec les investissements et les autres activités du Fonds, selon </w:t>
      </w:r>
      <w:r w:rsidR="007C4797">
        <w:t>ce qui peut être</w:t>
      </w:r>
      <w:r>
        <w:t xml:space="preserve"> nécessaire ou souhaitable afin de </w:t>
      </w:r>
      <w:r w:rsidR="007C4797">
        <w:t>poursuivre</w:t>
      </w:r>
      <w:r>
        <w:t xml:space="preserve"> les objectifs du Fonds;</w:t>
      </w:r>
      <w:bookmarkEnd w:id="421"/>
    </w:p>
    <w:p w:rsidR="0000160C" w:rsidRDefault="00C517ED" w14:paraId="482C04BA" w14:textId="17014201">
      <w:pPr>
        <w:pStyle w:val="ArtBJStyL3"/>
      </w:pPr>
      <w:bookmarkStart w:name="_Ref113892504" w:id="422"/>
      <w:proofErr w:type="gramStart"/>
      <w:r>
        <w:t>conclure</w:t>
      </w:r>
      <w:proofErr w:type="gramEnd"/>
      <w:r>
        <w:t xml:space="preserve"> un</w:t>
      </w:r>
      <w:r w:rsidR="007C4797">
        <w:t>e</w:t>
      </w:r>
      <w:r>
        <w:t xml:space="preserve"> ou plusieurs </w:t>
      </w:r>
      <w:r w:rsidR="007C4797">
        <w:t>ententes</w:t>
      </w:r>
      <w:r>
        <w:t xml:space="preserve"> avec les </w:t>
      </w:r>
      <w:r w:rsidR="007C4797">
        <w:t>V</w:t>
      </w:r>
      <w:r>
        <w:t xml:space="preserve">éhicules parallèles à des conditions raisonnables pour le Fonds en ce qui concerne les </w:t>
      </w:r>
      <w:r w:rsidR="007C4797">
        <w:t>I</w:t>
      </w:r>
      <w:r>
        <w:t xml:space="preserve">nvestissements de portefeuille (y compris les </w:t>
      </w:r>
      <w:r w:rsidR="007C4797">
        <w:t>I</w:t>
      </w:r>
      <w:r>
        <w:t>nvestissements</w:t>
      </w:r>
      <w:r w:rsidR="007C4797">
        <w:t>-</w:t>
      </w:r>
      <w:r>
        <w:t>relais) détenus par chacun d</w:t>
      </w:r>
      <w:r w:rsidR="00E27310">
        <w:t>’</w:t>
      </w:r>
      <w:r>
        <w:t xml:space="preserve">eux, respectivement, directement ou indirectement, dans la même entité ou les </w:t>
      </w:r>
      <w:r w:rsidR="007C4797">
        <w:t>Membres du même groupe</w:t>
      </w:r>
      <w:r>
        <w:t>;</w:t>
      </w:r>
      <w:bookmarkEnd w:id="422"/>
    </w:p>
    <w:p w:rsidR="0000160C" w:rsidRDefault="00C517ED" w14:paraId="5BBE2FF5" w14:textId="2299F828">
      <w:pPr>
        <w:pStyle w:val="ArtBJStyL3"/>
      </w:pPr>
      <w:bookmarkStart w:name="_Ref113892505" w:id="423"/>
      <w:proofErr w:type="gramStart"/>
      <w:r>
        <w:t>ouvrir</w:t>
      </w:r>
      <w:proofErr w:type="gramEnd"/>
      <w:r>
        <w:t xml:space="preserve"> et gérer des comptes bancaires au nom du Fonds et désigner les signataires de ces comptes, emprunter de l</w:t>
      </w:r>
      <w:r w:rsidR="00E27310">
        <w:t>’</w:t>
      </w:r>
      <w:r>
        <w:t xml:space="preserve">argent au nom du Fonds à des fins de </w:t>
      </w:r>
      <w:r w:rsidR="00E86F47">
        <w:t>relais</w:t>
      </w:r>
      <w:r>
        <w:t xml:space="preserve"> à court terme et émettre des garanties, sous réserve des </w:t>
      </w:r>
      <w:r w:rsidR="00E86F47">
        <w:t>limitations</w:t>
      </w:r>
      <w:r>
        <w:t xml:space="preserve"> énoncées à l</w:t>
      </w:r>
      <w:r w:rsidR="00E86F47">
        <w:t xml:space="preserve">’article </w:t>
      </w:r>
      <w:r w:rsidRPr="006400F9">
        <w:fldChar w:fldCharType="begin"/>
      </w:r>
      <w:r w:rsidRPr="006400F9">
        <w:instrText xml:space="preserve"> REF _Ref40803568 \w \h  \* MERGEFORMAT </w:instrText>
      </w:r>
      <w:r w:rsidRPr="006400F9">
        <w:fldChar w:fldCharType="separate"/>
      </w:r>
      <w:r w:rsidR="00B50BE2">
        <w:t>7.2</w:t>
      </w:r>
      <w:r w:rsidRPr="006400F9">
        <w:fldChar w:fldCharType="end"/>
      </w:r>
      <w:r>
        <w:t xml:space="preserve"> (</w:t>
      </w:r>
      <w:r w:rsidRPr="00CA7801" w:rsidR="00CA7801">
        <w:rPr>
          <w:i/>
        </w:rPr>
        <w:fldChar w:fldCharType="begin"/>
      </w:r>
      <w:r w:rsidRPr="00CA7801" w:rsidR="00CA7801">
        <w:rPr>
          <w:i/>
        </w:rPr>
        <w:instrText xml:space="preserve"> REF _Ref113892481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 xml:space="preserve">Limitation de la </w:t>
      </w:r>
      <w:r w:rsidR="00B50BE2">
        <w:t>dette.</w:t>
      </w:r>
      <w:r w:rsidRPr="00CA7801" w:rsidR="00CA7801">
        <w:rPr>
          <w:i/>
        </w:rPr>
        <w:fldChar w:fldCharType="end"/>
      </w:r>
      <w:r>
        <w:t>), et dépenser le capital du Fonds dans l</w:t>
      </w:r>
      <w:r w:rsidR="00E27310">
        <w:t>’</w:t>
      </w:r>
      <w:r>
        <w:t xml:space="preserve">exercice de tout droit ou pouvoir que possède le </w:t>
      </w:r>
      <w:r w:rsidR="00E86F47">
        <w:t>C</w:t>
      </w:r>
      <w:r>
        <w:t>ommandité;</w:t>
      </w:r>
      <w:bookmarkEnd w:id="423"/>
    </w:p>
    <w:p w:rsidR="0000160C" w:rsidRDefault="00C517ED" w14:paraId="2A42A26C" w14:textId="5E330609">
      <w:pPr>
        <w:pStyle w:val="ArtBJStyL3"/>
      </w:pPr>
      <w:bookmarkStart w:name="_Ref113892506" w:id="424"/>
      <w:proofErr w:type="gramStart"/>
      <w:r>
        <w:t>conclure</w:t>
      </w:r>
      <w:proofErr w:type="gramEnd"/>
      <w:r>
        <w:t xml:space="preserve"> des </w:t>
      </w:r>
      <w:r w:rsidR="00E86F47">
        <w:t>ententes</w:t>
      </w:r>
      <w:r>
        <w:t xml:space="preserve"> avec des tiers en vertu desquel</w:t>
      </w:r>
      <w:r w:rsidR="00E86F47">
        <w:t>le</w:t>
      </w:r>
      <w:r>
        <w:t>s des services peuvent être fournis au Fonds ou en vertu desquel</w:t>
      </w:r>
      <w:r w:rsidR="00E86F47">
        <w:t>le</w:t>
      </w:r>
      <w:r>
        <w:t xml:space="preserve">s certains droits, pouvoirs et </w:t>
      </w:r>
      <w:r w:rsidR="00E86F47">
        <w:t>autorité</w:t>
      </w:r>
      <w:r>
        <w:t xml:space="preserve"> du </w:t>
      </w:r>
      <w:r w:rsidR="00E86F47">
        <w:t>Commandité</w:t>
      </w:r>
      <w:r>
        <w:t xml:space="preserve"> en vertu </w:t>
      </w:r>
      <w:r w:rsidR="00E536D5">
        <w:t>de la présente Convention</w:t>
      </w:r>
      <w:r>
        <w:t xml:space="preserve"> peuvent être délégués à ces tiers;</w:t>
      </w:r>
      <w:bookmarkEnd w:id="424"/>
    </w:p>
    <w:p w:rsidR="0000160C" w:rsidRDefault="00C517ED" w14:paraId="595DC999" w14:textId="150E455E">
      <w:pPr>
        <w:pStyle w:val="ArtBJStyL3"/>
      </w:pPr>
      <w:bookmarkStart w:name="_Ref113892507" w:id="425"/>
      <w:proofErr w:type="gramStart"/>
      <w:r>
        <w:t>conclure</w:t>
      </w:r>
      <w:proofErr w:type="gramEnd"/>
      <w:r>
        <w:t xml:space="preserve"> </w:t>
      </w:r>
      <w:r w:rsidR="00E86F47">
        <w:t>l’Entente</w:t>
      </w:r>
      <w:r>
        <w:t xml:space="preserve"> de gestion avec le </w:t>
      </w:r>
      <w:r w:rsidR="00E86F47">
        <w:t>G</w:t>
      </w:r>
      <w:r>
        <w:t>estionnaire;</w:t>
      </w:r>
      <w:bookmarkEnd w:id="425"/>
    </w:p>
    <w:p w:rsidR="0000160C" w:rsidRDefault="00E86F47" w14:paraId="7E0BCD8B" w14:textId="4155772F">
      <w:pPr>
        <w:pStyle w:val="ArtBJStyL3"/>
      </w:pPr>
      <w:bookmarkStart w:name="_Ref113892508" w:id="426"/>
      <w:proofErr w:type="gramStart"/>
      <w:r>
        <w:t>faire</w:t>
      </w:r>
      <w:proofErr w:type="gramEnd"/>
      <w:r w:rsidR="00C517ED">
        <w:t xml:space="preserve"> ou </w:t>
      </w:r>
      <w:r w:rsidR="007F312B">
        <w:t>encourir</w:t>
      </w:r>
      <w:r w:rsidR="00C517ED">
        <w:t xml:space="preserve"> et payer les dépenses au nom du Fonds, selon ce qu</w:t>
      </w:r>
      <w:r w:rsidR="00E27310">
        <w:t>’</w:t>
      </w:r>
      <w:r w:rsidR="00C517ED">
        <w:t>il juge approprié;</w:t>
      </w:r>
      <w:bookmarkEnd w:id="426"/>
    </w:p>
    <w:p w:rsidR="0000160C" w:rsidRDefault="00C517ED" w14:paraId="25D93AF8" w14:textId="2E50CA23">
      <w:pPr>
        <w:pStyle w:val="ArtBJStyL3"/>
      </w:pPr>
      <w:bookmarkStart w:name="_Ref113892509" w:id="427"/>
      <w:proofErr w:type="gramStart"/>
      <w:r>
        <w:t>payer</w:t>
      </w:r>
      <w:proofErr w:type="gramEnd"/>
      <w:r>
        <w:t xml:space="preserve"> tous les dettes, obligations et engagements dus par le Fonds;</w:t>
      </w:r>
      <w:bookmarkEnd w:id="427"/>
    </w:p>
    <w:p w:rsidR="0000160C" w:rsidRDefault="00C517ED" w14:paraId="19B7FE1C" w14:textId="0A8B4C9F">
      <w:pPr>
        <w:pStyle w:val="ArtBJStyL3"/>
      </w:pPr>
      <w:bookmarkStart w:name="_Ref113892510" w:id="428"/>
      <w:proofErr w:type="gramStart"/>
      <w:r>
        <w:t>préparer</w:t>
      </w:r>
      <w:proofErr w:type="gramEnd"/>
      <w:r>
        <w:t xml:space="preserve"> et produire toutes les déclarations </w:t>
      </w:r>
      <w:r w:rsidR="007F312B">
        <w:t>de revenus</w:t>
      </w:r>
      <w:r>
        <w:t xml:space="preserve"> du Fonds, faire les choix prévus par la législation fiscale applicable en ce qui concerne le traitement des éléments des revenus, gains, pertes, déductions et crédits du Fonds, et de toutes autres questions pertinentes, selon ce qui est nécessaire ou approprié;</w:t>
      </w:r>
      <w:bookmarkEnd w:id="428"/>
    </w:p>
    <w:p w:rsidR="0000160C" w:rsidRDefault="00C517ED" w14:paraId="429C2C9F" w14:textId="0FC38E79">
      <w:pPr>
        <w:pStyle w:val="ArtBJStyL3"/>
      </w:pPr>
      <w:bookmarkStart w:name="_Ref113892511" w:id="429"/>
      <w:proofErr w:type="gramStart"/>
      <w:r>
        <w:t>conclure</w:t>
      </w:r>
      <w:proofErr w:type="gramEnd"/>
      <w:r>
        <w:t xml:space="preserve">, signer, reconnaître et </w:t>
      </w:r>
      <w:r w:rsidR="007F312B">
        <w:t>remettre</w:t>
      </w:r>
      <w:r>
        <w:t xml:space="preserve"> tout contrat, </w:t>
      </w:r>
      <w:r w:rsidR="007F312B">
        <w:t>entente</w:t>
      </w:r>
      <w:r>
        <w:t xml:space="preserve"> ou autre instrument et exercer toute autre activité nécessaire</w:t>
      </w:r>
      <w:r w:rsidR="007F312B">
        <w:t xml:space="preserve"> pour</w:t>
      </w:r>
      <w:r>
        <w:t xml:space="preserve">, </w:t>
      </w:r>
      <w:r w:rsidR="007F312B">
        <w:t>en relation avec ou en marge</w:t>
      </w:r>
      <w:r>
        <w:t xml:space="preserve"> </w:t>
      </w:r>
      <w:r w:rsidR="007F312B">
        <w:t>de</w:t>
      </w:r>
      <w:r>
        <w:t xml:space="preserve"> </w:t>
      </w:r>
      <w:r w:rsidR="00D43372">
        <w:t>l’une ou l’autre</w:t>
      </w:r>
      <w:r>
        <w:t xml:space="preserve"> des activités susmentionnées ou </w:t>
      </w:r>
      <w:r w:rsidR="007F312B">
        <w:t>des</w:t>
      </w:r>
      <w:r>
        <w:t xml:space="preserve"> investissements et autres activités du Fonds; et</w:t>
      </w:r>
      <w:bookmarkEnd w:id="429"/>
    </w:p>
    <w:p w:rsidR="0000160C" w:rsidRDefault="00C517ED" w14:paraId="7C68AF4B" w14:textId="396C68B9">
      <w:pPr>
        <w:pStyle w:val="ArtBJStyL3"/>
      </w:pPr>
      <w:bookmarkStart w:name="_Ref113892512" w:id="430"/>
      <w:proofErr w:type="gramStart"/>
      <w:r>
        <w:t>d</w:t>
      </w:r>
      <w:r w:rsidR="00D43372">
        <w:t>e</w:t>
      </w:r>
      <w:proofErr w:type="gramEnd"/>
      <w:r>
        <w:t xml:space="preserve"> manière générale, accomplir tous les autres actes </w:t>
      </w:r>
      <w:r w:rsidR="007F312B">
        <w:t>qu’il</w:t>
      </w:r>
      <w:r>
        <w:t xml:space="preserve"> juge nécessaires ou souhaitables dans le cadre des activités et des affaires du Fonds ou pour réaliser </w:t>
      </w:r>
      <w:r w:rsidR="007F312B">
        <w:t>l’intention</w:t>
      </w:r>
      <w:r>
        <w:t xml:space="preserve"> et les </w:t>
      </w:r>
      <w:r w:rsidR="007F312B">
        <w:t>objectifs</w:t>
      </w:r>
      <w:r>
        <w:t xml:space="preserve"> </w:t>
      </w:r>
      <w:r w:rsidR="00E536D5">
        <w:t>de la présente Convention</w:t>
      </w:r>
      <w:r>
        <w:t>.</w:t>
      </w:r>
      <w:bookmarkEnd w:id="430"/>
    </w:p>
    <w:p w:rsidR="0000160C" w:rsidRDefault="00C517ED" w14:paraId="5719C0CA" w14:textId="4A995B23">
      <w:pPr>
        <w:pStyle w:val="ArtBJStyL2"/>
      </w:pPr>
      <w:bookmarkStart w:name="_Ref113892513" w:id="431"/>
      <w:bookmarkStart w:name="_Ref48208467" w:id="432"/>
      <w:bookmarkStart w:name="_Toc161762350" w:id="433"/>
      <w:bookmarkStart w:name="_Ref40802978" w:id="434"/>
      <w:r>
        <w:t xml:space="preserve">Norme de </w:t>
      </w:r>
      <w:r w:rsidR="00587B62">
        <w:t>diligence</w:t>
      </w:r>
      <w:r>
        <w:t>.</w:t>
      </w:r>
      <w:bookmarkEnd w:id="431"/>
      <w:bookmarkEnd w:id="432"/>
      <w:bookmarkEnd w:id="433"/>
    </w:p>
    <w:p w:rsidR="0000160C" w:rsidRDefault="00C517ED" w14:paraId="1205D8A2" w14:textId="5B55D956">
      <w:pPr>
        <w:pStyle w:val="ArtBJStyL3"/>
        <w:numPr>
          <w:ilvl w:val="0"/>
          <w:numId w:val="0"/>
        </w:numPr>
        <w:rPr>
          <w:sz w:val="24"/>
        </w:rPr>
      </w:pPr>
      <w:bookmarkStart w:name="_Ref53082854" w:id="435"/>
      <w:r>
        <w:t xml:space="preserve">Le </w:t>
      </w:r>
      <w:r w:rsidR="00D11377">
        <w:t>C</w:t>
      </w:r>
      <w:r>
        <w:t xml:space="preserve">ommandité </w:t>
      </w:r>
      <w:r w:rsidR="00D11377">
        <w:t>doit exercer</w:t>
      </w:r>
      <w:r>
        <w:rPr>
          <w:rStyle w:val="ArtBJStyCont2Char"/>
        </w:rPr>
        <w:t xml:space="preserve"> ses pouvoirs et s</w:t>
      </w:r>
      <w:r w:rsidR="00E27310">
        <w:rPr>
          <w:rStyle w:val="ArtBJStyCont2Char"/>
        </w:rPr>
        <w:t>’</w:t>
      </w:r>
      <w:r>
        <w:rPr>
          <w:rStyle w:val="ArtBJStyCont2Char"/>
        </w:rPr>
        <w:t>acquitte</w:t>
      </w:r>
      <w:r w:rsidR="00D11377">
        <w:rPr>
          <w:rStyle w:val="ArtBJStyCont2Char"/>
        </w:rPr>
        <w:t>r</w:t>
      </w:r>
      <w:r>
        <w:rPr>
          <w:rStyle w:val="ArtBJStyCont2Char"/>
        </w:rPr>
        <w:t xml:space="preserve"> de ses obligations en vertu </w:t>
      </w:r>
      <w:r w:rsidR="00E536D5">
        <w:rPr>
          <w:rStyle w:val="ArtBJStyCont2Char"/>
        </w:rPr>
        <w:t>de la présente Convention</w:t>
      </w:r>
      <w:r>
        <w:rPr>
          <w:rStyle w:val="ArtBJStyCont2Char"/>
        </w:rPr>
        <w:t xml:space="preserve"> de façon honnête, de bonne foi et dans </w:t>
      </w:r>
      <w:r w:rsidR="00D11377">
        <w:rPr>
          <w:rStyle w:val="ArtBJStyCont2Char"/>
        </w:rPr>
        <w:t>le meilleur intérêt</w:t>
      </w:r>
      <w:r>
        <w:rPr>
          <w:rStyle w:val="ArtBJStyCont2Char"/>
        </w:rPr>
        <w:t xml:space="preserve"> du Fonds et, à </w:t>
      </w:r>
      <w:r>
        <w:t xml:space="preserve">cet égard, il </w:t>
      </w:r>
      <w:r w:rsidR="00D11377">
        <w:t>doit faire</w:t>
      </w:r>
      <w:r>
        <w:t xml:space="preserve"> preuve du degré de diligence qu</w:t>
      </w:r>
      <w:r w:rsidR="00E27310">
        <w:t>’</w:t>
      </w:r>
      <w:r>
        <w:t>un gestionnaire d</w:t>
      </w:r>
      <w:r w:rsidR="00E27310">
        <w:t>’</w:t>
      </w:r>
      <w:r>
        <w:t xml:space="preserve">investissement raisonnablement prudent exercerait dans des circonstances similaires. </w:t>
      </w:r>
    </w:p>
    <w:p w:rsidR="0000160C" w:rsidRDefault="00C517ED" w14:paraId="05546AC3" w14:textId="77777777">
      <w:pPr>
        <w:pStyle w:val="ArtBJStyL2"/>
      </w:pPr>
      <w:bookmarkStart w:name="_Ref96457888" w:id="436"/>
      <w:bookmarkStart w:name="_Toc161762351" w:id="437"/>
      <w:r>
        <w:t>Frais de gestion.</w:t>
      </w:r>
      <w:bookmarkEnd w:id="434"/>
      <w:bookmarkEnd w:id="435"/>
      <w:bookmarkEnd w:id="436"/>
      <w:bookmarkEnd w:id="437"/>
    </w:p>
    <w:p w:rsidR="0000160C" w:rsidRDefault="00C517ED" w14:paraId="12907F41" w14:textId="5EF6D624">
      <w:pPr>
        <w:pStyle w:val="ArtBJStyL3"/>
      </w:pPr>
      <w:bookmarkStart w:name="_Ref40802024" w:id="438"/>
      <w:r>
        <w:t xml:space="preserve">Le Fonds verse au </w:t>
      </w:r>
      <w:r>
        <w:rPr>
          <w:b/>
          <w:highlight w:val="yellow"/>
        </w:rPr>
        <w:t>[</w:t>
      </w:r>
      <w:r w:rsidR="00D11377">
        <w:rPr>
          <w:b/>
          <w:highlight w:val="yellow"/>
        </w:rPr>
        <w:t>C</w:t>
      </w:r>
      <w:r>
        <w:rPr>
          <w:b/>
          <w:highlight w:val="yellow"/>
        </w:rPr>
        <w:t>ommandité]</w:t>
      </w:r>
      <w:r>
        <w:rPr>
          <w:b/>
        </w:rPr>
        <w:t>/[</w:t>
      </w:r>
      <w:r w:rsidRPr="00D11377" w:rsidR="00D11377">
        <w:rPr>
          <w:b/>
          <w:highlight w:val="yellow"/>
        </w:rPr>
        <w:t>Gestionnaire</w:t>
      </w:r>
      <w:r>
        <w:rPr>
          <w:b/>
        </w:rPr>
        <w:t>]</w:t>
      </w:r>
      <w:r>
        <w:t xml:space="preserve"> </w:t>
      </w:r>
      <w:r w:rsidR="00D11377">
        <w:t>des frais de gestion</w:t>
      </w:r>
      <w:r>
        <w:t xml:space="preserve"> annue</w:t>
      </w:r>
      <w:r w:rsidR="00D11377">
        <w:t>ls</w:t>
      </w:r>
      <w:r>
        <w:t xml:space="preserve"> pour chaque </w:t>
      </w:r>
      <w:r w:rsidR="00D11377">
        <w:t>C</w:t>
      </w:r>
      <w:r>
        <w:t>ommandi</w:t>
      </w:r>
      <w:r w:rsidR="00697FC0">
        <w:t>taire</w:t>
      </w:r>
      <w:r>
        <w:t xml:space="preserve"> (« </w:t>
      </w:r>
      <w:r w:rsidR="005656AD">
        <w:rPr>
          <w:b/>
        </w:rPr>
        <w:t>Frais</w:t>
      </w:r>
      <w:r>
        <w:rPr>
          <w:b/>
        </w:rPr>
        <w:t xml:space="preserve"> de gestion</w:t>
      </w:r>
      <w:r>
        <w:t xml:space="preserve"> ») calculé</w:t>
      </w:r>
      <w:r w:rsidR="00D11377">
        <w:t>s</w:t>
      </w:r>
      <w:r>
        <w:t xml:space="preserve"> </w:t>
      </w:r>
      <w:r w:rsidR="00D11377">
        <w:t>à l’égard du</w:t>
      </w:r>
      <w:r>
        <w:t xml:space="preserve"> </w:t>
      </w:r>
      <w:r w:rsidR="00D11377">
        <w:t>C</w:t>
      </w:r>
      <w:r>
        <w:t>ommandit</w:t>
      </w:r>
      <w:r w:rsidR="00D11377">
        <w:t>aire</w:t>
      </w:r>
      <w:r>
        <w:t xml:space="preserve"> conformément </w:t>
      </w:r>
      <w:r>
        <w:lastRenderedPageBreak/>
        <w:t>à l</w:t>
      </w:r>
      <w:r w:rsidR="00D11377">
        <w:t xml:space="preserve">’article </w:t>
      </w:r>
      <w:r w:rsidRPr="006400F9">
        <w:fldChar w:fldCharType="begin"/>
      </w:r>
      <w:r w:rsidRPr="006400F9">
        <w:instrText xml:space="preserve"> REF _Ref40803582 \w \h </w:instrText>
      </w:r>
      <w:r w:rsidRPr="006400F9" w:rsidR="00791303">
        <w:instrText xml:space="preserve"> \* MERGEFORMAT </w:instrText>
      </w:r>
      <w:r w:rsidRPr="006400F9">
        <w:fldChar w:fldCharType="separate"/>
      </w:r>
      <w:r w:rsidR="00B50BE2">
        <w:t>8.4(b)</w:t>
      </w:r>
      <w:r w:rsidRPr="006400F9">
        <w:fldChar w:fldCharType="end"/>
      </w:r>
      <w:r>
        <w:t xml:space="preserve"> (</w:t>
      </w:r>
      <w:r w:rsidRPr="00CA7801" w:rsidR="00CA7801">
        <w:rPr>
          <w:i/>
        </w:rPr>
        <w:fldChar w:fldCharType="begin"/>
      </w:r>
      <w:r w:rsidRPr="00CA7801" w:rsidR="00CA7801">
        <w:rPr>
          <w:i/>
        </w:rPr>
        <w:instrText xml:space="preserve"> REF _Ref96457888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Frais de gestion.</w:t>
      </w:r>
      <w:r w:rsidRPr="00CA7801" w:rsidR="00CA7801">
        <w:rPr>
          <w:i/>
        </w:rPr>
        <w:fldChar w:fldCharType="end"/>
      </w:r>
      <w:r>
        <w:t xml:space="preserve">) ci-dessous, à compter de la </w:t>
      </w:r>
      <w:r w:rsidRPr="00666F66" w:rsidR="00D11377">
        <w:t>D</w:t>
      </w:r>
      <w:r w:rsidRPr="00666F66">
        <w:t>ate</w:t>
      </w:r>
      <w:bookmarkStart w:name="_Ref113892848" w:id="439"/>
      <w:r w:rsidRPr="00666F66" w:rsidR="00D11377">
        <w:t xml:space="preserve"> d</w:t>
      </w:r>
      <w:r w:rsidR="00666F66">
        <w:t>e l’</w:t>
      </w:r>
      <w:r w:rsidRPr="00666F66" w:rsidR="00D11377">
        <w:t>investissement initial</w:t>
      </w:r>
      <w:r>
        <w:rPr>
          <w:szCs w:val="22"/>
          <w:vertAlign w:val="superscript"/>
        </w:rPr>
        <w:footnoteReference w:id="102"/>
      </w:r>
      <w:bookmarkEnd w:id="439"/>
      <w:r>
        <w:t xml:space="preserve"> et </w:t>
      </w:r>
      <w:r w:rsidR="00D11377">
        <w:t>jusqu’à la première des éventualités suivantes</w:t>
      </w:r>
      <w:r>
        <w:t xml:space="preserve"> </w:t>
      </w:r>
      <w:bookmarkStart w:name="DocXTextRef76" w:id="440"/>
      <w:r>
        <w:t>(i)</w:t>
      </w:r>
      <w:bookmarkEnd w:id="440"/>
      <w:r>
        <w:t xml:space="preserve"> du dernier jour </w:t>
      </w:r>
      <w:r w:rsidR="00666F66">
        <w:t>de la Date de l’investissement initial</w:t>
      </w:r>
      <w:r>
        <w:t xml:space="preserve"> (</w:t>
      </w:r>
      <w:r w:rsidR="00666F66">
        <w:t>excluant, nonobstant</w:t>
      </w:r>
      <w:r>
        <w:t xml:space="preserve"> l</w:t>
      </w:r>
      <w:r w:rsidR="00E27310">
        <w:t>’</w:t>
      </w:r>
      <w:r>
        <w:t>article </w:t>
      </w:r>
      <w:r w:rsidRPr="006400F9">
        <w:fldChar w:fldCharType="begin"/>
      </w:r>
      <w:r w:rsidRPr="006400F9">
        <w:instrText xml:space="preserve"> REF _Ref40802491 \w \h </w:instrText>
      </w:r>
      <w:r w:rsidRPr="006400F9" w:rsidR="00791303">
        <w:instrText xml:space="preserve"> \* MERGEFORMAT </w:instrText>
      </w:r>
      <w:r w:rsidRPr="006400F9">
        <w:fldChar w:fldCharType="separate"/>
      </w:r>
      <w:r w:rsidR="00B50BE2">
        <w:t>18.1</w:t>
      </w:r>
      <w:r w:rsidRPr="006400F9">
        <w:fldChar w:fldCharType="end"/>
      </w:r>
      <w:r>
        <w:t xml:space="preserve"> (</w:t>
      </w:r>
      <w:r w:rsidR="00CA7801">
        <w:rPr>
          <w:i/>
          <w:iCs/>
        </w:rPr>
        <w:fldChar w:fldCharType="begin"/>
      </w:r>
      <w:r w:rsidR="00CA7801">
        <w:instrText xml:space="preserve"> REF _Ref113892657 \h </w:instrText>
      </w:r>
      <w:r w:rsidR="00CA7801">
        <w:rPr>
          <w:i/>
          <w:iCs/>
        </w:rPr>
        <w:instrText xml:space="preserve"> \* MERGEFORMAT </w:instrText>
      </w:r>
      <w:r w:rsidR="00CA7801">
        <w:rPr>
          <w:i/>
          <w:iCs/>
        </w:rPr>
      </w:r>
      <w:r w:rsidR="00CA7801">
        <w:rPr>
          <w:i/>
          <w:iCs/>
        </w:rPr>
        <w:fldChar w:fldCharType="separate"/>
      </w:r>
      <w:r w:rsidRPr="00B50BE2" w:rsidR="00B50BE2">
        <w:rPr>
          <w:i/>
        </w:rPr>
        <w:t>Durée</w:t>
      </w:r>
      <w:r w:rsidR="00B50BE2">
        <w:t>.</w:t>
      </w:r>
      <w:r w:rsidR="00CA7801">
        <w:rPr>
          <w:i/>
          <w:iCs/>
        </w:rPr>
        <w:fldChar w:fldCharType="end"/>
      </w:r>
      <w:r>
        <w:t xml:space="preserve">), toute prolongation), et </w:t>
      </w:r>
      <w:bookmarkStart w:name="DocXTextRef77" w:id="441"/>
      <w:r>
        <w:t>(ii)</w:t>
      </w:r>
      <w:bookmarkEnd w:id="441"/>
      <w:r>
        <w:t xml:space="preserve"> la nomination d</w:t>
      </w:r>
      <w:r w:rsidR="00E27310">
        <w:t>’</w:t>
      </w:r>
      <w:r>
        <w:t xml:space="preserve">un liquidateur autre que le </w:t>
      </w:r>
      <w:r w:rsidR="00666F66">
        <w:t>C</w:t>
      </w:r>
      <w:r>
        <w:t xml:space="preserve">ommandité. Les </w:t>
      </w:r>
      <w:r w:rsidR="00666F66">
        <w:t>F</w:t>
      </w:r>
      <w:r>
        <w:t>rais de gestion sont payables à l</w:t>
      </w:r>
      <w:r w:rsidR="00E27310">
        <w:t>’</w:t>
      </w:r>
      <w:r>
        <w:t>avance</w:t>
      </w:r>
      <w:bookmarkStart w:name="_Ref113892849" w:id="442"/>
      <w:r>
        <w:rPr>
          <w:szCs w:val="22"/>
          <w:vertAlign w:val="superscript"/>
        </w:rPr>
        <w:footnoteReference w:id="103"/>
      </w:r>
      <w:bookmarkEnd w:id="442"/>
      <w:r>
        <w:t xml:space="preserve"> </w:t>
      </w:r>
      <w:r w:rsidR="00666F66">
        <w:t xml:space="preserve">en versements trimestriels </w:t>
      </w:r>
      <w:r>
        <w:t xml:space="preserve">à compter de la </w:t>
      </w:r>
      <w:r w:rsidR="00666F66">
        <w:t>D</w:t>
      </w:r>
      <w:r>
        <w:t xml:space="preserve">ate </w:t>
      </w:r>
      <w:r w:rsidR="00666F66">
        <w:t>de l’investissement</w:t>
      </w:r>
      <w:r>
        <w:t xml:space="preserve"> initial et à chaque </w:t>
      </w:r>
      <w:r>
        <w:rPr>
          <w:b/>
          <w:highlight w:val="yellow"/>
        </w:rPr>
        <w:t>[1</w:t>
      </w:r>
      <w:r w:rsidRPr="005243C3">
        <w:rPr>
          <w:b/>
          <w:highlight w:val="yellow"/>
          <w:vertAlign w:val="superscript"/>
        </w:rPr>
        <w:t>er</w:t>
      </w:r>
      <w:r>
        <w:rPr>
          <w:b/>
          <w:highlight w:val="yellow"/>
        </w:rPr>
        <w:t xml:space="preserve"> janvier, 1</w:t>
      </w:r>
      <w:r w:rsidRPr="005243C3">
        <w:rPr>
          <w:b/>
          <w:highlight w:val="yellow"/>
          <w:vertAlign w:val="superscript"/>
        </w:rPr>
        <w:t>er</w:t>
      </w:r>
      <w:r>
        <w:rPr>
          <w:b/>
          <w:highlight w:val="yellow"/>
        </w:rPr>
        <w:t xml:space="preserve"> avril, 1</w:t>
      </w:r>
      <w:r w:rsidRPr="005243C3">
        <w:rPr>
          <w:b/>
          <w:highlight w:val="yellow"/>
          <w:vertAlign w:val="superscript"/>
        </w:rPr>
        <w:t>er</w:t>
      </w:r>
      <w:r>
        <w:rPr>
          <w:b/>
          <w:highlight w:val="yellow"/>
        </w:rPr>
        <w:t xml:space="preserve"> juillet et 1</w:t>
      </w:r>
      <w:r w:rsidRPr="005243C3">
        <w:rPr>
          <w:b/>
          <w:highlight w:val="yellow"/>
          <w:vertAlign w:val="superscript"/>
        </w:rPr>
        <w:t>er</w:t>
      </w:r>
      <w:r>
        <w:rPr>
          <w:b/>
          <w:highlight w:val="yellow"/>
        </w:rPr>
        <w:t xml:space="preserve"> octobre]</w:t>
      </w:r>
      <w:r>
        <w:t xml:space="preserve"> par la suite (chacune étant une «</w:t>
      </w:r>
      <w:r>
        <w:rPr>
          <w:b/>
        </w:rPr>
        <w:t xml:space="preserve"> </w:t>
      </w:r>
      <w:r w:rsidR="00666F66">
        <w:rPr>
          <w:b/>
        </w:rPr>
        <w:t>D</w:t>
      </w:r>
      <w:r>
        <w:rPr>
          <w:b/>
        </w:rPr>
        <w:t>ate de paiement</w:t>
      </w:r>
      <w:r>
        <w:t xml:space="preserve"> »). Tout paiement pour une période inférieure à un trimestre civil </w:t>
      </w:r>
      <w:r w:rsidR="00666F66">
        <w:t>doit être</w:t>
      </w:r>
      <w:r>
        <w:t xml:space="preserve"> ajusté au prorata du nombre réel de jours au cours de cette période.</w:t>
      </w:r>
      <w:bookmarkEnd w:id="438"/>
    </w:p>
    <w:p w:rsidR="0000160C" w:rsidRDefault="00C517ED" w14:paraId="4C6E8DDF" w14:textId="178EA8B5">
      <w:pPr>
        <w:pStyle w:val="ArtBJStyL3"/>
        <w:keepNext/>
      </w:pPr>
      <w:bookmarkStart w:name="_Ref40803582" w:id="443"/>
      <w:r>
        <w:t xml:space="preserve">Sous réserve de </w:t>
      </w:r>
      <w:r w:rsidR="00666F66">
        <w:t>l’article</w:t>
      </w:r>
      <w:r>
        <w:t>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B50BE2">
        <w:t>8.5</w:t>
      </w:r>
      <w:r w:rsidRPr="006400F9">
        <w:fldChar w:fldCharType="end"/>
      </w:r>
      <w:r>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Réduction des Frais de gestion.</w:t>
      </w:r>
      <w:r w:rsidRPr="00CA7801" w:rsidR="00CA7801">
        <w:rPr>
          <w:i/>
        </w:rPr>
        <w:fldChar w:fldCharType="end"/>
      </w:r>
      <w:r>
        <w:t xml:space="preserve">) ci-dessous, les </w:t>
      </w:r>
      <w:r w:rsidR="00666F66">
        <w:t>F</w:t>
      </w:r>
      <w:r>
        <w:t xml:space="preserve">rais de gestion à payer </w:t>
      </w:r>
      <w:r w:rsidR="00666F66">
        <w:t>à l’égard de</w:t>
      </w:r>
      <w:r>
        <w:t xml:space="preserve"> chaque </w:t>
      </w:r>
      <w:r w:rsidR="00666F66">
        <w:t>C</w:t>
      </w:r>
      <w:r>
        <w:t>ommanditaire seront d</w:t>
      </w:r>
      <w:r w:rsidR="00E27310">
        <w:t>’</w:t>
      </w:r>
      <w:r>
        <w:t>un montant égal à :</w:t>
      </w:r>
      <w:bookmarkEnd w:id="443"/>
    </w:p>
    <w:p w:rsidR="0000160C" w:rsidRDefault="00C517ED" w14:paraId="484572C3" w14:textId="0F0B631F">
      <w:pPr>
        <w:pStyle w:val="ArtBJStyL4"/>
      </w:pPr>
      <w:bookmarkStart w:name="_Ref113892514" w:id="444"/>
      <w:proofErr w:type="gramStart"/>
      <w:r>
        <w:t>jusqu</w:t>
      </w:r>
      <w:r w:rsidR="00E27310">
        <w:t>’</w:t>
      </w:r>
      <w:r>
        <w:t>à</w:t>
      </w:r>
      <w:proofErr w:type="gramEnd"/>
      <w:r>
        <w:t xml:space="preserve"> la fin de la </w:t>
      </w:r>
      <w:r w:rsidR="00666F66">
        <w:t>P</w:t>
      </w:r>
      <w:r>
        <w:t>ériode d</w:t>
      </w:r>
      <w:r w:rsidR="00E27310">
        <w:t>’</w:t>
      </w:r>
      <w:r>
        <w:t xml:space="preserve">engagement ou, si elle est antérieure, </w:t>
      </w:r>
      <w:r w:rsidR="00666F66">
        <w:t>à</w:t>
      </w:r>
      <w:r>
        <w:t xml:space="preserve"> la date à laquelle des </w:t>
      </w:r>
      <w:r w:rsidR="00D43372">
        <w:t>f</w:t>
      </w:r>
      <w:r>
        <w:t>rais de gestion commencent à courir à l</w:t>
      </w:r>
      <w:r w:rsidR="00E27310">
        <w:t>’</w:t>
      </w:r>
      <w:r>
        <w:t>égard d</w:t>
      </w:r>
      <w:r w:rsidR="00E27310">
        <w:t>’</w:t>
      </w:r>
      <w:r>
        <w:t xml:space="preserve">un </w:t>
      </w:r>
      <w:r w:rsidR="00666F66">
        <w:t>F</w:t>
      </w:r>
      <w:r>
        <w:t xml:space="preserve">onds </w:t>
      </w:r>
      <w:r w:rsidR="00666F66">
        <w:t>de remplacement</w:t>
      </w:r>
      <w:r>
        <w:t xml:space="preserve">, </w:t>
      </w:r>
      <w:r>
        <w:rPr>
          <w:b/>
          <w:caps/>
          <w:szCs w:val="22"/>
        </w:rPr>
        <w:t>[</w:t>
      </w:r>
      <w:r>
        <w:rPr>
          <w:b/>
          <w:caps/>
          <w:szCs w:val="22"/>
          <w:highlight w:val="yellow"/>
        </w:rPr>
        <w:t>__</w:t>
      </w:r>
      <w:r>
        <w:rPr>
          <w:b/>
          <w:caps/>
          <w:szCs w:val="22"/>
        </w:rPr>
        <w:t>]</w:t>
      </w:r>
      <w:bookmarkStart w:name="_Ref113892850" w:id="445"/>
      <w:r>
        <w:rPr>
          <w:szCs w:val="22"/>
          <w:vertAlign w:val="superscript"/>
        </w:rPr>
        <w:footnoteReference w:id="104"/>
      </w:r>
      <w:bookmarkEnd w:id="445"/>
      <w:r>
        <w:t xml:space="preserve"> % par an</w:t>
      </w:r>
      <w:r w:rsidR="00666F66">
        <w:t>née</w:t>
      </w:r>
      <w:r>
        <w:t xml:space="preserve"> de l</w:t>
      </w:r>
      <w:r w:rsidR="00E27310">
        <w:t>’</w:t>
      </w:r>
      <w:r w:rsidR="00666F66">
        <w:t>E</w:t>
      </w:r>
      <w:r>
        <w:t xml:space="preserve">ngagement du </w:t>
      </w:r>
      <w:r w:rsidR="00666F66">
        <w:t>C</w:t>
      </w:r>
      <w:r>
        <w:t>ommanditaire; et</w:t>
      </w:r>
      <w:bookmarkEnd w:id="444"/>
    </w:p>
    <w:p w:rsidR="0000160C" w:rsidRDefault="00C517ED" w14:paraId="2B507902" w14:textId="4DD3EDA8">
      <w:pPr>
        <w:pStyle w:val="ArtBJStyL4"/>
      </w:pPr>
      <w:bookmarkStart w:name="_Ref113892515" w:id="446"/>
      <w:r>
        <w:t xml:space="preserve">par la suite, ou pendant la période pendant laquelle la </w:t>
      </w:r>
      <w:r w:rsidR="00666F66">
        <w:t>P</w:t>
      </w:r>
      <w:r>
        <w:t>ériode d</w:t>
      </w:r>
      <w:r w:rsidR="00E27310">
        <w:t>’</w:t>
      </w:r>
      <w:r>
        <w:t xml:space="preserve">engagement est suspendue conformément à </w:t>
      </w:r>
      <w:r w:rsidR="00666F66">
        <w:t>l’</w:t>
      </w:r>
      <w:r w:rsidRPr="006400F9">
        <w:fldChar w:fldCharType="begin"/>
      </w:r>
      <w:r w:rsidRPr="006400F9">
        <w:instrText xml:space="preserve"> REF _Ref40806952 \w \h </w:instrText>
      </w:r>
      <w:r w:rsidRPr="006400F9" w:rsidR="00791303">
        <w:instrText xml:space="preserve"> \* MERGEFORMAT </w:instrText>
      </w:r>
      <w:r w:rsidRPr="006400F9">
        <w:fldChar w:fldCharType="separate"/>
      </w:r>
      <w:r w:rsidR="00B50BE2">
        <w:t>Article 11</w:t>
      </w:r>
      <w:r w:rsidRPr="006400F9">
        <w:fldChar w:fldCharType="end"/>
      </w:r>
      <w:r>
        <w:t xml:space="preserve"> (</w:t>
      </w:r>
      <w:r w:rsidRPr="00CA7801" w:rsidR="00CA7801">
        <w:rPr>
          <w:i/>
        </w:rPr>
        <w:fldChar w:fldCharType="begin"/>
      </w:r>
      <w:r w:rsidRPr="00CA7801" w:rsidR="00CA7801">
        <w:rPr>
          <w:i/>
        </w:rPr>
        <w:instrText xml:space="preserve"> REF _Ref40806952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Événement VISANT LES PERSONNES-CLÉS; Suspension</w:t>
      </w:r>
      <w:r w:rsidRPr="00CA7801" w:rsidR="00CA7801">
        <w:rPr>
          <w:i/>
        </w:rPr>
        <w:fldChar w:fldCharType="end"/>
      </w:r>
      <w:r>
        <w:t xml:space="preserve">), </w:t>
      </w:r>
      <w:r>
        <w:rPr>
          <w:b/>
          <w:caps/>
          <w:szCs w:val="22"/>
        </w:rPr>
        <w:t>[</w:t>
      </w:r>
      <w:r>
        <w:rPr>
          <w:b/>
          <w:caps/>
          <w:szCs w:val="22"/>
          <w:highlight w:val="yellow"/>
        </w:rPr>
        <w:t>__</w:t>
      </w:r>
      <w:r>
        <w:rPr>
          <w:b/>
          <w:caps/>
          <w:szCs w:val="22"/>
        </w:rPr>
        <w:t>]</w:t>
      </w:r>
      <w:r w:rsidR="00D43372">
        <w:rPr>
          <w:b/>
          <w:caps/>
          <w:szCs w:val="22"/>
        </w:rPr>
        <w:t xml:space="preserve"> </w:t>
      </w:r>
      <w:r>
        <w:t>% par an</w:t>
      </w:r>
      <w:r w:rsidR="00666F66">
        <w:t>née</w:t>
      </w:r>
      <w:r>
        <w:t xml:space="preserve"> des Apports </w:t>
      </w:r>
      <w:r w:rsidR="00666F66">
        <w:t>de</w:t>
      </w:r>
      <w:r>
        <w:t xml:space="preserve"> </w:t>
      </w:r>
      <w:r w:rsidR="00666F66">
        <w:t>c</w:t>
      </w:r>
      <w:r>
        <w:t xml:space="preserve">apital </w:t>
      </w:r>
      <w:r w:rsidR="00666F66">
        <w:t>faits</w:t>
      </w:r>
      <w:r>
        <w:t xml:space="preserve"> par le </w:t>
      </w:r>
      <w:r w:rsidR="00666F66">
        <w:t>C</w:t>
      </w:r>
      <w:r>
        <w:t>ommanditaire pour financer le Coût d</w:t>
      </w:r>
      <w:r w:rsidR="00E27310">
        <w:t>’</w:t>
      </w:r>
      <w:r w:rsidR="00666F66">
        <w:t>a</w:t>
      </w:r>
      <w:r>
        <w:t xml:space="preserve">cquisition des Investissements de </w:t>
      </w:r>
      <w:r w:rsidR="00666F66">
        <w:t>p</w:t>
      </w:r>
      <w:r>
        <w:t xml:space="preserve">ortefeuille autres que les Investissements </w:t>
      </w:r>
      <w:r w:rsidR="00EE3EBD">
        <w:t>t</w:t>
      </w:r>
      <w:r>
        <w:t xml:space="preserve">emporaires, </w:t>
      </w:r>
      <w:r>
        <w:rPr>
          <w:u w:val="single"/>
        </w:rPr>
        <w:t>moins</w:t>
      </w:r>
      <w:r>
        <w:t xml:space="preserve"> un montant égal au Coût d</w:t>
      </w:r>
      <w:r w:rsidR="00E27310">
        <w:t>’</w:t>
      </w:r>
      <w:r w:rsidR="00EE3EBD">
        <w:t>a</w:t>
      </w:r>
      <w:r>
        <w:t xml:space="preserve">cquisition des Investissements de </w:t>
      </w:r>
      <w:r w:rsidR="00EE3EBD">
        <w:t>p</w:t>
      </w:r>
      <w:r>
        <w:t xml:space="preserve">ortefeuille, autres que les Investissements </w:t>
      </w:r>
      <w:r w:rsidR="00EE3EBD">
        <w:t>t</w:t>
      </w:r>
      <w:r>
        <w:t xml:space="preserve">emporaires, qui ont été réalisés (en </w:t>
      </w:r>
      <w:r w:rsidR="00EE3EBD">
        <w:t>totalité ou en partie</w:t>
      </w:r>
      <w:r>
        <w:t xml:space="preserve">), radiés ou </w:t>
      </w:r>
      <w:bookmarkStart w:name="_Ref113892851" w:id="447"/>
      <w:r w:rsidR="00EE3EBD">
        <w:t>Dépréciés de manière permanente</w:t>
      </w:r>
      <w:r>
        <w:rPr>
          <w:szCs w:val="22"/>
          <w:vertAlign w:val="superscript"/>
        </w:rPr>
        <w:footnoteReference w:id="105"/>
      </w:r>
      <w:bookmarkEnd w:id="447"/>
      <w:r>
        <w:t xml:space="preserve"> à la fin du trimestre financier</w:t>
      </w:r>
      <w:r w:rsidR="000521B5">
        <w:t xml:space="preserve"> le plus récent</w:t>
      </w:r>
      <w:r>
        <w:t>.</w:t>
      </w:r>
      <w:bookmarkEnd w:id="446"/>
    </w:p>
    <w:p w:rsidR="0000160C" w:rsidRDefault="0056751D" w14:paraId="493F1738" w14:textId="0CF00AB6">
      <w:pPr>
        <w:pStyle w:val="ArtBJStyL2"/>
      </w:pPr>
      <w:bookmarkStart w:name="_Ref40803617" w:id="448"/>
      <w:bookmarkStart w:name="_Toc161762352" w:id="449"/>
      <w:r>
        <w:t>Réduction</w:t>
      </w:r>
      <w:r w:rsidR="00C517ED">
        <w:t xml:space="preserve"> des </w:t>
      </w:r>
      <w:r>
        <w:t>F</w:t>
      </w:r>
      <w:r w:rsidR="00C517ED">
        <w:t>rais de gestion.</w:t>
      </w:r>
      <w:bookmarkEnd w:id="448"/>
      <w:bookmarkEnd w:id="449"/>
    </w:p>
    <w:p w:rsidR="0000160C" w:rsidRDefault="00C517ED" w14:paraId="146AA2DA" w14:textId="61E5EB5F">
      <w:pPr>
        <w:pStyle w:val="ArtBJStyL3"/>
      </w:pPr>
      <w:bookmarkStart w:name="_Ref113892516" w:id="450"/>
      <w:r>
        <w:t xml:space="preserve">Chaque versement trimestriel </w:t>
      </w:r>
      <w:r w:rsidR="000521B5">
        <w:t>des Frais</w:t>
      </w:r>
      <w:r>
        <w:t xml:space="preserve"> de gestion </w:t>
      </w:r>
      <w:r w:rsidR="000521B5">
        <w:t>à l’égard de</w:t>
      </w:r>
      <w:r>
        <w:t xml:space="preserve"> chaque </w:t>
      </w:r>
      <w:r w:rsidR="000521B5">
        <w:t>C</w:t>
      </w:r>
      <w:r>
        <w:t xml:space="preserve">ommanditaire </w:t>
      </w:r>
      <w:r w:rsidR="002B790C">
        <w:t>doit être</w:t>
      </w:r>
      <w:r>
        <w:t xml:space="preserve"> réduit, mais pas au-dessous de zéro, d</w:t>
      </w:r>
      <w:r w:rsidR="00E27310">
        <w:t>’</w:t>
      </w:r>
      <w:r>
        <w:t xml:space="preserve">un montant égal à la part proportionnelle du </w:t>
      </w:r>
      <w:r w:rsidR="002B790C">
        <w:t>C</w:t>
      </w:r>
      <w:r>
        <w:t>ommanditaire (</w:t>
      </w:r>
      <w:r w:rsidR="002B790C">
        <w:t>en fonction</w:t>
      </w:r>
      <w:r>
        <w:t xml:space="preserve"> </w:t>
      </w:r>
      <w:r w:rsidR="002B790C">
        <w:t>de</w:t>
      </w:r>
      <w:r>
        <w:t xml:space="preserve"> son </w:t>
      </w:r>
      <w:r w:rsidR="002B790C">
        <w:t>E</w:t>
      </w:r>
      <w:r>
        <w:t xml:space="preserve">ngagement) du montant total des </w:t>
      </w:r>
      <w:r w:rsidR="002B790C">
        <w:t>R</w:t>
      </w:r>
      <w:r>
        <w:t xml:space="preserve">evenus de </w:t>
      </w:r>
      <w:r w:rsidR="002B790C">
        <w:t>frais payés</w:t>
      </w:r>
      <w:r>
        <w:t xml:space="preserve"> depuis la </w:t>
      </w:r>
      <w:r w:rsidR="002B790C">
        <w:t>D</w:t>
      </w:r>
      <w:r>
        <w:t xml:space="preserve">ate de paiement précédente. Dans la mesure où les </w:t>
      </w:r>
      <w:r w:rsidR="002B790C">
        <w:t>F</w:t>
      </w:r>
      <w:r>
        <w:t>rais de gestion ne sont pas réduits à partir d</w:t>
      </w:r>
      <w:r w:rsidR="00E27310">
        <w:t>’</w:t>
      </w:r>
      <w:r>
        <w:t xml:space="preserve">une </w:t>
      </w:r>
      <w:r w:rsidR="002B790C">
        <w:t>D</w:t>
      </w:r>
      <w:r>
        <w:t xml:space="preserve">ate de paiement donnée par les montants mentionnés dans la phrase précédente (ou toute partie déterminée </w:t>
      </w:r>
      <w:r w:rsidR="002B790C">
        <w:t>à l’égard</w:t>
      </w:r>
      <w:r>
        <w:t xml:space="preserve"> </w:t>
      </w:r>
      <w:r w:rsidR="002B790C">
        <w:t>d’</w:t>
      </w:r>
      <w:r>
        <w:t xml:space="preserve">une </w:t>
      </w:r>
      <w:r w:rsidR="002B790C">
        <w:t>Da</w:t>
      </w:r>
      <w:r>
        <w:t xml:space="preserve">te de paiement </w:t>
      </w:r>
      <w:r w:rsidR="002B790C">
        <w:t>antérieure</w:t>
      </w:r>
      <w:r>
        <w:t xml:space="preserve"> et reportée à la </w:t>
      </w:r>
      <w:r w:rsidR="002B790C">
        <w:t>D</w:t>
      </w:r>
      <w:r>
        <w:t xml:space="preserve">ate de paiement actuelle conformément à la présente phrase) </w:t>
      </w:r>
      <w:r w:rsidR="00D43372">
        <w:t>en raison que</w:t>
      </w:r>
      <w:r>
        <w:t xml:space="preserve"> les </w:t>
      </w:r>
      <w:r w:rsidR="002B790C">
        <w:t>F</w:t>
      </w:r>
      <w:r>
        <w:t>rais de gestion ont été réduits à zéro, l</w:t>
      </w:r>
      <w:r w:rsidR="00E27310">
        <w:t>’</w:t>
      </w:r>
      <w:r>
        <w:t xml:space="preserve">excédent est reporté à la </w:t>
      </w:r>
      <w:r w:rsidR="002B790C">
        <w:t>D</w:t>
      </w:r>
      <w:r>
        <w:t xml:space="preserve">ate de paiement suivante (et à une ou plusieurs </w:t>
      </w:r>
      <w:r w:rsidR="002B790C">
        <w:t>D</w:t>
      </w:r>
      <w:r>
        <w:t xml:space="preserve">ates de paiement ultérieures) et appliqué en tant que réduction des </w:t>
      </w:r>
      <w:r w:rsidR="002B790C">
        <w:t>F</w:t>
      </w:r>
      <w:r>
        <w:t xml:space="preserve">rais de gestion, mais pas </w:t>
      </w:r>
      <w:r w:rsidR="002B790C">
        <w:t xml:space="preserve">en </w:t>
      </w:r>
      <w:r>
        <w:t xml:space="preserve">dessous de zéro, pour cette </w:t>
      </w:r>
      <w:r w:rsidR="002B790C">
        <w:t>D</w:t>
      </w:r>
      <w:r>
        <w:t xml:space="preserve">ate de paiement suivante (ou </w:t>
      </w:r>
      <w:r w:rsidR="002B790C">
        <w:t xml:space="preserve">pour </w:t>
      </w:r>
      <w:r>
        <w:t xml:space="preserve">une </w:t>
      </w:r>
      <w:r w:rsidR="002B790C">
        <w:t>D</w:t>
      </w:r>
      <w:r>
        <w:t xml:space="preserve">ate de paiement ultérieure). Si, à la </w:t>
      </w:r>
      <w:r w:rsidR="002B790C">
        <w:t>résiliation</w:t>
      </w:r>
      <w:r>
        <w:t xml:space="preserve"> du Fonds, il reste un montant de </w:t>
      </w:r>
      <w:r w:rsidR="002B790C">
        <w:t>Revenus</w:t>
      </w:r>
      <w:r>
        <w:t xml:space="preserve"> de </w:t>
      </w:r>
      <w:r w:rsidR="002B790C">
        <w:t>frais</w:t>
      </w:r>
      <w:r>
        <w:t xml:space="preserve"> qui n</w:t>
      </w:r>
      <w:r w:rsidR="00E27310">
        <w:t>’</w:t>
      </w:r>
      <w:r>
        <w:t xml:space="preserve">a pas été appliqué pour réduire les </w:t>
      </w:r>
      <w:r w:rsidR="002B790C">
        <w:t>Frais</w:t>
      </w:r>
      <w:r>
        <w:t xml:space="preserve"> de gestion conformément </w:t>
      </w:r>
      <w:r w:rsidR="002B790C">
        <w:t>au présent article</w:t>
      </w:r>
      <w:r>
        <w:t>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B50BE2">
        <w:t>8.5</w:t>
      </w:r>
      <w:r w:rsidRPr="006400F9">
        <w:fldChar w:fldCharType="end"/>
      </w:r>
      <w:r>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Réduction des Frais de gestion.</w:t>
      </w:r>
      <w:r w:rsidRPr="00CA7801" w:rsidR="00CA7801">
        <w:rPr>
          <w:i/>
        </w:rPr>
        <w:fldChar w:fldCharType="end"/>
      </w:r>
      <w:r>
        <w:t xml:space="preserve">), le Gestionnaire </w:t>
      </w:r>
      <w:r w:rsidR="002B790C">
        <w:t>doit faire en sorte que</w:t>
      </w:r>
      <w:r>
        <w:t xml:space="preserve"> ces montants</w:t>
      </w:r>
      <w:r w:rsidR="002B790C">
        <w:t xml:space="preserve"> soient payés</w:t>
      </w:r>
      <w:r>
        <w:t xml:space="preserve"> aux </w:t>
      </w:r>
      <w:r w:rsidR="002B790C">
        <w:t>Associés</w:t>
      </w:r>
      <w:r>
        <w:t xml:space="preserve"> non défaillants </w:t>
      </w:r>
      <w:r>
        <w:lastRenderedPageBreak/>
        <w:t>(à l</w:t>
      </w:r>
      <w:r w:rsidR="00E27310">
        <w:t>’</w:t>
      </w:r>
      <w:r>
        <w:t>exclusion de</w:t>
      </w:r>
      <w:r w:rsidR="002B790C">
        <w:t xml:space="preserve">s Associés </w:t>
      </w:r>
      <w:r>
        <w:t xml:space="preserve">non défaillants qui ont choisi par </w:t>
      </w:r>
      <w:r w:rsidR="002B790C">
        <w:t>avis</w:t>
      </w:r>
      <w:r>
        <w:t xml:space="preserve"> écrit au </w:t>
      </w:r>
      <w:r w:rsidR="002B790C">
        <w:t xml:space="preserve">Commandité </w:t>
      </w:r>
      <w:r>
        <w:t>de ne pas recevoir ces montants) au prorata de leurs Engagements respectifs.</w:t>
      </w:r>
      <w:bookmarkEnd w:id="450"/>
    </w:p>
    <w:p w:rsidR="0000160C" w:rsidRDefault="002B790C" w14:paraId="59F64110" w14:textId="6B4BBBB1">
      <w:pPr>
        <w:pStyle w:val="ArtBJStyL3"/>
      </w:pPr>
      <w:bookmarkStart w:name="_Ref40802541" w:id="451"/>
      <w:r>
        <w:t>Afin de déterminer</w:t>
      </w:r>
      <w:r w:rsidR="00C517ED">
        <w:t xml:space="preserve"> la </w:t>
      </w:r>
      <w:r>
        <w:t>V</w:t>
      </w:r>
      <w:r w:rsidR="00C517ED">
        <w:t xml:space="preserve">aleur de tout </w:t>
      </w:r>
      <w:r>
        <w:t>Revenu de frais</w:t>
      </w:r>
      <w:r w:rsidR="00C517ED">
        <w:t xml:space="preserve"> sous forme de </w:t>
      </w:r>
      <w:r>
        <w:t>T</w:t>
      </w:r>
      <w:r w:rsidR="00C517ED">
        <w:t>itres, d</w:t>
      </w:r>
      <w:r w:rsidR="00E27310">
        <w:t>’</w:t>
      </w:r>
      <w:r w:rsidR="00C517ED">
        <w:t>avantages, d</w:t>
      </w:r>
      <w:r w:rsidR="00E27310">
        <w:t>’</w:t>
      </w:r>
      <w:r w:rsidR="00C517ED">
        <w:t>options, de bons de souscription ou d</w:t>
      </w:r>
      <w:r w:rsidR="00E27310">
        <w:t>’</w:t>
      </w:r>
      <w:r w:rsidR="00C517ED">
        <w:t>autres contreparties autres qu</w:t>
      </w:r>
      <w:r w:rsidR="00E27310">
        <w:t>’</w:t>
      </w:r>
      <w:r w:rsidR="00C517ED">
        <w:t xml:space="preserve">en espèces, cette </w:t>
      </w:r>
      <w:r>
        <w:t>V</w:t>
      </w:r>
      <w:r w:rsidR="00C517ED">
        <w:t>aleur sera égale au</w:t>
      </w:r>
      <w:r w:rsidR="00920B72">
        <w:t>x</w:t>
      </w:r>
      <w:r w:rsidR="00C517ED">
        <w:t xml:space="preserve"> produit</w:t>
      </w:r>
      <w:r w:rsidR="00920B72">
        <w:t>s</w:t>
      </w:r>
      <w:r w:rsidR="00C517ED">
        <w:t xml:space="preserve"> net</w:t>
      </w:r>
      <w:r w:rsidR="006C2EFD">
        <w:t>s</w:t>
      </w:r>
      <w:r w:rsidR="00C517ED">
        <w:t xml:space="preserve"> en espèces au fur et à mesure </w:t>
      </w:r>
      <w:r>
        <w:t>que ce</w:t>
      </w:r>
      <w:r w:rsidR="00920B72">
        <w:t>s</w:t>
      </w:r>
      <w:r>
        <w:t xml:space="preserve"> produit</w:t>
      </w:r>
      <w:r w:rsidR="00920B72">
        <w:t>s sont reçus,</w:t>
      </w:r>
      <w:r w:rsidR="00C517ED">
        <w:t xml:space="preserve"> à condition que la </w:t>
      </w:r>
      <w:r w:rsidR="00920B72">
        <w:t>V</w:t>
      </w:r>
      <w:r w:rsidR="00C517ED">
        <w:t xml:space="preserve">aleur de tout </w:t>
      </w:r>
      <w:r w:rsidR="00920B72">
        <w:t>Revenu de frais</w:t>
      </w:r>
      <w:r w:rsidR="00C517ED">
        <w:t xml:space="preserve"> autres qu</w:t>
      </w:r>
      <w:r w:rsidR="00E27310">
        <w:t>’</w:t>
      </w:r>
      <w:r w:rsidR="00C517ED">
        <w:t>en espèces qui n</w:t>
      </w:r>
      <w:r w:rsidR="00E27310">
        <w:t>’</w:t>
      </w:r>
      <w:r w:rsidR="00C517ED">
        <w:t xml:space="preserve">a pas été déterminée </w:t>
      </w:r>
      <w:r w:rsidR="00920B72">
        <w:t>au plus tard à la</w:t>
      </w:r>
      <w:r w:rsidR="00C517ED">
        <w:t xml:space="preserve"> dissolution du Fonds soit déterminée à cette date par référence à la </w:t>
      </w:r>
      <w:r w:rsidR="00920B72">
        <w:t>V</w:t>
      </w:r>
      <w:r w:rsidR="00C517ED">
        <w:t xml:space="preserve">aleur de cette </w:t>
      </w:r>
      <w:r w:rsidR="00920B72">
        <w:t>S</w:t>
      </w:r>
      <w:r w:rsidR="00C517ED">
        <w:t xml:space="preserve">ociété de portefeuille lors de la disposition. Cette </w:t>
      </w:r>
      <w:r w:rsidR="00920B72">
        <w:t>V</w:t>
      </w:r>
      <w:r w:rsidR="00C517ED">
        <w:t xml:space="preserve">aleur </w:t>
      </w:r>
      <w:r w:rsidR="00920B72">
        <w:t>doit être</w:t>
      </w:r>
      <w:r w:rsidR="00C517ED">
        <w:t xml:space="preserve"> communiquée au </w:t>
      </w:r>
      <w:r w:rsidR="00920B72">
        <w:t>C</w:t>
      </w:r>
      <w:r w:rsidR="00C517ED">
        <w:t xml:space="preserve">omité consultatif </w:t>
      </w:r>
      <w:r w:rsidR="00920B72">
        <w:t>des Commanditaires</w:t>
      </w:r>
      <w:r w:rsidR="00C517ED">
        <w:t xml:space="preserve"> et est soumise à l</w:t>
      </w:r>
      <w:r w:rsidR="00920B72">
        <w:t xml:space="preserve">’article </w:t>
      </w:r>
      <w:r w:rsidRPr="006400F9" w:rsidR="00C517ED">
        <w:fldChar w:fldCharType="begin"/>
      </w:r>
      <w:r w:rsidRPr="006400F9" w:rsidR="00C517ED">
        <w:instrText xml:space="preserve"> REF _Ref40802561 \w \h </w:instrText>
      </w:r>
      <w:r w:rsidRPr="006400F9" w:rsidR="00791303">
        <w:instrText xml:space="preserve"> \* MERGEFORMAT </w:instrText>
      </w:r>
      <w:r w:rsidRPr="006400F9" w:rsidR="00C517ED">
        <w:fldChar w:fldCharType="separate"/>
      </w:r>
      <w:r w:rsidR="00B50BE2">
        <w:t>13.2(d)(v)</w:t>
      </w:r>
      <w:r w:rsidRPr="006400F9" w:rsidR="00C517ED">
        <w:fldChar w:fldCharType="end"/>
      </w:r>
      <w:r w:rsidR="00C517ED">
        <w:t xml:space="preserve"> (</w:t>
      </w:r>
      <w:r w:rsidRPr="00CA7801" w:rsidR="00CA7801">
        <w:rPr>
          <w:i/>
        </w:rPr>
        <w:fldChar w:fldCharType="begin"/>
      </w:r>
      <w:r w:rsidRPr="00CA7801" w:rsidR="00CA7801">
        <w:rPr>
          <w:i/>
        </w:rPr>
        <w:instrText xml:space="preserve"> REF _Ref113882794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Étendue des pouvoirs.</w:t>
      </w:r>
      <w:r w:rsidRPr="00CA7801" w:rsidR="00CA7801">
        <w:rPr>
          <w:i/>
        </w:rPr>
        <w:fldChar w:fldCharType="end"/>
      </w:r>
      <w:r w:rsidR="00C517ED">
        <w:t>).</w:t>
      </w:r>
      <w:bookmarkEnd w:id="451"/>
    </w:p>
    <w:p w:rsidR="0000160C" w:rsidRDefault="00C517ED" w14:paraId="572AE1AC" w14:textId="422DB6B1">
      <w:pPr>
        <w:pStyle w:val="ArtBJStyL3"/>
      </w:pPr>
      <w:bookmarkStart w:name="_Ref113892517" w:id="452"/>
      <w:r>
        <w:t xml:space="preserve">La réduction des </w:t>
      </w:r>
      <w:r w:rsidR="00920B72">
        <w:t>F</w:t>
      </w:r>
      <w:r>
        <w:t xml:space="preserve">rais de gestion décrite </w:t>
      </w:r>
      <w:r w:rsidR="00920B72">
        <w:t>au présent article</w:t>
      </w:r>
      <w:r>
        <w:t> </w:t>
      </w:r>
      <w:r w:rsidRPr="006400F9">
        <w:fldChar w:fldCharType="begin"/>
      </w:r>
      <w:r w:rsidRPr="006400F9">
        <w:instrText xml:space="preserve"> REF _Ref40803617 \w \h </w:instrText>
      </w:r>
      <w:r w:rsidRPr="006400F9" w:rsidR="00791303">
        <w:instrText xml:space="preserve"> \* MERGEFORMAT </w:instrText>
      </w:r>
      <w:r w:rsidRPr="006400F9">
        <w:fldChar w:fldCharType="separate"/>
      </w:r>
      <w:r w:rsidR="00B50BE2">
        <w:t>8.5</w:t>
      </w:r>
      <w:r w:rsidRPr="006400F9">
        <w:fldChar w:fldCharType="end"/>
      </w:r>
      <w:r>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Réduction des Frais de gestion.</w:t>
      </w:r>
      <w:r w:rsidRPr="00CA7801" w:rsidR="00CA7801">
        <w:rPr>
          <w:i/>
        </w:rPr>
        <w:fldChar w:fldCharType="end"/>
      </w:r>
      <w:r>
        <w:t xml:space="preserve">) peut être </w:t>
      </w:r>
      <w:bookmarkStart w:name="DocXTextRef78" w:id="453"/>
      <w:r>
        <w:t>(i)</w:t>
      </w:r>
      <w:bookmarkEnd w:id="453"/>
      <w:r>
        <w:t xml:space="preserve"> </w:t>
      </w:r>
      <w:r w:rsidR="00BA232E">
        <w:t>attribuée</w:t>
      </w:r>
      <w:r>
        <w:t xml:space="preserve"> entre les Véhicules du Fonds et autres entités d</w:t>
      </w:r>
      <w:r w:rsidR="00E27310">
        <w:t>’</w:t>
      </w:r>
      <w:r>
        <w:t xml:space="preserve">investissement gérées par le </w:t>
      </w:r>
      <w:r w:rsidR="00920B72">
        <w:t>Commandité</w:t>
      </w:r>
      <w:r>
        <w:t xml:space="preserve">, le Gestionnaire ou </w:t>
      </w:r>
      <w:r w:rsidR="00920B72">
        <w:t>les Membres du même groupe</w:t>
      </w:r>
      <w:r w:rsidR="005243C3">
        <w:t xml:space="preserve"> </w:t>
      </w:r>
      <w:r w:rsidR="00335434">
        <w:t>que l’une des Personnes précédentes</w:t>
      </w:r>
      <w:r>
        <w:t>, qu</w:t>
      </w:r>
      <w:r w:rsidR="00E27310">
        <w:t>’</w:t>
      </w:r>
      <w:r w:rsidR="00920B72">
        <w:t>elle</w:t>
      </w:r>
      <w:r>
        <w:t>s aient été constitué</w:t>
      </w:r>
      <w:r w:rsidR="00920B72">
        <w:t>e</w:t>
      </w:r>
      <w:r>
        <w:t xml:space="preserve">s avant, à la date </w:t>
      </w:r>
      <w:r w:rsidR="00E536D5">
        <w:t>de la présente Convention</w:t>
      </w:r>
      <w:r>
        <w:t xml:space="preserve"> ou après </w:t>
      </w:r>
      <w:r w:rsidR="00920B72">
        <w:t>cette date</w:t>
      </w:r>
      <w:r>
        <w:t xml:space="preserve">, qui </w:t>
      </w:r>
      <w:r w:rsidR="00920B72">
        <w:t>détiennent</w:t>
      </w:r>
      <w:r>
        <w:t xml:space="preserve"> les mêmes Titres, </w:t>
      </w:r>
      <w:r w:rsidR="00920B72">
        <w:t>en fonction</w:t>
      </w:r>
      <w:r>
        <w:t xml:space="preserve"> du coût relatif de la participation de chacune de ces entités dans la Société de </w:t>
      </w:r>
      <w:r w:rsidR="00920B72">
        <w:t>p</w:t>
      </w:r>
      <w:r>
        <w:t xml:space="preserve">ortefeuille </w:t>
      </w:r>
      <w:r w:rsidR="00920B72">
        <w:t>pertinente</w:t>
      </w:r>
      <w:r>
        <w:t xml:space="preserve">, et </w:t>
      </w:r>
      <w:bookmarkStart w:name="DocXTextRef79" w:id="454"/>
      <w:r>
        <w:t>(ii)</w:t>
      </w:r>
      <w:bookmarkEnd w:id="454"/>
      <w:r>
        <w:t xml:space="preserve"> déduit</w:t>
      </w:r>
      <w:r w:rsidR="00920B72">
        <w:t>e</w:t>
      </w:r>
      <w:r>
        <w:t xml:space="preserve"> des Frais de gestion normalement payables par le Fonds au cours du trimestre fiscal qui suit immédiatement la date de réception des Revenus de </w:t>
      </w:r>
      <w:r w:rsidR="00920B72">
        <w:t>f</w:t>
      </w:r>
      <w:r>
        <w:t xml:space="preserve">rais pertinents ou le calcul de la Valeur des Revenus de </w:t>
      </w:r>
      <w:r w:rsidR="00920B72">
        <w:t>f</w:t>
      </w:r>
      <w:r>
        <w:t xml:space="preserve">rais </w:t>
      </w:r>
      <w:r w:rsidR="00920B72">
        <w:t>autre qu’en</w:t>
      </w:r>
      <w:r>
        <w:t xml:space="preserve"> espèces pertinents conformément à </w:t>
      </w:r>
      <w:r w:rsidR="00920B72">
        <w:t>l’article</w:t>
      </w:r>
      <w:r>
        <w:t> </w:t>
      </w:r>
      <w:r w:rsidRPr="006400F9">
        <w:fldChar w:fldCharType="begin"/>
      </w:r>
      <w:r w:rsidRPr="006400F9">
        <w:instrText xml:space="preserve"> REF _Ref40802541 \w \h </w:instrText>
      </w:r>
      <w:r w:rsidRPr="006400F9" w:rsidR="00791303">
        <w:instrText xml:space="preserve"> \* MERGEFORMAT </w:instrText>
      </w:r>
      <w:r w:rsidRPr="006400F9">
        <w:fldChar w:fldCharType="separate"/>
      </w:r>
      <w:r w:rsidR="00B50BE2">
        <w:t>8.5(b)</w:t>
      </w:r>
      <w:r w:rsidRPr="006400F9">
        <w:fldChar w:fldCharType="end"/>
      </w:r>
      <w:r>
        <w:t xml:space="preserve"> (</w:t>
      </w:r>
      <w:r w:rsidRPr="00CA7801" w:rsidR="00CA7801">
        <w:rPr>
          <w:i/>
        </w:rPr>
        <w:fldChar w:fldCharType="begin"/>
      </w:r>
      <w:r w:rsidRPr="00CA7801" w:rsidR="00CA7801">
        <w:rPr>
          <w:i/>
        </w:rPr>
        <w:instrText xml:space="preserve"> REF _Ref40803617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Réduction des Frais de gestion.</w:t>
      </w:r>
      <w:r w:rsidRPr="00CA7801" w:rsidR="00CA7801">
        <w:rPr>
          <w:i/>
        </w:rPr>
        <w:fldChar w:fldCharType="end"/>
      </w:r>
      <w:r>
        <w:t>); à condition, toutefois, qu</w:t>
      </w:r>
      <w:r w:rsidR="00E27310">
        <w:t>’</w:t>
      </w:r>
      <w:r>
        <w:t xml:space="preserve">aucune partie de ces Revenus </w:t>
      </w:r>
      <w:r w:rsidR="00920B72">
        <w:t>de frais</w:t>
      </w:r>
      <w:r>
        <w:t xml:space="preserve"> ne soit attribuée à une entité qui ne paie pas </w:t>
      </w:r>
      <w:r w:rsidR="00920B72">
        <w:t>de Frais</w:t>
      </w:r>
      <w:r>
        <w:t xml:space="preserve"> de gestion qui seront réduits de la </w:t>
      </w:r>
      <w:r w:rsidR="00920B72">
        <w:t>portion attribuable</w:t>
      </w:r>
      <w:r>
        <w:t xml:space="preserve"> de ces Revenus </w:t>
      </w:r>
      <w:r w:rsidR="00920B72">
        <w:t>de frais</w:t>
      </w:r>
      <w:r>
        <w:t xml:space="preserve"> </w:t>
      </w:r>
      <w:r w:rsidR="00BA232E">
        <w:t>à</w:t>
      </w:r>
      <w:r>
        <w:t xml:space="preserve"> cette entité (toute partie </w:t>
      </w:r>
      <w:r w:rsidR="00BA232E">
        <w:t>attribuable</w:t>
      </w:r>
      <w:r>
        <w:t xml:space="preserve"> de ces Revenus d</w:t>
      </w:r>
      <w:r w:rsidR="00E27310">
        <w:t>’</w:t>
      </w:r>
      <w:r>
        <w:t xml:space="preserve">honoraires sera </w:t>
      </w:r>
      <w:r w:rsidR="00BA232E">
        <w:t>attribué</w:t>
      </w:r>
      <w:r w:rsidR="006C2EFD">
        <w:t>e</w:t>
      </w:r>
      <w:r>
        <w:t xml:space="preserve"> entre ces autres entités).</w:t>
      </w:r>
      <w:bookmarkEnd w:id="452"/>
    </w:p>
    <w:p w:rsidR="0000160C" w:rsidRDefault="00C517ED" w14:paraId="23205BAD" w14:textId="60D177FD">
      <w:pPr>
        <w:pStyle w:val="ArtBJStyL2"/>
        <w:rPr>
          <w:b w:val="0"/>
        </w:rPr>
      </w:pPr>
      <w:bookmarkStart w:name="_Ref113892518" w:id="455"/>
      <w:bookmarkStart w:name="_Toc161762353" w:id="456"/>
      <w:r>
        <w:t xml:space="preserve">Questions relatives aux </w:t>
      </w:r>
      <w:r w:rsidRPr="00BA232E" w:rsidR="00D543FF">
        <w:rPr>
          <w:b w:val="0"/>
          <w:bCs/>
        </w:rPr>
        <w:t>Associés</w:t>
      </w:r>
      <w:r w:rsidRPr="00BA232E">
        <w:rPr>
          <w:b w:val="0"/>
          <w:bCs/>
        </w:rPr>
        <w:t xml:space="preserve"> réglementés</w:t>
      </w:r>
      <w:r>
        <w:t>.</w:t>
      </w:r>
      <w:bookmarkStart w:name="_Ref113892852" w:id="457"/>
      <w:r>
        <w:rPr>
          <w:rFonts w:ascii="Times New Roman" w:hAnsi="Times New Roman"/>
          <w:b w:val="0"/>
          <w:vertAlign w:val="superscript"/>
        </w:rPr>
        <w:footnoteReference w:id="106"/>
      </w:r>
      <w:bookmarkEnd w:id="455"/>
      <w:bookmarkEnd w:id="456"/>
      <w:bookmarkEnd w:id="457"/>
    </w:p>
    <w:p w:rsidR="0000160C" w:rsidRDefault="00C517ED" w14:paraId="2B69CDAC" w14:textId="14D68951">
      <w:pPr>
        <w:pStyle w:val="ArtBJStyL3"/>
      </w:pPr>
      <w:bookmarkStart w:name="_Ref40802263" w:id="458"/>
      <w:r>
        <w:t xml:space="preserve">Si, à son avis raisonnable, le </w:t>
      </w:r>
      <w:r w:rsidR="00B90061">
        <w:t>C</w:t>
      </w:r>
      <w:r>
        <w:t xml:space="preserve">ommandité croit que </w:t>
      </w:r>
      <w:bookmarkStart w:name="DocXTextRef80" w:id="459"/>
      <w:r>
        <w:t>(i)</w:t>
      </w:r>
      <w:bookmarkEnd w:id="459"/>
      <w:r>
        <w:t xml:space="preserve"> l</w:t>
      </w:r>
      <w:r w:rsidR="00E27310">
        <w:t>’</w:t>
      </w:r>
      <w:r>
        <w:t xml:space="preserve">investissement dans le Fonds par un </w:t>
      </w:r>
      <w:r w:rsidR="00B90061">
        <w:t>C</w:t>
      </w:r>
      <w:r>
        <w:t xml:space="preserve">ommanditaire qui est un régime gouvernemental, un régime étranger ou une autre entité réglementée (chacun, un « </w:t>
      </w:r>
      <w:r w:rsidRPr="00B90061" w:rsidR="00D543FF">
        <w:rPr>
          <w:b/>
          <w:bCs/>
        </w:rPr>
        <w:t>Associé réglementé</w:t>
      </w:r>
      <w:r>
        <w:t xml:space="preserve"> ») peut entraîner </w:t>
      </w:r>
      <w:bookmarkStart w:name="DocXTextRef81" w:id="460"/>
      <w:r>
        <w:t>(A)</w:t>
      </w:r>
      <w:bookmarkEnd w:id="460"/>
      <w:r>
        <w:t xml:space="preserve"> une violation de toute loi applicable </w:t>
      </w:r>
      <w:r w:rsidR="00B90061">
        <w:t>à l’Associé réglementé</w:t>
      </w:r>
      <w:r>
        <w:t xml:space="preserve">, </w:t>
      </w:r>
      <w:bookmarkStart w:name="DocXTextRef82" w:id="461"/>
      <w:r>
        <w:t>(B)</w:t>
      </w:r>
      <w:bookmarkEnd w:id="461"/>
      <w:r>
        <w:t xml:space="preserve"> le traitement des actifs du Fonds comme </w:t>
      </w:r>
      <w:r w:rsidR="00B90061">
        <w:t xml:space="preserve">des </w:t>
      </w:r>
      <w:r>
        <w:t xml:space="preserve">actifs </w:t>
      </w:r>
      <w:r w:rsidR="00B90061">
        <w:t>de l’Associé réglementé</w:t>
      </w:r>
      <w:r>
        <w:t xml:space="preserve">, ou </w:t>
      </w:r>
      <w:bookmarkStart w:name="DocXTextRef83" w:id="462"/>
      <w:r>
        <w:t>(C)</w:t>
      </w:r>
      <w:bookmarkEnd w:id="462"/>
      <w:r>
        <w:t xml:space="preserve"> le traitement du Fonds ou du </w:t>
      </w:r>
      <w:r w:rsidR="00B90061">
        <w:t xml:space="preserve">Commandité </w:t>
      </w:r>
      <w:r>
        <w:t xml:space="preserve">comme fiduciaire en vertu de toute loi applicable </w:t>
      </w:r>
      <w:r w:rsidR="00B90061">
        <w:t>à l’Associé réglementé</w:t>
      </w:r>
      <w:r>
        <w:t xml:space="preserve">, et </w:t>
      </w:r>
      <w:bookmarkStart w:name="DocXTextRef84" w:id="463"/>
      <w:r>
        <w:t>(ii)</w:t>
      </w:r>
      <w:bookmarkEnd w:id="463"/>
      <w:r w:rsidR="00B90061">
        <w:t xml:space="preserve"> </w:t>
      </w:r>
      <w:r>
        <w:t>l</w:t>
      </w:r>
      <w:r w:rsidR="00E27310">
        <w:t>’</w:t>
      </w:r>
      <w:r>
        <w:t xml:space="preserve">une des conditions ci-dessus aura ou pourrait avoir des conséquences </w:t>
      </w:r>
      <w:r w:rsidR="00B90061">
        <w:t>défavorables</w:t>
      </w:r>
      <w:r>
        <w:t xml:space="preserve"> pour le Fonds ou le </w:t>
      </w:r>
      <w:r w:rsidR="00B90061">
        <w:t>C</w:t>
      </w:r>
      <w:r>
        <w:t>ommandité ((i) et (ii)</w:t>
      </w:r>
      <w:r w:rsidR="00D43372">
        <w:t xml:space="preserve"> étant chacune</w:t>
      </w:r>
      <w:r>
        <w:t xml:space="preserve"> une « </w:t>
      </w:r>
      <w:r w:rsidR="00D543FF">
        <w:rPr>
          <w:b/>
        </w:rPr>
        <w:t>Q</w:t>
      </w:r>
      <w:r>
        <w:rPr>
          <w:b/>
        </w:rPr>
        <w:t xml:space="preserve">uestion </w:t>
      </w:r>
      <w:r w:rsidR="00D543FF">
        <w:rPr>
          <w:b/>
        </w:rPr>
        <w:t>réglementaire</w:t>
      </w:r>
      <w:r>
        <w:t xml:space="preserve"> »), </w:t>
      </w:r>
      <w:r w:rsidR="00B90061">
        <w:t xml:space="preserve">alors </w:t>
      </w:r>
      <w:r>
        <w:t xml:space="preserve">le </w:t>
      </w:r>
      <w:r w:rsidR="00B90061">
        <w:t>Commandité</w:t>
      </w:r>
      <w:r>
        <w:t xml:space="preserve">, à sa discrétion, peut (x) exiger que </w:t>
      </w:r>
      <w:r w:rsidR="00B90061">
        <w:t>l’Associé réglementé</w:t>
      </w:r>
      <w:r>
        <w:t xml:space="preserve"> fournisse (aux frais </w:t>
      </w:r>
      <w:r w:rsidR="00B90061">
        <w:t>de l’Associé</w:t>
      </w:r>
      <w:r>
        <w:t xml:space="preserve"> réglementé) un avis </w:t>
      </w:r>
      <w:r w:rsidR="00B90061">
        <w:t>juridique</w:t>
      </w:r>
      <w:r>
        <w:t xml:space="preserve">, raisonnablement acceptable pour le </w:t>
      </w:r>
      <w:r w:rsidR="00B90061">
        <w:t>Commandité quant à</w:t>
      </w:r>
      <w:r>
        <w:t xml:space="preserve"> la forme et </w:t>
      </w:r>
      <w:r w:rsidR="00B90061">
        <w:t>au</w:t>
      </w:r>
      <w:r>
        <w:t xml:space="preserve"> fond, qu</w:t>
      </w:r>
      <w:r w:rsidR="00E27310">
        <w:t>’</w:t>
      </w:r>
      <w:r>
        <w:t xml:space="preserve">aucune </w:t>
      </w:r>
      <w:r w:rsidR="00B90061">
        <w:t>Q</w:t>
      </w:r>
      <w:r>
        <w:t xml:space="preserve">uestion </w:t>
      </w:r>
      <w:r w:rsidR="00B90061">
        <w:t>réglementaire</w:t>
      </w:r>
      <w:r>
        <w:t xml:space="preserve"> n</w:t>
      </w:r>
      <w:r w:rsidR="00E27310">
        <w:t>’</w:t>
      </w:r>
      <w:r>
        <w:t>existe, ou (y) exiger</w:t>
      </w:r>
      <w:r w:rsidR="00D43372">
        <w:t>,</w:t>
      </w:r>
      <w:r>
        <w:t xml:space="preserve"> si un tel avis n</w:t>
      </w:r>
      <w:r w:rsidR="00E27310">
        <w:t>’</w:t>
      </w:r>
      <w:r>
        <w:t xml:space="preserve">est pas rendu dans un délai raisonnable après avoir été demandé, (1) </w:t>
      </w:r>
      <w:r w:rsidR="00B90061">
        <w:t>conformément à l’</w:t>
      </w:r>
      <w:r w:rsidRPr="00D52949" w:rsidR="0044140B">
        <w:fldChar w:fldCharType="begin"/>
      </w:r>
      <w:r w:rsidRPr="00D52949" w:rsidR="0044140B">
        <w:instrText xml:space="preserve"> REF _Ref40807452 \w \h </w:instrText>
      </w:r>
      <w:r w:rsidRPr="00D52949" w:rsidR="00791303">
        <w:instrText xml:space="preserve"> \* MERGEFORMAT </w:instrText>
      </w:r>
      <w:r w:rsidRPr="00D52949" w:rsidR="0044140B">
        <w:fldChar w:fldCharType="separate"/>
      </w:r>
      <w:r w:rsidR="00B50BE2">
        <w:t>Article 19</w:t>
      </w:r>
      <w:r w:rsidRPr="00D52949" w:rsidR="0044140B">
        <w:fldChar w:fldCharType="end"/>
      </w:r>
      <w:r>
        <w:t xml:space="preserve"> (</w:t>
      </w:r>
      <w:r w:rsidRPr="00CA7801" w:rsidR="00CA7801">
        <w:rPr>
          <w:i/>
        </w:rPr>
        <w:fldChar w:fldCharType="begin"/>
      </w:r>
      <w:r w:rsidRPr="00CA7801" w:rsidR="00CA7801">
        <w:rPr>
          <w:i/>
        </w:rPr>
        <w:instrText xml:space="preserve"> REF _Ref40807452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Modifications; procuration</w:t>
      </w:r>
      <w:r w:rsidRPr="00CA7801" w:rsidR="00CA7801">
        <w:rPr>
          <w:i/>
        </w:rPr>
        <w:fldChar w:fldCharType="end"/>
      </w:r>
      <w:r>
        <w:t xml:space="preserve">), modifier </w:t>
      </w:r>
      <w:r w:rsidR="003278C2">
        <w:t>la présente Convention</w:t>
      </w:r>
      <w:r>
        <w:t xml:space="preserve"> pour remédier à toute illégalité ou conséquence défavorable pour le Fonds, (2) modifier, résilier ou restructurer tout arrangement existant ou envisagé pour remédier à toute illégalité ou autre conséquence défavorable pour le Fonds, </w:t>
      </w:r>
      <w:bookmarkStart w:name="DocXTextRef89" w:id="464"/>
      <w:r>
        <w:t>(3)</w:t>
      </w:r>
      <w:bookmarkEnd w:id="464"/>
      <w:r>
        <w:t xml:space="preserve"> racheter l</w:t>
      </w:r>
      <w:r w:rsidR="00C91832">
        <w:t>a Participation de l’Associé</w:t>
      </w:r>
      <w:r>
        <w:t xml:space="preserve"> réglementé, en </w:t>
      </w:r>
      <w:r w:rsidR="00C91832">
        <w:t>totalité</w:t>
      </w:r>
      <w:r>
        <w:t xml:space="preserve"> ou en partie, </w:t>
      </w:r>
      <w:r>
        <w:rPr>
          <w:b/>
          <w:highlight w:val="yellow"/>
        </w:rPr>
        <w:t xml:space="preserve">[à la </w:t>
      </w:r>
      <w:r w:rsidR="00C91832">
        <w:rPr>
          <w:b/>
          <w:highlight w:val="yellow"/>
        </w:rPr>
        <w:t>V</w:t>
      </w:r>
      <w:r>
        <w:rPr>
          <w:b/>
          <w:highlight w:val="yellow"/>
        </w:rPr>
        <w:t xml:space="preserve">aleur de </w:t>
      </w:r>
      <w:r w:rsidR="00C91832">
        <w:rPr>
          <w:b/>
          <w:highlight w:val="yellow"/>
        </w:rPr>
        <w:t>cette participation</w:t>
      </w:r>
      <w:r>
        <w:rPr>
          <w:b/>
          <w:highlight w:val="yellow"/>
        </w:rPr>
        <w:t>]</w:t>
      </w:r>
      <w:r>
        <w:t xml:space="preserve">, </w:t>
      </w:r>
      <w:bookmarkStart w:name="DocXTextRef90" w:id="465"/>
      <w:r>
        <w:t>(4)</w:t>
      </w:r>
      <w:bookmarkEnd w:id="465"/>
      <w:r>
        <w:t xml:space="preserve"> exiger le</w:t>
      </w:r>
      <w:r w:rsidR="00C91832">
        <w:t xml:space="preserve"> T</w:t>
      </w:r>
      <w:r>
        <w:t xml:space="preserve">ransfert de </w:t>
      </w:r>
      <w:r w:rsidR="00C91832">
        <w:t>la totalité</w:t>
      </w:r>
      <w:r>
        <w:t xml:space="preserve"> ou </w:t>
      </w:r>
      <w:r w:rsidR="00C91832">
        <w:t xml:space="preserve">d’une </w:t>
      </w:r>
      <w:r>
        <w:t xml:space="preserve">partie </w:t>
      </w:r>
      <w:r w:rsidR="00C91832">
        <w:t>de la Participation</w:t>
      </w:r>
      <w:r>
        <w:t xml:space="preserve"> d</w:t>
      </w:r>
      <w:r w:rsidR="00C91832">
        <w:t xml:space="preserve">e </w:t>
      </w:r>
      <w:r w:rsidR="00C91832">
        <w:lastRenderedPageBreak/>
        <w:t xml:space="preserve">l’Associé </w:t>
      </w:r>
      <w:r>
        <w:t xml:space="preserve">réglementé à un ou plusieurs </w:t>
      </w:r>
      <w:r w:rsidR="00C91832">
        <w:t>Commanditaires</w:t>
      </w:r>
      <w:r>
        <w:t xml:space="preserve">, ou </w:t>
      </w:r>
      <w:bookmarkStart w:name="DocXTextRef91" w:id="466"/>
      <w:r>
        <w:t>(5)</w:t>
      </w:r>
      <w:bookmarkEnd w:id="466"/>
      <w:r>
        <w:t xml:space="preserve"> dissoudre le Fonds et liquider ses affaires conformément à </w:t>
      </w:r>
      <w:r w:rsidR="00C91832">
        <w:t>l’</w:t>
      </w:r>
      <w:r w:rsidRPr="00D52949" w:rsidR="0044140B">
        <w:fldChar w:fldCharType="begin"/>
      </w:r>
      <w:r w:rsidRPr="00D52949" w:rsidR="0044140B">
        <w:instrText xml:space="preserve"> REF _Ref40807162 \w \h </w:instrText>
      </w:r>
      <w:r w:rsidRPr="00D52949" w:rsidR="00791303">
        <w:instrText xml:space="preserve"> \* MERGEFORMAT </w:instrText>
      </w:r>
      <w:r w:rsidRPr="00D52949" w:rsidR="0044140B">
        <w:fldChar w:fldCharType="separate"/>
      </w:r>
      <w:r w:rsidR="00B50BE2">
        <w:t>Article 18</w:t>
      </w:r>
      <w:r w:rsidRPr="00D52949" w:rsidR="0044140B">
        <w:fldChar w:fldCharType="end"/>
      </w:r>
      <w:r>
        <w:t xml:space="preserve"> (</w:t>
      </w:r>
      <w:proofErr w:type="spellStart"/>
      <w:r w:rsidRPr="00CA7801" w:rsidR="00CA7801">
        <w:rPr>
          <w:i/>
        </w:rPr>
        <w:fldChar w:fldCharType="begin"/>
      </w:r>
      <w:r w:rsidRPr="00CA7801" w:rsidR="00CA7801">
        <w:rPr>
          <w:i/>
        </w:rPr>
        <w:instrText xml:space="preserve"> REF _Ref40807162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DurÉe</w:t>
      </w:r>
      <w:proofErr w:type="spellEnd"/>
      <w:r w:rsidRPr="00B50BE2" w:rsidR="00B50BE2">
        <w:rPr>
          <w:i/>
        </w:rPr>
        <w:t xml:space="preserve"> et dissolution du Fonds</w:t>
      </w:r>
      <w:r w:rsidRPr="00CA7801" w:rsidR="00CA7801">
        <w:rPr>
          <w:i/>
        </w:rPr>
        <w:fldChar w:fldCharType="end"/>
      </w:r>
      <w:r>
        <w:t>).</w:t>
      </w:r>
      <w:bookmarkEnd w:id="458"/>
      <w:r>
        <w:t xml:space="preserve"> </w:t>
      </w:r>
    </w:p>
    <w:p w:rsidR="0000160C" w:rsidRDefault="00C517ED" w14:paraId="15040073" w14:textId="6530AB56">
      <w:pPr>
        <w:pStyle w:val="ArtBJStyL3"/>
      </w:pPr>
      <w:bookmarkStart w:name="_Ref113892519" w:id="467"/>
      <w:r>
        <w:t xml:space="preserve">À compter de la date </w:t>
      </w:r>
      <w:r w:rsidR="00C91832">
        <w:t>précisée</w:t>
      </w:r>
      <w:r>
        <w:t xml:space="preserve"> par le </w:t>
      </w:r>
      <w:r w:rsidR="00C91832">
        <w:t>C</w:t>
      </w:r>
      <w:r>
        <w:t>ommandité dans l</w:t>
      </w:r>
      <w:r w:rsidR="00E27310">
        <w:t>’</w:t>
      </w:r>
      <w:r>
        <w:t xml:space="preserve">avis envoyé </w:t>
      </w:r>
      <w:r w:rsidR="00C91832">
        <w:t>à l’Associé réglementé</w:t>
      </w:r>
      <w:r>
        <w:t xml:space="preserve"> pour l</w:t>
      </w:r>
      <w:r w:rsidR="00E27310">
        <w:t>’</w:t>
      </w:r>
      <w:r>
        <w:t xml:space="preserve">aviser de la décision du </w:t>
      </w:r>
      <w:r w:rsidR="00C91832">
        <w:t>C</w:t>
      </w:r>
      <w:r>
        <w:t xml:space="preserve">ommandité de </w:t>
      </w:r>
      <w:r w:rsidR="00C91832">
        <w:t>racheter</w:t>
      </w:r>
      <w:r>
        <w:t xml:space="preserve"> en </w:t>
      </w:r>
      <w:r w:rsidR="00C91832">
        <w:t>totalité</w:t>
      </w:r>
      <w:r>
        <w:t xml:space="preserve"> ou en partie </w:t>
      </w:r>
      <w:r w:rsidR="00C91832">
        <w:t>la Participation</w:t>
      </w:r>
      <w:r>
        <w:t xml:space="preserve"> </w:t>
      </w:r>
      <w:r w:rsidR="00C91832">
        <w:t>de l’Associé réglementé</w:t>
      </w:r>
      <w:r>
        <w:t xml:space="preserve"> conformément à l</w:t>
      </w:r>
      <w:r w:rsidR="00E27310">
        <w:t>’</w:t>
      </w:r>
      <w:r>
        <w:t>article </w:t>
      </w:r>
      <w:r w:rsidRPr="00D52949">
        <w:fldChar w:fldCharType="begin"/>
      </w:r>
      <w:r w:rsidRPr="00D52949">
        <w:instrText xml:space="preserve"> REF _Ref40802263 \w \h </w:instrText>
      </w:r>
      <w:r w:rsidRPr="00D52949" w:rsidR="00791303">
        <w:instrText xml:space="preserve"> \* MERGEFORMAT </w:instrText>
      </w:r>
      <w:r w:rsidRPr="00D52949">
        <w:fldChar w:fldCharType="separate"/>
      </w:r>
      <w:r w:rsidR="00B50BE2">
        <w:t>8.6(a)</w:t>
      </w:r>
      <w:r w:rsidRPr="00D52949">
        <w:fldChar w:fldCharType="end"/>
      </w:r>
      <w:r>
        <w:t xml:space="preserve"> (</w:t>
      </w:r>
      <w:r w:rsidRPr="00CA7801" w:rsidR="00CA7801">
        <w:rPr>
          <w:i/>
        </w:rPr>
        <w:fldChar w:fldCharType="begin"/>
      </w:r>
      <w:r w:rsidRPr="00CA7801" w:rsidR="00CA7801">
        <w:rPr>
          <w:i/>
        </w:rPr>
        <w:instrText xml:space="preserve"> REF _Ref113892518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Questions relatives aux Associés réglementés.</w:t>
      </w:r>
      <w:r w:rsidRPr="00CA7801" w:rsidR="00CA7801">
        <w:rPr>
          <w:i/>
        </w:rPr>
        <w:fldChar w:fldCharType="end"/>
      </w:r>
      <w:r>
        <w:t xml:space="preserve">), </w:t>
      </w:r>
      <w:r w:rsidR="00C91832">
        <w:t>l’Associé</w:t>
      </w:r>
      <w:r>
        <w:t xml:space="preserve"> réglementé </w:t>
      </w:r>
      <w:r w:rsidR="00C91832">
        <w:t>doit cesser</w:t>
      </w:r>
      <w:r>
        <w:t xml:space="preserve"> d</w:t>
      </w:r>
      <w:r w:rsidR="00E27310">
        <w:t>’</w:t>
      </w:r>
      <w:r>
        <w:t xml:space="preserve">être un </w:t>
      </w:r>
      <w:r w:rsidR="00C91832">
        <w:t>Associé</w:t>
      </w:r>
      <w:r>
        <w:t xml:space="preserve"> du Fonds aux seules fins de la portion retirée de </w:t>
      </w:r>
      <w:r w:rsidR="00C91832">
        <w:t>sa Participation</w:t>
      </w:r>
      <w:r>
        <w:t xml:space="preserve"> et, en plus de son droit de recevoir le paiement de </w:t>
      </w:r>
      <w:r w:rsidR="00C91832">
        <w:t>cette Participation</w:t>
      </w:r>
      <w:r>
        <w:t>, continuera d</w:t>
      </w:r>
      <w:r w:rsidR="00E27310">
        <w:t>’</w:t>
      </w:r>
      <w:r>
        <w:t xml:space="preserve">avoir droit, pour ce qui est de </w:t>
      </w:r>
      <w:r w:rsidR="00C91832">
        <w:t>sa Participation</w:t>
      </w:r>
      <w:r>
        <w:t xml:space="preserve"> restant</w:t>
      </w:r>
      <w:r w:rsidR="00C91832">
        <w:t>e</w:t>
      </w:r>
      <w:r>
        <w:t xml:space="preserve"> seulement, aux droits d</w:t>
      </w:r>
      <w:r w:rsidR="00E27310">
        <w:t>’</w:t>
      </w:r>
      <w:r>
        <w:t xml:space="preserve">un </w:t>
      </w:r>
      <w:r w:rsidR="00C91832">
        <w:t>Associé</w:t>
      </w:r>
      <w:r>
        <w:t xml:space="preserve"> en vertu </w:t>
      </w:r>
      <w:r w:rsidR="00E536D5">
        <w:t>de la présente Convention</w:t>
      </w:r>
      <w:r>
        <w:t>, y compris le droit d</w:t>
      </w:r>
      <w:r w:rsidR="00C91832">
        <w:t>’avoir des</w:t>
      </w:r>
      <w:r>
        <w:t xml:space="preserve"> </w:t>
      </w:r>
      <w:r w:rsidR="002D29D9">
        <w:t>attributions</w:t>
      </w:r>
      <w:r w:rsidR="00C91832">
        <w:t xml:space="preserve"> faites</w:t>
      </w:r>
      <w:r>
        <w:t xml:space="preserve"> à son Compte de capital (tel qu</w:t>
      </w:r>
      <w:r w:rsidR="00E27310">
        <w:t>’</w:t>
      </w:r>
      <w:r>
        <w:t>il peut être ajusté), le droit de recevoir des distributions et le droit d</w:t>
      </w:r>
      <w:r w:rsidR="00E27310">
        <w:t>’</w:t>
      </w:r>
      <w:r>
        <w:t xml:space="preserve">approuver, de consentir ou de voter relativement aux questions prévues dans </w:t>
      </w:r>
      <w:r w:rsidR="003278C2">
        <w:t>la présente Convention</w:t>
      </w:r>
      <w:r>
        <w:t>.</w:t>
      </w:r>
      <w:bookmarkEnd w:id="467"/>
    </w:p>
    <w:p w:rsidR="0000160C" w:rsidRDefault="00C517ED" w14:paraId="559201C2" w14:textId="3A28E0F6">
      <w:pPr>
        <w:pStyle w:val="ArtBJStyL3"/>
      </w:pPr>
      <w:bookmarkStart w:name="_Ref113892520" w:id="468"/>
      <w:r>
        <w:t>Le prix d</w:t>
      </w:r>
      <w:r w:rsidR="00E27310">
        <w:t>’</w:t>
      </w:r>
      <w:r>
        <w:t xml:space="preserve">achat relatif à </w:t>
      </w:r>
      <w:r w:rsidR="008724FB">
        <w:t>toute Participation</w:t>
      </w:r>
      <w:r>
        <w:t xml:space="preserve"> d</w:t>
      </w:r>
      <w:r w:rsidR="00E27310">
        <w:t>’</w:t>
      </w:r>
      <w:r>
        <w:t xml:space="preserve">un </w:t>
      </w:r>
      <w:r w:rsidR="008724FB">
        <w:t>Associé</w:t>
      </w:r>
      <w:r>
        <w:t xml:space="preserve"> réglementé qui est </w:t>
      </w:r>
      <w:r w:rsidR="008724FB">
        <w:t>rachetée</w:t>
      </w:r>
      <w:r>
        <w:t xml:space="preserve"> conformément à l</w:t>
      </w:r>
      <w:r w:rsidR="00E27310">
        <w:t>’</w:t>
      </w:r>
      <w:r>
        <w:t>article </w:t>
      </w:r>
      <w:r w:rsidRPr="00D52949">
        <w:fldChar w:fldCharType="begin"/>
      </w:r>
      <w:r w:rsidRPr="00D52949">
        <w:instrText xml:space="preserve"> REF _Ref40802263 \w \h  \* MERGEFORMAT </w:instrText>
      </w:r>
      <w:r w:rsidRPr="00D52949">
        <w:fldChar w:fldCharType="separate"/>
      </w:r>
      <w:r w:rsidR="00B50BE2">
        <w:t>8.6(a)</w:t>
      </w:r>
      <w:r w:rsidRPr="00D52949">
        <w:fldChar w:fldCharType="end"/>
      </w:r>
      <w:r>
        <w:t xml:space="preserve"> (</w:t>
      </w:r>
      <w:r w:rsidRPr="00CA7801" w:rsidR="00CA7801">
        <w:rPr>
          <w:i/>
        </w:rPr>
        <w:fldChar w:fldCharType="begin"/>
      </w:r>
      <w:r w:rsidRPr="00CA7801" w:rsidR="00CA7801">
        <w:rPr>
          <w:i/>
        </w:rPr>
        <w:instrText xml:space="preserve"> REF _Ref113892518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Questions relatives aux Associés réglementés.</w:t>
      </w:r>
      <w:r w:rsidRPr="00CA7801" w:rsidR="00CA7801">
        <w:rPr>
          <w:i/>
        </w:rPr>
        <w:fldChar w:fldCharType="end"/>
      </w:r>
      <w:r>
        <w:t xml:space="preserve">) </w:t>
      </w:r>
      <w:r w:rsidR="008724FB">
        <w:t>doit être</w:t>
      </w:r>
      <w:r>
        <w:t xml:space="preserve"> payé par le Fonds en espèces en versant </w:t>
      </w:r>
      <w:r w:rsidR="008724FB">
        <w:t>à l’Associé</w:t>
      </w:r>
      <w:r>
        <w:t xml:space="preserve"> réglementé une </w:t>
      </w:r>
      <w:r w:rsidR="008724FB">
        <w:t>portion</w:t>
      </w:r>
      <w:r>
        <w:t xml:space="preserve"> proportionnelle (telle que définie ci-dessous) de chaque distribution qui aurait été payable </w:t>
      </w:r>
      <w:r w:rsidR="008724FB">
        <w:t>à l’Associé</w:t>
      </w:r>
      <w:r>
        <w:t xml:space="preserve"> réglementé si </w:t>
      </w:r>
      <w:r w:rsidR="008724FB">
        <w:t>cette Participation n’avait</w:t>
      </w:r>
      <w:r>
        <w:t xml:space="preserve"> pas été </w:t>
      </w:r>
      <w:r w:rsidR="008724FB">
        <w:t>rachetée</w:t>
      </w:r>
      <w:r>
        <w:t xml:space="preserve"> jusqu</w:t>
      </w:r>
      <w:r w:rsidR="00E27310">
        <w:t>’</w:t>
      </w:r>
      <w:r>
        <w:t>à ce que le prix d</w:t>
      </w:r>
      <w:r w:rsidR="00E27310">
        <w:t>’</w:t>
      </w:r>
      <w:r>
        <w:t>achat ait été entièrement payé</w:t>
      </w:r>
      <w:r w:rsidR="008724FB">
        <w:t>,</w:t>
      </w:r>
      <w:r>
        <w:t xml:space="preserve"> à condition que le </w:t>
      </w:r>
      <w:r w:rsidR="008724FB">
        <w:t>Commandité</w:t>
      </w:r>
      <w:r>
        <w:t xml:space="preserve"> ne soit pas </w:t>
      </w:r>
      <w:r w:rsidR="008724FB">
        <w:t>obligé</w:t>
      </w:r>
      <w:r>
        <w:t xml:space="preserve"> de vendre, financer ou refinancer tout bien ou actif du Fonds ou de prendre toute autre mesure pour effectuer un tel </w:t>
      </w:r>
      <w:r w:rsidR="008724FB">
        <w:t>rachat</w:t>
      </w:r>
      <w:r>
        <w:t xml:space="preserve"> qui, de l</w:t>
      </w:r>
      <w:r w:rsidR="00E27310">
        <w:t>’</w:t>
      </w:r>
      <w:r>
        <w:t xml:space="preserve">avis du </w:t>
      </w:r>
      <w:r w:rsidR="008724FB">
        <w:t>Commandité</w:t>
      </w:r>
      <w:r>
        <w:t xml:space="preserve">, </w:t>
      </w:r>
      <w:r w:rsidR="008724FB">
        <w:t>pourrait avoir un effet défavorable</w:t>
      </w:r>
      <w:r>
        <w:t xml:space="preserve"> </w:t>
      </w:r>
      <w:r w:rsidR="008724FB">
        <w:t>sur le</w:t>
      </w:r>
      <w:r>
        <w:t xml:space="preserve"> Fonds (compte tenu des besoins de liquidité du Fonds) ou à tout </w:t>
      </w:r>
      <w:r w:rsidR="008724FB">
        <w:t>Associé</w:t>
      </w:r>
      <w:r>
        <w:t xml:space="preserve">. Aux fins de la phrase précédente, la « </w:t>
      </w:r>
      <w:r w:rsidRPr="00D43372">
        <w:rPr>
          <w:b/>
          <w:bCs/>
        </w:rPr>
        <w:t>p</w:t>
      </w:r>
      <w:r w:rsidRPr="00D43372" w:rsidR="008724FB">
        <w:rPr>
          <w:b/>
          <w:bCs/>
        </w:rPr>
        <w:t>o</w:t>
      </w:r>
      <w:r w:rsidRPr="00D43372">
        <w:rPr>
          <w:b/>
          <w:bCs/>
        </w:rPr>
        <w:t>rti</w:t>
      </w:r>
      <w:r w:rsidRPr="00D43372" w:rsidR="008724FB">
        <w:rPr>
          <w:b/>
          <w:bCs/>
        </w:rPr>
        <w:t>on</w:t>
      </w:r>
      <w:r w:rsidRPr="00D43372">
        <w:rPr>
          <w:b/>
          <w:bCs/>
        </w:rPr>
        <w:t xml:space="preserve"> proportionnelle</w:t>
      </w:r>
      <w:r>
        <w:t xml:space="preserve"> » d</w:t>
      </w:r>
      <w:r w:rsidR="00E27310">
        <w:t>’</w:t>
      </w:r>
      <w:r>
        <w:t>une distribution d</w:t>
      </w:r>
      <w:r w:rsidR="00E27310">
        <w:t>’</w:t>
      </w:r>
      <w:r>
        <w:t xml:space="preserve">un </w:t>
      </w:r>
      <w:r w:rsidR="008724FB">
        <w:t>Associé</w:t>
      </w:r>
      <w:r>
        <w:t xml:space="preserve"> réglementé est un montant égal au montant que l</w:t>
      </w:r>
      <w:r w:rsidR="008724FB">
        <w:t xml:space="preserve">’Associé </w:t>
      </w:r>
      <w:r>
        <w:t>réglementé aurait reçu à l</w:t>
      </w:r>
      <w:r w:rsidR="00E27310">
        <w:t>’</w:t>
      </w:r>
      <w:r>
        <w:t xml:space="preserve">égard </w:t>
      </w:r>
      <w:r w:rsidR="008724FB">
        <w:t xml:space="preserve">de la Participation rachetée </w:t>
      </w:r>
      <w:r>
        <w:t>s</w:t>
      </w:r>
      <w:r w:rsidR="008724FB">
        <w:t>i cette Participation</w:t>
      </w:r>
      <w:r>
        <w:t xml:space="preserve"> n</w:t>
      </w:r>
      <w:r w:rsidR="00E27310">
        <w:t>’</w:t>
      </w:r>
      <w:r>
        <w:t xml:space="preserve">avait pas été </w:t>
      </w:r>
      <w:r w:rsidR="008724FB">
        <w:t>rachetée</w:t>
      </w:r>
      <w:r>
        <w:t>.</w:t>
      </w:r>
      <w:bookmarkEnd w:id="468"/>
    </w:p>
    <w:p w:rsidR="0000160C" w:rsidRDefault="00C517ED" w14:paraId="5D5A6257" w14:textId="0207BC9C">
      <w:pPr>
        <w:pStyle w:val="ArtBJStyL1"/>
      </w:pPr>
      <w:r>
        <w:br/>
      </w:r>
      <w:bookmarkStart w:name="_Ref113892521" w:id="469"/>
      <w:bookmarkStart w:name="_Toc161762354" w:id="470"/>
      <w:r>
        <w:t>Exclusivit</w:t>
      </w:r>
      <w:r w:rsidR="008724FB">
        <w:t>É</w:t>
      </w:r>
      <w:r>
        <w:t xml:space="preserve"> et conflits d</w:t>
      </w:r>
      <w:r w:rsidR="00E27310">
        <w:t>’</w:t>
      </w:r>
      <w:r>
        <w:t>int</w:t>
      </w:r>
      <w:r w:rsidR="008724FB">
        <w:t>É</w:t>
      </w:r>
      <w:r>
        <w:t>r</w:t>
      </w:r>
      <w:r w:rsidR="008724FB">
        <w:t>Ê</w:t>
      </w:r>
      <w:r>
        <w:t>ts potentiels</w:t>
      </w:r>
      <w:bookmarkEnd w:id="469"/>
      <w:bookmarkEnd w:id="470"/>
    </w:p>
    <w:p w:rsidR="0000160C" w:rsidRDefault="00C517ED" w14:paraId="6F7B8EE6" w14:textId="30538428">
      <w:pPr>
        <w:pStyle w:val="ArtBJStyL2"/>
      </w:pPr>
      <w:bookmarkStart w:name="_Ref40802451" w:id="471"/>
      <w:bookmarkStart w:name="_Toc161762355" w:id="472"/>
      <w:r>
        <w:t xml:space="preserve">Fonds </w:t>
      </w:r>
      <w:r w:rsidR="00ED0495">
        <w:t>de remplacement</w:t>
      </w:r>
      <w:r>
        <w:t>.</w:t>
      </w:r>
      <w:bookmarkEnd w:id="471"/>
      <w:bookmarkEnd w:id="472"/>
    </w:p>
    <w:p w:rsidR="0000160C" w:rsidRDefault="00C517ED" w14:paraId="722611F3" w14:textId="12F90356">
      <w:pPr>
        <w:pStyle w:val="ArtBJStyCont2"/>
      </w:pPr>
      <w:r>
        <w:t>Jusqu</w:t>
      </w:r>
      <w:r w:rsidR="00E27310">
        <w:t>’</w:t>
      </w:r>
      <w:r>
        <w:t xml:space="preserve">à la première des </w:t>
      </w:r>
      <w:r w:rsidR="008724FB">
        <w:t>éventualités</w:t>
      </w:r>
      <w:r>
        <w:t xml:space="preserve"> suivantes : </w:t>
      </w:r>
      <w:bookmarkStart w:name="DocXTextRef92" w:id="473"/>
      <w:r>
        <w:t>(i)</w:t>
      </w:r>
      <w:bookmarkEnd w:id="473"/>
      <w:r>
        <w:t xml:space="preserve"> la fin de la </w:t>
      </w:r>
      <w:r w:rsidR="008724FB">
        <w:t>P</w:t>
      </w:r>
      <w:r>
        <w:t>ériode d</w:t>
      </w:r>
      <w:r w:rsidR="00E27310">
        <w:t>’</w:t>
      </w:r>
      <w:r>
        <w:t xml:space="preserve">engagement, et </w:t>
      </w:r>
      <w:bookmarkStart w:name="DocXTextRef93" w:id="474"/>
      <w:r>
        <w:t>(ii)</w:t>
      </w:r>
      <w:bookmarkEnd w:id="474"/>
      <w:r>
        <w:t xml:space="preserve"> la date à laquelle 80%</w:t>
      </w:r>
      <w:bookmarkStart w:name="_Ref113892853" w:id="475"/>
      <w:r>
        <w:rPr>
          <w:szCs w:val="22"/>
          <w:vertAlign w:val="superscript"/>
        </w:rPr>
        <w:footnoteReference w:id="107"/>
      </w:r>
      <w:bookmarkEnd w:id="475"/>
      <w:r>
        <w:t xml:space="preserve"> des </w:t>
      </w:r>
      <w:r w:rsidR="008724FB">
        <w:t>E</w:t>
      </w:r>
      <w:r>
        <w:t xml:space="preserve">ngagements ont été financés, investis, engagés ou réservés pour des investissements (y compris les </w:t>
      </w:r>
      <w:r w:rsidR="008724FB">
        <w:t>I</w:t>
      </w:r>
      <w:r>
        <w:t xml:space="preserve">nvestissements de suivi) ou financés ou réservés pour des </w:t>
      </w:r>
      <w:r w:rsidR="008724FB">
        <w:t>D</w:t>
      </w:r>
      <w:r>
        <w:t>épenses d</w:t>
      </w:r>
      <w:r w:rsidR="008724FB">
        <w:t>u F</w:t>
      </w:r>
      <w:r>
        <w:t>onds</w:t>
      </w:r>
      <w:r w:rsidR="008724FB">
        <w:t>,</w:t>
      </w:r>
      <w:r>
        <w:t xml:space="preserve"> le </w:t>
      </w:r>
      <w:r w:rsidR="008724FB">
        <w:t>C</w:t>
      </w:r>
      <w:r>
        <w:t xml:space="preserve">ommandité et le </w:t>
      </w:r>
      <w:r w:rsidR="008724FB">
        <w:t>Gestionnaire</w:t>
      </w:r>
      <w:r>
        <w:t xml:space="preserve"> ne doivent pas</w:t>
      </w:r>
      <w:r w:rsidR="009A429E">
        <w:t xml:space="preserve"> gérer</w:t>
      </w:r>
      <w:r>
        <w:t>, et par l</w:t>
      </w:r>
      <w:r w:rsidR="009A429E">
        <w:t>es</w:t>
      </w:r>
      <w:r>
        <w:t xml:space="preserve"> présente</w:t>
      </w:r>
      <w:r w:rsidR="009A429E">
        <w:t>s</w:t>
      </w:r>
      <w:r>
        <w:t xml:space="preserve"> </w:t>
      </w:r>
      <w:r w:rsidR="008724FB">
        <w:t>doivent faire en sorte que les Membres du même groupe</w:t>
      </w:r>
      <w:r w:rsidR="00335434">
        <w:t xml:space="preserve"> que l’une des Personnes précédentes</w:t>
      </w:r>
      <w:r w:rsidR="009A429E">
        <w:t xml:space="preserve"> ne gèrent pas</w:t>
      </w:r>
      <w:r w:rsidR="008724FB">
        <w:t>,</w:t>
      </w:r>
      <w:r>
        <w:t xml:space="preserve"> de véhicule ou de compte (autre qu</w:t>
      </w:r>
      <w:r w:rsidR="00E27310">
        <w:t>’</w:t>
      </w:r>
      <w:r>
        <w:t xml:space="preserve">un </w:t>
      </w:r>
      <w:r w:rsidR="008724FB">
        <w:t>V</w:t>
      </w:r>
      <w:r>
        <w:t>éhicule d</w:t>
      </w:r>
      <w:r w:rsidR="008724FB">
        <w:t>u</w:t>
      </w:r>
      <w:r>
        <w:t xml:space="preserve"> </w:t>
      </w:r>
      <w:r w:rsidR="008724FB">
        <w:t>F</w:t>
      </w:r>
      <w:r>
        <w:t>onds)</w:t>
      </w:r>
      <w:bookmarkStart w:name="_Ref113892854" w:id="476"/>
      <w:r>
        <w:rPr>
          <w:szCs w:val="22"/>
          <w:vertAlign w:val="superscript"/>
        </w:rPr>
        <w:footnoteReference w:id="108"/>
      </w:r>
      <w:bookmarkEnd w:id="476"/>
      <w:r>
        <w:t xml:space="preserve"> ayant des objectifs d</w:t>
      </w:r>
      <w:r w:rsidR="00E27310">
        <w:t>’</w:t>
      </w:r>
      <w:r>
        <w:t xml:space="preserve">investissement qui sont </w:t>
      </w:r>
      <w:r w:rsidR="008724FB">
        <w:t>substantiellement</w:t>
      </w:r>
      <w:r>
        <w:t xml:space="preserve"> similaires aux </w:t>
      </w:r>
      <w:r w:rsidR="008724FB">
        <w:t>O</w:t>
      </w:r>
      <w:r>
        <w:t>bjectifs d</w:t>
      </w:r>
      <w:r w:rsidR="00E27310">
        <w:t>’</w:t>
      </w:r>
      <w:r>
        <w:t xml:space="preserve">investissement (« </w:t>
      </w:r>
      <w:r w:rsidR="00ED0495">
        <w:rPr>
          <w:b/>
        </w:rPr>
        <w:t>F</w:t>
      </w:r>
      <w:r>
        <w:rPr>
          <w:b/>
        </w:rPr>
        <w:t xml:space="preserve">onds </w:t>
      </w:r>
      <w:r w:rsidR="00ED0495">
        <w:rPr>
          <w:b/>
        </w:rPr>
        <w:t>de remplacement</w:t>
      </w:r>
      <w:r>
        <w:rPr>
          <w:bCs/>
        </w:rPr>
        <w:t xml:space="preserve"> »</w:t>
      </w:r>
      <w:r>
        <w:t xml:space="preserve">), dans chaque cas sauf avec </w:t>
      </w:r>
      <w:r w:rsidR="008724FB">
        <w:t>le consentement</w:t>
      </w:r>
      <w:r>
        <w:t xml:space="preserve"> écrit préalable </w:t>
      </w:r>
      <w:r>
        <w:rPr>
          <w:b/>
          <w:bCs/>
          <w:highlight w:val="yellow"/>
        </w:rPr>
        <w:t xml:space="preserve">[du </w:t>
      </w:r>
      <w:r w:rsidR="008724FB">
        <w:rPr>
          <w:b/>
          <w:bCs/>
          <w:highlight w:val="yellow"/>
        </w:rPr>
        <w:t>C</w:t>
      </w:r>
      <w:r>
        <w:rPr>
          <w:b/>
          <w:bCs/>
          <w:highlight w:val="yellow"/>
        </w:rPr>
        <w:t>omité consultatif d</w:t>
      </w:r>
      <w:r w:rsidR="008724FB">
        <w:rPr>
          <w:b/>
          <w:bCs/>
          <w:highlight w:val="yellow"/>
        </w:rPr>
        <w:t xml:space="preserve">es Commanditaires </w:t>
      </w:r>
      <w:r>
        <w:rPr>
          <w:b/>
          <w:bCs/>
          <w:highlight w:val="yellow"/>
        </w:rPr>
        <w:t>ou d</w:t>
      </w:r>
      <w:r w:rsidR="00E27310">
        <w:rPr>
          <w:b/>
          <w:bCs/>
          <w:highlight w:val="yellow"/>
        </w:rPr>
        <w:t>’</w:t>
      </w:r>
      <w:r>
        <w:rPr>
          <w:b/>
          <w:bCs/>
          <w:highlight w:val="yellow"/>
        </w:rPr>
        <w:t xml:space="preserve">une </w:t>
      </w:r>
      <w:r w:rsidR="0072655F">
        <w:rPr>
          <w:b/>
          <w:bCs/>
          <w:highlight w:val="yellow"/>
        </w:rPr>
        <w:t>Majorité de Participations</w:t>
      </w:r>
      <w:r>
        <w:rPr>
          <w:b/>
          <w:bCs/>
          <w:highlight w:val="yellow"/>
        </w:rPr>
        <w:t>.</w:t>
      </w:r>
      <w:bookmarkStart w:name="_Ref41318976" w:id="477"/>
      <w:r>
        <w:rPr>
          <w:b/>
          <w:bCs/>
          <w:highlight w:val="yellow"/>
        </w:rPr>
        <w:t>]</w:t>
      </w:r>
      <w:bookmarkStart w:name="_Ref113892855" w:id="478"/>
      <w:r>
        <w:rPr>
          <w:rStyle w:val="FootnoteReference"/>
        </w:rPr>
        <w:footnoteReference w:id="109"/>
      </w:r>
      <w:bookmarkEnd w:id="478"/>
    </w:p>
    <w:p w:rsidR="0000160C" w:rsidRDefault="00C517ED" w14:paraId="398B95FB" w14:textId="77777777">
      <w:pPr>
        <w:pStyle w:val="ArtBJStyL2"/>
      </w:pPr>
      <w:bookmarkStart w:name="_Ref53002326" w:id="479"/>
      <w:bookmarkStart w:name="_Toc161762356" w:id="480"/>
      <w:r>
        <w:lastRenderedPageBreak/>
        <w:t>Temps et attention.</w:t>
      </w:r>
      <w:bookmarkEnd w:id="477"/>
      <w:bookmarkEnd w:id="479"/>
      <w:bookmarkEnd w:id="480"/>
    </w:p>
    <w:p w:rsidR="0000160C" w:rsidRDefault="00C517ED" w14:paraId="3B059E04" w14:textId="6713CAE1">
      <w:pPr>
        <w:pStyle w:val="ArtBJStyCont2"/>
      </w:pPr>
      <w:r>
        <w:t>Avant la fin de la Période d</w:t>
      </w:r>
      <w:r w:rsidR="00E27310">
        <w:t>’</w:t>
      </w:r>
      <w:r>
        <w:t xml:space="preserve">engagement, le </w:t>
      </w:r>
      <w:r w:rsidR="008724FB">
        <w:t>Commandité</w:t>
      </w:r>
      <w:r>
        <w:t xml:space="preserve"> </w:t>
      </w:r>
      <w:r w:rsidR="008724FB">
        <w:t>doit faire</w:t>
      </w:r>
      <w:r>
        <w:t xml:space="preserve"> en sorte que </w:t>
      </w:r>
      <w:r w:rsidR="00BE4B19">
        <w:t>le</w:t>
      </w:r>
      <w:r>
        <w:t xml:space="preserve"> </w:t>
      </w:r>
      <w:r w:rsidR="008724FB">
        <w:t>Commandité</w:t>
      </w:r>
      <w:r>
        <w:t xml:space="preserve">, </w:t>
      </w:r>
      <w:r w:rsidR="00BE4B19">
        <w:t>le</w:t>
      </w:r>
      <w:r>
        <w:t xml:space="preserve"> Gestionnaire et </w:t>
      </w:r>
      <w:r w:rsidR="00BE4B19">
        <w:t>les</w:t>
      </w:r>
      <w:r>
        <w:t xml:space="preserve"> Personnes</w:t>
      </w:r>
      <w:r w:rsidR="008724FB">
        <w:t>-</w:t>
      </w:r>
      <w:r>
        <w:t>clés consacre la quasi-totalité d</w:t>
      </w:r>
      <w:r w:rsidR="008724FB">
        <w:t>e leur</w:t>
      </w:r>
      <w:r>
        <w:t xml:space="preserve"> temps </w:t>
      </w:r>
      <w:r w:rsidR="008724FB">
        <w:t>de travail</w:t>
      </w:r>
      <w:r>
        <w:t xml:space="preserve"> aux affaires du Fonds, du </w:t>
      </w:r>
      <w:r w:rsidR="00BE4B19">
        <w:t>Commandité</w:t>
      </w:r>
      <w:r>
        <w:t xml:space="preserve">, du Gestionnaire, de tout Véhicule </w:t>
      </w:r>
      <w:r w:rsidR="00BE4B19">
        <w:t>a</w:t>
      </w:r>
      <w:r>
        <w:t xml:space="preserve">lternatif, de tout Véhicule </w:t>
      </w:r>
      <w:r w:rsidR="00BE4B19">
        <w:t>p</w:t>
      </w:r>
      <w:r>
        <w:t xml:space="preserve">arallèle, de tout </w:t>
      </w:r>
      <w:r w:rsidR="00BE4B19">
        <w:t>investissement conjoint</w:t>
      </w:r>
      <w:r>
        <w:t xml:space="preserve">, </w:t>
      </w:r>
      <w:r w:rsidR="00BE4B19">
        <w:t xml:space="preserve">de </w:t>
      </w:r>
      <w:r>
        <w:t xml:space="preserve">Fonds </w:t>
      </w:r>
      <w:r w:rsidR="00BE4B19">
        <w:t>a</w:t>
      </w:r>
      <w:r>
        <w:t>ntérieurs ou d</w:t>
      </w:r>
      <w:r w:rsidR="00E27310">
        <w:t>’</w:t>
      </w:r>
      <w:r>
        <w:t>autres véhicules d</w:t>
      </w:r>
      <w:r w:rsidR="00E27310">
        <w:t>’</w:t>
      </w:r>
      <w:r>
        <w:t xml:space="preserve">investissement autorisés par </w:t>
      </w:r>
      <w:r w:rsidR="00BE4B19">
        <w:t>la présente Convention</w:t>
      </w:r>
      <w:r>
        <w:t xml:space="preserve">. Après la fin de la </w:t>
      </w:r>
      <w:r w:rsidR="00BE4B19">
        <w:t>P</w:t>
      </w:r>
      <w:r>
        <w:t>ériode d</w:t>
      </w:r>
      <w:r w:rsidR="00E27310">
        <w:t>’</w:t>
      </w:r>
      <w:r>
        <w:t xml:space="preserve">engagement, le </w:t>
      </w:r>
      <w:r w:rsidR="00BE4B19">
        <w:t>C</w:t>
      </w:r>
      <w:r>
        <w:t xml:space="preserve">ommandité </w:t>
      </w:r>
      <w:r w:rsidR="00BE4B19">
        <w:t xml:space="preserve">doit </w:t>
      </w:r>
      <w:r>
        <w:t>fai</w:t>
      </w:r>
      <w:r w:rsidR="00BE4B19">
        <w:t>re</w:t>
      </w:r>
      <w:r>
        <w:t xml:space="preserve"> en sorte que </w:t>
      </w:r>
      <w:r w:rsidR="00BE4B19">
        <w:t>le</w:t>
      </w:r>
      <w:r>
        <w:t xml:space="preserve"> </w:t>
      </w:r>
      <w:r w:rsidR="00BE4B19">
        <w:t>C</w:t>
      </w:r>
      <w:r>
        <w:t xml:space="preserve">ommandité, </w:t>
      </w:r>
      <w:r w:rsidR="00BE4B19">
        <w:t>le Gestionnaire</w:t>
      </w:r>
      <w:r>
        <w:t xml:space="preserve"> et </w:t>
      </w:r>
      <w:r w:rsidR="00BE4B19">
        <w:t>les P</w:t>
      </w:r>
      <w:r>
        <w:t>ersonnes</w:t>
      </w:r>
      <w:r w:rsidR="00BE4B19">
        <w:t>-</w:t>
      </w:r>
      <w:r>
        <w:t>clés consacre</w:t>
      </w:r>
      <w:r w:rsidR="006C2EFD">
        <w:t>nt</w:t>
      </w:r>
      <w:r>
        <w:t xml:space="preserve"> </w:t>
      </w:r>
      <w:r w:rsidR="00BE4B19">
        <w:t>la portion</w:t>
      </w:r>
      <w:r>
        <w:t xml:space="preserve"> de leur temps aux affaires du </w:t>
      </w:r>
      <w:r w:rsidR="00BE4B19">
        <w:t>F</w:t>
      </w:r>
      <w:r>
        <w:t>onds</w:t>
      </w:r>
      <w:r w:rsidR="00BE4B19">
        <w:t xml:space="preserve"> qui</w:t>
      </w:r>
      <w:r>
        <w:t xml:space="preserve"> est nécessaire pour la gestion du </w:t>
      </w:r>
      <w:r w:rsidR="00BE4B19">
        <w:t>F</w:t>
      </w:r>
      <w:r>
        <w:t>onds.</w:t>
      </w:r>
    </w:p>
    <w:p w:rsidR="0000160C" w:rsidRDefault="000128EC" w14:paraId="618BE581" w14:textId="331B0615">
      <w:pPr>
        <w:pStyle w:val="ArtBJStyL2"/>
      </w:pPr>
      <w:bookmarkStart w:name="_Ref113892522" w:id="481"/>
      <w:bookmarkStart w:name="_Ref40803804" w:id="482"/>
      <w:bookmarkStart w:name="_Toc161762357" w:id="483"/>
      <w:r>
        <w:t>Possibilité</w:t>
      </w:r>
      <w:r w:rsidR="00133612">
        <w:t>s</w:t>
      </w:r>
      <w:r w:rsidR="00C517ED">
        <w:t xml:space="preserve"> </w:t>
      </w:r>
      <w:r w:rsidR="00BE4B19">
        <w:t>d’investissement conjoint</w:t>
      </w:r>
      <w:r w:rsidR="00C517ED">
        <w:t>.</w:t>
      </w:r>
      <w:bookmarkStart w:name="_Ref113892856" w:id="484"/>
      <w:r w:rsidR="00C517ED">
        <w:rPr>
          <w:rStyle w:val="FootnoteReference"/>
          <w:rFonts w:ascii="Times New Roman" w:hAnsi="Times New Roman"/>
          <w:b w:val="0"/>
        </w:rPr>
        <w:footnoteReference w:id="110"/>
      </w:r>
      <w:bookmarkEnd w:id="481"/>
      <w:bookmarkEnd w:id="482"/>
      <w:bookmarkEnd w:id="483"/>
      <w:bookmarkEnd w:id="484"/>
    </w:p>
    <w:p w:rsidRPr="00040C15" w:rsidR="0000160C" w:rsidRDefault="00C517ED" w14:paraId="4EF06ED6" w14:textId="3808EF0D">
      <w:pPr>
        <w:pStyle w:val="ArtBJStyL3"/>
        <w:rPr>
          <w:lang w:val="fr-CA"/>
        </w:rPr>
      </w:pPr>
      <w:bookmarkStart w:name="_Ref113892523" w:id="485"/>
      <w:r>
        <w:t xml:space="preserve">Le </w:t>
      </w:r>
      <w:r w:rsidR="00BE4B19">
        <w:t>C</w:t>
      </w:r>
      <w:r>
        <w:t>ommandité/</w:t>
      </w:r>
      <w:r w:rsidRPr="00BE4B19">
        <w:rPr>
          <w:b/>
          <w:bCs/>
        </w:rPr>
        <w:t>[</w:t>
      </w:r>
      <w:r w:rsidR="00BE4B19">
        <w:rPr>
          <w:b/>
          <w:highlight w:val="yellow"/>
        </w:rPr>
        <w:t>Gestionnaire</w:t>
      </w:r>
      <w:r>
        <w:rPr>
          <w:b/>
        </w:rPr>
        <w:t>]</w:t>
      </w:r>
      <w:r>
        <w:t xml:space="preserve"> peut offrir des </w:t>
      </w:r>
      <w:r w:rsidR="000128EC">
        <w:t>possibilité</w:t>
      </w:r>
      <w:r w:rsidR="00BE4B19">
        <w:t>s</w:t>
      </w:r>
      <w:r>
        <w:t xml:space="preserve"> </w:t>
      </w:r>
      <w:r w:rsidR="00BE4B19">
        <w:t>d’investissement conjoint</w:t>
      </w:r>
      <w:r>
        <w:t xml:space="preserve"> (que ce soit par le biais d</w:t>
      </w:r>
      <w:r w:rsidR="00E27310">
        <w:t>’</w:t>
      </w:r>
      <w:r>
        <w:t xml:space="preserve">un investissement direct dans une </w:t>
      </w:r>
      <w:r w:rsidR="00BE4B19">
        <w:t>S</w:t>
      </w:r>
      <w:r>
        <w:t>ociété de portefeuille ou d</w:t>
      </w:r>
      <w:r w:rsidR="00E27310">
        <w:t>’</w:t>
      </w:r>
      <w:r>
        <w:t>un investissement par le biais d</w:t>
      </w:r>
      <w:r w:rsidR="00E27310">
        <w:t>’</w:t>
      </w:r>
      <w:r>
        <w:t xml:space="preserve">un véhicule de détention intermédiaire) à un ou plusieurs </w:t>
      </w:r>
      <w:r w:rsidR="00BE4B19">
        <w:t>Commanditaires</w:t>
      </w:r>
      <w:r>
        <w:t xml:space="preserve"> ou </w:t>
      </w:r>
      <w:r>
        <w:rPr>
          <w:b/>
        </w:rPr>
        <w:t>[</w:t>
      </w:r>
      <w:r>
        <w:rPr>
          <w:b/>
          <w:highlight w:val="yellow"/>
        </w:rPr>
        <w:t>tiers stratégiques</w:t>
      </w:r>
      <w:r>
        <w:rPr>
          <w:b/>
        </w:rPr>
        <w:t xml:space="preserve"> / </w:t>
      </w:r>
      <w:r>
        <w:rPr>
          <w:b/>
          <w:highlight w:val="yellow"/>
        </w:rPr>
        <w:t>tout tiers</w:t>
      </w:r>
      <w:r>
        <w:rPr>
          <w:b/>
        </w:rPr>
        <w:t xml:space="preserve">] </w:t>
      </w:r>
      <w:r>
        <w:t xml:space="preserve">pour investir côte à côte avec le Fonds dans les circonstances où une </w:t>
      </w:r>
      <w:r w:rsidR="000128EC">
        <w:t>possibilité</w:t>
      </w:r>
      <w:r>
        <w:t xml:space="preserve"> </w:t>
      </w:r>
      <w:r w:rsidR="00BE4B19">
        <w:t>d’investissement conjoint</w:t>
      </w:r>
      <w:r>
        <w:t xml:space="preserve"> est disponible</w:t>
      </w:r>
      <w:r w:rsidR="00BE4B19">
        <w:t>,</w:t>
      </w:r>
      <w:r>
        <w:t xml:space="preserve"> à condition que le </w:t>
      </w:r>
      <w:r w:rsidR="00BE4B19">
        <w:t>C</w:t>
      </w:r>
      <w:r>
        <w:t xml:space="preserve">ommandité ne puisse offrir à ces </w:t>
      </w:r>
      <w:r w:rsidR="00BE4B19">
        <w:t>P</w:t>
      </w:r>
      <w:r>
        <w:t xml:space="preserve">ersonnes que la </w:t>
      </w:r>
      <w:r w:rsidR="00BE4B19">
        <w:t>portion</w:t>
      </w:r>
      <w:r>
        <w:t xml:space="preserve"> d</w:t>
      </w:r>
      <w:r w:rsidR="00E27310">
        <w:t>’</w:t>
      </w:r>
      <w:r>
        <w:t xml:space="preserve">une </w:t>
      </w:r>
      <w:r w:rsidR="000128EC">
        <w:t>possibilité</w:t>
      </w:r>
      <w:r>
        <w:t xml:space="preserve"> d</w:t>
      </w:r>
      <w:r w:rsidR="00E27310">
        <w:t>’</w:t>
      </w:r>
      <w:r>
        <w:t xml:space="preserve">investissement que le </w:t>
      </w:r>
      <w:r w:rsidR="00BE4B19">
        <w:t>C</w:t>
      </w:r>
      <w:r>
        <w:t>ommandité détermine raisonnablement</w:t>
      </w:r>
      <w:r w:rsidR="00BE4B19">
        <w:t>,</w:t>
      </w:r>
      <w:r>
        <w:t xml:space="preserve"> à sa seule discrétion</w:t>
      </w:r>
      <w:r w:rsidR="00BE4B19">
        <w:t>,</w:t>
      </w:r>
      <w:r>
        <w:t xml:space="preserve"> </w:t>
      </w:r>
      <w:r w:rsidR="00BE4B19">
        <w:t>comment n’étant</w:t>
      </w:r>
      <w:r>
        <w:t xml:space="preserve"> pas appropriée pour le Fonds (que ce soit en raison des restrictions d</w:t>
      </w:r>
      <w:r w:rsidR="00E27310">
        <w:t>’</w:t>
      </w:r>
      <w:r>
        <w:t>investissement énoncées à l</w:t>
      </w:r>
      <w:r w:rsidR="00BE4B19">
        <w:t xml:space="preserve">’article </w:t>
      </w:r>
      <w:r w:rsidR="001B4CF1">
        <w:fldChar w:fldCharType="begin"/>
      </w:r>
      <w:r w:rsidR="001B4CF1">
        <w:instrText xml:space="preserve"> REF _Ref40802598 \r \h </w:instrText>
      </w:r>
      <w:r w:rsidR="001B4CF1">
        <w:fldChar w:fldCharType="separate"/>
      </w:r>
      <w:r w:rsidR="00B50BE2">
        <w:t>7.1</w:t>
      </w:r>
      <w:r w:rsidR="001B4CF1">
        <w:fldChar w:fldCharType="end"/>
      </w:r>
      <w:r>
        <w:t xml:space="preserve"> (</w:t>
      </w:r>
      <w:r w:rsidRPr="00011516" w:rsidR="00011516">
        <w:rPr>
          <w:i/>
        </w:rPr>
        <w:fldChar w:fldCharType="begin"/>
      </w:r>
      <w:r w:rsidRPr="00011516" w:rsidR="00011516">
        <w:rPr>
          <w:i/>
        </w:rPr>
        <w:instrText xml:space="preserve"> REF _Ref40802598 \h </w:instrText>
      </w:r>
      <w:r w:rsidR="00011516">
        <w:rPr>
          <w:i/>
        </w:rPr>
        <w:instrText xml:space="preserve"> \* MERGEFORMAT </w:instrText>
      </w:r>
      <w:r w:rsidRPr="00011516" w:rsidR="00011516">
        <w:rPr>
          <w:i/>
        </w:rPr>
      </w:r>
      <w:r w:rsidRPr="00011516" w:rsidR="00011516">
        <w:rPr>
          <w:i/>
        </w:rPr>
        <w:fldChar w:fldCharType="separate"/>
      </w:r>
      <w:r w:rsidRPr="00B50BE2" w:rsidR="00B50BE2">
        <w:rPr>
          <w:i/>
        </w:rPr>
        <w:t>Restrictions à l’investissement.</w:t>
      </w:r>
      <w:r w:rsidRPr="00011516" w:rsidR="00011516">
        <w:rPr>
          <w:i/>
        </w:rPr>
        <w:fldChar w:fldCharType="end"/>
      </w:r>
      <w:r>
        <w:t>) ou autre</w:t>
      </w:r>
      <w:r w:rsidR="00BE4B19">
        <w:t>ment</w:t>
      </w:r>
      <w:r>
        <w:t>).</w:t>
      </w:r>
      <w:bookmarkStart w:name="_Ref113892857" w:id="486"/>
      <w:r>
        <w:rPr>
          <w:szCs w:val="22"/>
          <w:vertAlign w:val="superscript"/>
        </w:rPr>
        <w:footnoteReference w:id="111"/>
      </w:r>
      <w:bookmarkStart w:name="_Ref113892524" w:id="487"/>
      <w:bookmarkEnd w:id="485"/>
      <w:bookmarkEnd w:id="486"/>
      <w:r>
        <w:t xml:space="preserve"> Tout </w:t>
      </w:r>
      <w:r w:rsidR="00BE4B19">
        <w:t>investissement conjoint</w:t>
      </w:r>
      <w:r>
        <w:t xml:space="preserve"> </w:t>
      </w:r>
      <w:r w:rsidR="00BE4B19">
        <w:t>doit être fait</w:t>
      </w:r>
      <w:r>
        <w:t xml:space="preserve"> et cédé </w:t>
      </w:r>
      <w:r w:rsidR="00BE4B19">
        <w:t>substantiellement</w:t>
      </w:r>
      <w:r>
        <w:t xml:space="preserve"> au même moment et aux mêmes </w:t>
      </w:r>
      <w:r w:rsidR="00BE4B19">
        <w:t>modalités</w:t>
      </w:r>
      <w:r>
        <w:t xml:space="preserve"> (sauf si cela est nécessaire à des fins juridiques, fiscales ou réglementaires), y compris la ou les mêmes formes de contrepartie (et dans les mêmes proportions de formes de contrepartie) que l</w:t>
      </w:r>
      <w:r w:rsidR="00E27310">
        <w:t>’</w:t>
      </w:r>
      <w:r>
        <w:t>investissement correspondant du Fonds.</w:t>
      </w:r>
      <w:bookmarkEnd w:id="487"/>
      <w:r w:rsidR="00023149">
        <w:t xml:space="preserve"> </w:t>
      </w:r>
    </w:p>
    <w:p w:rsidR="0000160C" w:rsidRDefault="00C517ED" w14:paraId="78D8F3EF" w14:textId="1212AB55">
      <w:pPr>
        <w:pStyle w:val="ArtBJStyL3"/>
      </w:pPr>
      <w:bookmarkStart w:name="_Ref113892525" w:id="488"/>
      <w:r>
        <w:t>Dans le cas d</w:t>
      </w:r>
      <w:r w:rsidR="00E27310">
        <w:t>’</w:t>
      </w:r>
      <w:r>
        <w:t xml:space="preserve">un </w:t>
      </w:r>
      <w:r w:rsidR="00BE4B19">
        <w:t>investissement conjoint</w:t>
      </w:r>
      <w:r>
        <w:t xml:space="preserve">, </w:t>
      </w:r>
      <w:r w:rsidR="00BE4B19">
        <w:t>l’investisseur conjoint</w:t>
      </w:r>
      <w:r>
        <w:t xml:space="preserve"> </w:t>
      </w:r>
      <w:r w:rsidR="00BE4B19">
        <w:t>doit supporter</w:t>
      </w:r>
      <w:r>
        <w:t xml:space="preserve"> sa part </w:t>
      </w:r>
      <w:r>
        <w:rPr>
          <w:iCs/>
        </w:rPr>
        <w:t>proportionnelle</w:t>
      </w:r>
      <w:r>
        <w:t xml:space="preserve"> (basée sur le capital engagé dans ce</w:t>
      </w:r>
      <w:r w:rsidR="00BE4B19">
        <w:t>t</w:t>
      </w:r>
      <w:r>
        <w:t xml:space="preserve"> </w:t>
      </w:r>
      <w:r w:rsidR="00BE4B19">
        <w:t>investissement conjoint</w:t>
      </w:r>
      <w:r>
        <w:t xml:space="preserve"> par l</w:t>
      </w:r>
      <w:r w:rsidR="00BE4B19">
        <w:t xml:space="preserve">’investisseur conjoint </w:t>
      </w:r>
      <w:r>
        <w:t xml:space="preserve">en plus de tout engagement en capital envers le Fonds ou tout </w:t>
      </w:r>
      <w:r w:rsidR="00BE4B19">
        <w:t>V</w:t>
      </w:r>
      <w:r>
        <w:t xml:space="preserve">éhicule parallèle) de tous frais, dépenses et </w:t>
      </w:r>
      <w:r w:rsidR="0082726A">
        <w:t>dettes</w:t>
      </w:r>
      <w:r>
        <w:t xml:space="preserve"> relatifs à l</w:t>
      </w:r>
      <w:r w:rsidR="00E27310">
        <w:t>’</w:t>
      </w:r>
      <w:r w:rsidR="00133612">
        <w:t>I</w:t>
      </w:r>
      <w:r>
        <w:t>nvestissement de portefeuille concerné.</w:t>
      </w:r>
      <w:bookmarkEnd w:id="488"/>
    </w:p>
    <w:p w:rsidR="0000160C" w:rsidRDefault="00C517ED" w14:paraId="3613231E" w14:textId="706B86D0">
      <w:pPr>
        <w:pStyle w:val="ArtBJStyL2"/>
      </w:pPr>
      <w:bookmarkStart w:name="_Ref113892526" w:id="489"/>
      <w:bookmarkStart w:name="_Toc161762358" w:id="490"/>
      <w:r>
        <w:t>Flux d</w:t>
      </w:r>
      <w:r w:rsidR="00133612">
        <w:t>’affaires</w:t>
      </w:r>
      <w:r>
        <w:t>.</w:t>
      </w:r>
      <w:bookmarkEnd w:id="489"/>
      <w:bookmarkEnd w:id="490"/>
    </w:p>
    <w:p w:rsidR="0000160C" w:rsidRDefault="00C517ED" w14:paraId="17370327" w14:textId="7009224D">
      <w:pPr>
        <w:pStyle w:val="ArtBJStyCont2"/>
      </w:pPr>
      <w:r>
        <w:t xml:space="preserve">Sous réserve de </w:t>
      </w:r>
      <w:r w:rsidR="00133612">
        <w:t>l’article</w:t>
      </w:r>
      <w:r>
        <w:t> </w:t>
      </w:r>
      <w:r w:rsidRPr="00D52949">
        <w:fldChar w:fldCharType="begin"/>
      </w:r>
      <w:r w:rsidRPr="00D52949">
        <w:instrText xml:space="preserve"> REF _Ref40803804 \w \h </w:instrText>
      </w:r>
      <w:r w:rsidRPr="00D52949" w:rsidR="00791303">
        <w:instrText xml:space="preserve"> \* MERGEFORMAT </w:instrText>
      </w:r>
      <w:r w:rsidRPr="00D52949">
        <w:fldChar w:fldCharType="separate"/>
      </w:r>
      <w:r w:rsidR="00B50BE2">
        <w:t>9.3</w:t>
      </w:r>
      <w:r w:rsidRPr="00D52949">
        <w:fldChar w:fldCharType="end"/>
      </w:r>
      <w:r>
        <w:t xml:space="preserve"> (</w:t>
      </w:r>
      <w:r w:rsidRPr="00CA7801" w:rsidR="00CA7801">
        <w:rPr>
          <w:i/>
        </w:rPr>
        <w:fldChar w:fldCharType="begin"/>
      </w:r>
      <w:r w:rsidRPr="00CA7801" w:rsidR="00CA7801">
        <w:rPr>
          <w:i/>
        </w:rPr>
        <w:instrText xml:space="preserve"> REF _Ref113892522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Possibilités d’investissement conjoint.</w:t>
      </w:r>
      <w:r w:rsidRPr="00CA7801" w:rsidR="00CA7801">
        <w:rPr>
          <w:i/>
        </w:rPr>
        <w:fldChar w:fldCharType="end"/>
      </w:r>
      <w:r>
        <w:t xml:space="preserve">), le </w:t>
      </w:r>
      <w:r w:rsidR="00133612">
        <w:t>C</w:t>
      </w:r>
      <w:r>
        <w:t xml:space="preserve">ommandité et le </w:t>
      </w:r>
      <w:r w:rsidR="00133612">
        <w:t>G</w:t>
      </w:r>
      <w:r>
        <w:t>estionnaire conviennent par les présentes que, jusqu</w:t>
      </w:r>
      <w:r w:rsidR="00E27310">
        <w:t>’</w:t>
      </w:r>
      <w:r>
        <w:t xml:space="preserve">à la fin de la </w:t>
      </w:r>
      <w:r w:rsidR="00133612">
        <w:t>P</w:t>
      </w:r>
      <w:r>
        <w:t>ériode d</w:t>
      </w:r>
      <w:r w:rsidR="00E27310">
        <w:t>’</w:t>
      </w:r>
      <w:r>
        <w:t>engagement, toutes les possibilités d</w:t>
      </w:r>
      <w:r w:rsidR="00E27310">
        <w:t>’</w:t>
      </w:r>
      <w:r>
        <w:t xml:space="preserve">investissement reçues par </w:t>
      </w:r>
      <w:r w:rsidR="000128EC">
        <w:t>le</w:t>
      </w:r>
      <w:r>
        <w:t xml:space="preserve"> </w:t>
      </w:r>
      <w:r w:rsidR="000128EC">
        <w:t>C</w:t>
      </w:r>
      <w:r>
        <w:t xml:space="preserve">ommandité, le </w:t>
      </w:r>
      <w:r w:rsidR="000128EC">
        <w:t>G</w:t>
      </w:r>
      <w:r>
        <w:t xml:space="preserve">estionnaire, </w:t>
      </w:r>
      <w:r w:rsidR="00B9459C">
        <w:t>les</w:t>
      </w:r>
      <w:r>
        <w:t xml:space="preserve"> </w:t>
      </w:r>
      <w:r w:rsidR="00B9459C">
        <w:t>P</w:t>
      </w:r>
      <w:r>
        <w:t>ersonnes</w:t>
      </w:r>
      <w:r w:rsidR="00B9459C">
        <w:t>-</w:t>
      </w:r>
      <w:r>
        <w:t xml:space="preserve">clés ou </w:t>
      </w:r>
      <w:r w:rsidR="00B9459C">
        <w:t>les Membres du même groupe</w:t>
      </w:r>
      <w:r w:rsidR="005243C3">
        <w:t xml:space="preserve"> </w:t>
      </w:r>
      <w:r w:rsidR="00335434">
        <w:t>que l’une des Personnes précédentes</w:t>
      </w:r>
      <w:r>
        <w:t>, seront d</w:t>
      </w:r>
      <w:r w:rsidR="00E27310">
        <w:t>’</w:t>
      </w:r>
      <w:r>
        <w:t xml:space="preserve">abord attribuées au </w:t>
      </w:r>
      <w:r w:rsidR="00B9459C">
        <w:t>F</w:t>
      </w:r>
      <w:r>
        <w:t xml:space="preserve">onds dans la mesure où </w:t>
      </w:r>
      <w:bookmarkStart w:name="DocXTextRef94" w:id="491"/>
      <w:r>
        <w:t>(i)</w:t>
      </w:r>
      <w:bookmarkEnd w:id="491"/>
      <w:r>
        <w:t xml:space="preserve"> de telles possibilités d</w:t>
      </w:r>
      <w:r w:rsidR="00E27310">
        <w:t>’</w:t>
      </w:r>
      <w:r>
        <w:t xml:space="preserve">investissement </w:t>
      </w:r>
      <w:r w:rsidR="00B9459C">
        <w:t>s’inscrivent dans les</w:t>
      </w:r>
      <w:r>
        <w:t xml:space="preserve"> </w:t>
      </w:r>
      <w:r w:rsidR="00B9459C">
        <w:t>O</w:t>
      </w:r>
      <w:r>
        <w:t>bjectifs d</w:t>
      </w:r>
      <w:r w:rsidR="00E27310">
        <w:t>’</w:t>
      </w:r>
      <w:r>
        <w:t xml:space="preserve">investissement, </w:t>
      </w:r>
      <w:bookmarkStart w:name="DocXTextRef95" w:id="492"/>
      <w:r>
        <w:t>(ii)</w:t>
      </w:r>
      <w:bookmarkEnd w:id="492"/>
      <w:r>
        <w:t xml:space="preserve"> le </w:t>
      </w:r>
      <w:r w:rsidR="00B9459C">
        <w:t>F</w:t>
      </w:r>
      <w:r>
        <w:t xml:space="preserve">onds a des </w:t>
      </w:r>
      <w:r w:rsidR="00B9459C">
        <w:lastRenderedPageBreak/>
        <w:t>E</w:t>
      </w:r>
      <w:r>
        <w:t xml:space="preserve">ngagements restants disponibles, et </w:t>
      </w:r>
      <w:bookmarkStart w:name="DocXTextRef96" w:id="493"/>
      <w:r>
        <w:t>(iii)</w:t>
      </w:r>
      <w:bookmarkEnd w:id="493"/>
      <w:r>
        <w:t xml:space="preserve"> la participation du </w:t>
      </w:r>
      <w:r w:rsidR="00B9459C">
        <w:t>F</w:t>
      </w:r>
      <w:r>
        <w:t>onds à ces possibilités d</w:t>
      </w:r>
      <w:r w:rsidR="00E27310">
        <w:t>’</w:t>
      </w:r>
      <w:r>
        <w:t xml:space="preserve">investissement serait dans le meilleur intérêt du </w:t>
      </w:r>
      <w:r w:rsidR="00B9459C">
        <w:t>F</w:t>
      </w:r>
      <w:r>
        <w:t>onds tel que déterminé de bonne foi par le</w:t>
      </w:r>
      <w:r w:rsidR="00B9459C">
        <w:t xml:space="preserve"> C</w:t>
      </w:r>
      <w:r>
        <w:t>ommandité.</w:t>
      </w:r>
      <w:bookmarkStart w:name="_Ref113892858" w:id="494"/>
      <w:r>
        <w:rPr>
          <w:rStyle w:val="FootnoteReference"/>
        </w:rPr>
        <w:footnoteReference w:id="112"/>
      </w:r>
      <w:bookmarkEnd w:id="494"/>
      <w:r>
        <w:t xml:space="preserve"> </w:t>
      </w:r>
    </w:p>
    <w:p w:rsidR="0000160C" w:rsidRDefault="00C517ED" w14:paraId="3480AD0F" w14:textId="0332C22F">
      <w:pPr>
        <w:pStyle w:val="ArtBJStyL2"/>
      </w:pPr>
      <w:bookmarkStart w:name="_Ref113892527" w:id="495"/>
      <w:bookmarkStart w:name="_Ref40803336" w:id="496"/>
      <w:bookmarkStart w:name="_Toc161762359" w:id="497"/>
      <w:r>
        <w:t>Autres conflits d</w:t>
      </w:r>
      <w:r w:rsidR="00E27310">
        <w:t>’</w:t>
      </w:r>
      <w:r>
        <w:t>intérêts.</w:t>
      </w:r>
      <w:bookmarkStart w:name="_Ref113892859" w:id="498"/>
      <w:r>
        <w:rPr>
          <w:rFonts w:ascii="Times New Roman" w:hAnsi="Times New Roman"/>
          <w:b w:val="0"/>
          <w:szCs w:val="22"/>
          <w:vertAlign w:val="superscript"/>
        </w:rPr>
        <w:footnoteReference w:id="113"/>
      </w:r>
      <w:bookmarkEnd w:id="495"/>
      <w:bookmarkEnd w:id="496"/>
      <w:bookmarkEnd w:id="497"/>
      <w:bookmarkEnd w:id="498"/>
    </w:p>
    <w:p w:rsidR="0000160C" w:rsidRDefault="00C517ED" w14:paraId="477BF3A3" w14:textId="5EB256B2">
      <w:pPr>
        <w:pStyle w:val="ArtBJStyL3"/>
      </w:pPr>
      <w:bookmarkStart w:name="_Ref40803819" w:id="499"/>
      <w:r>
        <w:t xml:space="preserve">Le </w:t>
      </w:r>
      <w:r w:rsidR="00B9459C">
        <w:t>C</w:t>
      </w:r>
      <w:r>
        <w:t xml:space="preserve">ommandité </w:t>
      </w:r>
      <w:r>
        <w:rPr>
          <w:b/>
          <w:highlight w:val="yellow"/>
        </w:rPr>
        <w:t xml:space="preserve">[et le </w:t>
      </w:r>
      <w:r w:rsidR="00B9459C">
        <w:rPr>
          <w:b/>
          <w:highlight w:val="yellow"/>
        </w:rPr>
        <w:t>Gestionnaire</w:t>
      </w:r>
      <w:r>
        <w:rPr>
          <w:b/>
          <w:highlight w:val="yellow"/>
        </w:rPr>
        <w:t>]</w:t>
      </w:r>
      <w:r>
        <w:t xml:space="preserve"> ne </w:t>
      </w:r>
      <w:proofErr w:type="spellStart"/>
      <w:r>
        <w:t>doi</w:t>
      </w:r>
      <w:proofErr w:type="spellEnd"/>
      <w:r w:rsidRPr="009A429E" w:rsidR="009A429E">
        <w:rPr>
          <w:b/>
          <w:bCs/>
          <w:highlight w:val="yellow"/>
        </w:rPr>
        <w:t>[</w:t>
      </w:r>
      <w:proofErr w:type="spellStart"/>
      <w:r w:rsidRPr="009A429E" w:rsidR="009A429E">
        <w:rPr>
          <w:b/>
          <w:bCs/>
          <w:highlight w:val="yellow"/>
        </w:rPr>
        <w:t>ven</w:t>
      </w:r>
      <w:proofErr w:type="spellEnd"/>
      <w:r w:rsidRPr="009A429E" w:rsidR="009A429E">
        <w:rPr>
          <w:b/>
          <w:bCs/>
          <w:highlight w:val="yellow"/>
        </w:rPr>
        <w:t>]</w:t>
      </w:r>
      <w:r>
        <w:t>t pas</w:t>
      </w:r>
      <w:r w:rsidR="00742B89">
        <w:t xml:space="preserve"> entreprendre</w:t>
      </w:r>
      <w:r>
        <w:t xml:space="preserve">, et </w:t>
      </w:r>
      <w:r w:rsidR="00B9459C">
        <w:t>doit faire en sorte que le Fonds</w:t>
      </w:r>
      <w:r w:rsidR="00742B89">
        <w:t xml:space="preserve"> n’entreprenne pas</w:t>
      </w:r>
      <w:r>
        <w:t xml:space="preserve">, directement ou indirectement, sciemment </w:t>
      </w:r>
      <w:r w:rsidR="00742B89">
        <w:t>une conduite</w:t>
      </w:r>
      <w:r>
        <w:t xml:space="preserve"> constituant un conflit d</w:t>
      </w:r>
      <w:r w:rsidR="00E27310">
        <w:t>’</w:t>
      </w:r>
      <w:r>
        <w:t xml:space="preserve">intérêts </w:t>
      </w:r>
      <w:r w:rsidR="00742B89">
        <w:t>actuel</w:t>
      </w:r>
      <w:r>
        <w:t xml:space="preserve"> ou potentiel entre </w:t>
      </w:r>
      <w:bookmarkStart w:name="DocXTextRef98" w:id="500"/>
      <w:r>
        <w:t>(i)</w:t>
      </w:r>
      <w:bookmarkEnd w:id="500"/>
      <w:r>
        <w:t xml:space="preserve"> le Fonds, un Investissement de</w:t>
      </w:r>
      <w:r w:rsidR="00742B89">
        <w:t xml:space="preserve"> p</w:t>
      </w:r>
      <w:r>
        <w:t xml:space="preserve">ortefeuille ou une Société de </w:t>
      </w:r>
      <w:r w:rsidR="00742B89">
        <w:t>p</w:t>
      </w:r>
      <w:r>
        <w:t>ortefeuille, d</w:t>
      </w:r>
      <w:r w:rsidR="00E27310">
        <w:t>’</w:t>
      </w:r>
      <w:r>
        <w:t xml:space="preserve">une part, et </w:t>
      </w:r>
      <w:bookmarkStart w:name="DocXTextRef99" w:id="501"/>
      <w:r>
        <w:t>(ii)</w:t>
      </w:r>
      <w:bookmarkEnd w:id="501"/>
      <w:r>
        <w:t xml:space="preserve"> toute </w:t>
      </w:r>
      <w:r>
        <w:rPr>
          <w:bCs/>
        </w:rPr>
        <w:t>Personne intéressée</w:t>
      </w:r>
      <w:r>
        <w:t>, d</w:t>
      </w:r>
      <w:r w:rsidR="00E27310">
        <w:t>’</w:t>
      </w:r>
      <w:r>
        <w:t xml:space="preserve">autre part (y compris le Fonds, qui conclut directement ou indirectement un investissement, un </w:t>
      </w:r>
      <w:r w:rsidR="00742B89">
        <w:t>désinvestissement</w:t>
      </w:r>
      <w:r>
        <w:t xml:space="preserve"> ou une autre transaction commerciale avec toute Personne intéressée, avec ou sans lien de dépendance) sans le consentement écrit préalable du </w:t>
      </w:r>
      <w:r w:rsidR="00980C6E">
        <w:t>Comité consultatif des Commanditaires</w:t>
      </w:r>
      <w:r>
        <w:t>.</w:t>
      </w:r>
      <w:bookmarkEnd w:id="499"/>
    </w:p>
    <w:p w:rsidR="0000160C" w:rsidRDefault="009A429E" w14:paraId="793E9039" w14:textId="50F70929">
      <w:pPr>
        <w:pStyle w:val="ArtBJStyL3"/>
      </w:pPr>
      <w:bookmarkStart w:name="_Ref113892528" w:id="502"/>
      <w:r w:rsidRPr="009A429E">
        <w:rPr>
          <w:b/>
          <w:bCs/>
          <w:highlight w:val="yellow"/>
        </w:rPr>
        <w:t>[</w:t>
      </w:r>
      <w:r w:rsidRPr="009A429E" w:rsidR="00742B89">
        <w:rPr>
          <w:b/>
          <w:bCs/>
          <w:highlight w:val="yellow"/>
        </w:rPr>
        <w:t>Chacun du</w:t>
      </w:r>
      <w:r w:rsidRPr="009A429E">
        <w:rPr>
          <w:b/>
          <w:bCs/>
          <w:highlight w:val="yellow"/>
        </w:rPr>
        <w:t>/le]</w:t>
      </w:r>
      <w:r w:rsidR="00742B89">
        <w:t xml:space="preserve"> Commandité</w:t>
      </w:r>
      <w:r w:rsidR="00C517ED">
        <w:t xml:space="preserve"> </w:t>
      </w:r>
      <w:r w:rsidR="00C517ED">
        <w:rPr>
          <w:b/>
          <w:highlight w:val="yellow"/>
        </w:rPr>
        <w:t xml:space="preserve">[et </w:t>
      </w:r>
      <w:r w:rsidR="00742B89">
        <w:rPr>
          <w:b/>
          <w:highlight w:val="yellow"/>
        </w:rPr>
        <w:t>du</w:t>
      </w:r>
      <w:r w:rsidR="00C517ED">
        <w:rPr>
          <w:b/>
          <w:highlight w:val="yellow"/>
        </w:rPr>
        <w:t xml:space="preserve"> </w:t>
      </w:r>
      <w:r w:rsidR="00742B89">
        <w:rPr>
          <w:b/>
          <w:highlight w:val="yellow"/>
        </w:rPr>
        <w:t>Gestionnaire</w:t>
      </w:r>
      <w:r w:rsidR="00C517ED">
        <w:rPr>
          <w:b/>
          <w:highlight w:val="yellow"/>
        </w:rPr>
        <w:t>]</w:t>
      </w:r>
      <w:r w:rsidR="00C517ED">
        <w:t xml:space="preserve"> doit divulguer </w:t>
      </w:r>
      <w:r w:rsidR="00742B89">
        <w:t xml:space="preserve">sans délai </w:t>
      </w:r>
      <w:r w:rsidR="00C517ED">
        <w:t xml:space="preserve">au </w:t>
      </w:r>
      <w:r w:rsidR="00742B89">
        <w:t>C</w:t>
      </w:r>
      <w:r w:rsidR="00C517ED">
        <w:t xml:space="preserve">omité consultatif </w:t>
      </w:r>
      <w:r w:rsidR="00742B89">
        <w:t>des Commanditaires</w:t>
      </w:r>
      <w:r w:rsidR="00C517ED">
        <w:t xml:space="preserve"> tous les conflits d</w:t>
      </w:r>
      <w:r w:rsidR="00E27310">
        <w:t>’</w:t>
      </w:r>
      <w:r w:rsidR="00C517ED">
        <w:t xml:space="preserve">intérêts </w:t>
      </w:r>
      <w:r w:rsidR="00742B89">
        <w:t>actuels</w:t>
      </w:r>
      <w:r w:rsidR="00C517ED">
        <w:t xml:space="preserve"> ou potentiels importants décrits à </w:t>
      </w:r>
      <w:r w:rsidR="00742B89">
        <w:t>l’article</w:t>
      </w:r>
      <w:r w:rsidR="00C517ED">
        <w:t> </w:t>
      </w:r>
      <w:r w:rsidRPr="006400F9" w:rsidR="00C517ED">
        <w:fldChar w:fldCharType="begin"/>
      </w:r>
      <w:r w:rsidRPr="006400F9" w:rsidR="00C517ED">
        <w:instrText xml:space="preserve"> REF _Ref40803819 \w \h </w:instrText>
      </w:r>
      <w:r w:rsidRPr="006400F9" w:rsidR="00791303">
        <w:instrText xml:space="preserve"> \* MERGEFORMAT </w:instrText>
      </w:r>
      <w:r w:rsidRPr="006400F9" w:rsidR="00C517ED">
        <w:fldChar w:fldCharType="separate"/>
      </w:r>
      <w:r w:rsidR="00B50BE2">
        <w:t>9.5(a)</w:t>
      </w:r>
      <w:r w:rsidRPr="006400F9" w:rsidR="00C517ED">
        <w:fldChar w:fldCharType="end"/>
      </w:r>
      <w:r w:rsidR="00C517ED">
        <w:t xml:space="preserve"> (</w:t>
      </w:r>
      <w:r w:rsidRPr="00CA7801" w:rsidR="00CA7801">
        <w:rPr>
          <w:i/>
        </w:rPr>
        <w:fldChar w:fldCharType="begin"/>
      </w:r>
      <w:r w:rsidRPr="00CA7801" w:rsidR="00CA7801">
        <w:rPr>
          <w:i/>
        </w:rPr>
        <w:instrText xml:space="preserve"> REF _Ref113892527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Autres conflits d’intérêts.</w:t>
      </w:r>
      <w:r w:rsidRPr="00CA7801" w:rsidR="00CA7801">
        <w:rPr>
          <w:i/>
        </w:rPr>
        <w:fldChar w:fldCharType="end"/>
      </w:r>
      <w:r w:rsidR="00C517ED">
        <w:t xml:space="preserve">) dont </w:t>
      </w:r>
      <w:r w:rsidR="00742B89">
        <w:t>il</w:t>
      </w:r>
      <w:r w:rsidR="00C517ED">
        <w:t xml:space="preserve"> a connaissance.</w:t>
      </w:r>
      <w:bookmarkEnd w:id="502"/>
    </w:p>
    <w:p w:rsidR="0000160C" w:rsidRDefault="00C517ED" w14:paraId="702FDD01" w14:textId="577232FD">
      <w:pPr>
        <w:pStyle w:val="ArtBJStyL1"/>
      </w:pPr>
      <w:r>
        <w:br/>
      </w:r>
      <w:bookmarkStart w:name="_Ref40806970" w:id="503"/>
      <w:bookmarkStart w:name="_Toc161762360" w:id="504"/>
      <w:r w:rsidR="000A68A3">
        <w:t>D</w:t>
      </w:r>
      <w:r w:rsidR="00742027">
        <w:t xml:space="preserve">estition du </w:t>
      </w:r>
      <w:proofErr w:type="gramStart"/>
      <w:r w:rsidR="00742027">
        <w:t>commandité</w:t>
      </w:r>
      <w:r w:rsidR="000A68A3">
        <w:t>;</w:t>
      </w:r>
      <w:proofErr w:type="gramEnd"/>
      <w:r>
        <w:t xml:space="preserve"> </w:t>
      </w:r>
      <w:r w:rsidR="000A68A3">
        <w:t>R</w:t>
      </w:r>
      <w:bookmarkEnd w:id="503"/>
      <w:bookmarkEnd w:id="504"/>
      <w:r w:rsidR="00742027">
        <w:t>Ésiliation du Fonds</w:t>
      </w:r>
    </w:p>
    <w:p w:rsidR="0000160C" w:rsidRDefault="00C517ED" w14:paraId="773E6AC4" w14:textId="00726287">
      <w:pPr>
        <w:pStyle w:val="ArtBJStyL2"/>
      </w:pPr>
      <w:bookmarkStart w:name="_Ref40804069" w:id="505"/>
      <w:bookmarkStart w:name="_Toc161762361" w:id="506"/>
      <w:r>
        <w:t xml:space="preserve">Avis de </w:t>
      </w:r>
      <w:r w:rsidR="008C5AC3">
        <w:t>destitution</w:t>
      </w:r>
      <w:r>
        <w:t>/résiliation.</w:t>
      </w:r>
      <w:bookmarkEnd w:id="505"/>
      <w:bookmarkEnd w:id="506"/>
    </w:p>
    <w:p w:rsidR="0000160C" w:rsidRDefault="00C517ED" w14:paraId="3092E7B3" w14:textId="126609AB">
      <w:pPr>
        <w:pStyle w:val="ArtBJStyL3"/>
      </w:pPr>
      <w:bookmarkStart w:name="_Ref113892529" w:id="507"/>
      <w:r>
        <w:t xml:space="preserve">Le </w:t>
      </w:r>
      <w:r w:rsidR="00742B89">
        <w:t>C</w:t>
      </w:r>
      <w:r>
        <w:t xml:space="preserve">ommandité doit </w:t>
      </w:r>
      <w:r w:rsidR="009A429E">
        <w:t xml:space="preserve">immédiatement </w:t>
      </w:r>
      <w:r>
        <w:t xml:space="preserve">aviser les </w:t>
      </w:r>
      <w:r w:rsidR="00742B89">
        <w:t>C</w:t>
      </w:r>
      <w:r>
        <w:t xml:space="preserve">ommanditaires </w:t>
      </w:r>
      <w:r w:rsidR="003D507D">
        <w:t>en cas</w:t>
      </w:r>
      <w:r>
        <w:t xml:space="preserve"> de tout</w:t>
      </w:r>
      <w:r w:rsidR="00742B89">
        <w:t>e Conduite sujette à destitution</w:t>
      </w:r>
      <w:r>
        <w:t>.</w:t>
      </w:r>
      <w:bookmarkEnd w:id="507"/>
    </w:p>
    <w:p w:rsidR="0000160C" w:rsidRDefault="00C517ED" w14:paraId="0ECF99AB" w14:textId="77777777">
      <w:pPr>
        <w:pStyle w:val="ArtBJStyL3"/>
        <w:keepNext/>
      </w:pPr>
      <w:bookmarkStart w:name="_Ref113892530" w:id="508"/>
      <w:r>
        <w:t>À tout moment :</w:t>
      </w:r>
      <w:bookmarkEnd w:id="508"/>
    </w:p>
    <w:p w:rsidR="0000160C" w:rsidRDefault="00C517ED" w14:paraId="4D46EE37" w14:textId="66FFBDD9">
      <w:pPr>
        <w:pStyle w:val="ArtBJStyL4"/>
      </w:pPr>
      <w:bookmarkStart w:name="_Ref40802345" w:id="509"/>
      <w:proofErr w:type="gramStart"/>
      <w:r>
        <w:t>après</w:t>
      </w:r>
      <w:proofErr w:type="gramEnd"/>
      <w:r>
        <w:t xml:space="preserve"> </w:t>
      </w:r>
      <w:r>
        <w:rPr>
          <w:b/>
          <w:bCs/>
          <w:highlight w:val="yellow"/>
        </w:rPr>
        <w:t>[l</w:t>
      </w:r>
      <w:r w:rsidR="00E27310">
        <w:rPr>
          <w:b/>
          <w:bCs/>
          <w:highlight w:val="yellow"/>
        </w:rPr>
        <w:t>’</w:t>
      </w:r>
      <w:r>
        <w:rPr>
          <w:b/>
          <w:bCs/>
          <w:highlight w:val="yellow"/>
        </w:rPr>
        <w:t>inscription du verdict, du jugement, de l</w:t>
      </w:r>
      <w:r w:rsidR="00E27310">
        <w:rPr>
          <w:b/>
          <w:bCs/>
          <w:highlight w:val="yellow"/>
        </w:rPr>
        <w:t>’</w:t>
      </w:r>
      <w:r>
        <w:rPr>
          <w:b/>
          <w:bCs/>
          <w:highlight w:val="yellow"/>
        </w:rPr>
        <w:t>ordonnance ou de l</w:t>
      </w:r>
      <w:r w:rsidR="00E27310">
        <w:rPr>
          <w:b/>
          <w:bCs/>
          <w:highlight w:val="yellow"/>
        </w:rPr>
        <w:t>’</w:t>
      </w:r>
      <w:r>
        <w:rPr>
          <w:b/>
          <w:bCs/>
          <w:highlight w:val="yellow"/>
        </w:rPr>
        <w:t>injonction final</w:t>
      </w:r>
      <w:r w:rsidR="00CD2E5C">
        <w:rPr>
          <w:b/>
          <w:bCs/>
          <w:highlight w:val="yellow"/>
        </w:rPr>
        <w:t xml:space="preserve"> et</w:t>
      </w:r>
      <w:r>
        <w:rPr>
          <w:b/>
          <w:bCs/>
          <w:highlight w:val="yellow"/>
        </w:rPr>
        <w:t xml:space="preserve"> </w:t>
      </w:r>
      <w:r w:rsidR="00CD2E5C">
        <w:rPr>
          <w:b/>
          <w:bCs/>
          <w:highlight w:val="yellow"/>
        </w:rPr>
        <w:t xml:space="preserve">sans </w:t>
      </w:r>
      <w:r>
        <w:rPr>
          <w:b/>
          <w:bCs/>
          <w:highlight w:val="yellow"/>
        </w:rPr>
        <w:t xml:space="preserve">appel par un tribunal compétent </w:t>
      </w:r>
      <w:r w:rsidR="009A429E">
        <w:rPr>
          <w:b/>
          <w:bCs/>
          <w:highlight w:val="yellow"/>
        </w:rPr>
        <w:t xml:space="preserve">qui </w:t>
      </w:r>
      <w:r>
        <w:rPr>
          <w:b/>
          <w:bCs/>
          <w:highlight w:val="yellow"/>
        </w:rPr>
        <w:t>a confirmé que]</w:t>
      </w:r>
      <w:r w:rsidRPr="00CD2E5C">
        <w:t xml:space="preserve"> </w:t>
      </w:r>
      <w:r w:rsidR="00CD2E5C">
        <w:t>la Conduite sujette à destitution</w:t>
      </w:r>
      <w:r>
        <w:t xml:space="preserve"> </w:t>
      </w:r>
      <w:r w:rsidR="00CD2E5C">
        <w:t>se soit produite</w:t>
      </w:r>
      <w:r>
        <w:t xml:space="preserve">, un avis écrit approuvé par une </w:t>
      </w:r>
      <w:r w:rsidR="0072655F">
        <w:t>Majorité de Participations</w:t>
      </w:r>
      <w:r>
        <w:t xml:space="preserve"> peut être remis au </w:t>
      </w:r>
      <w:r w:rsidR="00CD2E5C">
        <w:t>C</w:t>
      </w:r>
      <w:r>
        <w:t xml:space="preserve">ommandité par tout </w:t>
      </w:r>
      <w:r w:rsidR="00CD2E5C">
        <w:t xml:space="preserve">Commanditaire </w:t>
      </w:r>
      <w:r>
        <w:t>l</w:t>
      </w:r>
      <w:r w:rsidR="00E27310">
        <w:t>’</w:t>
      </w:r>
      <w:r>
        <w:t xml:space="preserve">informant que les </w:t>
      </w:r>
      <w:r w:rsidR="00CD2E5C">
        <w:t>C</w:t>
      </w:r>
      <w:r>
        <w:t xml:space="preserve">ommanditaires choisissent de </w:t>
      </w:r>
      <w:r w:rsidR="00CD2E5C">
        <w:t>destituer</w:t>
      </w:r>
      <w:r>
        <w:t xml:space="preserve"> le </w:t>
      </w:r>
      <w:r w:rsidR="00CD2E5C">
        <w:t>C</w:t>
      </w:r>
      <w:r>
        <w:t xml:space="preserve">ommandité ou de </w:t>
      </w:r>
      <w:r w:rsidR="00CD2E5C">
        <w:t>résilier le</w:t>
      </w:r>
      <w:r>
        <w:t xml:space="preserve"> Fonds (un tel avis</w:t>
      </w:r>
      <w:r w:rsidR="009A429E">
        <w:t xml:space="preserve"> étant</w:t>
      </w:r>
      <w:r>
        <w:t xml:space="preserve"> un « </w:t>
      </w:r>
      <w:r w:rsidR="008C5AC3">
        <w:rPr>
          <w:b/>
        </w:rPr>
        <w:t>A</w:t>
      </w:r>
      <w:r>
        <w:rPr>
          <w:b/>
        </w:rPr>
        <w:t xml:space="preserve">vis de </w:t>
      </w:r>
      <w:r w:rsidR="008C5AC3">
        <w:rPr>
          <w:b/>
        </w:rPr>
        <w:t>destitution pour motif valable</w:t>
      </w:r>
      <w:r>
        <w:t xml:space="preserve"> »); ou</w:t>
      </w:r>
      <w:bookmarkEnd w:id="509"/>
    </w:p>
    <w:p w:rsidR="0000160C" w:rsidRDefault="00C517ED" w14:paraId="352D9D8E" w14:textId="27CB1E99">
      <w:pPr>
        <w:pStyle w:val="ArtBJStyL4"/>
      </w:pPr>
      <w:bookmarkStart w:name="_Ref113892531" w:id="510"/>
      <w:bookmarkStart w:name="_Ref40802362" w:id="511"/>
      <w:r>
        <w:rPr>
          <w:b/>
          <w:highlight w:val="yellow"/>
        </w:rPr>
        <w:t>[</w:t>
      </w:r>
      <w:proofErr w:type="gramStart"/>
      <w:r>
        <w:rPr>
          <w:b/>
          <w:highlight w:val="yellow"/>
        </w:rPr>
        <w:t>un</w:t>
      </w:r>
      <w:proofErr w:type="gramEnd"/>
      <w:r>
        <w:rPr>
          <w:b/>
          <w:highlight w:val="yellow"/>
        </w:rPr>
        <w:t xml:space="preserve"> avis écrit approuvé par [75-90]</w:t>
      </w:r>
      <w:r w:rsidR="009A429E">
        <w:rPr>
          <w:b/>
          <w:highlight w:val="yellow"/>
        </w:rPr>
        <w:t xml:space="preserve"> </w:t>
      </w:r>
      <w:r>
        <w:rPr>
          <w:b/>
          <w:highlight w:val="yellow"/>
        </w:rPr>
        <w:t xml:space="preserve">% </w:t>
      </w:r>
      <w:r w:rsidR="00CD2E5C">
        <w:rPr>
          <w:b/>
          <w:highlight w:val="yellow"/>
        </w:rPr>
        <w:t>de Participation</w:t>
      </w:r>
      <w:r>
        <w:rPr>
          <w:b/>
          <w:highlight w:val="yellow"/>
        </w:rPr>
        <w:t xml:space="preserve"> peut être remis par tout </w:t>
      </w:r>
      <w:r w:rsidR="00CD2E5C">
        <w:rPr>
          <w:b/>
          <w:highlight w:val="yellow"/>
        </w:rPr>
        <w:t>Co</w:t>
      </w:r>
      <w:r>
        <w:rPr>
          <w:b/>
          <w:highlight w:val="yellow"/>
        </w:rPr>
        <w:t xml:space="preserve">mmanditaire au </w:t>
      </w:r>
      <w:r w:rsidR="00CD2E5C">
        <w:rPr>
          <w:b/>
          <w:highlight w:val="yellow"/>
        </w:rPr>
        <w:t>C</w:t>
      </w:r>
      <w:r>
        <w:rPr>
          <w:b/>
          <w:highlight w:val="yellow"/>
        </w:rPr>
        <w:t>ommandité l</w:t>
      </w:r>
      <w:r w:rsidR="00E27310">
        <w:rPr>
          <w:b/>
          <w:highlight w:val="yellow"/>
        </w:rPr>
        <w:t>’</w:t>
      </w:r>
      <w:r>
        <w:rPr>
          <w:b/>
          <w:highlight w:val="yellow"/>
        </w:rPr>
        <w:t xml:space="preserve">informant que les </w:t>
      </w:r>
      <w:r w:rsidR="00CD2E5C">
        <w:rPr>
          <w:b/>
          <w:highlight w:val="yellow"/>
        </w:rPr>
        <w:t>C</w:t>
      </w:r>
      <w:r>
        <w:rPr>
          <w:b/>
          <w:highlight w:val="yellow"/>
        </w:rPr>
        <w:t xml:space="preserve">ommanditaires choisissent de retirer et de remplacer le </w:t>
      </w:r>
      <w:r w:rsidR="00CD2E5C">
        <w:rPr>
          <w:b/>
          <w:highlight w:val="yellow"/>
        </w:rPr>
        <w:t>C</w:t>
      </w:r>
      <w:r>
        <w:rPr>
          <w:b/>
          <w:highlight w:val="yellow"/>
        </w:rPr>
        <w:t>ommandité ou de résilier le Fonds (un tel avis</w:t>
      </w:r>
      <w:r w:rsidR="009A429E">
        <w:rPr>
          <w:b/>
          <w:highlight w:val="yellow"/>
        </w:rPr>
        <w:t xml:space="preserve"> étant</w:t>
      </w:r>
      <w:r>
        <w:rPr>
          <w:b/>
          <w:highlight w:val="yellow"/>
        </w:rPr>
        <w:t xml:space="preserve"> un « </w:t>
      </w:r>
      <w:r w:rsidR="008C5AC3">
        <w:rPr>
          <w:b/>
          <w:highlight w:val="yellow"/>
        </w:rPr>
        <w:t>A</w:t>
      </w:r>
      <w:r>
        <w:rPr>
          <w:b/>
          <w:highlight w:val="yellow"/>
        </w:rPr>
        <w:t xml:space="preserve">vis de </w:t>
      </w:r>
      <w:r w:rsidR="008C5AC3">
        <w:rPr>
          <w:b/>
          <w:highlight w:val="yellow"/>
        </w:rPr>
        <w:t>destitution sans motif valable</w:t>
      </w:r>
      <w:r>
        <w:rPr>
          <w:b/>
          <w:highlight w:val="yellow"/>
        </w:rPr>
        <w:t xml:space="preserve"> »).]</w:t>
      </w:r>
      <w:bookmarkStart w:name="_Ref113892860" w:id="512"/>
      <w:r>
        <w:rPr>
          <w:szCs w:val="22"/>
          <w:vertAlign w:val="superscript"/>
        </w:rPr>
        <w:footnoteReference w:id="114"/>
      </w:r>
      <w:bookmarkEnd w:id="510"/>
      <w:bookmarkEnd w:id="511"/>
      <w:bookmarkEnd w:id="512"/>
    </w:p>
    <w:p w:rsidR="0000160C" w:rsidRDefault="00C517ED" w14:paraId="320227CE" w14:textId="10A99C7A">
      <w:pPr>
        <w:pStyle w:val="ArtBJStyL2"/>
      </w:pPr>
      <w:bookmarkStart w:name="_Ref40803862" w:id="513"/>
      <w:bookmarkStart w:name="_Toc161762362" w:id="514"/>
      <w:r>
        <w:lastRenderedPageBreak/>
        <w:t>Conséquences de l</w:t>
      </w:r>
      <w:r w:rsidR="00E27310">
        <w:t>’</w:t>
      </w:r>
      <w:r>
        <w:t xml:space="preserve">avis de </w:t>
      </w:r>
      <w:r w:rsidR="008C5AC3">
        <w:t>destitution</w:t>
      </w:r>
      <w:r>
        <w:t>.</w:t>
      </w:r>
      <w:bookmarkEnd w:id="513"/>
      <w:bookmarkEnd w:id="514"/>
    </w:p>
    <w:p w:rsidR="0000160C" w:rsidRDefault="00C517ED" w14:paraId="17BDCDCC" w14:textId="1C5F63FD">
      <w:pPr>
        <w:pStyle w:val="ArtBJStyCont2"/>
        <w:keepNext/>
      </w:pPr>
      <w:r>
        <w:t xml:space="preserve">Dans le cadre de la remise </w:t>
      </w:r>
      <w:r w:rsidRPr="009A429E">
        <w:t>d</w:t>
      </w:r>
      <w:r w:rsidRPr="009A429E" w:rsidR="00E27310">
        <w:t>’</w:t>
      </w:r>
      <w:r w:rsidRPr="009A429E">
        <w:t xml:space="preserve">un </w:t>
      </w:r>
      <w:r w:rsidRPr="009A429E" w:rsidR="00CD2E5C">
        <w:t>A</w:t>
      </w:r>
      <w:r w:rsidRPr="009A429E">
        <w:t xml:space="preserve">vis de </w:t>
      </w:r>
      <w:r w:rsidRPr="009A429E" w:rsidR="00CD2E5C">
        <w:t>destitution pour motif valable</w:t>
      </w:r>
      <w:r w:rsidRPr="009A429E">
        <w:t xml:space="preserve"> ou d</w:t>
      </w:r>
      <w:r w:rsidRPr="009A429E" w:rsidR="00E27310">
        <w:t>’</w:t>
      </w:r>
      <w:r w:rsidRPr="009A429E">
        <w:t xml:space="preserve">un </w:t>
      </w:r>
      <w:r w:rsidRPr="009A429E" w:rsidR="00CD2E5C">
        <w:t>Avis de destitution sans motif valable</w:t>
      </w:r>
      <w:r w:rsidRPr="009A429E">
        <w:t xml:space="preserve"> conformément à</w:t>
      </w:r>
      <w:r>
        <w:t xml:space="preserve"> l</w:t>
      </w:r>
      <w:r w:rsidR="00E27310">
        <w:t>’</w:t>
      </w:r>
      <w:r>
        <w:t>article </w:t>
      </w:r>
      <w:r w:rsidRPr="006400F9">
        <w:fldChar w:fldCharType="begin"/>
      </w:r>
      <w:r w:rsidRPr="006400F9">
        <w:instrText xml:space="preserve"> REF _Ref40804069 \w \h </w:instrText>
      </w:r>
      <w:r w:rsidRPr="006400F9" w:rsidR="00791303">
        <w:instrText xml:space="preserve"> \* MERGEFORMAT </w:instrText>
      </w:r>
      <w:r w:rsidRPr="006400F9">
        <w:fldChar w:fldCharType="separate"/>
      </w:r>
      <w:r w:rsidR="00B50BE2">
        <w:t>10.1</w:t>
      </w:r>
      <w:r w:rsidRPr="006400F9">
        <w:fldChar w:fldCharType="end"/>
      </w:r>
      <w:r>
        <w:t xml:space="preserve"> (</w:t>
      </w:r>
      <w:r w:rsidRPr="00CA7801" w:rsidR="00CA7801">
        <w:rPr>
          <w:i/>
        </w:rPr>
        <w:fldChar w:fldCharType="begin"/>
      </w:r>
      <w:r w:rsidRPr="00CA7801" w:rsidR="00CA7801">
        <w:rPr>
          <w:i/>
        </w:rPr>
        <w:instrText xml:space="preserve"> REF _Ref40804069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Avis de destitution/résiliation.</w:t>
      </w:r>
      <w:r w:rsidRPr="00CA7801" w:rsidR="00CA7801">
        <w:rPr>
          <w:i/>
        </w:rPr>
        <w:fldChar w:fldCharType="end"/>
      </w:r>
      <w:r>
        <w:t xml:space="preserve">) dans </w:t>
      </w:r>
      <w:r w:rsidR="00CD2E5C">
        <w:t>lequel</w:t>
      </w:r>
      <w:r>
        <w:t xml:space="preserve"> les </w:t>
      </w:r>
      <w:r w:rsidR="0041466A">
        <w:t>C</w:t>
      </w:r>
      <w:r>
        <w:t xml:space="preserve">ommanditaires choisissent de </w:t>
      </w:r>
      <w:r w:rsidR="0041466A">
        <w:t>destituer</w:t>
      </w:r>
      <w:r>
        <w:t xml:space="preserve"> le </w:t>
      </w:r>
      <w:r w:rsidR="0041466A">
        <w:t>C</w:t>
      </w:r>
      <w:r>
        <w:t>ommandité :</w:t>
      </w:r>
    </w:p>
    <w:p w:rsidR="0000160C" w:rsidRDefault="00C517ED" w14:paraId="678CDB48" w14:textId="727C579D">
      <w:pPr>
        <w:pStyle w:val="ArtBJStyL3"/>
      </w:pPr>
      <w:bookmarkStart w:name="_Ref40802328" w:id="515"/>
      <w:r>
        <w:t xml:space="preserve">À la date stipulée dans cet avis (qui ne doit pas être antérieure à la date de cet avis) (la </w:t>
      </w:r>
      <w:r w:rsidR="0041466A">
        <w:t>« </w:t>
      </w:r>
      <w:r>
        <w:rPr>
          <w:b/>
        </w:rPr>
        <w:t xml:space="preserve">Date de </w:t>
      </w:r>
      <w:r w:rsidR="008C5AC3">
        <w:rPr>
          <w:b/>
        </w:rPr>
        <w:t>destitution</w:t>
      </w:r>
      <w:r>
        <w:t xml:space="preserve"> »), le </w:t>
      </w:r>
      <w:r w:rsidR="0041466A">
        <w:t>C</w:t>
      </w:r>
      <w:r>
        <w:t xml:space="preserve">ommandité sera </w:t>
      </w:r>
      <w:r w:rsidR="0041466A">
        <w:t>destitué</w:t>
      </w:r>
      <w:r>
        <w:t xml:space="preserve"> en tant que </w:t>
      </w:r>
      <w:r w:rsidR="0041466A">
        <w:t>C</w:t>
      </w:r>
      <w:r>
        <w:t>ommandité du Fonds.</w:t>
      </w:r>
      <w:bookmarkEnd w:id="515"/>
    </w:p>
    <w:p w:rsidR="0000160C" w:rsidRDefault="00C517ED" w14:paraId="21C540A2" w14:textId="7346E27F">
      <w:pPr>
        <w:pStyle w:val="ArtBJStyL3"/>
      </w:pPr>
      <w:bookmarkStart w:name="_Ref40804041" w:id="516"/>
      <w:r>
        <w:t xml:space="preserve">Une </w:t>
      </w:r>
      <w:r w:rsidR="0072655F">
        <w:t>Majorité de Participations</w:t>
      </w:r>
      <w:r>
        <w:t xml:space="preserve"> </w:t>
      </w:r>
      <w:r w:rsidR="0041466A">
        <w:t>doit nommer</w:t>
      </w:r>
      <w:r>
        <w:t xml:space="preserve"> un </w:t>
      </w:r>
      <w:r w:rsidR="0041466A">
        <w:t>commandité</w:t>
      </w:r>
      <w:r>
        <w:t xml:space="preserve"> remplaçant, ce remplacement prenant effet dès l</w:t>
      </w:r>
      <w:r w:rsidR="00E27310">
        <w:t>’</w:t>
      </w:r>
      <w:r>
        <w:t xml:space="preserve">acceptation de cette nomination par cette </w:t>
      </w:r>
      <w:r w:rsidR="0041466A">
        <w:t>P</w:t>
      </w:r>
      <w:r>
        <w:t xml:space="preserve">ersonne, selon les modalités convenues avec une </w:t>
      </w:r>
      <w:r w:rsidR="0072655F">
        <w:t>Majorité de Participations</w:t>
      </w:r>
      <w:r>
        <w:t>.</w:t>
      </w:r>
      <w:bookmarkEnd w:id="516"/>
    </w:p>
    <w:p w:rsidR="0000160C" w:rsidRDefault="00C517ED" w14:paraId="274D5AC6" w14:textId="02EF9B7F">
      <w:pPr>
        <w:pStyle w:val="ArtBJStyL3"/>
        <w:keepNext/>
      </w:pPr>
      <w:bookmarkStart w:name="_Ref113892532" w:id="517"/>
      <w:r>
        <w:t xml:space="preserve">À la </w:t>
      </w:r>
      <w:r w:rsidR="0041466A">
        <w:t>Date de destitution</w:t>
      </w:r>
      <w:r>
        <w:t xml:space="preserve"> :</w:t>
      </w:r>
      <w:bookmarkEnd w:id="517"/>
    </w:p>
    <w:p w:rsidR="0000160C" w:rsidRDefault="00C517ED" w14:paraId="5DA02230" w14:textId="144666E5">
      <w:pPr>
        <w:pStyle w:val="ArtBJStyL4"/>
        <w:keepNext/>
      </w:pPr>
      <w:bookmarkStart w:name="_Ref113892533" w:id="518"/>
      <w:proofErr w:type="gramStart"/>
      <w:r>
        <w:t>en</w:t>
      </w:r>
      <w:proofErr w:type="gramEnd"/>
      <w:r>
        <w:t xml:space="preserve"> ce qui concerne la remise d</w:t>
      </w:r>
      <w:r w:rsidR="00E27310">
        <w:t>’</w:t>
      </w:r>
      <w:r>
        <w:t xml:space="preserve">un </w:t>
      </w:r>
      <w:r w:rsidR="0041466A">
        <w:t>Avis de destitution pour motif valable</w:t>
      </w:r>
      <w:r>
        <w:t xml:space="preserve"> :</w:t>
      </w:r>
      <w:bookmarkEnd w:id="518"/>
    </w:p>
    <w:p w:rsidR="0000160C" w:rsidRDefault="00C517ED" w14:paraId="634C777B" w14:textId="6877D32A">
      <w:pPr>
        <w:pStyle w:val="ArtBJStyL5"/>
      </w:pPr>
      <w:bookmarkStart w:name="_Ref113892534" w:id="519"/>
      <w:proofErr w:type="gramStart"/>
      <w:r>
        <w:t>le</w:t>
      </w:r>
      <w:proofErr w:type="gramEnd"/>
      <w:r>
        <w:t xml:space="preserve"> droit du </w:t>
      </w:r>
      <w:r w:rsidR="0041466A">
        <w:t>G</w:t>
      </w:r>
      <w:r>
        <w:t xml:space="preserve">estionnaire de recevoir des versements </w:t>
      </w:r>
      <w:r w:rsidR="00A74546">
        <w:t>des Frais</w:t>
      </w:r>
      <w:r>
        <w:t xml:space="preserve"> de gestion prend fin immédiatement et automatiquement sans autre compensation, et aucun paiement supplémentaire </w:t>
      </w:r>
      <w:r w:rsidR="00A74546">
        <w:t>des Frais</w:t>
      </w:r>
      <w:r>
        <w:t xml:space="preserve"> de gestion </w:t>
      </w:r>
      <w:r w:rsidR="00A74546">
        <w:t>ne sera</w:t>
      </w:r>
      <w:r>
        <w:t xml:space="preserve"> </w:t>
      </w:r>
      <w:r w:rsidR="00A74546">
        <w:t>fait</w:t>
      </w:r>
      <w:r>
        <w:t xml:space="preserve"> au </w:t>
      </w:r>
      <w:r w:rsidR="00A74546">
        <w:t>G</w:t>
      </w:r>
      <w:r>
        <w:t>estionnaire;</w:t>
      </w:r>
      <w:bookmarkEnd w:id="519"/>
    </w:p>
    <w:p w:rsidR="0000160C" w:rsidRDefault="00C517ED" w14:paraId="0790A70B" w14:textId="7282FB00">
      <w:pPr>
        <w:pStyle w:val="ArtBJStyL5"/>
      </w:pPr>
      <w:bookmarkStart w:name="_Ref113892535" w:id="520"/>
      <w:r>
        <w:t xml:space="preserve">le droit du </w:t>
      </w:r>
      <w:r w:rsidR="00A74546">
        <w:t>C</w:t>
      </w:r>
      <w:r>
        <w:t xml:space="preserve">ommandité </w:t>
      </w:r>
      <w:r w:rsidR="00A74546">
        <w:t>destitué</w:t>
      </w:r>
      <w:r>
        <w:t xml:space="preserve"> de recevoir d</w:t>
      </w:r>
      <w:r w:rsidR="00E27310">
        <w:t>’</w:t>
      </w:r>
      <w:r>
        <w:t xml:space="preserve">autres distributions </w:t>
      </w:r>
      <w:r w:rsidR="00A74546">
        <w:t>de Distributions spéciales</w:t>
      </w:r>
      <w:r>
        <w:t xml:space="preserve"> du Fonds (y compris en vertu de </w:t>
      </w:r>
      <w:r w:rsidR="00BA232E">
        <w:t>l’</w:t>
      </w:r>
      <w:r w:rsidRPr="00587ABE">
        <w:fldChar w:fldCharType="begin"/>
      </w:r>
      <w:r w:rsidRPr="00587ABE">
        <w:instrText xml:space="preserve"> REF _Ref40807042 \w \h </w:instrText>
      </w:r>
      <w:r w:rsidRPr="00587ABE" w:rsidR="00791303">
        <w:instrText xml:space="preserve"> \* MERGEFORMAT </w:instrText>
      </w:r>
      <w:r w:rsidRPr="00587ABE">
        <w:fldChar w:fldCharType="separate"/>
      </w:r>
      <w:r w:rsidR="00B50BE2">
        <w:t>Article 14</w:t>
      </w:r>
      <w:r w:rsidRPr="00587ABE">
        <w:fldChar w:fldCharType="end"/>
      </w:r>
      <w:r>
        <w:t xml:space="preserve"> (</w:t>
      </w:r>
      <w:r w:rsidRPr="00587ABE" w:rsidR="00CA7801">
        <w:rPr>
          <w:i/>
        </w:rPr>
        <w:fldChar w:fldCharType="begin"/>
      </w:r>
      <w:r w:rsidRPr="00587ABE" w:rsidR="00CA7801">
        <w:rPr>
          <w:i/>
        </w:rPr>
        <w:instrText xml:space="preserve"> REF _Ref40807042 \h  \* MERGEFORMAT </w:instrText>
      </w:r>
      <w:r w:rsidRPr="00587ABE" w:rsidR="00CA7801">
        <w:rPr>
          <w:i/>
        </w:rPr>
      </w:r>
      <w:r w:rsidRPr="00587ABE" w:rsidR="00CA7801">
        <w:rPr>
          <w:i/>
        </w:rPr>
        <w:fldChar w:fldCharType="separate"/>
      </w:r>
      <w:r w:rsidRPr="00B50BE2" w:rsidR="00B50BE2">
        <w:rPr>
          <w:i/>
        </w:rPr>
        <w:t xml:space="preserve">DISTRIBUTIONS; </w:t>
      </w:r>
      <w:r w:rsidRPr="00587ABE" w:rsidR="00CA7801">
        <w:rPr>
          <w:i/>
        </w:rPr>
        <w:fldChar w:fldCharType="end"/>
      </w:r>
      <w:r>
        <w:t xml:space="preserve">) </w:t>
      </w:r>
      <w:r w:rsidR="00A74546">
        <w:t>prendra fin</w:t>
      </w:r>
      <w:r>
        <w:t xml:space="preserve"> immédiatement et automatiquement, aucune autre distribution </w:t>
      </w:r>
      <w:r w:rsidR="00A74546">
        <w:t>de Distributions spéciales</w:t>
      </w:r>
      <w:r>
        <w:t xml:space="preserve"> ne sera </w:t>
      </w:r>
      <w:r w:rsidR="00A74546">
        <w:t>faite</w:t>
      </w:r>
      <w:r>
        <w:t xml:space="preserve"> au </w:t>
      </w:r>
      <w:r w:rsidR="00A74546">
        <w:t>Commandité</w:t>
      </w:r>
      <w:r w:rsidR="006C2EFD">
        <w:t xml:space="preserve"> destitué,</w:t>
      </w:r>
      <w:r>
        <w:t xml:space="preserve"> [</w:t>
      </w:r>
      <w:r>
        <w:rPr>
          <w:b/>
          <w:highlight w:val="yellow"/>
        </w:rPr>
        <w:t xml:space="preserve">et tout montant </w:t>
      </w:r>
      <w:r w:rsidR="00A74546">
        <w:rPr>
          <w:b/>
          <w:highlight w:val="yellow"/>
        </w:rPr>
        <w:t>retenu</w:t>
      </w:r>
      <w:r>
        <w:rPr>
          <w:b/>
          <w:highlight w:val="yellow"/>
        </w:rPr>
        <w:t xml:space="preserve"> dans le Compte </w:t>
      </w:r>
      <w:r w:rsidR="00A74546">
        <w:rPr>
          <w:b/>
          <w:highlight w:val="yellow"/>
        </w:rPr>
        <w:t>d’entiercement</w:t>
      </w:r>
      <w:r>
        <w:rPr>
          <w:b/>
          <w:highlight w:val="yellow"/>
        </w:rPr>
        <w:t>, le cas échéant, conformément à l</w:t>
      </w:r>
      <w:r w:rsidR="00A74546">
        <w:rPr>
          <w:b/>
          <w:highlight w:val="yellow"/>
        </w:rPr>
        <w:t>’article</w:t>
      </w:r>
      <w:r>
        <w:rPr>
          <w:b/>
          <w:highlight w:val="yellow"/>
        </w:rPr>
        <w:t> </w:t>
      </w:r>
      <w:r w:rsidRPr="00E46B99">
        <w:rPr>
          <w:b/>
          <w:highlight w:val="yellow"/>
        </w:rPr>
        <w:fldChar w:fldCharType="begin"/>
      </w:r>
      <w:r w:rsidRPr="00E46B99">
        <w:rPr>
          <w:b/>
          <w:highlight w:val="yellow"/>
        </w:rPr>
        <w:instrText xml:space="preserve"> REF _Ref40801365 \w \h </w:instrText>
      </w:r>
      <w:r w:rsidRPr="00E46B99" w:rsidR="00791303">
        <w:rPr>
          <w:b/>
          <w:highlight w:val="yellow"/>
        </w:rPr>
        <w:instrText xml:space="preserve"> \* MERGEFORMAT </w:instrText>
      </w:r>
      <w:r w:rsidRPr="00E46B99">
        <w:rPr>
          <w:b/>
          <w:highlight w:val="yellow"/>
        </w:rPr>
      </w:r>
      <w:r w:rsidRPr="00E46B99">
        <w:rPr>
          <w:b/>
          <w:highlight w:val="yellow"/>
        </w:rPr>
        <w:fldChar w:fldCharType="separate"/>
      </w:r>
      <w:r w:rsidR="00B50BE2">
        <w:rPr>
          <w:b/>
          <w:highlight w:val="yellow"/>
        </w:rPr>
        <w:t>14.7(b)</w:t>
      </w:r>
      <w:r w:rsidRPr="00E46B99">
        <w:rPr>
          <w:b/>
          <w:highlight w:val="yellow"/>
        </w:rPr>
        <w:fldChar w:fldCharType="end"/>
      </w:r>
      <w:r>
        <w:rPr>
          <w:b/>
          <w:highlight w:val="yellow"/>
        </w:rPr>
        <w:t xml:space="preserve"> (</w:t>
      </w:r>
      <w:r w:rsidRPr="00E46B99" w:rsidR="00CA7801">
        <w:rPr>
          <w:b/>
          <w:i/>
          <w:highlight w:val="yellow"/>
        </w:rPr>
        <w:fldChar w:fldCharType="begin"/>
      </w:r>
      <w:r w:rsidRPr="00E46B99" w:rsidR="00CA7801">
        <w:rPr>
          <w:b/>
          <w:i/>
          <w:highlight w:val="yellow"/>
        </w:rPr>
        <w:instrText xml:space="preserve"> REF _Ref85271165 \h  \* MERGEFORMAT </w:instrText>
      </w:r>
      <w:r w:rsidRPr="00E46B99" w:rsidR="00CA7801">
        <w:rPr>
          <w:b/>
          <w:i/>
          <w:highlight w:val="yellow"/>
        </w:rPr>
      </w:r>
      <w:r w:rsidRPr="00E46B99" w:rsidR="00CA7801">
        <w:rPr>
          <w:b/>
          <w:i/>
          <w:highlight w:val="yellow"/>
        </w:rPr>
        <w:fldChar w:fldCharType="separate"/>
      </w:r>
      <w:r w:rsidRPr="00B50BE2" w:rsidR="00B50BE2">
        <w:rPr>
          <w:b/>
          <w:i/>
          <w:highlight w:val="yellow"/>
        </w:rPr>
        <w:t>Recouvrement.</w:t>
      </w:r>
      <w:r w:rsidRPr="00E46B99" w:rsidR="00CA7801">
        <w:rPr>
          <w:b/>
          <w:i/>
          <w:highlight w:val="yellow"/>
        </w:rPr>
        <w:fldChar w:fldCharType="end"/>
      </w:r>
      <w:r>
        <w:rPr>
          <w:b/>
          <w:highlight w:val="yellow"/>
        </w:rPr>
        <w:t xml:space="preserve">) </w:t>
      </w:r>
      <w:r w:rsidR="00A74546">
        <w:rPr>
          <w:b/>
          <w:highlight w:val="yellow"/>
        </w:rPr>
        <w:t>sera</w:t>
      </w:r>
      <w:r>
        <w:rPr>
          <w:b/>
          <w:highlight w:val="yellow"/>
        </w:rPr>
        <w:t xml:space="preserve"> immédiatement retourné au Fonds pour distribution aux </w:t>
      </w:r>
      <w:r w:rsidR="00A74546">
        <w:rPr>
          <w:b/>
          <w:highlight w:val="yellow"/>
        </w:rPr>
        <w:t>C</w:t>
      </w:r>
      <w:r>
        <w:rPr>
          <w:b/>
          <w:highlight w:val="yellow"/>
        </w:rPr>
        <w:t>ommanditaires]</w:t>
      </w:r>
      <w:r>
        <w:t>;</w:t>
      </w:r>
      <w:bookmarkStart w:name="_Ref113892861" w:id="521"/>
      <w:r>
        <w:rPr>
          <w:rStyle w:val="FootnoteReference"/>
        </w:rPr>
        <w:footnoteReference w:id="115"/>
      </w:r>
      <w:bookmarkEnd w:id="521"/>
      <w:r>
        <w:t xml:space="preserve"> et</w:t>
      </w:r>
      <w:bookmarkEnd w:id="520"/>
    </w:p>
    <w:p w:rsidR="0000160C" w:rsidRDefault="00C517ED" w14:paraId="5365000D" w14:textId="2521644C">
      <w:pPr>
        <w:pStyle w:val="ArtBJStyL5"/>
      </w:pPr>
      <w:bookmarkStart w:name="_Ref113892536" w:id="522"/>
      <w:proofErr w:type="gramStart"/>
      <w:r>
        <w:t>en</w:t>
      </w:r>
      <w:proofErr w:type="gramEnd"/>
      <w:r>
        <w:t xml:space="preserve"> ce qui concerne son </w:t>
      </w:r>
      <w:r w:rsidR="00A74546">
        <w:t>E</w:t>
      </w:r>
      <w:r>
        <w:t xml:space="preserve">ngagement, le </w:t>
      </w:r>
      <w:r w:rsidR="00A74546">
        <w:t>C</w:t>
      </w:r>
      <w:r>
        <w:t xml:space="preserve">ommandité </w:t>
      </w:r>
      <w:r w:rsidR="00A74546">
        <w:t>destitué</w:t>
      </w:r>
      <w:r>
        <w:t xml:space="preserve"> sera traité comme un </w:t>
      </w:r>
      <w:r w:rsidR="00A74546">
        <w:t>c</w:t>
      </w:r>
      <w:r>
        <w:t>ommanditaire, sans qu</w:t>
      </w:r>
      <w:r w:rsidR="00E27310">
        <w:t>’</w:t>
      </w:r>
      <w:r>
        <w:t xml:space="preserve">aucune autre mesure ne soit requise par quiconque, et, à cet égard, sera considéré comme un « </w:t>
      </w:r>
      <w:r w:rsidR="00A74546">
        <w:t>Associé affilié »</w:t>
      </w:r>
      <w:r>
        <w:t xml:space="preserve"> aux fins de l</w:t>
      </w:r>
      <w:r w:rsidR="00E27310">
        <w:t>’</w:t>
      </w:r>
      <w:r>
        <w:t>article </w:t>
      </w:r>
      <w:r w:rsidRPr="00D52949">
        <w:fldChar w:fldCharType="begin"/>
      </w:r>
      <w:r w:rsidRPr="00D52949">
        <w:instrText xml:space="preserve"> REF _Ref40803862 \w \h </w:instrText>
      </w:r>
      <w:r w:rsidRPr="00D52949" w:rsidR="00791303">
        <w:instrText xml:space="preserve"> \* MERGEFORMAT </w:instrText>
      </w:r>
      <w:r w:rsidRPr="00D52949">
        <w:fldChar w:fldCharType="separate"/>
      </w:r>
      <w:r w:rsidR="00B50BE2">
        <w:t>10.2</w:t>
      </w:r>
      <w:r w:rsidRPr="00D5294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w:t>
      </w:r>
      <w:bookmarkEnd w:id="522"/>
    </w:p>
    <w:p w:rsidR="0000160C" w:rsidRDefault="00C517ED" w14:paraId="64BFCF42" w14:textId="0DCDCA6A">
      <w:pPr>
        <w:pStyle w:val="ArtBJStyL4"/>
        <w:keepNext/>
      </w:pPr>
      <w:bookmarkStart w:name="_Ref40803942" w:id="523"/>
      <w:proofErr w:type="gramStart"/>
      <w:r>
        <w:t>en</w:t>
      </w:r>
      <w:proofErr w:type="gramEnd"/>
      <w:r>
        <w:t xml:space="preserve"> ce qui concerne la </w:t>
      </w:r>
      <w:r w:rsidR="00A74546">
        <w:t>remise</w:t>
      </w:r>
      <w:r>
        <w:t xml:space="preserve"> d</w:t>
      </w:r>
      <w:r w:rsidR="00E27310">
        <w:t>’</w:t>
      </w:r>
      <w:r>
        <w:t xml:space="preserve">un </w:t>
      </w:r>
      <w:r w:rsidR="00A74546">
        <w:t xml:space="preserve">Avis de destitution </w:t>
      </w:r>
      <w:r>
        <w:t>sans motif valable :</w:t>
      </w:r>
      <w:bookmarkEnd w:id="523"/>
    </w:p>
    <w:p w:rsidR="0000160C" w:rsidRDefault="00C517ED" w14:paraId="2D7EFD54" w14:textId="513F0465">
      <w:pPr>
        <w:pStyle w:val="ArtBJStyL5"/>
      </w:pPr>
      <w:bookmarkStart w:name="_Ref113892537" w:id="524"/>
      <w:proofErr w:type="gramStart"/>
      <w:r>
        <w:t>le</w:t>
      </w:r>
      <w:proofErr w:type="gramEnd"/>
      <w:r>
        <w:t xml:space="preserve"> droit du </w:t>
      </w:r>
      <w:r w:rsidR="00927F0A">
        <w:t>G</w:t>
      </w:r>
      <w:r>
        <w:t xml:space="preserve">estionnaire de recevoir des versements des </w:t>
      </w:r>
      <w:r w:rsidR="00927F0A">
        <w:t>F</w:t>
      </w:r>
      <w:r>
        <w:t xml:space="preserve">rais de gestion prendra fin immédiatement et automatiquement sans autre compensation, et aucun autre paiement des </w:t>
      </w:r>
      <w:r w:rsidR="00927F0A">
        <w:t>F</w:t>
      </w:r>
      <w:r>
        <w:t xml:space="preserve">rais de gestion ne sera </w:t>
      </w:r>
      <w:r w:rsidR="00927F0A">
        <w:t>fait</w:t>
      </w:r>
      <w:r>
        <w:t xml:space="preserve"> au </w:t>
      </w:r>
      <w:r w:rsidR="00927F0A">
        <w:t>G</w:t>
      </w:r>
      <w:r>
        <w:t>estionnaire</w:t>
      </w:r>
      <w:r w:rsidR="00927F0A">
        <w:t xml:space="preserve"> </w:t>
      </w:r>
      <w:r>
        <w:rPr>
          <w:b/>
          <w:highlight w:val="yellow"/>
        </w:rPr>
        <w:t xml:space="preserve">[, à condition toutefois que le </w:t>
      </w:r>
      <w:r w:rsidR="00927F0A">
        <w:rPr>
          <w:b/>
          <w:highlight w:val="yellow"/>
        </w:rPr>
        <w:t>G</w:t>
      </w:r>
      <w:r>
        <w:rPr>
          <w:b/>
          <w:highlight w:val="yellow"/>
        </w:rPr>
        <w:t xml:space="preserve">estionnaire ait le droit de percevoir [à la </w:t>
      </w:r>
      <w:r w:rsidR="00927F0A">
        <w:rPr>
          <w:b/>
          <w:highlight w:val="yellow"/>
        </w:rPr>
        <w:t>D</w:t>
      </w:r>
      <w:r>
        <w:rPr>
          <w:b/>
          <w:highlight w:val="yellow"/>
        </w:rPr>
        <w:t xml:space="preserve">ate </w:t>
      </w:r>
      <w:r w:rsidR="00927F0A">
        <w:rPr>
          <w:b/>
          <w:highlight w:val="yellow"/>
        </w:rPr>
        <w:t>de destitution</w:t>
      </w:r>
      <w:r>
        <w:rPr>
          <w:b/>
          <w:highlight w:val="yellow"/>
        </w:rPr>
        <w:t xml:space="preserve">] les </w:t>
      </w:r>
      <w:r w:rsidR="00927F0A">
        <w:rPr>
          <w:b/>
          <w:highlight w:val="yellow"/>
        </w:rPr>
        <w:t>F</w:t>
      </w:r>
      <w:r>
        <w:rPr>
          <w:b/>
          <w:highlight w:val="yellow"/>
        </w:rPr>
        <w:t xml:space="preserve">rais de gestion qui lui seraient autrement dus </w:t>
      </w:r>
      <w:r>
        <w:rPr>
          <w:b/>
          <w:highlight w:val="yellow"/>
        </w:rPr>
        <w:lastRenderedPageBreak/>
        <w:t xml:space="preserve">pour la période de 12 mois suivant immédiatement </w:t>
      </w:r>
      <w:r w:rsidR="00624A97">
        <w:rPr>
          <w:b/>
          <w:highlight w:val="yellow"/>
        </w:rPr>
        <w:t>la destitution</w:t>
      </w:r>
      <w:r>
        <w:rPr>
          <w:b/>
          <w:highlight w:val="yellow"/>
        </w:rPr>
        <w:t xml:space="preserve"> du </w:t>
      </w:r>
      <w:r w:rsidR="00624A97">
        <w:rPr>
          <w:b/>
          <w:highlight w:val="yellow"/>
        </w:rPr>
        <w:t>C</w:t>
      </w:r>
      <w:r>
        <w:rPr>
          <w:b/>
          <w:highlight w:val="yellow"/>
        </w:rPr>
        <w:t>ommandité]</w:t>
      </w:r>
      <w:r w:rsidRPr="00624A97">
        <w:t>;</w:t>
      </w:r>
      <w:bookmarkStart w:name="_Ref113892862" w:id="525"/>
      <w:r w:rsidRPr="00624A97">
        <w:rPr>
          <w:szCs w:val="22"/>
          <w:vertAlign w:val="superscript"/>
        </w:rPr>
        <w:footnoteReference w:id="116"/>
      </w:r>
      <w:bookmarkEnd w:id="524"/>
      <w:bookmarkEnd w:id="525"/>
    </w:p>
    <w:p w:rsidR="0000160C" w:rsidRDefault="00C517ED" w14:paraId="7BC95DFF" w14:textId="632BBE86">
      <w:pPr>
        <w:pStyle w:val="ArtBJStyL5"/>
      </w:pPr>
      <w:bookmarkStart w:name="_Ref113892538" w:id="526"/>
      <w:proofErr w:type="gramStart"/>
      <w:r>
        <w:t>le</w:t>
      </w:r>
      <w:proofErr w:type="gramEnd"/>
      <w:r>
        <w:t xml:space="preserve"> </w:t>
      </w:r>
      <w:r w:rsidR="00624A97">
        <w:t>Commandité destitué</w:t>
      </w:r>
      <w:r>
        <w:t xml:space="preserve"> sera traité comme un </w:t>
      </w:r>
      <w:r w:rsidR="00624A97">
        <w:t>Commanditaire</w:t>
      </w:r>
      <w:r>
        <w:t xml:space="preserve"> en ce qui concerne son </w:t>
      </w:r>
      <w:r w:rsidR="00624A97">
        <w:t>E</w:t>
      </w:r>
      <w:r>
        <w:t xml:space="preserve">ngagement et, à cet égard, sera considéré comme un </w:t>
      </w:r>
      <w:r w:rsidR="00624A97">
        <w:t>« A</w:t>
      </w:r>
      <w:r>
        <w:t>ssocié affilié » aux fins de l</w:t>
      </w:r>
      <w:r w:rsidR="00E27310">
        <w:t>’</w:t>
      </w:r>
      <w:r>
        <w:t>article </w:t>
      </w:r>
      <w:r w:rsidRPr="00D52949">
        <w:fldChar w:fldCharType="begin"/>
      </w:r>
      <w:r w:rsidRPr="00D52949">
        <w:instrText xml:space="preserve"> REF _Ref40803862 \w \h </w:instrText>
      </w:r>
      <w:r w:rsidRPr="00D52949" w:rsidR="00791303">
        <w:instrText xml:space="preserve"> \* MERGEFORMAT </w:instrText>
      </w:r>
      <w:r w:rsidRPr="00D52949">
        <w:fldChar w:fldCharType="separate"/>
      </w:r>
      <w:r w:rsidR="00B50BE2">
        <w:t>10.2</w:t>
      </w:r>
      <w:r w:rsidRPr="00D5294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w:t>
      </w:r>
      <w:bookmarkEnd w:id="526"/>
    </w:p>
    <w:p w:rsidR="0000160C" w:rsidRDefault="00C517ED" w14:paraId="772801B6" w14:textId="5A83D0E3">
      <w:pPr>
        <w:pStyle w:val="ArtBJStyL5"/>
      </w:pPr>
      <w:bookmarkStart w:name="_Ref113892539" w:id="527"/>
      <w:r>
        <w:t xml:space="preserve">sous réserve de </w:t>
      </w:r>
      <w:r w:rsidR="00624A97">
        <w:t>l’article</w:t>
      </w:r>
      <w:r>
        <w:t> </w:t>
      </w:r>
      <w:r w:rsidRPr="00D52949">
        <w:fldChar w:fldCharType="begin"/>
      </w:r>
      <w:r w:rsidRPr="00D52949">
        <w:instrText xml:space="preserve"> REF _Ref40803908 \w \h </w:instrText>
      </w:r>
      <w:r w:rsidRPr="00D52949" w:rsidR="00791303">
        <w:instrText xml:space="preserve"> \* MERGEFORMAT </w:instrText>
      </w:r>
      <w:r w:rsidRPr="00D52949">
        <w:fldChar w:fldCharType="separate"/>
      </w:r>
      <w:r w:rsidR="00B50BE2">
        <w:t>10.2(c)(ii)(D)</w:t>
      </w:r>
      <w:r w:rsidRPr="00D5294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 xml:space="preserve">) ci-dessous, le </w:t>
      </w:r>
      <w:r w:rsidR="00624A97">
        <w:t>C</w:t>
      </w:r>
      <w:r>
        <w:t xml:space="preserve">ommandité </w:t>
      </w:r>
      <w:r w:rsidR="00624A97">
        <w:t>destitué</w:t>
      </w:r>
      <w:r>
        <w:t xml:space="preserve"> aura le droit de recevoir des distributions </w:t>
      </w:r>
      <w:r w:rsidR="00624A97">
        <w:t>de Distributions spéciales</w:t>
      </w:r>
      <w:r>
        <w:t xml:space="preserve"> </w:t>
      </w:r>
      <w:r>
        <w:rPr>
          <w:b/>
          <w:highlight w:val="yellow"/>
        </w:rPr>
        <w:t>[immédiatement et automatiquement réduit</w:t>
      </w:r>
      <w:r w:rsidR="00624A97">
        <w:rPr>
          <w:b/>
          <w:highlight w:val="yellow"/>
        </w:rPr>
        <w:t>e</w:t>
      </w:r>
      <w:r>
        <w:rPr>
          <w:b/>
          <w:highlight w:val="yellow"/>
        </w:rPr>
        <w:t xml:space="preserve">s à __% des </w:t>
      </w:r>
      <w:r w:rsidR="00624A97">
        <w:rPr>
          <w:b/>
          <w:highlight w:val="yellow"/>
        </w:rPr>
        <w:t>Distributions spéciales</w:t>
      </w:r>
      <w:r>
        <w:rPr>
          <w:b/>
          <w:highlight w:val="yellow"/>
        </w:rPr>
        <w:t xml:space="preserve"> auxquel</w:t>
      </w:r>
      <w:r w:rsidR="00624A97">
        <w:rPr>
          <w:b/>
          <w:highlight w:val="yellow"/>
        </w:rPr>
        <w:t>le</w:t>
      </w:r>
      <w:r>
        <w:rPr>
          <w:b/>
          <w:highlight w:val="yellow"/>
        </w:rPr>
        <w:t>s il aurait autrement droit]</w:t>
      </w:r>
      <w:bookmarkStart w:name="_Ref113892863" w:id="528"/>
      <w:r>
        <w:rPr>
          <w:rStyle w:val="FootnoteReference"/>
          <w:b/>
          <w:highlight w:val="yellow"/>
        </w:rPr>
        <w:footnoteReference w:id="117"/>
      </w:r>
      <w:bookmarkEnd w:id="528"/>
      <w:r>
        <w:t xml:space="preserve"> en ce qui concerne les Investissements de portefeuille </w:t>
      </w:r>
      <w:r w:rsidR="00624A97">
        <w:t>faits</w:t>
      </w:r>
      <w:r>
        <w:t xml:space="preserve"> avant la date de cette </w:t>
      </w:r>
      <w:r w:rsidR="00624A97">
        <w:t>destitution</w:t>
      </w:r>
      <w:r>
        <w:t xml:space="preserve"> en même temps que ces montants lui auraient été distribués en vertu </w:t>
      </w:r>
      <w:r w:rsidR="00E536D5">
        <w:t>de la présente Convention</w:t>
      </w:r>
      <w:r>
        <w:t xml:space="preserve"> s</w:t>
      </w:r>
      <w:r w:rsidR="00E27310">
        <w:t>’</w:t>
      </w:r>
      <w:r>
        <w:t>il n</w:t>
      </w:r>
      <w:r w:rsidR="00E27310">
        <w:t>’</w:t>
      </w:r>
      <w:r>
        <w:t xml:space="preserve">avait pas été </w:t>
      </w:r>
      <w:r w:rsidR="00624A97">
        <w:t>destitué</w:t>
      </w:r>
      <w:r>
        <w:t xml:space="preserve">, et le </w:t>
      </w:r>
      <w:r w:rsidR="00624A97">
        <w:t>Commandité destitué</w:t>
      </w:r>
      <w:r>
        <w:t xml:space="preserve"> n</w:t>
      </w:r>
      <w:r w:rsidR="00E27310">
        <w:t>’</w:t>
      </w:r>
      <w:r>
        <w:t xml:space="preserve">aura pas le droit de recevoir des </w:t>
      </w:r>
      <w:r w:rsidR="00624A97">
        <w:t>Distributions spéciales</w:t>
      </w:r>
      <w:r>
        <w:t xml:space="preserve"> en ce qui concerne tout Investissement de portefeuille </w:t>
      </w:r>
      <w:r w:rsidR="00624A97">
        <w:t>fait</w:t>
      </w:r>
      <w:r>
        <w:t xml:space="preserve"> à la date de cette </w:t>
      </w:r>
      <w:r w:rsidR="00624A97">
        <w:t>destitution</w:t>
      </w:r>
      <w:r>
        <w:t xml:space="preserve"> ou après, et les dispositions de l</w:t>
      </w:r>
      <w:r w:rsidR="00E27310">
        <w:t>’</w:t>
      </w:r>
      <w:r>
        <w:t>article </w:t>
      </w:r>
      <w:r w:rsidR="00607930">
        <w:fldChar w:fldCharType="begin"/>
      </w:r>
      <w:r w:rsidR="00607930">
        <w:instrText xml:space="preserve"> REF _Ref40805031 \r \h </w:instrText>
      </w:r>
      <w:r w:rsidR="00607930">
        <w:fldChar w:fldCharType="separate"/>
      </w:r>
      <w:r w:rsidR="00B50BE2">
        <w:t>14.7(a)</w:t>
      </w:r>
      <w:r w:rsidR="00607930">
        <w:fldChar w:fldCharType="end"/>
      </w:r>
      <w:r>
        <w:t xml:space="preserve"> (</w:t>
      </w:r>
      <w:r w:rsidRPr="00CA7801" w:rsidR="00CA7801">
        <w:rPr>
          <w:i/>
        </w:rPr>
        <w:fldChar w:fldCharType="begin"/>
      </w:r>
      <w:r w:rsidRPr="00CA7801" w:rsidR="00CA7801">
        <w:rPr>
          <w:i/>
        </w:rPr>
        <w:instrText xml:space="preserve"> REF _Ref85271165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Recouvrement.</w:t>
      </w:r>
      <w:r w:rsidRPr="00CA7801" w:rsidR="00CA7801">
        <w:rPr>
          <w:i/>
        </w:rPr>
        <w:fldChar w:fldCharType="end"/>
      </w:r>
      <w:r>
        <w:t xml:space="preserve">) </w:t>
      </w:r>
      <w:r w:rsidR="00624A97">
        <w:t>continueront</w:t>
      </w:r>
      <w:r>
        <w:t xml:space="preserve"> de s</w:t>
      </w:r>
      <w:r w:rsidR="00E27310">
        <w:t>’</w:t>
      </w:r>
      <w:r>
        <w:t xml:space="preserve">appliquer à toutes ces distributions et </w:t>
      </w:r>
      <w:r w:rsidR="00BA232E">
        <w:t>l’</w:t>
      </w:r>
      <w:r w:rsidRPr="00D52949">
        <w:fldChar w:fldCharType="begin"/>
      </w:r>
      <w:r w:rsidRPr="00D52949">
        <w:instrText xml:space="preserve"> REF _Ref40807042 \w \h </w:instrText>
      </w:r>
      <w:r w:rsidRPr="00D52949" w:rsidR="00791303">
        <w:instrText xml:space="preserve"> \* MERGEFORMAT </w:instrText>
      </w:r>
      <w:r w:rsidRPr="00D52949">
        <w:fldChar w:fldCharType="separate"/>
      </w:r>
      <w:r w:rsidR="00B50BE2">
        <w:t>Article 14</w:t>
      </w:r>
      <w:r w:rsidRPr="00D52949">
        <w:fldChar w:fldCharType="end"/>
      </w:r>
      <w:r>
        <w:t xml:space="preserve"> (</w:t>
      </w:r>
      <w:r w:rsidRPr="00CA7801" w:rsidR="00CA7801">
        <w:rPr>
          <w:i/>
        </w:rPr>
        <w:fldChar w:fldCharType="begin"/>
      </w:r>
      <w:r w:rsidRPr="00CA7801" w:rsidR="00CA7801">
        <w:rPr>
          <w:i/>
        </w:rPr>
        <w:instrText xml:space="preserve"> REF _Ref40807042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 xml:space="preserve">DISTRIBUTIONS; </w:t>
      </w:r>
      <w:r w:rsidRPr="00CA7801" w:rsidR="00CA7801">
        <w:rPr>
          <w:i/>
        </w:rPr>
        <w:fldChar w:fldCharType="end"/>
      </w:r>
      <w:r>
        <w:t xml:space="preserve">) sera réputé modifié en conséquence, à condition que les montants de ces distributions </w:t>
      </w:r>
      <w:r w:rsidR="00624A97">
        <w:t xml:space="preserve">de Distributions spéciales </w:t>
      </w:r>
      <w:r>
        <w:t xml:space="preserve">soient calculés sans tenir compte des </w:t>
      </w:r>
      <w:r w:rsidR="00624A97">
        <w:t>I</w:t>
      </w:r>
      <w:r>
        <w:t xml:space="preserve">nvestissements de portefeuille </w:t>
      </w:r>
      <w:r w:rsidR="00624A97">
        <w:t>faits</w:t>
      </w:r>
      <w:r>
        <w:t xml:space="preserve">, des </w:t>
      </w:r>
      <w:r w:rsidR="00624A97">
        <w:t>D</w:t>
      </w:r>
      <w:r>
        <w:t xml:space="preserve">épenses du Fonds attribuables uniquement aux </w:t>
      </w:r>
      <w:r w:rsidR="00624A97">
        <w:t>I</w:t>
      </w:r>
      <w:r>
        <w:t xml:space="preserve">nvestissements de portefeuille </w:t>
      </w:r>
      <w:r w:rsidR="00624A97">
        <w:t>faits</w:t>
      </w:r>
      <w:r>
        <w:t xml:space="preserve">, ou des </w:t>
      </w:r>
      <w:r w:rsidR="00624A97">
        <w:t>F</w:t>
      </w:r>
      <w:r>
        <w:t xml:space="preserve">rais de gestion accumulés, dans chaque cas après la </w:t>
      </w:r>
      <w:r w:rsidR="00624A97">
        <w:t>D</w:t>
      </w:r>
      <w:r>
        <w:t xml:space="preserve">ate de </w:t>
      </w:r>
      <w:r w:rsidR="00624A97">
        <w:t>destitution</w:t>
      </w:r>
      <w:r>
        <w:t>; et</w:t>
      </w:r>
      <w:bookmarkEnd w:id="527"/>
    </w:p>
    <w:p w:rsidR="0000160C" w:rsidRDefault="00C517ED" w14:paraId="54D6898B" w14:textId="1C0936B7">
      <w:pPr>
        <w:pStyle w:val="ArtBJStyL5"/>
      </w:pPr>
      <w:bookmarkStart w:name="_Ref40803908" w:id="529"/>
      <w:r>
        <w:t xml:space="preserve">le Fonds </w:t>
      </w:r>
      <w:r w:rsidR="00624A97">
        <w:t>doit conserver</w:t>
      </w:r>
      <w:r>
        <w:t xml:space="preserve">, et le </w:t>
      </w:r>
      <w:r w:rsidR="00624A97">
        <w:t>C</w:t>
      </w:r>
      <w:r>
        <w:t>ommandité</w:t>
      </w:r>
      <w:r w:rsidR="00624A97">
        <w:t xml:space="preserve"> destitué </w:t>
      </w:r>
      <w:r>
        <w:t xml:space="preserve">et le </w:t>
      </w:r>
      <w:r w:rsidR="00624A97">
        <w:t>G</w:t>
      </w:r>
      <w:r>
        <w:t xml:space="preserve">estionnaire ne </w:t>
      </w:r>
      <w:r w:rsidR="00624A97">
        <w:t>recevront</w:t>
      </w:r>
      <w:r>
        <w:t xml:space="preserve"> pas, les montants auxquels le </w:t>
      </w:r>
      <w:r w:rsidR="00624A97">
        <w:t>C</w:t>
      </w:r>
      <w:r>
        <w:t>ommandité</w:t>
      </w:r>
      <w:r w:rsidR="00624A97">
        <w:t xml:space="preserve"> destitué</w:t>
      </w:r>
      <w:r>
        <w:t xml:space="preserve"> ou le </w:t>
      </w:r>
      <w:r w:rsidR="00624A97">
        <w:t>G</w:t>
      </w:r>
      <w:r>
        <w:t xml:space="preserve">estionnaire aurait </w:t>
      </w:r>
      <w:r w:rsidR="00624A97">
        <w:t>autrement</w:t>
      </w:r>
      <w:r>
        <w:t xml:space="preserve"> droit en vertu </w:t>
      </w:r>
      <w:r w:rsidR="00624A97">
        <w:t>du présent article</w:t>
      </w:r>
      <w:r>
        <w:t> </w:t>
      </w:r>
      <w:r w:rsidRPr="006400F9">
        <w:fldChar w:fldCharType="begin"/>
      </w:r>
      <w:r w:rsidRPr="006400F9">
        <w:instrText xml:space="preserve"> REF _Ref40803942 \w \h </w:instrText>
      </w:r>
      <w:r w:rsidRPr="006400F9" w:rsidR="00791303">
        <w:instrText xml:space="preserve"> \* MERGEFORMAT </w:instrText>
      </w:r>
      <w:r w:rsidRPr="006400F9">
        <w:fldChar w:fldCharType="separate"/>
      </w:r>
      <w:r w:rsidR="00B50BE2">
        <w:t>10.2(c)(ii)</w:t>
      </w:r>
      <w:r w:rsidRPr="006400F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 à moins que et jusqu</w:t>
      </w:r>
      <w:r w:rsidR="00E27310">
        <w:t>’</w:t>
      </w:r>
      <w:r>
        <w:t xml:space="preserve">à ce </w:t>
      </w:r>
      <w:r w:rsidR="00624A97">
        <w:t>que le Commandité destitué</w:t>
      </w:r>
      <w:r>
        <w:t xml:space="preserve"> et </w:t>
      </w:r>
      <w:r w:rsidR="00624A97">
        <w:t>le Gestionnaire</w:t>
      </w:r>
      <w:r>
        <w:t xml:space="preserve"> </w:t>
      </w:r>
      <w:r w:rsidR="00624A97">
        <w:t>se soient entièrement conformés</w:t>
      </w:r>
      <w:r>
        <w:t xml:space="preserve"> </w:t>
      </w:r>
      <w:r w:rsidR="00624A97">
        <w:t>aux</w:t>
      </w:r>
      <w:r>
        <w:t xml:space="preserve"> dispositions de </w:t>
      </w:r>
      <w:r w:rsidR="00624A97">
        <w:t>l’article</w:t>
      </w:r>
      <w:r>
        <w:t> </w:t>
      </w:r>
      <w:r w:rsidRPr="006400F9">
        <w:fldChar w:fldCharType="begin"/>
      </w:r>
      <w:r w:rsidRPr="006400F9">
        <w:instrText xml:space="preserve"> REF _Ref40803958 \w \h </w:instrText>
      </w:r>
      <w:r w:rsidRPr="006400F9" w:rsidR="00791303">
        <w:instrText xml:space="preserve"> \* MERGEFORMAT </w:instrText>
      </w:r>
      <w:r w:rsidRPr="006400F9">
        <w:fldChar w:fldCharType="separate"/>
      </w:r>
      <w:r w:rsidR="00B50BE2">
        <w:t>10.3</w:t>
      </w:r>
      <w:r w:rsidRPr="006400F9">
        <w:fldChar w:fldCharType="end"/>
      </w:r>
      <w:r>
        <w:t xml:space="preserve"> (</w:t>
      </w:r>
      <w:r w:rsidRPr="00CA7801" w:rsidR="00CA7801">
        <w:rPr>
          <w:i/>
        </w:rPr>
        <w:fldChar w:fldCharType="begin"/>
      </w:r>
      <w:r w:rsidRPr="00CA7801" w:rsidR="00CA7801">
        <w:rPr>
          <w:i/>
        </w:rPr>
        <w:instrText xml:space="preserve"> REF _Ref40803958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Coopération en cas de destitution.</w:t>
      </w:r>
      <w:r w:rsidRPr="00CA7801" w:rsidR="00CA7801">
        <w:rPr>
          <w:i/>
        </w:rPr>
        <w:fldChar w:fldCharType="end"/>
      </w:r>
      <w:r>
        <w:t>);</w:t>
      </w:r>
      <w:bookmarkEnd w:id="529"/>
    </w:p>
    <w:p w:rsidR="0000160C" w:rsidP="00546011" w:rsidRDefault="00624A97" w14:paraId="45677F06" w14:textId="14DC1E1C">
      <w:pPr>
        <w:pStyle w:val="ArtBJStyL4"/>
      </w:pPr>
      <w:bookmarkStart w:name="_Ref40804002" w:id="530"/>
      <w:proofErr w:type="gramStart"/>
      <w:r>
        <w:t>si</w:t>
      </w:r>
      <w:proofErr w:type="gramEnd"/>
      <w:r>
        <w:t xml:space="preserve"> on lui demande de le faire dans un Avis de destitution pour motif valable ou un Avis de destitution sans motif valable envoyé par un </w:t>
      </w:r>
      <w:r w:rsidR="00546011">
        <w:t>C</w:t>
      </w:r>
      <w:r>
        <w:t xml:space="preserve">ommanditaire au </w:t>
      </w:r>
      <w:r w:rsidR="00546011">
        <w:t>C</w:t>
      </w:r>
      <w:r>
        <w:t xml:space="preserve">ommandité, ou par un avis approuvé par une </w:t>
      </w:r>
      <w:r w:rsidR="0072655F">
        <w:t>Majorité de Participations</w:t>
      </w:r>
      <w:r>
        <w:t xml:space="preserve"> à tout moment à la date de </w:t>
      </w:r>
      <w:r w:rsidR="00546011">
        <w:t>remise</w:t>
      </w:r>
      <w:r>
        <w:t xml:space="preserve"> ou après celle-ci, le </w:t>
      </w:r>
      <w:r w:rsidR="00546011">
        <w:t>C</w:t>
      </w:r>
      <w:r>
        <w:t xml:space="preserve">ommandité destitué et le </w:t>
      </w:r>
      <w:r w:rsidR="00546011">
        <w:t>C</w:t>
      </w:r>
      <w:r>
        <w:t xml:space="preserve">ommandité remplaçant nommé par une </w:t>
      </w:r>
      <w:r w:rsidR="0072655F">
        <w:t>Majorité de Participations</w:t>
      </w:r>
      <w:r>
        <w:t xml:space="preserve"> feront en sorte que l</w:t>
      </w:r>
      <w:r w:rsidR="009A429E">
        <w:t>’</w:t>
      </w:r>
      <w:r>
        <w:t>une ou l</w:t>
      </w:r>
      <w:r w:rsidR="009A429E">
        <w:t>’</w:t>
      </w:r>
      <w:r>
        <w:t>autre des situations suivantes se produise</w:t>
      </w:r>
      <w:r w:rsidR="00546011">
        <w:t> :</w:t>
      </w:r>
      <w:bookmarkEnd w:id="530"/>
    </w:p>
    <w:p w:rsidR="0000160C" w:rsidRDefault="00C517ED" w14:paraId="2E80E7BE" w14:textId="3A1AB506">
      <w:pPr>
        <w:pStyle w:val="ArtBJStyL5"/>
      </w:pPr>
      <w:bookmarkStart w:name="_Ref113892540" w:id="531"/>
      <w:proofErr w:type="gramStart"/>
      <w:r>
        <w:t>le</w:t>
      </w:r>
      <w:proofErr w:type="gramEnd"/>
      <w:r>
        <w:t xml:space="preserve"> Fonds </w:t>
      </w:r>
      <w:r w:rsidR="00546011">
        <w:t>admettra</w:t>
      </w:r>
      <w:r>
        <w:t xml:space="preserve"> la ou les Personnes approuvées par la </w:t>
      </w:r>
      <w:r w:rsidR="0072655F">
        <w:t>Majorité de Participations</w:t>
      </w:r>
      <w:r>
        <w:t xml:space="preserve"> en tant qu</w:t>
      </w:r>
      <w:r w:rsidR="00E27310">
        <w:t>’</w:t>
      </w:r>
      <w:r>
        <w:t xml:space="preserve">Associé </w:t>
      </w:r>
      <w:r w:rsidR="00696E6B">
        <w:t>d</w:t>
      </w:r>
      <w:r>
        <w:t xml:space="preserve">u Fonds, donnant au détenteur de </w:t>
      </w:r>
      <w:r w:rsidR="00546011">
        <w:t xml:space="preserve">cette </w:t>
      </w:r>
      <w:r w:rsidR="00546011">
        <w:lastRenderedPageBreak/>
        <w:t>Participation</w:t>
      </w:r>
      <w:r>
        <w:t xml:space="preserve"> le droit de recevoir une partie ou la totalité des distributions auxquelles </w:t>
      </w:r>
      <w:r w:rsidR="00546011">
        <w:t>le Commandité destitué</w:t>
      </w:r>
      <w:r>
        <w:t xml:space="preserve"> n</w:t>
      </w:r>
      <w:r w:rsidR="00E27310">
        <w:t>’</w:t>
      </w:r>
      <w:r>
        <w:t>a plus droit;</w:t>
      </w:r>
      <w:bookmarkEnd w:id="531"/>
    </w:p>
    <w:p w:rsidR="0000160C" w:rsidRDefault="00C517ED" w14:paraId="22472058" w14:textId="5D9CA9BE">
      <w:pPr>
        <w:pStyle w:val="ArtBJStyL5"/>
      </w:pPr>
      <w:bookmarkStart w:name="_Ref113892541" w:id="532"/>
      <w:proofErr w:type="gramStart"/>
      <w:r>
        <w:t>une</w:t>
      </w:r>
      <w:proofErr w:type="gramEnd"/>
      <w:r>
        <w:t xml:space="preserve"> partie ou la totalité des distributions du Fonds auxquelles le </w:t>
      </w:r>
      <w:r w:rsidR="00546011">
        <w:t>C</w:t>
      </w:r>
      <w:r>
        <w:t xml:space="preserve">ommandité </w:t>
      </w:r>
      <w:r w:rsidR="00546011">
        <w:t>destitué</w:t>
      </w:r>
      <w:r>
        <w:t xml:space="preserve"> n</w:t>
      </w:r>
      <w:r w:rsidR="00E27310">
        <w:t>’</w:t>
      </w:r>
      <w:r>
        <w:t xml:space="preserve">a plus droit </w:t>
      </w:r>
      <w:r w:rsidR="00546011">
        <w:t>sera</w:t>
      </w:r>
      <w:r>
        <w:t xml:space="preserve"> distribué</w:t>
      </w:r>
      <w:r w:rsidR="00546011">
        <w:t>e</w:t>
      </w:r>
      <w:r>
        <w:t xml:space="preserve"> aux </w:t>
      </w:r>
      <w:r w:rsidR="00546011">
        <w:t>C</w:t>
      </w:r>
      <w:r>
        <w:t xml:space="preserve">ommanditaires existants </w:t>
      </w:r>
      <w:r w:rsidR="00546011">
        <w:t>en proportion</w:t>
      </w:r>
      <w:r>
        <w:t xml:space="preserve"> </w:t>
      </w:r>
      <w:r w:rsidR="00546011">
        <w:t>de</w:t>
      </w:r>
      <w:r>
        <w:t xml:space="preserve"> leurs </w:t>
      </w:r>
      <w:r w:rsidR="00546011">
        <w:t>E</w:t>
      </w:r>
      <w:r>
        <w:t xml:space="preserve">ngagements respectifs ou </w:t>
      </w:r>
      <w:r w:rsidR="00546011">
        <w:t xml:space="preserve">dans </w:t>
      </w:r>
      <w:r>
        <w:t xml:space="preserve">toute autre proportion convenue par une </w:t>
      </w:r>
      <w:r w:rsidR="0072655F">
        <w:t>Majorité de Participations</w:t>
      </w:r>
      <w:r>
        <w:t xml:space="preserve"> avant une telle distribution;</w:t>
      </w:r>
      <w:bookmarkEnd w:id="532"/>
    </w:p>
    <w:p w:rsidR="0000160C" w:rsidRDefault="00C517ED" w14:paraId="1DB08BEA" w14:textId="60095E45">
      <w:pPr>
        <w:pStyle w:val="ArtBJStyL5"/>
      </w:pPr>
      <w:bookmarkStart w:name="_Ref113892542" w:id="533"/>
      <w:r>
        <w:t>(i) le Fonds émet</w:t>
      </w:r>
      <w:r w:rsidR="00546011">
        <w:t>tra</w:t>
      </w:r>
      <w:r>
        <w:t xml:space="preserve"> </w:t>
      </w:r>
      <w:r w:rsidR="00546011">
        <w:t xml:space="preserve">au Commandité destitué </w:t>
      </w:r>
      <w:r>
        <w:t xml:space="preserve">un billet à ordre (ou un instrument équivalent) ne portant pas intérêt qui donne droit </w:t>
      </w:r>
      <w:r w:rsidR="008B12FA">
        <w:t>au Commandité destitué</w:t>
      </w:r>
      <w:r>
        <w:t xml:space="preserve"> au paiement des montants auxquels il a droit en vertu du présent article </w:t>
      </w:r>
      <w:r w:rsidRPr="006400F9">
        <w:fldChar w:fldCharType="begin"/>
      </w:r>
      <w:r w:rsidRPr="006400F9">
        <w:instrText xml:space="preserve"> REF _Ref40803862 \w \h </w:instrText>
      </w:r>
      <w:r w:rsidRPr="006400F9" w:rsidR="00791303">
        <w:instrText xml:space="preserve"> \* MERGEFORMAT </w:instrText>
      </w:r>
      <w:r w:rsidRPr="006400F9">
        <w:fldChar w:fldCharType="separate"/>
      </w:r>
      <w:r w:rsidR="00B50BE2">
        <w:t>10.2</w:t>
      </w:r>
      <w:r w:rsidRPr="006400F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 xml:space="preserve">) à </w:t>
      </w:r>
      <w:r w:rsidR="008B12FA">
        <w:t>ce</w:t>
      </w:r>
      <w:r>
        <w:t xml:space="preserve"> moment et pour des montants tels que s</w:t>
      </w:r>
      <w:r w:rsidR="00E27310">
        <w:t>’</w:t>
      </w:r>
      <w:r>
        <w:t>il avait continué d</w:t>
      </w:r>
      <w:r w:rsidR="00E27310">
        <w:t>’</w:t>
      </w:r>
      <w:r>
        <w:t xml:space="preserve">être un </w:t>
      </w:r>
      <w:r w:rsidR="008B12FA">
        <w:t>Associé</w:t>
      </w:r>
      <w:r>
        <w:t xml:space="preserve"> au moment des distributions pertinentes, ou </w:t>
      </w:r>
      <w:bookmarkStart w:name="DocXTextRef100" w:id="534"/>
      <w:r>
        <w:t>(ii)</w:t>
      </w:r>
      <w:bookmarkEnd w:id="534"/>
      <w:r>
        <w:t xml:space="preserve"> le </w:t>
      </w:r>
      <w:r w:rsidR="008B12FA">
        <w:t>Commandité destitué</w:t>
      </w:r>
      <w:r>
        <w:t xml:space="preserve"> </w:t>
      </w:r>
      <w:r w:rsidR="008B12FA">
        <w:t xml:space="preserve">recevra </w:t>
      </w:r>
      <w:r>
        <w:t xml:space="preserve">un montant en espèces égal au montant des </w:t>
      </w:r>
      <w:r w:rsidR="008B12FA">
        <w:t>Distributions spéciales</w:t>
      </w:r>
      <w:r>
        <w:t xml:space="preserve"> auquel il aurait eu droit en tant que </w:t>
      </w:r>
      <w:r w:rsidR="008B12FA">
        <w:t>Commandité</w:t>
      </w:r>
      <w:r>
        <w:t xml:space="preserve"> conformément à l</w:t>
      </w:r>
      <w:r w:rsidR="00E27310">
        <w:t>’</w:t>
      </w:r>
      <w:r>
        <w:t>article </w:t>
      </w:r>
      <w:r w:rsidRPr="006400F9">
        <w:fldChar w:fldCharType="begin"/>
      </w:r>
      <w:r w:rsidRPr="006400F9">
        <w:instrText xml:space="preserve"> REF _Ref40803942 \w \h </w:instrText>
      </w:r>
      <w:r w:rsidRPr="006400F9" w:rsidR="00791303">
        <w:instrText xml:space="preserve"> \* MERGEFORMAT </w:instrText>
      </w:r>
      <w:r w:rsidRPr="006400F9">
        <w:fldChar w:fldCharType="separate"/>
      </w:r>
      <w:r w:rsidR="00B50BE2">
        <w:t>10.2(c)(ii)</w:t>
      </w:r>
      <w:r w:rsidRPr="006400F9">
        <w:fldChar w:fldCharType="end"/>
      </w:r>
      <w:r>
        <w:t xml:space="preserve"> (</w:t>
      </w:r>
      <w:r w:rsidRPr="00CA7801" w:rsidR="00CA7801">
        <w:rPr>
          <w:i/>
        </w:rPr>
        <w:fldChar w:fldCharType="begin"/>
      </w:r>
      <w:r w:rsidRPr="00CA7801" w:rsidR="00CA7801">
        <w:rPr>
          <w:i/>
        </w:rPr>
        <w:instrText xml:space="preserve"> REF _Ref40803862 \h </w:instrText>
      </w:r>
      <w:r w:rsidR="00CA7801">
        <w:rPr>
          <w:i/>
        </w:rPr>
        <w:instrText xml:space="preserve"> \* MERGEFORMAT </w:instrText>
      </w:r>
      <w:r w:rsidRPr="00CA7801" w:rsidR="00CA7801">
        <w:rPr>
          <w:i/>
        </w:rPr>
      </w:r>
      <w:r w:rsidRPr="00CA7801" w:rsidR="00CA7801">
        <w:rPr>
          <w:i/>
        </w:rPr>
        <w:fldChar w:fldCharType="separate"/>
      </w:r>
      <w:r w:rsidRPr="00B50BE2" w:rsidR="00B50BE2">
        <w:rPr>
          <w:i/>
        </w:rPr>
        <w:t>Conséquences de l’avis de destitution.</w:t>
      </w:r>
      <w:r w:rsidRPr="00CA7801" w:rsidR="00CA7801">
        <w:rPr>
          <w:i/>
        </w:rPr>
        <w:fldChar w:fldCharType="end"/>
      </w:r>
      <w:r>
        <w:t xml:space="preserve">) ou </w:t>
      </w:r>
      <w:r w:rsidR="008B12FA">
        <w:t>de l’article</w:t>
      </w:r>
      <w:r>
        <w:t> </w:t>
      </w:r>
      <w:r w:rsidRPr="006400F9">
        <w:fldChar w:fldCharType="begin"/>
      </w:r>
      <w:r w:rsidRPr="006400F9">
        <w:instrText xml:space="preserve"> REF _Ref40804002 \w \h </w:instrText>
      </w:r>
      <w:r w:rsidRPr="006400F9" w:rsidR="00791303">
        <w:instrText xml:space="preserve"> \* MERGEFORMAT </w:instrText>
      </w:r>
      <w:r w:rsidRPr="006400F9">
        <w:fldChar w:fldCharType="separate"/>
      </w:r>
      <w:r w:rsidR="00B50BE2">
        <w:t>10.2(c)(iii)</w:t>
      </w:r>
      <w:r w:rsidRPr="006400F9">
        <w:fldChar w:fldCharType="end"/>
      </w:r>
      <w:r>
        <w:t xml:space="preserve"> (</w:t>
      </w:r>
      <w:r w:rsidRPr="00CA7801" w:rsidR="00293FEC">
        <w:rPr>
          <w:i/>
        </w:rPr>
        <w:fldChar w:fldCharType="begin"/>
      </w:r>
      <w:r w:rsidRPr="00CA7801" w:rsidR="00293FEC">
        <w:rPr>
          <w:i/>
        </w:rPr>
        <w:instrText xml:space="preserve"> REF _Ref40803862 \h </w:instrText>
      </w:r>
      <w:r w:rsidR="00293FEC">
        <w:rPr>
          <w:i/>
        </w:rPr>
        <w:instrText xml:space="preserve"> \* MERGEFORMAT </w:instrText>
      </w:r>
      <w:r w:rsidRPr="00CA7801" w:rsidR="00293FEC">
        <w:rPr>
          <w:i/>
        </w:rPr>
      </w:r>
      <w:r w:rsidRPr="00CA7801" w:rsidR="00293FEC">
        <w:rPr>
          <w:i/>
        </w:rPr>
        <w:fldChar w:fldCharType="separate"/>
      </w:r>
      <w:r w:rsidRPr="00B50BE2" w:rsidR="00B50BE2">
        <w:rPr>
          <w:i/>
        </w:rPr>
        <w:t>Conséquences de l’avis de destitution.</w:t>
      </w:r>
      <w:r w:rsidRPr="00CA7801" w:rsidR="00293FEC">
        <w:rPr>
          <w:i/>
        </w:rPr>
        <w:fldChar w:fldCharType="end"/>
      </w:r>
      <w:r>
        <w:t>) (selon le cas) sur la base d</w:t>
      </w:r>
      <w:r w:rsidR="00E27310">
        <w:t>’</w:t>
      </w:r>
      <w:r>
        <w:t xml:space="preserve">une liquidation présumée du Fonds et de la réalisation de tous ses actifs à ce moment, et le </w:t>
      </w:r>
      <w:r w:rsidR="008B12FA">
        <w:t>Commandité destitué</w:t>
      </w:r>
      <w:r>
        <w:t xml:space="preserve"> peut être tenu de cesser d</w:t>
      </w:r>
      <w:r w:rsidR="00E27310">
        <w:t>’</w:t>
      </w:r>
      <w:r>
        <w:t xml:space="preserve">être un </w:t>
      </w:r>
      <w:r w:rsidR="008B12FA">
        <w:t>Associé</w:t>
      </w:r>
      <w:r>
        <w:t>; et</w:t>
      </w:r>
      <w:bookmarkEnd w:id="533"/>
    </w:p>
    <w:p w:rsidR="0000160C" w:rsidRDefault="00C517ED" w14:paraId="18F44F7A" w14:textId="1A17FB0B">
      <w:pPr>
        <w:pStyle w:val="ArtBJStyL5"/>
      </w:pPr>
      <w:bookmarkStart w:name="_Ref113892543" w:id="535"/>
      <w:proofErr w:type="gramStart"/>
      <w:r>
        <w:t>la</w:t>
      </w:r>
      <w:proofErr w:type="gramEnd"/>
      <w:r>
        <w:t xml:space="preserve"> </w:t>
      </w:r>
      <w:r w:rsidR="008B12FA">
        <w:t>nomination</w:t>
      </w:r>
      <w:r>
        <w:t xml:space="preserve"> du </w:t>
      </w:r>
      <w:r w:rsidR="008B12FA">
        <w:t>G</w:t>
      </w:r>
      <w:r>
        <w:t xml:space="preserve">estionnaire et la résiliation immédiate de </w:t>
      </w:r>
      <w:r w:rsidR="008B12FA">
        <w:t>l’Entente</w:t>
      </w:r>
      <w:r>
        <w:t xml:space="preserve"> de gestion;</w:t>
      </w:r>
      <w:bookmarkEnd w:id="535"/>
    </w:p>
    <w:p w:rsidR="0000160C" w:rsidRDefault="00C517ED" w14:paraId="6F99A906" w14:textId="5A6175DF">
      <w:pPr>
        <w:pStyle w:val="ArtBJStyL3"/>
      </w:pPr>
      <w:bookmarkStart w:name="_Ref113892544" w:id="536"/>
      <w:r>
        <w:t>l</w:t>
      </w:r>
      <w:r w:rsidR="00E27310">
        <w:t>’</w:t>
      </w:r>
      <w:r>
        <w:t xml:space="preserve">obligation des </w:t>
      </w:r>
      <w:r w:rsidR="008B12FA">
        <w:t>Associés</w:t>
      </w:r>
      <w:r>
        <w:t xml:space="preserve"> affiliés d</w:t>
      </w:r>
      <w:r w:rsidR="00E27310">
        <w:t>’</w:t>
      </w:r>
      <w:r>
        <w:t xml:space="preserve">investir dans de nouveaux </w:t>
      </w:r>
      <w:r w:rsidR="00033198">
        <w:t>I</w:t>
      </w:r>
      <w:r>
        <w:t xml:space="preserve">nvestissements de portefeuille prendra fin, à condition (pour éviter tout doute) que </w:t>
      </w:r>
      <w:bookmarkStart w:name="DocXTextRef101" w:id="537"/>
      <w:r>
        <w:t>(i)</w:t>
      </w:r>
      <w:bookmarkEnd w:id="537"/>
      <w:r>
        <w:t xml:space="preserve"> ces </w:t>
      </w:r>
      <w:r w:rsidR="00033198">
        <w:t>Associés</w:t>
      </w:r>
      <w:r>
        <w:t xml:space="preserve"> affiliés </w:t>
      </w:r>
      <w:r w:rsidR="00033198">
        <w:t>fassent</w:t>
      </w:r>
      <w:r>
        <w:t xml:space="preserve"> tous les Apports </w:t>
      </w:r>
      <w:r w:rsidR="00033198">
        <w:t>de</w:t>
      </w:r>
      <w:r>
        <w:t xml:space="preserve"> capital et autres paiements qu</w:t>
      </w:r>
      <w:r w:rsidR="00E27310">
        <w:t>’</w:t>
      </w:r>
      <w:r>
        <w:t xml:space="preserve">ils sont tenus </w:t>
      </w:r>
      <w:r w:rsidR="00033198">
        <w:t>de faire</w:t>
      </w:r>
      <w:r>
        <w:t xml:space="preserve"> (y compris conformément à </w:t>
      </w:r>
      <w:r w:rsidR="00033198">
        <w:t>l’article</w:t>
      </w:r>
      <w:r>
        <w:t> </w:t>
      </w:r>
      <w:r w:rsidRPr="00D52949">
        <w:fldChar w:fldCharType="begin"/>
      </w:r>
      <w:r w:rsidRPr="00D52949">
        <w:instrText xml:space="preserve"> REF _Ref40801274 \w \h </w:instrText>
      </w:r>
      <w:r w:rsidRPr="00D52949" w:rsidR="00791303">
        <w:instrText xml:space="preserve"> \* MERGEFORMAT </w:instrText>
      </w:r>
      <w:r w:rsidRPr="00D52949">
        <w:fldChar w:fldCharType="separate"/>
      </w:r>
      <w:r w:rsidR="00B50BE2">
        <w:t>6.2</w:t>
      </w:r>
      <w:r w:rsidRPr="00D52949">
        <w:fldChar w:fldCharType="end"/>
      </w:r>
      <w:r>
        <w:t xml:space="preserve"> (</w:t>
      </w:r>
      <w:r w:rsidRPr="00293FEC" w:rsidR="00293FEC">
        <w:rPr>
          <w:i/>
        </w:rPr>
        <w:fldChar w:fldCharType="begin"/>
      </w:r>
      <w:r w:rsidRPr="00293FEC" w:rsidR="00293FEC">
        <w:rPr>
          <w:i/>
        </w:rPr>
        <w:instrText xml:space="preserve"> REF _Ref40801274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Modalités; Apports de capital.</w:t>
      </w:r>
      <w:r w:rsidRPr="00293FEC" w:rsidR="00293FEC">
        <w:rPr>
          <w:i/>
        </w:rPr>
        <w:fldChar w:fldCharType="end"/>
      </w:r>
      <w:r>
        <w:t>)</w:t>
      </w:r>
      <w:r w:rsidR="005243C3">
        <w:t xml:space="preserve"> </w:t>
      </w:r>
      <w:r>
        <w:t xml:space="preserve">et </w:t>
      </w:r>
      <w:r w:rsidR="00033198">
        <w:t>à l’</w:t>
      </w:r>
      <w:r w:rsidRPr="00D52949">
        <w:fldChar w:fldCharType="begin"/>
      </w:r>
      <w:r w:rsidRPr="00D52949">
        <w:instrText xml:space="preserve"> REF _Ref40807235 \w \h </w:instrText>
      </w:r>
      <w:r w:rsidRPr="00D52949" w:rsidR="00791303">
        <w:instrText xml:space="preserve"> \* MERGEFORMAT </w:instrText>
      </w:r>
      <w:r w:rsidRPr="00D52949">
        <w:fldChar w:fldCharType="separate"/>
      </w:r>
      <w:r w:rsidR="00B50BE2">
        <w:t>Article 16</w:t>
      </w:r>
      <w:r w:rsidRPr="00D52949">
        <w:fldChar w:fldCharType="end"/>
      </w:r>
      <w:r>
        <w:t xml:space="preserve"> (</w:t>
      </w:r>
      <w:proofErr w:type="spellStart"/>
      <w:r w:rsidRPr="00033198" w:rsidR="00293FEC">
        <w:rPr>
          <w:i/>
          <w:iCs/>
        </w:rPr>
        <w:fldChar w:fldCharType="begin"/>
      </w:r>
      <w:r w:rsidRPr="00033198" w:rsidR="00293FEC">
        <w:rPr>
          <w:i/>
          <w:iCs/>
        </w:rPr>
        <w:instrText xml:space="preserve"> REF _Ref40807235 \h </w:instrText>
      </w:r>
      <w:r w:rsidR="00033198">
        <w:rPr>
          <w:i/>
          <w:iCs/>
        </w:rPr>
        <w:instrText xml:space="preserve"> \* MERGEFORMAT </w:instrText>
      </w:r>
      <w:r w:rsidRPr="00033198" w:rsidR="00293FEC">
        <w:rPr>
          <w:i/>
          <w:iCs/>
        </w:rPr>
      </w:r>
      <w:r w:rsidRPr="00033198" w:rsidR="00293FEC">
        <w:rPr>
          <w:i/>
          <w:iCs/>
        </w:rPr>
        <w:fldChar w:fldCharType="separate"/>
      </w:r>
      <w:r w:rsidRPr="00B50BE2" w:rsidR="00B50BE2">
        <w:rPr>
          <w:i/>
          <w:iCs/>
        </w:rPr>
        <w:t>ExonÉration</w:t>
      </w:r>
      <w:proofErr w:type="spellEnd"/>
      <w:r w:rsidRPr="00B50BE2" w:rsidR="00B50BE2">
        <w:rPr>
          <w:i/>
          <w:iCs/>
        </w:rPr>
        <w:t xml:space="preserve"> et indemnisation</w:t>
      </w:r>
      <w:r w:rsidRPr="00033198" w:rsidR="00293FEC">
        <w:rPr>
          <w:i/>
          <w:iCs/>
        </w:rPr>
        <w:fldChar w:fldCharType="end"/>
      </w:r>
      <w:r w:rsidR="00033198">
        <w:rPr>
          <w:i/>
          <w:iCs/>
        </w:rPr>
        <w:t>.</w:t>
      </w:r>
      <w:r>
        <w:t>)) à l</w:t>
      </w:r>
      <w:r w:rsidR="00E27310">
        <w:t>’</w:t>
      </w:r>
      <w:r>
        <w:t xml:space="preserve">égard de tout Investissement de </w:t>
      </w:r>
      <w:r w:rsidR="00033198">
        <w:t>p</w:t>
      </w:r>
      <w:r>
        <w:t xml:space="preserve">ortefeuille </w:t>
      </w:r>
      <w:r w:rsidR="00033198">
        <w:t>fait</w:t>
      </w:r>
      <w:r>
        <w:t xml:space="preserve"> ou de tout</w:t>
      </w:r>
      <w:r w:rsidR="00696E6B">
        <w:t>e</w:t>
      </w:r>
      <w:r>
        <w:t xml:space="preserve"> </w:t>
      </w:r>
      <w:r w:rsidR="00033198">
        <w:t>dette</w:t>
      </w:r>
      <w:r>
        <w:t xml:space="preserve"> du Fonds contracté</w:t>
      </w:r>
      <w:r w:rsidR="00033198">
        <w:t>e</w:t>
      </w:r>
      <w:r>
        <w:t xml:space="preserve">, au plus tard à la </w:t>
      </w:r>
      <w:r w:rsidR="00033198">
        <w:t>D</w:t>
      </w:r>
      <w:r>
        <w:t xml:space="preserve">ate de </w:t>
      </w:r>
      <w:r w:rsidR="00033198">
        <w:t>destitution</w:t>
      </w:r>
      <w:r>
        <w:t xml:space="preserve"> (y compris les Investissements de </w:t>
      </w:r>
      <w:r w:rsidR="00033198">
        <w:t>p</w:t>
      </w:r>
      <w:r>
        <w:t>ortefeuille pour lesquels l</w:t>
      </w:r>
      <w:r w:rsidR="00E27310">
        <w:t>’</w:t>
      </w:r>
      <w:r>
        <w:t>approbation finale du Comité d</w:t>
      </w:r>
      <w:r w:rsidR="00E27310">
        <w:t>’</w:t>
      </w:r>
      <w:r>
        <w:t xml:space="preserve">investissement </w:t>
      </w:r>
      <w:r w:rsidR="00033198">
        <w:t>du Commandité</w:t>
      </w:r>
      <w:r>
        <w:t xml:space="preserve"> ou du </w:t>
      </w:r>
      <w:r w:rsidR="00033198">
        <w:t>G</w:t>
      </w:r>
      <w:r>
        <w:t xml:space="preserve">estionnaire a été donnée et </w:t>
      </w:r>
      <w:r w:rsidR="00033198">
        <w:t>l</w:t>
      </w:r>
      <w:r>
        <w:t xml:space="preserve">es engagements juridiquement contraignants </w:t>
      </w:r>
      <w:r w:rsidR="00033198">
        <w:t xml:space="preserve">qui </w:t>
      </w:r>
      <w:r>
        <w:t xml:space="preserve">ont été pris par le Fonds avant la </w:t>
      </w:r>
      <w:r w:rsidR="00033198">
        <w:t>d</w:t>
      </w:r>
      <w:r>
        <w:t xml:space="preserve">ate de </w:t>
      </w:r>
      <w:r w:rsidR="00033198">
        <w:t>cette destitution</w:t>
      </w:r>
      <w:r>
        <w:t xml:space="preserve">) et de tout Investissement de suivi connexe, et </w:t>
      </w:r>
      <w:bookmarkStart w:name="DocXTextRef102" w:id="538"/>
      <w:r>
        <w:t>(ii)</w:t>
      </w:r>
      <w:bookmarkEnd w:id="538"/>
      <w:r>
        <w:t xml:space="preserve"> le </w:t>
      </w:r>
      <w:r w:rsidR="00033198">
        <w:t>C</w:t>
      </w:r>
      <w:r>
        <w:t>ommandité</w:t>
      </w:r>
      <w:r w:rsidR="00033198">
        <w:t xml:space="preserve"> destitué</w:t>
      </w:r>
      <w:r>
        <w:t xml:space="preserve"> et le </w:t>
      </w:r>
      <w:r w:rsidR="00033198">
        <w:t>G</w:t>
      </w:r>
      <w:r>
        <w:t>estionnaire continueront d</w:t>
      </w:r>
      <w:r w:rsidR="00E27310">
        <w:t>’</w:t>
      </w:r>
      <w:r>
        <w:t xml:space="preserve">être liés par les dispositions de </w:t>
      </w:r>
      <w:r w:rsidR="00033198">
        <w:t>l’article</w:t>
      </w:r>
      <w:r>
        <w:t> </w:t>
      </w:r>
      <w:r w:rsidR="00607930">
        <w:fldChar w:fldCharType="begin"/>
      </w:r>
      <w:r w:rsidR="00607930">
        <w:instrText xml:space="preserve"> REF _Ref40805031 \w \h </w:instrText>
      </w:r>
      <w:r w:rsidR="00607930">
        <w:fldChar w:fldCharType="separate"/>
      </w:r>
      <w:r w:rsidR="00B50BE2">
        <w:t>14.7(a)</w:t>
      </w:r>
      <w:r w:rsidR="00607930">
        <w:fldChar w:fldCharType="end"/>
      </w:r>
      <w:r>
        <w:t xml:space="preserve"> (</w:t>
      </w:r>
      <w:r w:rsidRPr="00293FEC" w:rsidR="00293FEC">
        <w:rPr>
          <w:i/>
        </w:rPr>
        <w:fldChar w:fldCharType="begin"/>
      </w:r>
      <w:r w:rsidRPr="00293FEC" w:rsidR="00293FEC">
        <w:rPr>
          <w:i/>
        </w:rPr>
        <w:instrText xml:space="preserve"> REF _Ref85271165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Recouvrement.</w:t>
      </w:r>
      <w:r w:rsidRPr="00293FEC" w:rsidR="00293FEC">
        <w:rPr>
          <w:i/>
        </w:rPr>
        <w:fldChar w:fldCharType="end"/>
      </w:r>
      <w:r>
        <w:t>);</w:t>
      </w:r>
      <w:bookmarkEnd w:id="536"/>
    </w:p>
    <w:p w:rsidR="0000160C" w:rsidRDefault="00C517ED" w14:paraId="74F643BD" w14:textId="560C3E63">
      <w:pPr>
        <w:pStyle w:val="ArtBJStyL3"/>
      </w:pPr>
      <w:bookmarkStart w:name="_Ref113892545" w:id="539"/>
      <w:r>
        <w:t>nonobstant</w:t>
      </w:r>
      <w:r w:rsidR="00033198">
        <w:t xml:space="preserve"> l’article</w:t>
      </w:r>
      <w:r>
        <w:t> </w:t>
      </w:r>
      <w:r w:rsidRPr="00D52949">
        <w:fldChar w:fldCharType="begin"/>
      </w:r>
      <w:r w:rsidRPr="00D52949">
        <w:instrText xml:space="preserve"> REF _Ref40804041 \w \h </w:instrText>
      </w:r>
      <w:r w:rsidRPr="00D52949" w:rsidR="00791303">
        <w:instrText xml:space="preserve"> \* MERGEFORMAT </w:instrText>
      </w:r>
      <w:r w:rsidRPr="00D52949">
        <w:fldChar w:fldCharType="separate"/>
      </w:r>
      <w:r w:rsidR="00B50BE2">
        <w:t>10.2(b)</w:t>
      </w:r>
      <w:r w:rsidRPr="00D52949">
        <w:fldChar w:fldCharType="end"/>
      </w:r>
      <w:r>
        <w:t xml:space="preserve"> (</w:t>
      </w:r>
      <w:r w:rsidRPr="00293FEC" w:rsidR="00293FEC">
        <w:rPr>
          <w:i/>
        </w:rPr>
        <w:fldChar w:fldCharType="begin"/>
      </w:r>
      <w:r w:rsidRPr="00293FEC" w:rsidR="00293FEC">
        <w:rPr>
          <w:i/>
        </w:rPr>
        <w:instrText xml:space="preserve"> REF _Ref40803862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Conséquences de l’avis de destitution.</w:t>
      </w:r>
      <w:r w:rsidRPr="00293FEC" w:rsidR="00293FEC">
        <w:rPr>
          <w:i/>
        </w:rPr>
        <w:fldChar w:fldCharType="end"/>
      </w:r>
      <w:r>
        <w:t>) ci-dessus, à tout moment à compter de la date d</w:t>
      </w:r>
      <w:r w:rsidR="00E27310">
        <w:t>’</w:t>
      </w:r>
      <w:r>
        <w:t xml:space="preserve">un </w:t>
      </w:r>
      <w:r w:rsidR="00033198">
        <w:t>A</w:t>
      </w:r>
      <w:r>
        <w:t xml:space="preserve">vis </w:t>
      </w:r>
      <w:r w:rsidR="00033198">
        <w:t>de destitution avec motif valable</w:t>
      </w:r>
      <w:r>
        <w:t xml:space="preserve"> ou d</w:t>
      </w:r>
      <w:r w:rsidR="00E27310">
        <w:t>’</w:t>
      </w:r>
      <w:r>
        <w:t xml:space="preserve">un </w:t>
      </w:r>
      <w:r w:rsidR="00033198">
        <w:t>A</w:t>
      </w:r>
      <w:r>
        <w:t xml:space="preserve">vis de </w:t>
      </w:r>
      <w:r w:rsidR="00033198">
        <w:t>destitution sans motif valable</w:t>
      </w:r>
      <w:r>
        <w:t>, par la remise d</w:t>
      </w:r>
      <w:r w:rsidR="00E27310">
        <w:t>’</w:t>
      </w:r>
      <w:r>
        <w:t xml:space="preserve">un avis écrit à un </w:t>
      </w:r>
      <w:r w:rsidR="00033198">
        <w:t>Associé</w:t>
      </w:r>
      <w:r>
        <w:t xml:space="preserve"> affilié, une </w:t>
      </w:r>
      <w:r w:rsidR="0072655F">
        <w:t>Majorité de Participations</w:t>
      </w:r>
      <w:r>
        <w:t xml:space="preserve"> peut exiger </w:t>
      </w:r>
      <w:r w:rsidR="00033198">
        <w:t>de l’Associé</w:t>
      </w:r>
      <w:r>
        <w:t xml:space="preserve"> affilié qu</w:t>
      </w:r>
      <w:r w:rsidR="00E27310">
        <w:t>’</w:t>
      </w:r>
      <w:r>
        <w:t xml:space="preserve">il transfère une partie ou la totalité de </w:t>
      </w:r>
      <w:r w:rsidR="00033198">
        <w:t>sa Participation</w:t>
      </w:r>
      <w:r>
        <w:t xml:space="preserve"> à cette Personne</w:t>
      </w:r>
      <w:r w:rsidR="00033198">
        <w:t xml:space="preserve"> qu’une</w:t>
      </w:r>
      <w:r>
        <w:t xml:space="preserve"> </w:t>
      </w:r>
      <w:r w:rsidR="0072655F">
        <w:t>Majorité de Participations</w:t>
      </w:r>
      <w:r>
        <w:t xml:space="preserve"> peut approuver </w:t>
      </w:r>
      <w:r w:rsidR="00033198">
        <w:t>en contrepartie de l’émission</w:t>
      </w:r>
      <w:r>
        <w:t xml:space="preserve"> à </w:t>
      </w:r>
      <w:r w:rsidR="00033198">
        <w:t>cet Associé</w:t>
      </w:r>
      <w:r>
        <w:t xml:space="preserve"> affilié par le Fonds d</w:t>
      </w:r>
      <w:r w:rsidR="00E27310">
        <w:t>’</w:t>
      </w:r>
      <w:r>
        <w:t>un billet à ordre ou d</w:t>
      </w:r>
      <w:r w:rsidR="00E27310">
        <w:t>’</w:t>
      </w:r>
      <w:r>
        <w:t>un instrument équivalent ne portant pas intérêt, en vertu duquel l</w:t>
      </w:r>
      <w:r w:rsidR="00033198">
        <w:t xml:space="preserve">’Associé </w:t>
      </w:r>
      <w:r>
        <w:t xml:space="preserve">affilié a le droit de recevoir des paiements </w:t>
      </w:r>
      <w:r w:rsidR="00033198">
        <w:t>selon les montants</w:t>
      </w:r>
      <w:r>
        <w:t xml:space="preserve"> et aux moments qu</w:t>
      </w:r>
      <w:r w:rsidR="00E27310">
        <w:t>’</w:t>
      </w:r>
      <w:r>
        <w:t>il aurait reçus conformément à l</w:t>
      </w:r>
      <w:r w:rsidR="00E27310">
        <w:t>’</w:t>
      </w:r>
      <w:r>
        <w:t>article </w:t>
      </w:r>
      <w:r w:rsidRPr="006400F9">
        <w:fldChar w:fldCharType="begin"/>
      </w:r>
      <w:r w:rsidRPr="006400F9">
        <w:instrText xml:space="preserve"> REF _Ref40804041 \w \h </w:instrText>
      </w:r>
      <w:r w:rsidRPr="006400F9" w:rsidR="00791303">
        <w:instrText xml:space="preserve"> \* MERGEFORMAT </w:instrText>
      </w:r>
      <w:r w:rsidRPr="006400F9">
        <w:fldChar w:fldCharType="separate"/>
      </w:r>
      <w:r w:rsidR="00B50BE2">
        <w:t>10.2(b)</w:t>
      </w:r>
      <w:r w:rsidRPr="006400F9">
        <w:fldChar w:fldCharType="end"/>
      </w:r>
      <w:r>
        <w:t xml:space="preserve"> (</w:t>
      </w:r>
      <w:r w:rsidRPr="00293FEC" w:rsidR="00293FEC">
        <w:rPr>
          <w:i/>
        </w:rPr>
        <w:fldChar w:fldCharType="begin"/>
      </w:r>
      <w:r w:rsidRPr="00293FEC" w:rsidR="00293FEC">
        <w:rPr>
          <w:i/>
        </w:rPr>
        <w:instrText xml:space="preserve"> REF _Ref40803862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Conséquences de l’avis de destitution.</w:t>
      </w:r>
      <w:r w:rsidRPr="00293FEC" w:rsidR="00293FEC">
        <w:rPr>
          <w:i/>
        </w:rPr>
        <w:fldChar w:fldCharType="end"/>
      </w:r>
      <w:r>
        <w:t>) s</w:t>
      </w:r>
      <w:r w:rsidR="00E27310">
        <w:t>’</w:t>
      </w:r>
      <w:r>
        <w:t>il avait continué d</w:t>
      </w:r>
      <w:r w:rsidR="00E27310">
        <w:t>’</w:t>
      </w:r>
      <w:r>
        <w:t xml:space="preserve">être un </w:t>
      </w:r>
      <w:r w:rsidR="00033198">
        <w:t>C</w:t>
      </w:r>
      <w:r>
        <w:t>ommanditaire; et</w:t>
      </w:r>
      <w:bookmarkEnd w:id="539"/>
    </w:p>
    <w:p w:rsidR="0000160C" w:rsidRDefault="00C517ED" w14:paraId="26918D8B" w14:textId="22F2A63C">
      <w:pPr>
        <w:pStyle w:val="ArtBJStyL3"/>
      </w:pPr>
      <w:bookmarkStart w:name="_Ref113892546" w:id="540"/>
      <w:r>
        <w:t xml:space="preserve">chacun du </w:t>
      </w:r>
      <w:r w:rsidR="00EF2630">
        <w:t>C</w:t>
      </w:r>
      <w:r>
        <w:t>ommandité</w:t>
      </w:r>
      <w:r w:rsidR="00EF2630">
        <w:t xml:space="preserve"> destitué</w:t>
      </w:r>
      <w:r>
        <w:t xml:space="preserve"> et du </w:t>
      </w:r>
      <w:r w:rsidR="00EF2630">
        <w:t>G</w:t>
      </w:r>
      <w:r>
        <w:t xml:space="preserve">estionnaire constitue et nomme irrévocablement, par les présentes, toute personne qui peut être stipulée dans tout </w:t>
      </w:r>
      <w:r w:rsidR="00EF2630">
        <w:t xml:space="preserve">Avis de de destitution avec </w:t>
      </w:r>
      <w:r w:rsidR="00EF2630">
        <w:lastRenderedPageBreak/>
        <w:t xml:space="preserve">motif valable </w:t>
      </w:r>
      <w:r>
        <w:t xml:space="preserve">ou </w:t>
      </w:r>
      <w:r w:rsidR="00EF2630">
        <w:t xml:space="preserve">Avis de destitution sans motif valable </w:t>
      </w:r>
      <w:r>
        <w:t xml:space="preserve">(et tout dirigeant, employé ou administrateur de cette </w:t>
      </w:r>
      <w:r w:rsidR="00EF2630">
        <w:t>P</w:t>
      </w:r>
      <w:r>
        <w:t xml:space="preserve">ersonne), avec plein pouvoir de substitution, comme </w:t>
      </w:r>
      <w:r w:rsidR="0082726A">
        <w:t>le fondé de pouvoir</w:t>
      </w:r>
      <w:r>
        <w:rPr>
          <w:b/>
          <w:bCs/>
          <w:highlight w:val="yellow"/>
        </w:rPr>
        <w:t xml:space="preserve">[, </w:t>
      </w:r>
      <w:r w:rsidR="0082726A">
        <w:rPr>
          <w:b/>
          <w:bCs/>
          <w:highlight w:val="yellow"/>
        </w:rPr>
        <w:t xml:space="preserve">le </w:t>
      </w:r>
      <w:r>
        <w:rPr>
          <w:b/>
          <w:bCs/>
          <w:highlight w:val="yellow"/>
        </w:rPr>
        <w:t>mandataire]</w:t>
      </w:r>
      <w:bookmarkStart w:name="_Ref113892864" w:id="541"/>
      <w:r>
        <w:rPr>
          <w:rStyle w:val="FootnoteReference"/>
          <w:b/>
          <w:bCs/>
        </w:rPr>
        <w:footnoteReference w:id="118"/>
      </w:r>
      <w:bookmarkEnd w:id="541"/>
      <w:r>
        <w:t xml:space="preserve"> et l</w:t>
      </w:r>
      <w:r w:rsidR="00EF2630">
        <w:t xml:space="preserve">’agent </w:t>
      </w:r>
      <w:r>
        <w:t xml:space="preserve">du </w:t>
      </w:r>
      <w:r w:rsidR="00EF2630">
        <w:t>C</w:t>
      </w:r>
      <w:r>
        <w:t>ommandité</w:t>
      </w:r>
      <w:r w:rsidR="00EF2630">
        <w:t xml:space="preserve"> destitué</w:t>
      </w:r>
      <w:r>
        <w:t xml:space="preserve"> et du </w:t>
      </w:r>
      <w:r w:rsidR="00EF2630">
        <w:t>G</w:t>
      </w:r>
      <w:r>
        <w:t xml:space="preserve">estionnaire (selon le cas), pour signer, reconnaître, vérifier, jurer, </w:t>
      </w:r>
      <w:r w:rsidR="00EF2630">
        <w:t>remettre</w:t>
      </w:r>
      <w:r>
        <w:t xml:space="preserve">, enregistrer et </w:t>
      </w:r>
      <w:r w:rsidR="00EF2630">
        <w:t>produire</w:t>
      </w:r>
      <w:r>
        <w:t xml:space="preserve">, </w:t>
      </w:r>
      <w:r w:rsidR="00EF2630">
        <w:t>en son nom, lieu et place ou ceux de son cessionnaire</w:t>
      </w:r>
      <w:r>
        <w:t xml:space="preserve">, tous les instruments, documents, formulaires et certificats que les lois de toute juridiction peuvent exiger de temps à autre pour donner effet </w:t>
      </w:r>
      <w:r w:rsidR="00EF2630">
        <w:t>au présent</w:t>
      </w:r>
      <w:r>
        <w:t xml:space="preserve"> </w:t>
      </w:r>
      <w:r w:rsidRPr="00D52949">
        <w:fldChar w:fldCharType="begin"/>
      </w:r>
      <w:r w:rsidRPr="00D52949">
        <w:instrText xml:space="preserve"> REF _Ref40806970 \w \h </w:instrText>
      </w:r>
      <w:r w:rsidRPr="00D52949" w:rsidR="00791303">
        <w:instrText xml:space="preserve"> \* MERGEFORMAT </w:instrText>
      </w:r>
      <w:r w:rsidRPr="00D52949">
        <w:fldChar w:fldCharType="separate"/>
      </w:r>
      <w:r w:rsidR="00B50BE2">
        <w:t>Article 10</w:t>
      </w:r>
      <w:r w:rsidRPr="00D52949">
        <w:fldChar w:fldCharType="end"/>
      </w:r>
      <w:r>
        <w:t xml:space="preserve"> (</w:t>
      </w:r>
      <w:proofErr w:type="spellStart"/>
      <w:r w:rsidRPr="00293FEC" w:rsidR="00293FEC">
        <w:rPr>
          <w:i/>
        </w:rPr>
        <w:fldChar w:fldCharType="begin"/>
      </w:r>
      <w:r w:rsidRPr="00293FEC" w:rsidR="00293FEC">
        <w:rPr>
          <w:i/>
        </w:rPr>
        <w:instrText xml:space="preserve"> REF _Ref40806970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Destition</w:t>
      </w:r>
      <w:proofErr w:type="spellEnd"/>
      <w:r w:rsidRPr="00B50BE2" w:rsidR="00B50BE2">
        <w:rPr>
          <w:i/>
        </w:rPr>
        <w:t xml:space="preserve"> du commandité; R</w:t>
      </w:r>
      <w:r w:rsidRPr="00293FEC" w:rsidR="00293FEC">
        <w:rPr>
          <w:i/>
        </w:rPr>
        <w:fldChar w:fldCharType="end"/>
      </w:r>
      <w:r>
        <w:t>), y compris le pouvoir et l</w:t>
      </w:r>
      <w:r w:rsidR="00E27310">
        <w:t>’</w:t>
      </w:r>
      <w:r>
        <w:t xml:space="preserve">autorité de signer, de vérifier, de jurer, </w:t>
      </w:r>
      <w:r w:rsidR="00EF2630">
        <w:t>de reconnaître</w:t>
      </w:r>
      <w:r>
        <w:t xml:space="preserve">, de </w:t>
      </w:r>
      <w:r w:rsidR="00EF2630">
        <w:t>remettre</w:t>
      </w:r>
      <w:r>
        <w:t>, d</w:t>
      </w:r>
      <w:r w:rsidR="00E27310">
        <w:t>’</w:t>
      </w:r>
      <w:r>
        <w:t xml:space="preserve">enregistrer et de </w:t>
      </w:r>
      <w:r w:rsidR="00EF2630">
        <w:t>produire</w:t>
      </w:r>
      <w:r>
        <w:t xml:space="preserve"> tous les formulaires, certificats et autres instruments, y compris toute modification </w:t>
      </w:r>
      <w:r w:rsidR="00E536D5">
        <w:t>de la présente Convention</w:t>
      </w:r>
      <w:r>
        <w:t>, qui peuvent être nécessaires ou souhaitables à ces fins.</w:t>
      </w:r>
      <w:bookmarkEnd w:id="540"/>
    </w:p>
    <w:p w:rsidR="0000160C" w:rsidRDefault="00C517ED" w14:paraId="38EFC5EB" w14:textId="68F48332">
      <w:pPr>
        <w:pStyle w:val="ArtBJStyL2"/>
      </w:pPr>
      <w:bookmarkStart w:name="_Ref40803958" w:id="542"/>
      <w:bookmarkStart w:name="_Toc161762363" w:id="543"/>
      <w:r>
        <w:t xml:space="preserve">Coopération en </w:t>
      </w:r>
      <w:r w:rsidR="00624A97">
        <w:t>cas de destitution</w:t>
      </w:r>
      <w:r>
        <w:t>.</w:t>
      </w:r>
      <w:bookmarkEnd w:id="542"/>
      <w:bookmarkEnd w:id="543"/>
    </w:p>
    <w:p w:rsidR="0000160C" w:rsidRDefault="00C517ED" w14:paraId="61889997" w14:textId="5C6745FD">
      <w:pPr>
        <w:pStyle w:val="ArtBJStyCont2"/>
        <w:keepNext/>
      </w:pPr>
      <w:r>
        <w:t xml:space="preserve">Si le </w:t>
      </w:r>
      <w:r w:rsidR="00EF2630">
        <w:t>C</w:t>
      </w:r>
      <w:r>
        <w:t xml:space="preserve">ommandité est </w:t>
      </w:r>
      <w:r w:rsidR="00EF2630">
        <w:t>destitué</w:t>
      </w:r>
      <w:r>
        <w:t xml:space="preserve"> ou remplacé, le </w:t>
      </w:r>
      <w:r w:rsidR="00EF2630">
        <w:t>C</w:t>
      </w:r>
      <w:r>
        <w:t xml:space="preserve">ommandité et le </w:t>
      </w:r>
      <w:r w:rsidR="00EF2630">
        <w:t>Gestionnaire</w:t>
      </w:r>
      <w:r>
        <w:t xml:space="preserve"> doivent :</w:t>
      </w:r>
    </w:p>
    <w:p w:rsidR="0000160C" w:rsidRDefault="00C517ED" w14:paraId="50793229" w14:textId="76FC50C4">
      <w:pPr>
        <w:pStyle w:val="ArtBJStyL3"/>
      </w:pPr>
      <w:bookmarkStart w:name="_Ref113892547" w:id="544"/>
      <w:proofErr w:type="gramStart"/>
      <w:r>
        <w:t>fournir</w:t>
      </w:r>
      <w:proofErr w:type="gramEnd"/>
      <w:r>
        <w:t xml:space="preserve"> au </w:t>
      </w:r>
      <w:r w:rsidR="00EF2630">
        <w:t>C</w:t>
      </w:r>
      <w:r>
        <w:t xml:space="preserve">ommandité remplaçant (ou à toute autre </w:t>
      </w:r>
      <w:r w:rsidR="009A429E">
        <w:t>P</w:t>
      </w:r>
      <w:r>
        <w:t xml:space="preserve">ersonne </w:t>
      </w:r>
      <w:r w:rsidR="005243C3">
        <w:t>qui a avisé</w:t>
      </w:r>
      <w:r>
        <w:t xml:space="preserve"> </w:t>
      </w:r>
      <w:r w:rsidR="005243C3">
        <w:t>le</w:t>
      </w:r>
      <w:r>
        <w:t xml:space="preserve"> </w:t>
      </w:r>
      <w:r w:rsidR="00EF2630">
        <w:t>C</w:t>
      </w:r>
      <w:r>
        <w:t xml:space="preserve">ommandité </w:t>
      </w:r>
      <w:r w:rsidR="00EF2630">
        <w:t>destitué</w:t>
      </w:r>
      <w:r>
        <w:t xml:space="preserve"> et </w:t>
      </w:r>
      <w:r w:rsidR="005243C3">
        <w:t>le</w:t>
      </w:r>
      <w:r>
        <w:t xml:space="preserve"> </w:t>
      </w:r>
      <w:r w:rsidR="00EF2630">
        <w:t>G</w:t>
      </w:r>
      <w:r>
        <w:t>estionnaire avec l</w:t>
      </w:r>
      <w:r w:rsidR="00E27310">
        <w:t>’</w:t>
      </w:r>
      <w:r>
        <w:t>approbation d</w:t>
      </w:r>
      <w:r w:rsidR="00E27310">
        <w:t>’</w:t>
      </w:r>
      <w:r>
        <w:t xml:space="preserve">une </w:t>
      </w:r>
      <w:r w:rsidR="0072655F">
        <w:t>Majorité de Participations</w:t>
      </w:r>
      <w:r>
        <w:t>) ou au liquidateur du Fonds, tous les livres de comptes, registres et autres documents appartenant au Fonds; et</w:t>
      </w:r>
      <w:bookmarkEnd w:id="544"/>
    </w:p>
    <w:p w:rsidR="0000160C" w:rsidRDefault="00C517ED" w14:paraId="548635D8" w14:textId="38C37EE0">
      <w:pPr>
        <w:pStyle w:val="ArtBJStyL3"/>
      </w:pPr>
      <w:bookmarkStart w:name="_Ref113892548" w:id="545"/>
      <w:r>
        <w:rPr>
          <w:b/>
          <w:highlight w:val="yellow"/>
        </w:rPr>
        <w:t>[</w:t>
      </w:r>
      <w:proofErr w:type="gramStart"/>
      <w:r w:rsidR="00EF2630">
        <w:rPr>
          <w:b/>
          <w:highlight w:val="yellow"/>
        </w:rPr>
        <w:t>faire</w:t>
      </w:r>
      <w:proofErr w:type="gramEnd"/>
      <w:r>
        <w:rPr>
          <w:b/>
          <w:highlight w:val="yellow"/>
        </w:rPr>
        <w:t xml:space="preserve"> des efforts raisonnables </w:t>
      </w:r>
      <w:r w:rsidR="00EF2630">
        <w:rPr>
          <w:b/>
          <w:highlight w:val="yellow"/>
        </w:rPr>
        <w:t xml:space="preserve">sur le plan commercial </w:t>
      </w:r>
      <w:r>
        <w:rPr>
          <w:b/>
          <w:highlight w:val="yellow"/>
        </w:rPr>
        <w:t xml:space="preserve">pour transférer sans délai le contrôle du Fonds et de tous les actifs du Fonds à ce </w:t>
      </w:r>
      <w:r w:rsidR="00EF2630">
        <w:rPr>
          <w:b/>
          <w:highlight w:val="yellow"/>
        </w:rPr>
        <w:t>nouveau Commandité</w:t>
      </w:r>
      <w:r>
        <w:rPr>
          <w:b/>
          <w:highlight w:val="yellow"/>
        </w:rPr>
        <w:t xml:space="preserve"> ou à une autre </w:t>
      </w:r>
      <w:r w:rsidR="00EF2630">
        <w:rPr>
          <w:b/>
          <w:highlight w:val="yellow"/>
        </w:rPr>
        <w:t>P</w:t>
      </w:r>
      <w:r>
        <w:rPr>
          <w:b/>
          <w:highlight w:val="yellow"/>
        </w:rPr>
        <w:t>ersonne.]</w:t>
      </w:r>
      <w:bookmarkStart w:name="_Ref113892865" w:id="546"/>
      <w:r>
        <w:rPr>
          <w:szCs w:val="22"/>
          <w:vertAlign w:val="superscript"/>
        </w:rPr>
        <w:footnoteReference w:id="119"/>
      </w:r>
      <w:bookmarkEnd w:id="545"/>
      <w:bookmarkEnd w:id="546"/>
    </w:p>
    <w:p w:rsidR="0000160C" w:rsidRDefault="00C517ED" w14:paraId="3BCC8F56" w14:textId="3B533E3D">
      <w:pPr>
        <w:pStyle w:val="ArtBJStyL2"/>
      </w:pPr>
      <w:bookmarkStart w:name="_Ref40806315" w:id="547"/>
      <w:bookmarkStart w:name="_Toc161762364" w:id="548"/>
      <w:r>
        <w:t xml:space="preserve">Conséquences </w:t>
      </w:r>
      <w:r w:rsidR="00E342C7">
        <w:t>de l’avis de résiliation</w:t>
      </w:r>
      <w:r>
        <w:t>.</w:t>
      </w:r>
      <w:bookmarkEnd w:id="547"/>
      <w:bookmarkEnd w:id="548"/>
    </w:p>
    <w:p w:rsidR="0000160C" w:rsidRDefault="00C517ED" w14:paraId="31A3B75A" w14:textId="03133F11">
      <w:pPr>
        <w:pStyle w:val="ArtBJStyCont2"/>
      </w:pPr>
      <w:r>
        <w:t xml:space="preserve">Sur </w:t>
      </w:r>
      <w:r w:rsidR="00E342C7">
        <w:t>remise</w:t>
      </w:r>
      <w:r>
        <w:t xml:space="preserve"> </w:t>
      </w:r>
      <w:r w:rsidR="00E342C7">
        <w:t xml:space="preserve">d’un Avis de destitution avec motif valable ou d’un Avis de destitution sans motif valable </w:t>
      </w:r>
      <w:r>
        <w:t>conformément à l</w:t>
      </w:r>
      <w:r w:rsidR="00E27310">
        <w:t>’</w:t>
      </w:r>
      <w:r>
        <w:t>article </w:t>
      </w:r>
      <w:r w:rsidRPr="006400F9">
        <w:fldChar w:fldCharType="begin"/>
      </w:r>
      <w:r w:rsidRPr="006400F9">
        <w:instrText xml:space="preserve"> REF _Ref40804069 \w \h </w:instrText>
      </w:r>
      <w:r w:rsidRPr="006400F9" w:rsidR="00791303">
        <w:instrText xml:space="preserve"> \* MERGEFORMAT </w:instrText>
      </w:r>
      <w:r w:rsidRPr="006400F9">
        <w:fldChar w:fldCharType="separate"/>
      </w:r>
      <w:r w:rsidR="00B50BE2">
        <w:t>10.1</w:t>
      </w:r>
      <w:r w:rsidRPr="006400F9">
        <w:fldChar w:fldCharType="end"/>
      </w:r>
      <w:r>
        <w:t xml:space="preserve"> (</w:t>
      </w:r>
      <w:r w:rsidRPr="00293FEC" w:rsidR="00293FEC">
        <w:rPr>
          <w:i/>
        </w:rPr>
        <w:fldChar w:fldCharType="begin"/>
      </w:r>
      <w:r w:rsidRPr="00293FEC" w:rsidR="00293FEC">
        <w:rPr>
          <w:i/>
        </w:rPr>
        <w:instrText xml:space="preserve"> REF _Ref40804069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Avis de destitution/résiliation.</w:t>
      </w:r>
      <w:r w:rsidRPr="00293FEC" w:rsidR="00293FEC">
        <w:rPr>
          <w:i/>
        </w:rPr>
        <w:fldChar w:fldCharType="end"/>
      </w:r>
      <w:r>
        <w:t xml:space="preserve">) dans </w:t>
      </w:r>
      <w:r w:rsidR="00E342C7">
        <w:t>lequel</w:t>
      </w:r>
      <w:r>
        <w:t xml:space="preserve"> les </w:t>
      </w:r>
      <w:r w:rsidR="00E342C7">
        <w:t>Co</w:t>
      </w:r>
      <w:r>
        <w:t xml:space="preserve">mmanditaires choisissent de </w:t>
      </w:r>
      <w:r w:rsidR="00E342C7">
        <w:t>résilier le</w:t>
      </w:r>
      <w:r>
        <w:t xml:space="preserve"> Fonds, le Fonds </w:t>
      </w:r>
      <w:r w:rsidR="00E342C7">
        <w:t>sera</w:t>
      </w:r>
      <w:r>
        <w:t xml:space="preserve"> dissous et liquidé conformément à l</w:t>
      </w:r>
      <w:r w:rsidR="00E342C7">
        <w:t xml:space="preserve">’article </w:t>
      </w:r>
      <w:r w:rsidRPr="006400F9">
        <w:fldChar w:fldCharType="begin"/>
      </w:r>
      <w:r w:rsidRPr="006400F9">
        <w:instrText xml:space="preserve"> REF _Ref40804233 \w \h </w:instrText>
      </w:r>
      <w:r w:rsidRPr="006400F9" w:rsidR="00791303">
        <w:instrText xml:space="preserve"> \* MERGEFORMAT </w:instrText>
      </w:r>
      <w:r w:rsidRPr="006400F9">
        <w:fldChar w:fldCharType="separate"/>
      </w:r>
      <w:r w:rsidR="00B50BE2">
        <w:t>18.2</w:t>
      </w:r>
      <w:r w:rsidRPr="006400F9">
        <w:fldChar w:fldCharType="end"/>
      </w:r>
      <w:r>
        <w:t xml:space="preserve"> (</w:t>
      </w:r>
      <w:r w:rsidRPr="00293FEC" w:rsidR="00293FEC">
        <w:rPr>
          <w:i/>
        </w:rPr>
        <w:fldChar w:fldCharType="begin"/>
      </w:r>
      <w:r w:rsidRPr="00293FEC" w:rsidR="00293FEC">
        <w:rPr>
          <w:i/>
        </w:rPr>
        <w:instrText xml:space="preserve"> REF _Ref113892658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Dissolution.</w:t>
      </w:r>
      <w:r w:rsidRPr="00293FEC" w:rsidR="00293FEC">
        <w:rPr>
          <w:i/>
        </w:rPr>
        <w:fldChar w:fldCharType="end"/>
      </w:r>
      <w:r>
        <w:t xml:space="preserve">) et </w:t>
      </w:r>
      <w:r w:rsidR="00E342C7">
        <w:t>l’article</w:t>
      </w:r>
      <w:r>
        <w:t>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B50BE2">
        <w:t>18.3</w:t>
      </w:r>
      <w:r w:rsidRPr="006400F9">
        <w:fldChar w:fldCharType="end"/>
      </w:r>
      <w:r>
        <w:t xml:space="preserve"> (</w:t>
      </w:r>
      <w:r w:rsidRPr="00293FEC" w:rsidR="00293FEC">
        <w:rPr>
          <w:i/>
        </w:rPr>
        <w:fldChar w:fldCharType="begin"/>
      </w:r>
      <w:r w:rsidRPr="00293FEC" w:rsidR="00293FEC">
        <w:rPr>
          <w:i/>
        </w:rPr>
        <w:instrText xml:space="preserve"> REF _Ref47555170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Procédure préalable à la dissolution.</w:t>
      </w:r>
      <w:r w:rsidRPr="00293FEC" w:rsidR="00293FEC">
        <w:rPr>
          <w:i/>
        </w:rPr>
        <w:fldChar w:fldCharType="end"/>
      </w:r>
      <w:r>
        <w:t>)</w:t>
      </w:r>
      <w:r w:rsidR="00E342C7">
        <w:t>,</w:t>
      </w:r>
      <w:r>
        <w:t xml:space="preserve"> à condition que, dans le cas d</w:t>
      </w:r>
      <w:r w:rsidR="00E27310">
        <w:t>’</w:t>
      </w:r>
      <w:r>
        <w:t xml:space="preserve">une résiliation du Fonds à la </w:t>
      </w:r>
      <w:r w:rsidR="00641BD0">
        <w:t>suite</w:t>
      </w:r>
      <w:r>
        <w:t xml:space="preserve"> d</w:t>
      </w:r>
      <w:r w:rsidR="00E27310">
        <w:t>’</w:t>
      </w:r>
      <w:r>
        <w:t xml:space="preserve">un </w:t>
      </w:r>
      <w:r w:rsidR="00641BD0">
        <w:t>Avis de de destitution avec motif valable</w:t>
      </w:r>
      <w:r>
        <w:t xml:space="preserve">, le droit du </w:t>
      </w:r>
      <w:r w:rsidR="00641BD0">
        <w:t>Commandité</w:t>
      </w:r>
      <w:r>
        <w:t xml:space="preserve"> de recevoir d</w:t>
      </w:r>
      <w:r w:rsidR="00E27310">
        <w:t>’</w:t>
      </w:r>
      <w:r>
        <w:t xml:space="preserve">autres distributions </w:t>
      </w:r>
      <w:r w:rsidR="00641BD0">
        <w:t>de Distributions spéciales</w:t>
      </w:r>
      <w:r>
        <w:t xml:space="preserve"> du Fonds prenne fin immédiatement et automatiquement</w:t>
      </w:r>
      <w:r w:rsidR="00641BD0">
        <w:t xml:space="preserve"> et</w:t>
      </w:r>
      <w:r>
        <w:t xml:space="preserve"> </w:t>
      </w:r>
      <w:r w:rsidR="00641BD0">
        <w:t>qu’</w:t>
      </w:r>
      <w:r>
        <w:t xml:space="preserve">aucune autre distribution </w:t>
      </w:r>
      <w:r w:rsidR="00641BD0">
        <w:t>de Distributions spéciales</w:t>
      </w:r>
      <w:r>
        <w:t xml:space="preserve"> ne </w:t>
      </w:r>
      <w:r w:rsidR="00641BD0">
        <w:t>soit</w:t>
      </w:r>
      <w:r>
        <w:t xml:space="preserve"> faite au </w:t>
      </w:r>
      <w:r w:rsidR="00641BD0">
        <w:t>Commandité</w:t>
      </w:r>
      <w:r>
        <w:t xml:space="preserve">, </w:t>
      </w:r>
      <w:r>
        <w:rPr>
          <w:b/>
          <w:highlight w:val="yellow"/>
        </w:rPr>
        <w:t xml:space="preserve">[et </w:t>
      </w:r>
      <w:r w:rsidR="00641BD0">
        <w:rPr>
          <w:b/>
          <w:highlight w:val="yellow"/>
        </w:rPr>
        <w:t xml:space="preserve">que </w:t>
      </w:r>
      <w:r>
        <w:rPr>
          <w:b/>
          <w:highlight w:val="yellow"/>
        </w:rPr>
        <w:t xml:space="preserve">tout montant </w:t>
      </w:r>
      <w:r w:rsidR="00641BD0">
        <w:rPr>
          <w:b/>
          <w:highlight w:val="yellow"/>
        </w:rPr>
        <w:t>retenu</w:t>
      </w:r>
      <w:r>
        <w:rPr>
          <w:b/>
          <w:highlight w:val="yellow"/>
        </w:rPr>
        <w:t xml:space="preserve"> dans le Compte </w:t>
      </w:r>
      <w:r w:rsidR="00641BD0">
        <w:rPr>
          <w:b/>
          <w:highlight w:val="yellow"/>
        </w:rPr>
        <w:t>d’entiercement</w:t>
      </w:r>
      <w:r>
        <w:rPr>
          <w:b/>
          <w:highlight w:val="yellow"/>
        </w:rPr>
        <w:t>, le cas échéant, conformément à l</w:t>
      </w:r>
      <w:r w:rsidR="00E27310">
        <w:rPr>
          <w:b/>
          <w:highlight w:val="yellow"/>
        </w:rPr>
        <w:t>’</w:t>
      </w:r>
      <w:r>
        <w:rPr>
          <w:b/>
          <w:highlight w:val="yellow"/>
        </w:rPr>
        <w:t>article </w:t>
      </w:r>
      <w:r w:rsidRPr="00E46B99">
        <w:rPr>
          <w:b/>
          <w:highlight w:val="yellow"/>
        </w:rPr>
        <w:fldChar w:fldCharType="begin"/>
      </w:r>
      <w:r w:rsidRPr="00E46B99">
        <w:rPr>
          <w:b/>
          <w:highlight w:val="yellow"/>
        </w:rPr>
        <w:instrText xml:space="preserve"> REF _Ref40801365 \w \h </w:instrText>
      </w:r>
      <w:r w:rsidRPr="00E46B99" w:rsidR="00791303">
        <w:rPr>
          <w:b/>
          <w:highlight w:val="yellow"/>
        </w:rPr>
        <w:instrText xml:space="preserve"> \* MERGEFORMAT </w:instrText>
      </w:r>
      <w:r w:rsidRPr="00E46B99">
        <w:rPr>
          <w:b/>
          <w:highlight w:val="yellow"/>
        </w:rPr>
      </w:r>
      <w:r w:rsidRPr="00E46B99">
        <w:rPr>
          <w:b/>
          <w:highlight w:val="yellow"/>
        </w:rPr>
        <w:fldChar w:fldCharType="separate"/>
      </w:r>
      <w:r w:rsidR="00B50BE2">
        <w:rPr>
          <w:b/>
          <w:highlight w:val="yellow"/>
        </w:rPr>
        <w:t>14.7(b)</w:t>
      </w:r>
      <w:r w:rsidRPr="00E46B99">
        <w:rPr>
          <w:b/>
          <w:highlight w:val="yellow"/>
        </w:rPr>
        <w:fldChar w:fldCharType="end"/>
      </w:r>
      <w:r>
        <w:rPr>
          <w:b/>
          <w:highlight w:val="yellow"/>
        </w:rPr>
        <w:t xml:space="preserve"> (</w:t>
      </w:r>
      <w:r w:rsidRPr="00E46B99" w:rsidR="00293FEC">
        <w:rPr>
          <w:b/>
          <w:i/>
          <w:highlight w:val="yellow"/>
        </w:rPr>
        <w:fldChar w:fldCharType="begin"/>
      </w:r>
      <w:r w:rsidRPr="00E46B99" w:rsidR="00293FEC">
        <w:rPr>
          <w:b/>
          <w:i/>
          <w:highlight w:val="yellow"/>
        </w:rPr>
        <w:instrText xml:space="preserve"> REF _Ref85271165 \h  \* MERGEFORMAT </w:instrText>
      </w:r>
      <w:r w:rsidRPr="00E46B99" w:rsidR="00293FEC">
        <w:rPr>
          <w:b/>
          <w:i/>
          <w:highlight w:val="yellow"/>
        </w:rPr>
      </w:r>
      <w:r w:rsidRPr="00E46B99" w:rsidR="00293FEC">
        <w:rPr>
          <w:b/>
          <w:i/>
          <w:highlight w:val="yellow"/>
        </w:rPr>
        <w:fldChar w:fldCharType="separate"/>
      </w:r>
      <w:r w:rsidRPr="00B50BE2" w:rsidR="00B50BE2">
        <w:rPr>
          <w:b/>
          <w:i/>
          <w:highlight w:val="yellow"/>
        </w:rPr>
        <w:t>Recouvrement.</w:t>
      </w:r>
      <w:r w:rsidRPr="00E46B99" w:rsidR="00293FEC">
        <w:rPr>
          <w:b/>
          <w:i/>
          <w:highlight w:val="yellow"/>
        </w:rPr>
        <w:fldChar w:fldCharType="end"/>
      </w:r>
      <w:r>
        <w:rPr>
          <w:b/>
          <w:highlight w:val="yellow"/>
        </w:rPr>
        <w:t xml:space="preserve">) </w:t>
      </w:r>
      <w:r w:rsidR="00641BD0">
        <w:rPr>
          <w:b/>
          <w:highlight w:val="yellow"/>
        </w:rPr>
        <w:t>soit</w:t>
      </w:r>
      <w:r>
        <w:rPr>
          <w:b/>
          <w:highlight w:val="yellow"/>
        </w:rPr>
        <w:t xml:space="preserve"> immédiatement retourné au Fonds pour distribution aux </w:t>
      </w:r>
      <w:r w:rsidR="00641BD0">
        <w:rPr>
          <w:b/>
          <w:highlight w:val="yellow"/>
        </w:rPr>
        <w:t>C</w:t>
      </w:r>
      <w:r>
        <w:rPr>
          <w:b/>
          <w:highlight w:val="yellow"/>
        </w:rPr>
        <w:t>ommanditaires] [; à condition, en outre, qu</w:t>
      </w:r>
      <w:r w:rsidR="00E27310">
        <w:rPr>
          <w:b/>
          <w:highlight w:val="yellow"/>
        </w:rPr>
        <w:t>’</w:t>
      </w:r>
      <w:r>
        <w:rPr>
          <w:b/>
          <w:highlight w:val="yellow"/>
        </w:rPr>
        <w:t>en ce qui concerne une résiliation du Fonds à la remise d</w:t>
      </w:r>
      <w:r w:rsidR="00E27310">
        <w:rPr>
          <w:b/>
          <w:highlight w:val="yellow"/>
        </w:rPr>
        <w:t>’</w:t>
      </w:r>
      <w:r>
        <w:rPr>
          <w:b/>
          <w:highlight w:val="yellow"/>
        </w:rPr>
        <w:t xml:space="preserve">un </w:t>
      </w:r>
      <w:r w:rsidR="00641BD0">
        <w:rPr>
          <w:b/>
          <w:highlight w:val="yellow"/>
        </w:rPr>
        <w:t>A</w:t>
      </w:r>
      <w:r>
        <w:rPr>
          <w:b/>
          <w:highlight w:val="yellow"/>
        </w:rPr>
        <w:t xml:space="preserve">vis de </w:t>
      </w:r>
      <w:r w:rsidR="00641BD0">
        <w:rPr>
          <w:b/>
          <w:highlight w:val="yellow"/>
        </w:rPr>
        <w:t>destitution</w:t>
      </w:r>
      <w:r>
        <w:rPr>
          <w:b/>
          <w:highlight w:val="yellow"/>
        </w:rPr>
        <w:t xml:space="preserve"> sans motif valable, le droit du </w:t>
      </w:r>
      <w:r w:rsidR="00641BD0">
        <w:rPr>
          <w:b/>
          <w:highlight w:val="yellow"/>
        </w:rPr>
        <w:t>C</w:t>
      </w:r>
      <w:r>
        <w:rPr>
          <w:b/>
          <w:highlight w:val="yellow"/>
        </w:rPr>
        <w:t>ommandité de recevoir d</w:t>
      </w:r>
      <w:r w:rsidR="00E27310">
        <w:rPr>
          <w:b/>
          <w:highlight w:val="yellow"/>
        </w:rPr>
        <w:t>’</w:t>
      </w:r>
      <w:r>
        <w:rPr>
          <w:b/>
          <w:highlight w:val="yellow"/>
        </w:rPr>
        <w:t xml:space="preserve">autres distributions </w:t>
      </w:r>
      <w:r w:rsidR="00641BD0">
        <w:rPr>
          <w:b/>
          <w:highlight w:val="yellow"/>
        </w:rPr>
        <w:t>de Distributions spéciales</w:t>
      </w:r>
      <w:r>
        <w:rPr>
          <w:b/>
          <w:highlight w:val="yellow"/>
        </w:rPr>
        <w:t xml:space="preserve"> </w:t>
      </w:r>
      <w:r w:rsidR="00641BD0">
        <w:rPr>
          <w:b/>
          <w:highlight w:val="yellow"/>
        </w:rPr>
        <w:t>soit</w:t>
      </w:r>
      <w:r>
        <w:rPr>
          <w:b/>
          <w:highlight w:val="yellow"/>
        </w:rPr>
        <w:t xml:space="preserve"> immédiatement et automatiquement réduit à [___]%</w:t>
      </w:r>
      <w:bookmarkStart w:name="_Ref113892866" w:id="549"/>
      <w:r>
        <w:rPr>
          <w:b/>
          <w:szCs w:val="22"/>
          <w:highlight w:val="yellow"/>
          <w:vertAlign w:val="superscript"/>
        </w:rPr>
        <w:footnoteReference w:id="120"/>
      </w:r>
      <w:bookmarkEnd w:id="549"/>
      <w:r>
        <w:rPr>
          <w:b/>
          <w:highlight w:val="yellow"/>
        </w:rPr>
        <w:t xml:space="preserve"> des </w:t>
      </w:r>
      <w:r w:rsidR="005243C3">
        <w:rPr>
          <w:b/>
          <w:highlight w:val="yellow"/>
        </w:rPr>
        <w:t>Distributions</w:t>
      </w:r>
      <w:r w:rsidR="00641BD0">
        <w:rPr>
          <w:b/>
          <w:highlight w:val="yellow"/>
        </w:rPr>
        <w:t xml:space="preserve"> spéciales</w:t>
      </w:r>
      <w:r>
        <w:rPr>
          <w:b/>
          <w:highlight w:val="yellow"/>
        </w:rPr>
        <w:t xml:space="preserve"> auxquel</w:t>
      </w:r>
      <w:r w:rsidR="00641BD0">
        <w:rPr>
          <w:b/>
          <w:highlight w:val="yellow"/>
        </w:rPr>
        <w:t>le</w:t>
      </w:r>
      <w:r>
        <w:rPr>
          <w:b/>
          <w:highlight w:val="yellow"/>
        </w:rPr>
        <w:t xml:space="preserve">s il a </w:t>
      </w:r>
      <w:r w:rsidR="00641BD0">
        <w:rPr>
          <w:b/>
          <w:highlight w:val="yellow"/>
        </w:rPr>
        <w:t xml:space="preserve">autrement </w:t>
      </w:r>
      <w:r>
        <w:rPr>
          <w:b/>
          <w:highlight w:val="yellow"/>
        </w:rPr>
        <w:t>droit]</w:t>
      </w:r>
      <w:r>
        <w:t>.</w:t>
      </w:r>
    </w:p>
    <w:p w:rsidR="0000160C" w:rsidRDefault="00C517ED" w14:paraId="70BDBAC1" w14:textId="09B53DE2">
      <w:pPr>
        <w:pStyle w:val="ArtBJStyL1"/>
      </w:pPr>
      <w:r>
        <w:lastRenderedPageBreak/>
        <w:br/>
      </w:r>
      <w:bookmarkStart w:name="_Ref40806952" w:id="550"/>
      <w:bookmarkStart w:name="_Toc161762365" w:id="551"/>
      <w:r>
        <w:t xml:space="preserve">Événement </w:t>
      </w:r>
      <w:r w:rsidR="004F1517">
        <w:t>VISANT LES PERSONNES-</w:t>
      </w:r>
      <w:proofErr w:type="gramStart"/>
      <w:r w:rsidR="004F1517">
        <w:t>CLÉS</w:t>
      </w:r>
      <w:r>
        <w:t>;</w:t>
      </w:r>
      <w:proofErr w:type="gramEnd"/>
      <w:r>
        <w:t xml:space="preserve"> Suspension</w:t>
      </w:r>
      <w:bookmarkEnd w:id="550"/>
      <w:bookmarkEnd w:id="551"/>
    </w:p>
    <w:p w:rsidR="0000160C" w:rsidRDefault="00C517ED" w14:paraId="39B26DC2" w14:textId="712C6B16">
      <w:pPr>
        <w:pStyle w:val="ArtBJStyL2"/>
      </w:pPr>
      <w:bookmarkStart w:name="_Ref113892549" w:id="552"/>
      <w:bookmarkStart w:name="_Toc161762366" w:id="553"/>
      <w:r>
        <w:t xml:space="preserve">Avis </w:t>
      </w:r>
      <w:r w:rsidR="00641BD0">
        <w:t>d’un Événement visant les Personnes-clés</w:t>
      </w:r>
      <w:r>
        <w:t>.</w:t>
      </w:r>
      <w:bookmarkEnd w:id="552"/>
      <w:bookmarkEnd w:id="553"/>
    </w:p>
    <w:p w:rsidR="0000160C" w:rsidRDefault="00C517ED" w14:paraId="0D2977D5" w14:textId="530591A8">
      <w:pPr>
        <w:pStyle w:val="ArtBJStyCont2"/>
      </w:pPr>
      <w:r>
        <w:t xml:space="preserve">Le </w:t>
      </w:r>
      <w:r w:rsidR="00641BD0">
        <w:t>C</w:t>
      </w:r>
      <w:r>
        <w:t xml:space="preserve">ommandité doit immédiatement aviser chaque </w:t>
      </w:r>
      <w:r w:rsidR="00641BD0">
        <w:t>C</w:t>
      </w:r>
      <w:r>
        <w:t xml:space="preserve">ommanditaire par écrit </w:t>
      </w:r>
      <w:r w:rsidR="003D507D">
        <w:t xml:space="preserve">en cas </w:t>
      </w:r>
      <w:r>
        <w:t xml:space="preserve">de tout </w:t>
      </w:r>
      <w:r w:rsidR="00641BD0">
        <w:t>É</w:t>
      </w:r>
      <w:r>
        <w:t xml:space="preserve">vénement </w:t>
      </w:r>
      <w:r w:rsidR="00641BD0">
        <w:t>visant</w:t>
      </w:r>
      <w:r>
        <w:t xml:space="preserve"> </w:t>
      </w:r>
      <w:r w:rsidR="00641BD0">
        <w:t>les Personnes-clés</w:t>
      </w:r>
      <w:r>
        <w:t>.</w:t>
      </w:r>
    </w:p>
    <w:p w:rsidR="0000160C" w:rsidRDefault="00C517ED" w14:paraId="0AE6DD61" w14:textId="7A667CF5">
      <w:pPr>
        <w:pStyle w:val="ArtBJStyL2"/>
      </w:pPr>
      <w:bookmarkStart w:name="_Ref94729849" w:id="554"/>
      <w:bookmarkStart w:name="_Toc161762367" w:id="555"/>
      <w:r>
        <w:t>Conséquences de l</w:t>
      </w:r>
      <w:r w:rsidR="00E27310">
        <w:t>’</w:t>
      </w:r>
      <w:r>
        <w:t>avis d</w:t>
      </w:r>
      <w:r w:rsidR="00E27310">
        <w:t>’</w:t>
      </w:r>
      <w:r w:rsidR="00641BD0">
        <w:t>un É</w:t>
      </w:r>
      <w:r>
        <w:t xml:space="preserve">vénement </w:t>
      </w:r>
      <w:r w:rsidR="00641BD0">
        <w:t>visant les Personnes-clés</w:t>
      </w:r>
      <w:r>
        <w:t>.</w:t>
      </w:r>
      <w:bookmarkEnd w:id="554"/>
      <w:bookmarkEnd w:id="555"/>
    </w:p>
    <w:p w:rsidR="0000160C" w:rsidRDefault="00C517ED" w14:paraId="55C79227" w14:textId="28C843A1">
      <w:pPr>
        <w:pStyle w:val="ArtBJStyCont2"/>
      </w:pPr>
      <w:r>
        <w:t>En cas d</w:t>
      </w:r>
      <w:r w:rsidR="00E27310">
        <w:t>’</w:t>
      </w:r>
      <w:r w:rsidR="003D507D">
        <w:t>É</w:t>
      </w:r>
      <w:r>
        <w:t xml:space="preserve">vénement </w:t>
      </w:r>
      <w:r w:rsidR="003D507D">
        <w:t>visant les Personnes-clés</w:t>
      </w:r>
      <w:r>
        <w:t xml:space="preserve">, la </w:t>
      </w:r>
      <w:r w:rsidR="003D507D">
        <w:t>P</w:t>
      </w:r>
      <w:r>
        <w:t>ériode d</w:t>
      </w:r>
      <w:r w:rsidR="00E27310">
        <w:t>’</w:t>
      </w:r>
      <w:r>
        <w:t>engagement sera automatiquement et immédiatement suspendue jusqu</w:t>
      </w:r>
      <w:r w:rsidR="00E27310">
        <w:t>’</w:t>
      </w:r>
      <w:r>
        <w:t xml:space="preserve">à ce que </w:t>
      </w:r>
      <w:r>
        <w:rPr>
          <w:b/>
          <w:bCs/>
          <w:highlight w:val="yellow"/>
        </w:rPr>
        <w:t xml:space="preserve">[le </w:t>
      </w:r>
      <w:r w:rsidR="00980C6E">
        <w:rPr>
          <w:b/>
          <w:bCs/>
          <w:highlight w:val="yellow"/>
        </w:rPr>
        <w:t>Comité consultatif des Commanditaires</w:t>
      </w:r>
      <w:r>
        <w:rPr>
          <w:b/>
          <w:bCs/>
          <w:highlight w:val="yellow"/>
        </w:rPr>
        <w:t xml:space="preserve"> ou une </w:t>
      </w:r>
      <w:r w:rsidR="0072655F">
        <w:rPr>
          <w:b/>
          <w:bCs/>
          <w:highlight w:val="yellow"/>
        </w:rPr>
        <w:t>Majorité de Participations</w:t>
      </w:r>
      <w:r>
        <w:rPr>
          <w:b/>
          <w:bCs/>
          <w:highlight w:val="yellow"/>
        </w:rPr>
        <w:t>]</w:t>
      </w:r>
      <w:r w:rsidRPr="005933FC">
        <w:rPr>
          <w:b/>
          <w:bCs/>
        </w:rPr>
        <w:t xml:space="preserve"> </w:t>
      </w:r>
      <w:r>
        <w:t xml:space="preserve">approuve par écrit un plan de mesures correctives pour cet </w:t>
      </w:r>
      <w:r w:rsidRPr="003D507D" w:rsidR="003D507D">
        <w:t>Événement visant les Personnes-clés</w:t>
      </w:r>
      <w:r>
        <w:t xml:space="preserve"> ou renonce à cette suspension de manière générale ou en ce qui concerne un ou plusieurs </w:t>
      </w:r>
      <w:r w:rsidR="003D507D">
        <w:t>I</w:t>
      </w:r>
      <w:r>
        <w:t xml:space="preserve">nvestissements de portefeuille spécifiés. </w:t>
      </w:r>
      <w:r>
        <w:rPr>
          <w:highlight w:val="yellow"/>
        </w:rPr>
        <w:t xml:space="preserve"> </w:t>
      </w:r>
    </w:p>
    <w:p w:rsidR="0000160C" w:rsidRDefault="003D507D" w14:paraId="643EB9AF" w14:textId="2CD284A4">
      <w:pPr>
        <w:pStyle w:val="ArtBJStyL2"/>
      </w:pPr>
      <w:bookmarkStart w:name="_Ref113892550" w:id="556"/>
      <w:bookmarkStart w:name="_Toc161762368" w:id="557"/>
      <w:r>
        <w:t>Résiliation</w:t>
      </w:r>
      <w:r w:rsidR="00C517ED">
        <w:t xml:space="preserve"> de la </w:t>
      </w:r>
      <w:r>
        <w:t>P</w:t>
      </w:r>
      <w:r w:rsidR="00C517ED">
        <w:t>ériode d</w:t>
      </w:r>
      <w:r w:rsidR="00E27310">
        <w:t>’</w:t>
      </w:r>
      <w:r w:rsidR="00C517ED">
        <w:t>engagement.</w:t>
      </w:r>
      <w:bookmarkEnd w:id="556"/>
      <w:bookmarkEnd w:id="557"/>
    </w:p>
    <w:p w:rsidR="0000160C" w:rsidRDefault="00C517ED" w14:paraId="55664E68" w14:textId="40F6C4FE">
      <w:pPr>
        <w:pStyle w:val="ArtBJStyCont2"/>
      </w:pPr>
      <w:r>
        <w:t xml:space="preserve">Si une </w:t>
      </w:r>
      <w:r w:rsidR="0072655F">
        <w:t>Majorité de Participations</w:t>
      </w:r>
      <w:r>
        <w:t xml:space="preserve"> n</w:t>
      </w:r>
      <w:r w:rsidR="00E27310">
        <w:t>’</w:t>
      </w:r>
      <w:r>
        <w:t xml:space="preserve">approuve pas un plan de mesures correctives ou renonce à une suspension liée à un </w:t>
      </w:r>
      <w:r w:rsidRPr="003D507D" w:rsidR="003D507D">
        <w:t xml:space="preserve">Événement visant les Personnes-clés </w:t>
      </w:r>
      <w:r>
        <w:t>ou à une suspension en vertu de l</w:t>
      </w:r>
      <w:r w:rsidR="00E27310">
        <w:t>’</w:t>
      </w:r>
      <w:r>
        <w:t xml:space="preserve">article </w:t>
      </w:r>
      <w:r w:rsidR="0018072B">
        <w:fldChar w:fldCharType="begin"/>
      </w:r>
      <w:r w:rsidR="0018072B">
        <w:instrText xml:space="preserve"> REF _Ref94729849 \r \h </w:instrText>
      </w:r>
      <w:r w:rsidR="0018072B">
        <w:fldChar w:fldCharType="separate"/>
      </w:r>
      <w:r w:rsidR="00B50BE2">
        <w:t>11.2</w:t>
      </w:r>
      <w:r w:rsidR="0018072B">
        <w:fldChar w:fldCharType="end"/>
      </w:r>
      <w:r>
        <w:t xml:space="preserve"> (</w:t>
      </w:r>
      <w:r w:rsidRPr="00293FEC" w:rsidR="00293FEC">
        <w:rPr>
          <w:i/>
        </w:rPr>
        <w:fldChar w:fldCharType="begin"/>
      </w:r>
      <w:r w:rsidRPr="00293FEC" w:rsidR="00293FEC">
        <w:rPr>
          <w:i/>
        </w:rPr>
        <w:instrText xml:space="preserve"> REF _Ref94729849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Conséquences de l’avis d’un Événement visant les Personnes-clés.</w:t>
      </w:r>
      <w:r w:rsidRPr="00293FEC" w:rsidR="00293FEC">
        <w:rPr>
          <w:i/>
        </w:rPr>
        <w:fldChar w:fldCharType="end"/>
      </w:r>
      <w:r>
        <w:t xml:space="preserve">) dans les </w:t>
      </w:r>
      <w:r>
        <w:rPr>
          <w:b/>
          <w:highlight w:val="yellow"/>
        </w:rPr>
        <w:t>[90]</w:t>
      </w:r>
      <w:bookmarkStart w:name="_Ref113892867" w:id="558"/>
      <w:r>
        <w:rPr>
          <w:szCs w:val="22"/>
          <w:vertAlign w:val="superscript"/>
        </w:rPr>
        <w:footnoteReference w:id="121"/>
      </w:r>
      <w:bookmarkEnd w:id="558"/>
      <w:r>
        <w:t xml:space="preserve"> jours de toute suspension de la Période d</w:t>
      </w:r>
      <w:r w:rsidR="00E27310">
        <w:t>’</w:t>
      </w:r>
      <w:r>
        <w:t>engagement, et jusqu</w:t>
      </w:r>
      <w:r w:rsidR="00E27310">
        <w:t>’</w:t>
      </w:r>
      <w:r>
        <w:t xml:space="preserve">à ce que </w:t>
      </w:r>
      <w:r>
        <w:rPr>
          <w:b/>
          <w:bCs/>
          <w:highlight w:val="yellow"/>
        </w:rPr>
        <w:t xml:space="preserve">[le Comité consultatif </w:t>
      </w:r>
      <w:r w:rsidR="003D507D">
        <w:rPr>
          <w:b/>
          <w:bCs/>
          <w:highlight w:val="yellow"/>
        </w:rPr>
        <w:t>des Commanditaires</w:t>
      </w:r>
      <w:r>
        <w:rPr>
          <w:b/>
          <w:bCs/>
          <w:highlight w:val="yellow"/>
        </w:rPr>
        <w:t xml:space="preserve"> ou une </w:t>
      </w:r>
      <w:r w:rsidR="0072655F">
        <w:rPr>
          <w:b/>
          <w:bCs/>
          <w:highlight w:val="yellow"/>
        </w:rPr>
        <w:t>Majorité de Participations</w:t>
      </w:r>
      <w:r>
        <w:rPr>
          <w:b/>
          <w:bCs/>
          <w:highlight w:val="yellow"/>
        </w:rPr>
        <w:t>]</w:t>
      </w:r>
      <w:r w:rsidRPr="003D507D">
        <w:rPr>
          <w:b/>
          <w:bCs/>
        </w:rPr>
        <w:t xml:space="preserve"> </w:t>
      </w:r>
      <w:r>
        <w:rPr>
          <w:bCs/>
        </w:rPr>
        <w:t xml:space="preserve">approuve par écrit </w:t>
      </w:r>
      <w:r>
        <w:t>un plan de mesures correctives, alors la Période d</w:t>
      </w:r>
      <w:r w:rsidR="00E27310">
        <w:t>’</w:t>
      </w:r>
      <w:r>
        <w:t xml:space="preserve">engagement sera automatiquement et immédiatement résiliée. </w:t>
      </w:r>
    </w:p>
    <w:p w:rsidR="0000160C" w:rsidRDefault="00C517ED" w14:paraId="50DAD1D5" w14:textId="56D1AFDB">
      <w:pPr>
        <w:pStyle w:val="ArtBJStyL2"/>
      </w:pPr>
      <w:bookmarkStart w:name="_Ref113892551" w:id="559"/>
      <w:bookmarkStart w:name="_Toc161762369" w:id="560"/>
      <w:r>
        <w:t xml:space="preserve">Limitation des </w:t>
      </w:r>
      <w:r w:rsidR="003D507D">
        <w:t>A</w:t>
      </w:r>
      <w:r>
        <w:t xml:space="preserve">pports </w:t>
      </w:r>
      <w:r w:rsidR="003D507D">
        <w:t>de</w:t>
      </w:r>
      <w:r>
        <w:t xml:space="preserve"> capital.</w:t>
      </w:r>
      <w:bookmarkEnd w:id="559"/>
      <w:bookmarkEnd w:id="560"/>
    </w:p>
    <w:p w:rsidR="0000160C" w:rsidRDefault="003D507D" w14:paraId="75B0C15A" w14:textId="6D92024A">
      <w:pPr>
        <w:pStyle w:val="ArtBJStyCont2"/>
        <w:keepNext/>
      </w:pPr>
      <w:r>
        <w:t>À</w:t>
      </w:r>
      <w:r w:rsidR="00C517ED">
        <w:t xml:space="preserve"> tout moment au cours duquel les activités d</w:t>
      </w:r>
      <w:r w:rsidR="00E27310">
        <w:t>’</w:t>
      </w:r>
      <w:r w:rsidR="00C517ED">
        <w:t xml:space="preserve">investissement du Fonds sont suspendues ou </w:t>
      </w:r>
      <w:r>
        <w:t>résiliées</w:t>
      </w:r>
      <w:r w:rsidR="00C517ED">
        <w:t xml:space="preserve"> en vertu du présent </w:t>
      </w:r>
      <w:r w:rsidRPr="006400F9" w:rsidR="00C517ED">
        <w:fldChar w:fldCharType="begin"/>
      </w:r>
      <w:r w:rsidRPr="006400F9" w:rsidR="00C517ED">
        <w:instrText xml:space="preserve"> REF _Ref40806952 \w \h </w:instrText>
      </w:r>
      <w:r w:rsidRPr="006400F9" w:rsidR="00791303">
        <w:instrText xml:space="preserve"> \* MERGEFORMAT </w:instrText>
      </w:r>
      <w:r w:rsidRPr="006400F9" w:rsidR="00C517ED">
        <w:fldChar w:fldCharType="separate"/>
      </w:r>
      <w:r w:rsidR="00B50BE2">
        <w:t>Article 11</w:t>
      </w:r>
      <w:r w:rsidRPr="006400F9" w:rsidR="00C517ED">
        <w:fldChar w:fldCharType="end"/>
      </w:r>
      <w:r w:rsidR="00C517ED">
        <w:t xml:space="preserve"> (</w:t>
      </w:r>
      <w:r w:rsidRPr="00293FEC" w:rsidR="00293FEC">
        <w:rPr>
          <w:i/>
        </w:rPr>
        <w:fldChar w:fldCharType="begin"/>
      </w:r>
      <w:r w:rsidRPr="00293FEC" w:rsidR="00293FEC">
        <w:rPr>
          <w:i/>
        </w:rPr>
        <w:instrText xml:space="preserve"> REF _Ref40806952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Événement VISANT LES PERSONNES-</w:t>
      </w:r>
      <w:proofErr w:type="gramStart"/>
      <w:r w:rsidRPr="00B50BE2" w:rsidR="00B50BE2">
        <w:rPr>
          <w:i/>
        </w:rPr>
        <w:t>CLÉS;</w:t>
      </w:r>
      <w:proofErr w:type="gramEnd"/>
      <w:r w:rsidRPr="00B50BE2" w:rsidR="00B50BE2">
        <w:rPr>
          <w:i/>
        </w:rPr>
        <w:t xml:space="preserve"> Suspension</w:t>
      </w:r>
      <w:r w:rsidRPr="00293FEC" w:rsidR="00293FEC">
        <w:rPr>
          <w:i/>
        </w:rPr>
        <w:fldChar w:fldCharType="end"/>
      </w:r>
      <w:r w:rsidR="00C517ED">
        <w:t xml:space="preserve">), aucun </w:t>
      </w:r>
      <w:r>
        <w:t>Avis d’appel de versement</w:t>
      </w:r>
      <w:r w:rsidR="00C517ED">
        <w:t xml:space="preserve"> ne peut être émis à un </w:t>
      </w:r>
      <w:r>
        <w:t>C</w:t>
      </w:r>
      <w:r w:rsidR="00C517ED">
        <w:t xml:space="preserve">ommanditaire sans le consentement écrit préalable du </w:t>
      </w:r>
      <w:r w:rsidR="00980C6E">
        <w:t>Comité consultatif des Commanditaires</w:t>
      </w:r>
      <w:r w:rsidR="00C517ED">
        <w:t xml:space="preserve">, sauf </w:t>
      </w:r>
      <w:r>
        <w:t>pour</w:t>
      </w:r>
      <w:r w:rsidR="00C517ED">
        <w:t xml:space="preserve"> :</w:t>
      </w:r>
    </w:p>
    <w:p w:rsidR="0000160C" w:rsidRDefault="00C517ED" w14:paraId="18F685E5" w14:textId="0EB3DA20">
      <w:pPr>
        <w:pStyle w:val="ArtBJStyL3"/>
      </w:pPr>
      <w:bookmarkStart w:name="_Ref113892552" w:id="561"/>
      <w:proofErr w:type="gramStart"/>
      <w:r>
        <w:t>payer</w:t>
      </w:r>
      <w:proofErr w:type="gramEnd"/>
      <w:r>
        <w:t xml:space="preserve"> les </w:t>
      </w:r>
      <w:r w:rsidR="003D507D">
        <w:t>D</w:t>
      </w:r>
      <w:r>
        <w:t xml:space="preserve">épenses du </w:t>
      </w:r>
      <w:r w:rsidR="003D507D">
        <w:t>F</w:t>
      </w:r>
      <w:r>
        <w:t>onds;</w:t>
      </w:r>
      <w:bookmarkEnd w:id="561"/>
    </w:p>
    <w:p w:rsidR="0000160C" w:rsidRDefault="003D507D" w14:paraId="447B60C2" w14:textId="5EE4DB31">
      <w:pPr>
        <w:pStyle w:val="ArtBJStyL3"/>
      </w:pPr>
      <w:bookmarkStart w:name="_Ref113892553" w:id="562"/>
      <w:r>
        <w:t>compléter les I</w:t>
      </w:r>
      <w:r w:rsidR="00C517ED">
        <w:t>nvestissements de portefeuille (y compris, sous réserve de l</w:t>
      </w:r>
      <w:r>
        <w:t xml:space="preserve">’article </w:t>
      </w:r>
      <w:r w:rsidRPr="006400F9" w:rsidR="00C517ED">
        <w:fldChar w:fldCharType="begin"/>
      </w:r>
      <w:r w:rsidRPr="006400F9" w:rsidR="00C517ED">
        <w:instrText xml:space="preserve"> REF _Ref40803474 \w \h </w:instrText>
      </w:r>
      <w:r w:rsidRPr="006400F9" w:rsidR="00791303">
        <w:instrText xml:space="preserve"> \* MERGEFORMAT </w:instrText>
      </w:r>
      <w:r w:rsidRPr="006400F9" w:rsidR="00C517ED">
        <w:fldChar w:fldCharType="separate"/>
      </w:r>
      <w:r w:rsidR="00B50BE2">
        <w:t>7.1(d)(v)</w:t>
      </w:r>
      <w:r w:rsidRPr="006400F9" w:rsidR="00C517ED">
        <w:fldChar w:fldCharType="end"/>
      </w:r>
      <w:r w:rsidR="00C517ED">
        <w:t xml:space="preserve"> (</w:t>
      </w:r>
      <w:r w:rsidRPr="00293FEC" w:rsidR="00293FEC">
        <w:rPr>
          <w:i/>
        </w:rPr>
        <w:fldChar w:fldCharType="begin"/>
      </w:r>
      <w:r w:rsidRPr="00293FEC" w:rsidR="00293FEC">
        <w:rPr>
          <w:i/>
        </w:rPr>
        <w:instrText xml:space="preserve"> REF _Ref40802598 \h </w:instrText>
      </w:r>
      <w:r w:rsidR="00293FEC">
        <w:rPr>
          <w:i/>
        </w:rPr>
        <w:instrText xml:space="preserve"> \* MERGEFORMAT </w:instrText>
      </w:r>
      <w:r w:rsidRPr="00293FEC" w:rsidR="00293FEC">
        <w:rPr>
          <w:i/>
        </w:rPr>
      </w:r>
      <w:r w:rsidRPr="00293FEC" w:rsidR="00293FEC">
        <w:rPr>
          <w:i/>
        </w:rPr>
        <w:fldChar w:fldCharType="separate"/>
      </w:r>
      <w:r w:rsidRPr="00B50BE2" w:rsidR="00B50BE2">
        <w:rPr>
          <w:i/>
        </w:rPr>
        <w:t>Restrictions à l’investissement.</w:t>
      </w:r>
      <w:r w:rsidRPr="00293FEC" w:rsidR="00293FEC">
        <w:rPr>
          <w:i/>
        </w:rPr>
        <w:fldChar w:fldCharType="end"/>
      </w:r>
      <w:r w:rsidR="00C517ED">
        <w:t xml:space="preserve">), </w:t>
      </w:r>
      <w:r>
        <w:t>les Investissements</w:t>
      </w:r>
      <w:r w:rsidR="00C517ED">
        <w:t xml:space="preserve"> de suivi) pour lesquels le Fonds a négocié une </w:t>
      </w:r>
      <w:r>
        <w:t>liste de modalités</w:t>
      </w:r>
      <w:r w:rsidR="00C517ED">
        <w:t xml:space="preserve"> ou conclu un</w:t>
      </w:r>
      <w:r>
        <w:t xml:space="preserve">e entente </w:t>
      </w:r>
      <w:r w:rsidR="00C517ED">
        <w:t>contraignant</w:t>
      </w:r>
      <w:r>
        <w:t>e</w:t>
      </w:r>
      <w:r w:rsidR="00C517ED">
        <w:t xml:space="preserve"> avant </w:t>
      </w:r>
      <w:r>
        <w:t>cette</w:t>
      </w:r>
      <w:r w:rsidR="00C517ED">
        <w:t xml:space="preserve"> suspension ou résiliation, à condition que, sauf approbation contraire du </w:t>
      </w:r>
      <w:r w:rsidR="00980C6E">
        <w:t>Comité consultatif des Commanditaires</w:t>
      </w:r>
      <w:r w:rsidR="00C517ED">
        <w:t xml:space="preserve">, ces </w:t>
      </w:r>
      <w:r>
        <w:t>Investissements</w:t>
      </w:r>
      <w:r w:rsidR="00C517ED">
        <w:t xml:space="preserve"> de portefeuille doivent être clôturés dans les </w:t>
      </w:r>
      <w:r w:rsidR="00C517ED">
        <w:rPr>
          <w:b/>
          <w:highlight w:val="yellow"/>
        </w:rPr>
        <w:t>[six mois]</w:t>
      </w:r>
      <w:r w:rsidR="00C517ED">
        <w:t xml:space="preserve"> de l</w:t>
      </w:r>
      <w:r w:rsidR="00E27310">
        <w:t>’</w:t>
      </w:r>
      <w:r>
        <w:t>É</w:t>
      </w:r>
      <w:r w:rsidR="00C517ED">
        <w:t xml:space="preserve">vénement </w:t>
      </w:r>
      <w:r>
        <w:t>visant les Personnes-clés</w:t>
      </w:r>
      <w:r w:rsidR="00C517ED">
        <w:t xml:space="preserve"> et que le </w:t>
      </w:r>
      <w:r>
        <w:t>Co</w:t>
      </w:r>
      <w:r w:rsidR="00C517ED">
        <w:t xml:space="preserve">mmandité fasse en sorte que les </w:t>
      </w:r>
      <w:r>
        <w:t>Commanditaires</w:t>
      </w:r>
      <w:r w:rsidR="00C517ED">
        <w:t xml:space="preserve"> soient avisés de tous ces </w:t>
      </w:r>
      <w:r>
        <w:t>investissements</w:t>
      </w:r>
      <w:r w:rsidR="00C517ED">
        <w:t xml:space="preserve"> dans les 10 </w:t>
      </w:r>
      <w:r>
        <w:t>J</w:t>
      </w:r>
      <w:r w:rsidR="00C517ED">
        <w:t>ours ouvrables suivant la résiliation ou la suspension</w:t>
      </w:r>
      <w:bookmarkStart w:name="_Ref113892868" w:id="563"/>
      <w:r w:rsidR="00C517ED">
        <w:rPr>
          <w:rStyle w:val="FootnoteReference"/>
        </w:rPr>
        <w:footnoteReference w:id="122"/>
      </w:r>
      <w:bookmarkEnd w:id="563"/>
      <w:r w:rsidR="00C517ED">
        <w:t>; et</w:t>
      </w:r>
      <w:bookmarkEnd w:id="562"/>
    </w:p>
    <w:p w:rsidR="0000160C" w:rsidRDefault="00C517ED" w14:paraId="4C3BBFA7" w14:textId="4179C160">
      <w:pPr>
        <w:pStyle w:val="ArtBJStyL3"/>
      </w:pPr>
      <w:bookmarkStart w:name="_Ref113892554" w:id="564"/>
      <w:proofErr w:type="gramStart"/>
      <w:r>
        <w:t>rembourser</w:t>
      </w:r>
      <w:proofErr w:type="gramEnd"/>
      <w:r>
        <w:t xml:space="preserve"> les dettes et honorer les </w:t>
      </w:r>
      <w:r w:rsidR="003D507D">
        <w:t>obligations</w:t>
      </w:r>
      <w:r>
        <w:t xml:space="preserve"> du Fonds, dans chaque cas encouru</w:t>
      </w:r>
      <w:r w:rsidR="003D507D">
        <w:t>e</w:t>
      </w:r>
      <w:r>
        <w:t>s avant cette suspension.</w:t>
      </w:r>
      <w:bookmarkEnd w:id="564"/>
    </w:p>
    <w:p w:rsidR="0000160C" w:rsidRDefault="00C517ED" w14:paraId="2B3446F5" w14:textId="6848E0B0">
      <w:pPr>
        <w:pStyle w:val="ArtBJStyL1"/>
      </w:pPr>
      <w:r>
        <w:lastRenderedPageBreak/>
        <w:br/>
      </w:r>
      <w:bookmarkStart w:name="_Ref40807277" w:id="565"/>
      <w:bookmarkStart w:name="_Toc161762370" w:id="566"/>
      <w:r>
        <w:t>Assembl</w:t>
      </w:r>
      <w:r w:rsidR="000A68A3">
        <w:t>É</w:t>
      </w:r>
      <w:r>
        <w:t>e g</w:t>
      </w:r>
      <w:r w:rsidR="000A68A3">
        <w:t>É</w:t>
      </w:r>
      <w:r>
        <w:t>n</w:t>
      </w:r>
      <w:r w:rsidR="000A68A3">
        <w:t>É</w:t>
      </w:r>
      <w:r>
        <w:t xml:space="preserve">rale des </w:t>
      </w:r>
      <w:bookmarkEnd w:id="565"/>
      <w:r w:rsidR="000A68A3">
        <w:t>ASSOCIÉS</w:t>
      </w:r>
      <w:bookmarkEnd w:id="566"/>
      <w:r>
        <w:t xml:space="preserve"> </w:t>
      </w:r>
    </w:p>
    <w:p w:rsidR="0000160C" w:rsidRDefault="00C517ED" w14:paraId="0F92DDF4" w14:textId="77777777">
      <w:pPr>
        <w:pStyle w:val="ArtBJStyL2"/>
      </w:pPr>
      <w:bookmarkStart w:name="_Ref48201894" w:id="567"/>
      <w:bookmarkStart w:name="_Toc161762371" w:id="568"/>
      <w:r>
        <w:t>Assemblées générales.</w:t>
      </w:r>
      <w:bookmarkEnd w:id="567"/>
      <w:bookmarkEnd w:id="568"/>
    </w:p>
    <w:p w:rsidR="0000160C" w:rsidRDefault="00C517ED" w14:paraId="10598EEB" w14:textId="635D90B6">
      <w:pPr>
        <w:pStyle w:val="ArtBJStyCont2"/>
      </w:pPr>
      <w:r>
        <w:t xml:space="preserve">Le Fonds tient une </w:t>
      </w:r>
      <w:r w:rsidR="003D507D">
        <w:t>assemblée des Associés</w:t>
      </w:r>
      <w:r>
        <w:t xml:space="preserve"> (une « </w:t>
      </w:r>
      <w:r w:rsidR="003D507D">
        <w:rPr>
          <w:b/>
        </w:rPr>
        <w:t>A</w:t>
      </w:r>
      <w:r>
        <w:rPr>
          <w:b/>
        </w:rPr>
        <w:t>ssemblée générale</w:t>
      </w:r>
      <w:r>
        <w:rPr>
          <w:bCs/>
        </w:rPr>
        <w:t xml:space="preserve"> »</w:t>
      </w:r>
      <w:r>
        <w:t xml:space="preserve">) à </w:t>
      </w:r>
      <w:r w:rsidR="00D333F6">
        <w:t>un moment</w:t>
      </w:r>
      <w:r>
        <w:t xml:space="preserve"> et</w:t>
      </w:r>
      <w:r w:rsidR="005933FC">
        <w:t>,</w:t>
      </w:r>
      <w:r>
        <w:t xml:space="preserve"> conformément </w:t>
      </w:r>
      <w:r w:rsidR="00D333F6">
        <w:t xml:space="preserve">au présent </w:t>
      </w:r>
      <w:r w:rsidRPr="006400F9">
        <w:fldChar w:fldCharType="begin"/>
      </w:r>
      <w:r w:rsidRPr="006400F9">
        <w:instrText xml:space="preserve"> REF _Ref40807277 \w \h </w:instrText>
      </w:r>
      <w:r w:rsidRPr="006400F9" w:rsidR="00791303">
        <w:instrText xml:space="preserve"> \* MERGEFORMAT </w:instrText>
      </w:r>
      <w:r w:rsidRPr="006400F9">
        <w:fldChar w:fldCharType="separate"/>
      </w:r>
      <w:r w:rsidR="00B50BE2">
        <w:t>Article 12</w:t>
      </w:r>
      <w:r w:rsidRPr="006400F9">
        <w:fldChar w:fldCharType="end"/>
      </w:r>
      <w:r>
        <w:t xml:space="preserve"> (</w:t>
      </w:r>
      <w:proofErr w:type="spellStart"/>
      <w:r w:rsidRPr="003A3836" w:rsidR="003A3836">
        <w:rPr>
          <w:i/>
        </w:rPr>
        <w:fldChar w:fldCharType="begin"/>
      </w:r>
      <w:r w:rsidRPr="003A3836" w:rsidR="003A3836">
        <w:rPr>
          <w:i/>
        </w:rPr>
        <w:instrText xml:space="preserve"> REF _Ref40807277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AssemblÉe</w:t>
      </w:r>
      <w:proofErr w:type="spellEnd"/>
      <w:r w:rsidRPr="00B50BE2" w:rsidR="00B50BE2">
        <w:rPr>
          <w:i/>
        </w:rPr>
        <w:t xml:space="preserve"> </w:t>
      </w:r>
      <w:proofErr w:type="spellStart"/>
      <w:r w:rsidRPr="00B50BE2" w:rsidR="00B50BE2">
        <w:rPr>
          <w:i/>
        </w:rPr>
        <w:t>gÉnÉrale</w:t>
      </w:r>
      <w:proofErr w:type="spellEnd"/>
      <w:r w:rsidRPr="00B50BE2" w:rsidR="00B50BE2">
        <w:rPr>
          <w:i/>
        </w:rPr>
        <w:t xml:space="preserve"> des </w:t>
      </w:r>
      <w:r w:rsidRPr="003A3836" w:rsidR="003A3836">
        <w:rPr>
          <w:i/>
        </w:rPr>
        <w:fldChar w:fldCharType="end"/>
      </w:r>
      <w:r w:rsidR="005933FC">
        <w:rPr>
          <w:i/>
        </w:rPr>
        <w:t>.</w:t>
      </w:r>
      <w:r>
        <w:t>)</w:t>
      </w:r>
      <w:r w:rsidR="005933FC">
        <w:t>,</w:t>
      </w:r>
      <w:r>
        <w:t xml:space="preserve"> à un endroit </w:t>
      </w:r>
      <w:r w:rsidR="00D333F6">
        <w:t>qui sera déterminé</w:t>
      </w:r>
      <w:r>
        <w:t xml:space="preserve"> par le </w:t>
      </w:r>
      <w:r w:rsidR="00D333F6">
        <w:t>C</w:t>
      </w:r>
      <w:r>
        <w:t>ommandité (mais au moins une fois par an</w:t>
      </w:r>
      <w:r w:rsidR="00666F66">
        <w:t>née</w:t>
      </w:r>
      <w:r>
        <w:t xml:space="preserve"> à </w:t>
      </w:r>
      <w:r w:rsidR="00D333F6">
        <w:t>compter</w:t>
      </w:r>
      <w:r>
        <w:t xml:space="preserve"> de l</w:t>
      </w:r>
      <w:r w:rsidR="00E27310">
        <w:t>’</w:t>
      </w:r>
      <w:r>
        <w:t>année suivant l</w:t>
      </w:r>
      <w:r w:rsidR="00E27310">
        <w:t>’</w:t>
      </w:r>
      <w:r>
        <w:t xml:space="preserve">année de la </w:t>
      </w:r>
      <w:r w:rsidR="00D333F6">
        <w:t>D</w:t>
      </w:r>
      <w:r>
        <w:t xml:space="preserve">ate de clôture initiale), et le </w:t>
      </w:r>
      <w:r w:rsidR="00D333F6">
        <w:t>C</w:t>
      </w:r>
      <w:r>
        <w:t xml:space="preserve">ommandité doit convoquer des </w:t>
      </w:r>
      <w:r w:rsidR="00D333F6">
        <w:t>A</w:t>
      </w:r>
      <w:r>
        <w:t xml:space="preserve">ssemblées générales supplémentaires </w:t>
      </w:r>
      <w:r w:rsidR="00D333F6">
        <w:t>sur</w:t>
      </w:r>
      <w:r>
        <w:t xml:space="preserve"> </w:t>
      </w:r>
      <w:r w:rsidR="00D333F6">
        <w:t>remise</w:t>
      </w:r>
      <w:r>
        <w:t xml:space="preserve"> au </w:t>
      </w:r>
      <w:r w:rsidR="00D333F6">
        <w:t>C</w:t>
      </w:r>
      <w:r>
        <w:t>ommandité d</w:t>
      </w:r>
      <w:r w:rsidR="00E27310">
        <w:t>’</w:t>
      </w:r>
      <w:r>
        <w:t xml:space="preserve">une demande écrite </w:t>
      </w:r>
      <w:r w:rsidR="00D333F6">
        <w:t>à cet effet</w:t>
      </w:r>
      <w:r>
        <w:t xml:space="preserve"> approuvée par les </w:t>
      </w:r>
      <w:r w:rsidR="00D333F6">
        <w:t>C</w:t>
      </w:r>
      <w:r>
        <w:t xml:space="preserve">ommanditaires (autres que les </w:t>
      </w:r>
      <w:r w:rsidR="00D333F6">
        <w:t>Associés affiliés</w:t>
      </w:r>
      <w:r>
        <w:t xml:space="preserve"> et les </w:t>
      </w:r>
      <w:r w:rsidR="00D333F6">
        <w:t>Associés</w:t>
      </w:r>
      <w:r>
        <w:t xml:space="preserve"> défaillants) représentant au moins </w:t>
      </w:r>
      <w:r>
        <w:rPr>
          <w:b/>
          <w:highlight w:val="yellow"/>
        </w:rPr>
        <w:t>[50,1 %]</w:t>
      </w:r>
      <w:r>
        <w:t xml:space="preserve"> des </w:t>
      </w:r>
      <w:r w:rsidR="00D333F6">
        <w:t>E</w:t>
      </w:r>
      <w:r>
        <w:t>ngagements globaux (à l</w:t>
      </w:r>
      <w:r w:rsidR="00E27310">
        <w:t>’</w:t>
      </w:r>
      <w:r>
        <w:t xml:space="preserve">exclusion des </w:t>
      </w:r>
      <w:r w:rsidR="00D333F6">
        <w:t>E</w:t>
      </w:r>
      <w:r>
        <w:t xml:space="preserve">ngagements des </w:t>
      </w:r>
      <w:r w:rsidR="00D333F6">
        <w:t>Associés affiliés</w:t>
      </w:r>
      <w:r>
        <w:t xml:space="preserve"> et des </w:t>
      </w:r>
      <w:r w:rsidR="00D333F6">
        <w:t>Associés</w:t>
      </w:r>
      <w:r>
        <w:t xml:space="preserve"> défaillants). Le </w:t>
      </w:r>
      <w:r w:rsidR="00D333F6">
        <w:t>Co</w:t>
      </w:r>
      <w:r>
        <w:t xml:space="preserve">mmandité </w:t>
      </w:r>
      <w:r w:rsidR="00D333F6">
        <w:t>doit donner un avis</w:t>
      </w:r>
      <w:r>
        <w:t xml:space="preserve"> </w:t>
      </w:r>
      <w:r w:rsidR="00D333F6">
        <w:t>d’</w:t>
      </w:r>
      <w:r>
        <w:t xml:space="preserve">au moins </w:t>
      </w:r>
      <w:r>
        <w:rPr>
          <w:b/>
          <w:highlight w:val="yellow"/>
        </w:rPr>
        <w:t xml:space="preserve">[10 </w:t>
      </w:r>
      <w:r w:rsidR="00D333F6">
        <w:rPr>
          <w:b/>
          <w:highlight w:val="yellow"/>
        </w:rPr>
        <w:t>J</w:t>
      </w:r>
      <w:r>
        <w:rPr>
          <w:b/>
          <w:highlight w:val="yellow"/>
        </w:rPr>
        <w:t>ours ouvrables]</w:t>
      </w:r>
      <w:r>
        <w:t xml:space="preserve"> de l</w:t>
      </w:r>
      <w:r w:rsidR="00E27310">
        <w:t>’</w:t>
      </w:r>
      <w:r>
        <w:t>heure et du lieu d</w:t>
      </w:r>
      <w:r w:rsidR="00E27310">
        <w:t>’</w:t>
      </w:r>
      <w:r>
        <w:t xml:space="preserve">une </w:t>
      </w:r>
      <w:r w:rsidR="00D333F6">
        <w:t>A</w:t>
      </w:r>
      <w:r>
        <w:t xml:space="preserve">ssemblée générale à chaque </w:t>
      </w:r>
      <w:r w:rsidR="00D333F6">
        <w:t>C</w:t>
      </w:r>
      <w:r>
        <w:t xml:space="preserve">ommanditaire, lequel avis </w:t>
      </w:r>
      <w:r w:rsidR="00D333F6">
        <w:t>doit indiquer</w:t>
      </w:r>
      <w:r>
        <w:t xml:space="preserve"> l</w:t>
      </w:r>
      <w:r w:rsidR="00E27310">
        <w:t>’</w:t>
      </w:r>
      <w:r>
        <w:t>ordre du jour, l</w:t>
      </w:r>
      <w:r w:rsidR="00E27310">
        <w:t>’</w:t>
      </w:r>
      <w:r>
        <w:t xml:space="preserve">heure et le lieu de cette </w:t>
      </w:r>
      <w:r w:rsidR="00D333F6">
        <w:t>A</w:t>
      </w:r>
      <w:r>
        <w:t>ssemblée générale. L</w:t>
      </w:r>
      <w:r w:rsidR="00E27310">
        <w:t>’</w:t>
      </w:r>
      <w:r>
        <w:t xml:space="preserve">absence accidentelle de notification (ou la notification tardive accidentelle) à un </w:t>
      </w:r>
      <w:r w:rsidR="00D333F6">
        <w:t>Associé</w:t>
      </w:r>
      <w:r>
        <w:t xml:space="preserve"> n</w:t>
      </w:r>
      <w:r w:rsidR="00E27310">
        <w:t>’</w:t>
      </w:r>
      <w:r>
        <w:t xml:space="preserve">invalide pas une </w:t>
      </w:r>
      <w:r w:rsidR="00D333F6">
        <w:t>assemblée</w:t>
      </w:r>
      <w:r>
        <w:t xml:space="preserve"> ou son déroulement. Il est entendu qu</w:t>
      </w:r>
      <w:r w:rsidR="00E27310">
        <w:t>’</w:t>
      </w:r>
      <w:r>
        <w:t xml:space="preserve">un avis </w:t>
      </w:r>
      <w:r w:rsidR="00D333F6">
        <w:t>d’assemblée</w:t>
      </w:r>
      <w:r>
        <w:t xml:space="preserve"> des </w:t>
      </w:r>
      <w:r w:rsidR="00D333F6">
        <w:t>Associés</w:t>
      </w:r>
      <w:r>
        <w:t xml:space="preserve"> peut être envoyé par courriel. </w:t>
      </w:r>
    </w:p>
    <w:p w:rsidR="0000160C" w:rsidRDefault="00C517ED" w14:paraId="56CC8677" w14:textId="456F059E">
      <w:pPr>
        <w:pStyle w:val="ArtBJStyL2"/>
      </w:pPr>
      <w:bookmarkStart w:name="_Ref113892556" w:id="569"/>
      <w:bookmarkStart w:name="_Toc161762372" w:id="570"/>
      <w:r>
        <w:t xml:space="preserve">Président et secrétaire de </w:t>
      </w:r>
      <w:r w:rsidR="00D333F6">
        <w:t>l’assemblée</w:t>
      </w:r>
      <w:r>
        <w:t>.</w:t>
      </w:r>
      <w:bookmarkEnd w:id="569"/>
      <w:bookmarkEnd w:id="570"/>
    </w:p>
    <w:p w:rsidR="0000160C" w:rsidRDefault="00C517ED" w14:paraId="7F4F6CCD" w14:textId="31106E39">
      <w:pPr>
        <w:pStyle w:val="ArtBJStyCont2"/>
      </w:pPr>
      <w:r>
        <w:rPr>
          <w:szCs w:val="22"/>
        </w:rPr>
        <w:t xml:space="preserve">Le </w:t>
      </w:r>
      <w:r w:rsidRPr="00D333F6">
        <w:rPr>
          <w:szCs w:val="22"/>
        </w:rPr>
        <w:t>président</w:t>
      </w:r>
      <w:r>
        <w:rPr>
          <w:szCs w:val="22"/>
        </w:rPr>
        <w:t xml:space="preserve"> (le « </w:t>
      </w:r>
      <w:r w:rsidR="00D333F6">
        <w:rPr>
          <w:b/>
          <w:bCs/>
          <w:szCs w:val="22"/>
        </w:rPr>
        <w:t>P</w:t>
      </w:r>
      <w:r>
        <w:rPr>
          <w:b/>
          <w:bCs/>
          <w:szCs w:val="22"/>
        </w:rPr>
        <w:t>résident</w:t>
      </w:r>
      <w:r>
        <w:rPr>
          <w:szCs w:val="22"/>
        </w:rPr>
        <w:t xml:space="preserve"> ») de toutes les </w:t>
      </w:r>
      <w:r w:rsidR="00D333F6">
        <w:rPr>
          <w:szCs w:val="22"/>
        </w:rPr>
        <w:t>assemblées</w:t>
      </w:r>
      <w:r>
        <w:rPr>
          <w:szCs w:val="22"/>
        </w:rPr>
        <w:t xml:space="preserve"> sera choisi par le </w:t>
      </w:r>
      <w:r w:rsidR="00D333F6">
        <w:rPr>
          <w:szCs w:val="22"/>
        </w:rPr>
        <w:t>C</w:t>
      </w:r>
      <w:r>
        <w:rPr>
          <w:szCs w:val="22"/>
        </w:rPr>
        <w:t xml:space="preserve">ommandité, à moins que le </w:t>
      </w:r>
      <w:r w:rsidR="00980C6E">
        <w:rPr>
          <w:szCs w:val="22"/>
        </w:rPr>
        <w:t>Comité consultatif des Commanditaires</w:t>
      </w:r>
      <w:r>
        <w:rPr>
          <w:szCs w:val="22"/>
        </w:rPr>
        <w:t xml:space="preserve"> ne choisisse une autre </w:t>
      </w:r>
      <w:r w:rsidR="005933FC">
        <w:rPr>
          <w:szCs w:val="22"/>
        </w:rPr>
        <w:t>P</w:t>
      </w:r>
      <w:r>
        <w:rPr>
          <w:szCs w:val="22"/>
        </w:rPr>
        <w:t xml:space="preserve">ersonne qui sera présente à cette </w:t>
      </w:r>
      <w:r w:rsidR="00D333F6">
        <w:rPr>
          <w:szCs w:val="22"/>
        </w:rPr>
        <w:t>assemblée</w:t>
      </w:r>
      <w:r>
        <w:rPr>
          <w:szCs w:val="22"/>
        </w:rPr>
        <w:t xml:space="preserve"> pour </w:t>
      </w:r>
      <w:r w:rsidR="00D333F6">
        <w:rPr>
          <w:szCs w:val="22"/>
        </w:rPr>
        <w:t>être le Président</w:t>
      </w:r>
      <w:r>
        <w:rPr>
          <w:szCs w:val="22"/>
        </w:rPr>
        <w:t xml:space="preserve">. </w:t>
      </w:r>
      <w:r>
        <w:t xml:space="preserve">Une </w:t>
      </w:r>
      <w:r w:rsidR="00D333F6">
        <w:t>P</w:t>
      </w:r>
      <w:r>
        <w:t xml:space="preserve">ersonne désignée par le </w:t>
      </w:r>
      <w:r w:rsidR="00D333F6">
        <w:t>C</w:t>
      </w:r>
      <w:r>
        <w:t xml:space="preserve">ommandité doit tenir un </w:t>
      </w:r>
      <w:r w:rsidR="00D333F6">
        <w:t>procès-verbal</w:t>
      </w:r>
      <w:r>
        <w:t xml:space="preserve"> écrit de </w:t>
      </w:r>
      <w:r w:rsidR="005933FC">
        <w:t>toutes les délibérations</w:t>
      </w:r>
      <w:r>
        <w:t xml:space="preserve"> et </w:t>
      </w:r>
      <w:r w:rsidR="005933FC">
        <w:t xml:space="preserve">tous les </w:t>
      </w:r>
      <w:r>
        <w:t xml:space="preserve">votes de cette </w:t>
      </w:r>
      <w:r w:rsidR="00D333F6">
        <w:t>A</w:t>
      </w:r>
      <w:r>
        <w:t>ssemblée générale.</w:t>
      </w:r>
    </w:p>
    <w:p w:rsidR="0000160C" w:rsidRDefault="00C517ED" w14:paraId="250DF20E" w14:textId="77777777">
      <w:pPr>
        <w:pStyle w:val="ArtBJStyL2"/>
      </w:pPr>
      <w:bookmarkStart w:name="_Ref113892557" w:id="571"/>
      <w:bookmarkStart w:name="_Toc161762373" w:id="572"/>
      <w:r>
        <w:t>Quorum.</w:t>
      </w:r>
      <w:bookmarkEnd w:id="571"/>
      <w:bookmarkEnd w:id="572"/>
    </w:p>
    <w:p w:rsidR="0000160C" w:rsidRDefault="00C517ED" w14:paraId="230BC70C" w14:textId="0F587837">
      <w:pPr>
        <w:pStyle w:val="ArtBJStyCont2"/>
        <w:rPr>
          <w:szCs w:val="22"/>
        </w:rPr>
      </w:pPr>
      <w:r>
        <w:rPr>
          <w:szCs w:val="22"/>
        </w:rPr>
        <w:t xml:space="preserve">Deux ou plusieurs </w:t>
      </w:r>
      <w:r w:rsidR="00D333F6">
        <w:rPr>
          <w:szCs w:val="22"/>
        </w:rPr>
        <w:t>C</w:t>
      </w:r>
      <w:r>
        <w:rPr>
          <w:szCs w:val="22"/>
        </w:rPr>
        <w:t xml:space="preserve">ommanditaires présents en personne et détenant ou représentant par procuration au moins </w:t>
      </w:r>
      <w:r>
        <w:rPr>
          <w:b/>
          <w:szCs w:val="22"/>
          <w:highlight w:val="yellow"/>
        </w:rPr>
        <w:t>[40 %]</w:t>
      </w:r>
      <w:r>
        <w:rPr>
          <w:szCs w:val="22"/>
        </w:rPr>
        <w:t xml:space="preserve"> de l</w:t>
      </w:r>
      <w:r w:rsidR="00E27310">
        <w:rPr>
          <w:szCs w:val="22"/>
        </w:rPr>
        <w:t>’</w:t>
      </w:r>
      <w:r w:rsidR="00D333F6">
        <w:rPr>
          <w:szCs w:val="22"/>
        </w:rPr>
        <w:t>E</w:t>
      </w:r>
      <w:r>
        <w:rPr>
          <w:szCs w:val="22"/>
        </w:rPr>
        <w:t xml:space="preserve">ngagement </w:t>
      </w:r>
      <w:r w:rsidR="00D333F6">
        <w:rPr>
          <w:szCs w:val="22"/>
        </w:rPr>
        <w:t>en cours</w:t>
      </w:r>
      <w:r>
        <w:rPr>
          <w:szCs w:val="22"/>
        </w:rPr>
        <w:t xml:space="preserve"> constitue</w:t>
      </w:r>
      <w:r w:rsidR="00D333F6">
        <w:rPr>
          <w:szCs w:val="22"/>
        </w:rPr>
        <w:t>ro</w:t>
      </w:r>
      <w:r>
        <w:rPr>
          <w:szCs w:val="22"/>
        </w:rPr>
        <w:t xml:space="preserve">nt un quorum à toute </w:t>
      </w:r>
      <w:r w:rsidR="00D333F6">
        <w:rPr>
          <w:szCs w:val="22"/>
        </w:rPr>
        <w:t>assemblée</w:t>
      </w:r>
      <w:r>
        <w:rPr>
          <w:szCs w:val="22"/>
        </w:rPr>
        <w:t xml:space="preserve"> des </w:t>
      </w:r>
      <w:r w:rsidR="00D333F6">
        <w:rPr>
          <w:szCs w:val="22"/>
        </w:rPr>
        <w:t>A</w:t>
      </w:r>
      <w:r>
        <w:rPr>
          <w:szCs w:val="22"/>
        </w:rPr>
        <w:t>ssociés, à condition que :</w:t>
      </w:r>
    </w:p>
    <w:p w:rsidR="0000160C" w:rsidRDefault="00C517ED" w14:paraId="15DFE789" w14:textId="5E61441A">
      <w:pPr>
        <w:pStyle w:val="ArtBJStyL3"/>
        <w:rPr>
          <w:szCs w:val="22"/>
        </w:rPr>
      </w:pPr>
      <w:bookmarkStart w:name="_Ref113892558" w:id="573"/>
      <w:proofErr w:type="gramStart"/>
      <w:r>
        <w:rPr>
          <w:szCs w:val="22"/>
        </w:rPr>
        <w:t>aux</w:t>
      </w:r>
      <w:proofErr w:type="gramEnd"/>
      <w:r>
        <w:rPr>
          <w:szCs w:val="22"/>
        </w:rPr>
        <w:t xml:space="preserve"> fins de l</w:t>
      </w:r>
      <w:r w:rsidR="00E27310">
        <w:rPr>
          <w:szCs w:val="22"/>
        </w:rPr>
        <w:t>’</w:t>
      </w:r>
      <w:r>
        <w:rPr>
          <w:szCs w:val="22"/>
        </w:rPr>
        <w:t xml:space="preserve">adoption de toute résolution qui exige </w:t>
      </w:r>
      <w:r w:rsidR="00D333F6">
        <w:rPr>
          <w:szCs w:val="22"/>
        </w:rPr>
        <w:t>une</w:t>
      </w:r>
      <w:r>
        <w:rPr>
          <w:szCs w:val="22"/>
        </w:rPr>
        <w:t xml:space="preserve"> </w:t>
      </w:r>
      <w:r w:rsidR="00D333F6">
        <w:rPr>
          <w:szCs w:val="22"/>
        </w:rPr>
        <w:t>M</w:t>
      </w:r>
      <w:r>
        <w:rPr>
          <w:szCs w:val="22"/>
        </w:rPr>
        <w:t xml:space="preserve">ajorité (ou un autre pourcentage spécifié) </w:t>
      </w:r>
      <w:r w:rsidR="00D333F6">
        <w:rPr>
          <w:szCs w:val="22"/>
        </w:rPr>
        <w:t>de Participation</w:t>
      </w:r>
      <w:r w:rsidR="00696E6B">
        <w:rPr>
          <w:szCs w:val="22"/>
        </w:rPr>
        <w:t>s</w:t>
      </w:r>
      <w:r>
        <w:rPr>
          <w:szCs w:val="22"/>
        </w:rPr>
        <w:t xml:space="preserve">, </w:t>
      </w:r>
      <w:r w:rsidR="00D333F6">
        <w:rPr>
          <w:szCs w:val="22"/>
        </w:rPr>
        <w:t>au moins deux</w:t>
      </w:r>
      <w:r>
        <w:rPr>
          <w:szCs w:val="22"/>
        </w:rPr>
        <w:t xml:space="preserve"> </w:t>
      </w:r>
      <w:r w:rsidR="00D333F6">
        <w:rPr>
          <w:szCs w:val="22"/>
        </w:rPr>
        <w:t>C</w:t>
      </w:r>
      <w:r>
        <w:rPr>
          <w:szCs w:val="22"/>
        </w:rPr>
        <w:t xml:space="preserve">ommanditaires présents en personne et </w:t>
      </w:r>
      <w:r>
        <w:t>détenant</w:t>
      </w:r>
      <w:r>
        <w:rPr>
          <w:szCs w:val="22"/>
        </w:rPr>
        <w:t xml:space="preserve"> ou représentant par procuration au moins </w:t>
      </w:r>
      <w:r>
        <w:rPr>
          <w:b/>
          <w:szCs w:val="22"/>
          <w:highlight w:val="yellow"/>
        </w:rPr>
        <w:t>[50%]</w:t>
      </w:r>
      <w:r>
        <w:rPr>
          <w:szCs w:val="22"/>
        </w:rPr>
        <w:t xml:space="preserve"> (ou un tel autre pourcentage spécifié) des </w:t>
      </w:r>
      <w:r w:rsidR="00D333F6">
        <w:rPr>
          <w:szCs w:val="22"/>
        </w:rPr>
        <w:t>E</w:t>
      </w:r>
      <w:r>
        <w:rPr>
          <w:szCs w:val="22"/>
        </w:rPr>
        <w:t>ngagements constitue</w:t>
      </w:r>
      <w:r w:rsidR="00D333F6">
        <w:rPr>
          <w:szCs w:val="22"/>
        </w:rPr>
        <w:t>ro</w:t>
      </w:r>
      <w:r>
        <w:rPr>
          <w:szCs w:val="22"/>
        </w:rPr>
        <w:t>nt un quorum; et</w:t>
      </w:r>
      <w:bookmarkEnd w:id="573"/>
    </w:p>
    <w:p w:rsidR="0000160C" w:rsidRDefault="00C517ED" w14:paraId="49C233E2" w14:textId="5CFE3408">
      <w:pPr>
        <w:pStyle w:val="ArtBJStyL3"/>
      </w:pPr>
      <w:bookmarkStart w:name="DocXTextRef106" w:id="574"/>
      <w:bookmarkStart w:name="_Ref113892559" w:id="575"/>
      <w:proofErr w:type="gramStart"/>
      <w:r>
        <w:rPr>
          <w:szCs w:val="22"/>
        </w:rPr>
        <w:t>si</w:t>
      </w:r>
      <w:proofErr w:type="gramEnd"/>
      <w:r>
        <w:rPr>
          <w:szCs w:val="22"/>
        </w:rPr>
        <w:t xml:space="preserve"> </w:t>
      </w:r>
      <w:r w:rsidR="00D333F6">
        <w:rPr>
          <w:szCs w:val="22"/>
        </w:rPr>
        <w:t>le</w:t>
      </w:r>
      <w:r>
        <w:rPr>
          <w:szCs w:val="22"/>
        </w:rPr>
        <w:t xml:space="preserve"> quorum n</w:t>
      </w:r>
      <w:r w:rsidR="00E27310">
        <w:rPr>
          <w:szCs w:val="22"/>
        </w:rPr>
        <w:t>’</w:t>
      </w:r>
      <w:r>
        <w:rPr>
          <w:szCs w:val="22"/>
        </w:rPr>
        <w:t xml:space="preserve">est pas atteint </w:t>
      </w:r>
      <w:r w:rsidR="00D333F6">
        <w:rPr>
          <w:szCs w:val="22"/>
        </w:rPr>
        <w:t>à</w:t>
      </w:r>
      <w:r>
        <w:rPr>
          <w:szCs w:val="22"/>
        </w:rPr>
        <w:t xml:space="preserve"> une </w:t>
      </w:r>
      <w:r w:rsidR="00D333F6">
        <w:rPr>
          <w:szCs w:val="22"/>
        </w:rPr>
        <w:t>assemblée</w:t>
      </w:r>
      <w:r>
        <w:rPr>
          <w:szCs w:val="22"/>
        </w:rPr>
        <w:t xml:space="preserve"> des </w:t>
      </w:r>
      <w:r w:rsidR="00D333F6">
        <w:rPr>
          <w:szCs w:val="22"/>
        </w:rPr>
        <w:t>Associés</w:t>
      </w:r>
      <w:r>
        <w:rPr>
          <w:szCs w:val="22"/>
        </w:rPr>
        <w:t xml:space="preserve"> dans les 30 minutes suivant l</w:t>
      </w:r>
      <w:r w:rsidR="00E27310">
        <w:rPr>
          <w:szCs w:val="22"/>
        </w:rPr>
        <w:t>’</w:t>
      </w:r>
      <w:r>
        <w:rPr>
          <w:szCs w:val="22"/>
        </w:rPr>
        <w:t xml:space="preserve">heure fixée pour la tenue de </w:t>
      </w:r>
      <w:r w:rsidR="00D333F6">
        <w:rPr>
          <w:szCs w:val="22"/>
        </w:rPr>
        <w:t>l’assemblée</w:t>
      </w:r>
      <w:r>
        <w:rPr>
          <w:szCs w:val="22"/>
        </w:rPr>
        <w:t xml:space="preserve">, </w:t>
      </w:r>
      <w:r w:rsidR="00D333F6">
        <w:rPr>
          <w:szCs w:val="22"/>
        </w:rPr>
        <w:t>l’assemblée</w:t>
      </w:r>
      <w:r>
        <w:rPr>
          <w:szCs w:val="22"/>
        </w:rPr>
        <w:t xml:space="preserve">, si convoquée conformément à une demande écrite des </w:t>
      </w:r>
      <w:r w:rsidR="00D333F6">
        <w:rPr>
          <w:szCs w:val="22"/>
        </w:rPr>
        <w:t>Commanditaires</w:t>
      </w:r>
      <w:r>
        <w:rPr>
          <w:szCs w:val="22"/>
        </w:rPr>
        <w:t xml:space="preserve">, sera annulée, mais autrement sera ajournée à cette date pas moins de </w:t>
      </w:r>
      <w:r>
        <w:rPr>
          <w:b/>
          <w:szCs w:val="22"/>
          <w:highlight w:val="yellow"/>
        </w:rPr>
        <w:t>[5]</w:t>
      </w:r>
      <w:bookmarkEnd w:id="574"/>
      <w:r>
        <w:rPr>
          <w:szCs w:val="22"/>
        </w:rPr>
        <w:t xml:space="preserve"> ni plus de </w:t>
      </w:r>
      <w:r>
        <w:rPr>
          <w:b/>
          <w:szCs w:val="22"/>
          <w:highlight w:val="yellow"/>
        </w:rPr>
        <w:t>[21]</w:t>
      </w:r>
      <w:r>
        <w:rPr>
          <w:szCs w:val="22"/>
        </w:rPr>
        <w:t xml:space="preserve"> jours après la date originale de l</w:t>
      </w:r>
      <w:r w:rsidR="00D333F6">
        <w:rPr>
          <w:szCs w:val="22"/>
        </w:rPr>
        <w:t>’assemblée, tel</w:t>
      </w:r>
      <w:r>
        <w:rPr>
          <w:szCs w:val="22"/>
        </w:rPr>
        <w:t xml:space="preserve"> que déterminée par le </w:t>
      </w:r>
      <w:r w:rsidR="00D333F6">
        <w:rPr>
          <w:szCs w:val="22"/>
        </w:rPr>
        <w:t>Commandité,</w:t>
      </w:r>
      <w:r>
        <w:rPr>
          <w:szCs w:val="22"/>
        </w:rPr>
        <w:t xml:space="preserve"> à </w:t>
      </w:r>
      <w:r w:rsidR="00D333F6">
        <w:rPr>
          <w:szCs w:val="22"/>
        </w:rPr>
        <w:t>l’</w:t>
      </w:r>
      <w:r>
        <w:rPr>
          <w:szCs w:val="22"/>
        </w:rPr>
        <w:t xml:space="preserve">heure et </w:t>
      </w:r>
      <w:r w:rsidR="00D333F6">
        <w:rPr>
          <w:szCs w:val="22"/>
        </w:rPr>
        <w:t>le</w:t>
      </w:r>
      <w:r>
        <w:rPr>
          <w:szCs w:val="22"/>
        </w:rPr>
        <w:t xml:space="preserve"> lieu déterminés par le </w:t>
      </w:r>
      <w:r w:rsidR="00D333F6">
        <w:rPr>
          <w:szCs w:val="22"/>
        </w:rPr>
        <w:t>Commandité</w:t>
      </w:r>
      <w:r>
        <w:rPr>
          <w:szCs w:val="22"/>
        </w:rPr>
        <w:t xml:space="preserve">. Les </w:t>
      </w:r>
      <w:r w:rsidR="00D333F6">
        <w:rPr>
          <w:szCs w:val="22"/>
        </w:rPr>
        <w:t>Commanditaires</w:t>
      </w:r>
      <w:r>
        <w:rPr>
          <w:szCs w:val="22"/>
        </w:rPr>
        <w:t xml:space="preserve"> présents à une telle </w:t>
      </w:r>
      <w:r w:rsidR="00D333F6">
        <w:rPr>
          <w:szCs w:val="22"/>
        </w:rPr>
        <w:t>assemblée</w:t>
      </w:r>
      <w:r>
        <w:rPr>
          <w:szCs w:val="22"/>
        </w:rPr>
        <w:t xml:space="preserve"> ajournée constitue</w:t>
      </w:r>
      <w:r w:rsidR="00D333F6">
        <w:rPr>
          <w:szCs w:val="22"/>
        </w:rPr>
        <w:t>ro</w:t>
      </w:r>
      <w:r>
        <w:rPr>
          <w:szCs w:val="22"/>
        </w:rPr>
        <w:t>nt un quorum.</w:t>
      </w:r>
      <w:bookmarkEnd w:id="575"/>
    </w:p>
    <w:p w:rsidR="0000160C" w:rsidRDefault="00C517ED" w14:paraId="3A4D3906" w14:textId="77777777">
      <w:pPr>
        <w:pStyle w:val="ArtBJStyL2"/>
      </w:pPr>
      <w:bookmarkStart w:name="_Ref113892560" w:id="576"/>
      <w:bookmarkStart w:name="_Toc161762374" w:id="577"/>
      <w:r>
        <w:t>Vote.</w:t>
      </w:r>
      <w:bookmarkEnd w:id="576"/>
      <w:bookmarkEnd w:id="577"/>
    </w:p>
    <w:p w:rsidR="0000160C" w:rsidRDefault="00C517ED" w14:paraId="3F915F71" w14:textId="503C8C92">
      <w:pPr>
        <w:pStyle w:val="ArtBJStyCont2"/>
      </w:pPr>
      <w:r>
        <w:t>Lors d</w:t>
      </w:r>
      <w:r w:rsidR="00E27310">
        <w:t>’</w:t>
      </w:r>
      <w:r>
        <w:t xml:space="preserve">une assemblée des </w:t>
      </w:r>
      <w:r w:rsidR="00D333F6">
        <w:t>A</w:t>
      </w:r>
      <w:r>
        <w:t xml:space="preserve">ssociés, chaque </w:t>
      </w:r>
      <w:r w:rsidR="00D333F6">
        <w:t>Commanditaire</w:t>
      </w:r>
      <w:r>
        <w:t xml:space="preserve"> a droit à une voix pour chaque dollar de son </w:t>
      </w:r>
      <w:r w:rsidR="00D333F6">
        <w:t>E</w:t>
      </w:r>
      <w:r>
        <w:t xml:space="preserve">ngagement. Le </w:t>
      </w:r>
      <w:r w:rsidR="00D333F6">
        <w:t>P</w:t>
      </w:r>
      <w:r>
        <w:t xml:space="preserve">résident </w:t>
      </w:r>
      <w:r>
        <w:rPr>
          <w:b/>
          <w:highlight w:val="yellow"/>
        </w:rPr>
        <w:t>[</w:t>
      </w:r>
      <w:r w:rsidRPr="00D333F6">
        <w:rPr>
          <w:b/>
          <w:highlight w:val="yellow"/>
        </w:rPr>
        <w:t>n</w:t>
      </w:r>
      <w:r w:rsidRPr="00D333F6" w:rsidR="00E27310">
        <w:rPr>
          <w:b/>
          <w:highlight w:val="yellow"/>
        </w:rPr>
        <w:t>’</w:t>
      </w:r>
      <w:r w:rsidRPr="00D333F6" w:rsidR="00D333F6">
        <w:rPr>
          <w:b/>
          <w:highlight w:val="yellow"/>
        </w:rPr>
        <w:t>]</w:t>
      </w:r>
      <w:r w:rsidR="00D333F6">
        <w:t xml:space="preserve"> </w:t>
      </w:r>
      <w:r>
        <w:t>a</w:t>
      </w:r>
      <w:r w:rsidRPr="00D333F6" w:rsidR="00D333F6">
        <w:rPr>
          <w:b/>
        </w:rPr>
        <w:t xml:space="preserve"> </w:t>
      </w:r>
      <w:r w:rsidR="00D333F6">
        <w:rPr>
          <w:b/>
          <w:highlight w:val="yellow"/>
        </w:rPr>
        <w:t>[</w:t>
      </w:r>
      <w:r>
        <w:rPr>
          <w:b/>
          <w:highlight w:val="yellow"/>
        </w:rPr>
        <w:t>pa</w:t>
      </w:r>
      <w:r w:rsidRPr="005933FC">
        <w:rPr>
          <w:b/>
          <w:highlight w:val="yellow"/>
        </w:rPr>
        <w:t xml:space="preserve">s </w:t>
      </w:r>
      <w:r w:rsidRPr="005933FC" w:rsidR="00D333F6">
        <w:rPr>
          <w:b/>
          <w:highlight w:val="yellow"/>
        </w:rPr>
        <w:t>de</w:t>
      </w:r>
      <w:r w:rsidRPr="005933FC" w:rsidR="005933FC">
        <w:rPr>
          <w:b/>
          <w:highlight w:val="yellow"/>
        </w:rPr>
        <w:t>]</w:t>
      </w:r>
      <w:r w:rsidR="00D333F6">
        <w:t xml:space="preserve"> </w:t>
      </w:r>
      <w:r w:rsidR="005933FC">
        <w:t xml:space="preserve">une </w:t>
      </w:r>
      <w:r>
        <w:t xml:space="preserve">voix prépondérante. Toute question soumise à une </w:t>
      </w:r>
      <w:r w:rsidR="00D333F6">
        <w:t>assemblée</w:t>
      </w:r>
      <w:r>
        <w:t xml:space="preserve"> est </w:t>
      </w:r>
      <w:r w:rsidR="00D333F6">
        <w:t>décidée par un scrutin</w:t>
      </w:r>
      <w:r>
        <w:t xml:space="preserve">. À toute </w:t>
      </w:r>
      <w:r w:rsidR="00D333F6">
        <w:t>assemblée</w:t>
      </w:r>
      <w:r>
        <w:t>, le résultat d</w:t>
      </w:r>
      <w:r w:rsidR="00E27310">
        <w:t>’</w:t>
      </w:r>
      <w:r>
        <w:t xml:space="preserve">un </w:t>
      </w:r>
      <w:r w:rsidR="00D333F6">
        <w:t>scrutin</w:t>
      </w:r>
      <w:r>
        <w:t xml:space="preserve"> sera réputé être la décision de l</w:t>
      </w:r>
      <w:r w:rsidR="00527169">
        <w:t xml:space="preserve">’assemblée </w:t>
      </w:r>
      <w:r>
        <w:t>sur la question ou la résolution à l</w:t>
      </w:r>
      <w:r w:rsidR="00E27310">
        <w:t>’</w:t>
      </w:r>
      <w:r>
        <w:t xml:space="preserve">égard de laquelle le </w:t>
      </w:r>
      <w:r w:rsidR="00527169">
        <w:t>scrutin</w:t>
      </w:r>
      <w:r>
        <w:t xml:space="preserve"> a été </w:t>
      </w:r>
      <w:r w:rsidR="00527169">
        <w:t>tenu</w:t>
      </w:r>
      <w:r>
        <w:t xml:space="preserve">. Nonobstant ce qui précède, aucun </w:t>
      </w:r>
      <w:r w:rsidR="00527169">
        <w:t>Associé</w:t>
      </w:r>
      <w:r>
        <w:t xml:space="preserve"> défaillant n</w:t>
      </w:r>
      <w:r w:rsidR="00E27310">
        <w:t>’</w:t>
      </w:r>
      <w:r>
        <w:t>a le droit de vote</w:t>
      </w:r>
      <w:r w:rsidR="00527169">
        <w:t>r</w:t>
      </w:r>
      <w:r>
        <w:t>.</w:t>
      </w:r>
    </w:p>
    <w:p w:rsidR="0000160C" w:rsidRDefault="00527169" w14:paraId="470737BC" w14:textId="601196A3">
      <w:pPr>
        <w:pStyle w:val="ArtBJStyL2"/>
      </w:pPr>
      <w:bookmarkStart w:name="_Ref113892561" w:id="578"/>
      <w:bookmarkStart w:name="_Toc161762375" w:id="579"/>
      <w:r>
        <w:lastRenderedPageBreak/>
        <w:t>Procurations</w:t>
      </w:r>
      <w:r w:rsidR="00C517ED">
        <w:t>.</w:t>
      </w:r>
      <w:bookmarkEnd w:id="578"/>
      <w:bookmarkEnd w:id="579"/>
    </w:p>
    <w:p w:rsidR="0000160C" w:rsidRDefault="00C517ED" w14:paraId="7AF1FE49" w14:textId="443CF3B2">
      <w:pPr>
        <w:pStyle w:val="ArtBJStyCont2"/>
      </w:pPr>
      <w:r>
        <w:t xml:space="preserve">Lors de toute </w:t>
      </w:r>
      <w:r w:rsidR="00527169">
        <w:t>assemblée</w:t>
      </w:r>
      <w:r>
        <w:t xml:space="preserve"> des </w:t>
      </w:r>
      <w:r w:rsidR="00527169">
        <w:t>Associés</w:t>
      </w:r>
      <w:r>
        <w:t xml:space="preserve">, tout </w:t>
      </w:r>
      <w:r w:rsidR="00527169">
        <w:t>C</w:t>
      </w:r>
      <w:r>
        <w:t xml:space="preserve">ommanditaire habilité à voter peut voter par procuration sous une forme acceptable pour le </w:t>
      </w:r>
      <w:r w:rsidR="00527169">
        <w:t>Commandité</w:t>
      </w:r>
      <w:r>
        <w:t xml:space="preserve">, à condition que la procuration ait été reçue par le </w:t>
      </w:r>
      <w:r w:rsidR="00527169">
        <w:t>Commandité</w:t>
      </w:r>
      <w:r>
        <w:t xml:space="preserve"> pour vérification avant </w:t>
      </w:r>
      <w:r w:rsidR="00527169">
        <w:t>l’assemblée</w:t>
      </w:r>
      <w:r>
        <w:t xml:space="preserve">. Toute </w:t>
      </w:r>
      <w:r w:rsidR="005933FC">
        <w:t>P</w:t>
      </w:r>
      <w:r>
        <w:t>ersonne peut être désignée comme mandataire et tout</w:t>
      </w:r>
      <w:r w:rsidR="00527169">
        <w:t xml:space="preserve">e </w:t>
      </w:r>
      <w:r>
        <w:t>procuration sera considéré</w:t>
      </w:r>
      <w:r w:rsidR="00527169">
        <w:t>e</w:t>
      </w:r>
      <w:r>
        <w:t xml:space="preserve"> comme valide à moins qu</w:t>
      </w:r>
      <w:r w:rsidR="00E27310">
        <w:t>’</w:t>
      </w:r>
      <w:r w:rsidR="00527169">
        <w:t>elle</w:t>
      </w:r>
      <w:r>
        <w:t xml:space="preserve"> ne soit daté</w:t>
      </w:r>
      <w:r w:rsidR="00527169">
        <w:t>e</w:t>
      </w:r>
      <w:r>
        <w:t xml:space="preserve"> </w:t>
      </w:r>
      <w:r w:rsidR="00527169">
        <w:t xml:space="preserve">de </w:t>
      </w:r>
      <w:r>
        <w:t>plus d</w:t>
      </w:r>
      <w:r w:rsidR="00E27310">
        <w:t>’</w:t>
      </w:r>
      <w:r>
        <w:t>un an avant la date de l</w:t>
      </w:r>
      <w:r w:rsidR="00E27310">
        <w:t>’</w:t>
      </w:r>
      <w:r>
        <w:t>assemblée ou qu</w:t>
      </w:r>
      <w:r w:rsidR="00E27310">
        <w:t>’</w:t>
      </w:r>
      <w:r w:rsidR="00527169">
        <w:t>elle</w:t>
      </w:r>
      <w:r>
        <w:t xml:space="preserve"> ne soit contesté</w:t>
      </w:r>
      <w:r w:rsidR="00527169">
        <w:t>e</w:t>
      </w:r>
      <w:r>
        <w:t xml:space="preserve"> par un </w:t>
      </w:r>
      <w:r w:rsidR="00527169">
        <w:t>Associé</w:t>
      </w:r>
      <w:r>
        <w:t xml:space="preserve"> ou le </w:t>
      </w:r>
      <w:r w:rsidR="00527169">
        <w:t>détenteur</w:t>
      </w:r>
      <w:r>
        <w:t xml:space="preserve"> d</w:t>
      </w:r>
      <w:r w:rsidR="00E27310">
        <w:t>’</w:t>
      </w:r>
      <w:r>
        <w:t>un</w:t>
      </w:r>
      <w:r w:rsidR="00527169">
        <w:t>e</w:t>
      </w:r>
      <w:r>
        <w:t xml:space="preserve"> autre </w:t>
      </w:r>
      <w:r w:rsidR="00527169">
        <w:t>procuration</w:t>
      </w:r>
      <w:r>
        <w:t xml:space="preserve"> avant ou au moment de son exercice. Le </w:t>
      </w:r>
      <w:r w:rsidR="00527169">
        <w:t>P</w:t>
      </w:r>
      <w:r>
        <w:t xml:space="preserve">résident détermine la validité de </w:t>
      </w:r>
      <w:r w:rsidR="00527169">
        <w:t>toute</w:t>
      </w:r>
      <w:r>
        <w:t xml:space="preserve"> procuration contesté</w:t>
      </w:r>
      <w:r w:rsidR="00527169">
        <w:t>e</w:t>
      </w:r>
      <w:r>
        <w:t>.</w:t>
      </w:r>
    </w:p>
    <w:p w:rsidR="0000160C" w:rsidRDefault="00C517ED" w14:paraId="30B5324D" w14:textId="77777777">
      <w:pPr>
        <w:pStyle w:val="ArtBJStyL2"/>
      </w:pPr>
      <w:bookmarkStart w:name="_Ref113892562" w:id="580"/>
      <w:bookmarkStart w:name="_Toc161762376" w:id="581"/>
      <w:r>
        <w:t>Validité du vote par procuration.</w:t>
      </w:r>
      <w:bookmarkEnd w:id="580"/>
      <w:bookmarkEnd w:id="581"/>
    </w:p>
    <w:p w:rsidR="0000160C" w:rsidRDefault="00C517ED" w14:paraId="32579083" w14:textId="14A6F814">
      <w:pPr>
        <w:pStyle w:val="ArtBJStyCont2"/>
      </w:pPr>
      <w:r>
        <w:t xml:space="preserve">Un vote exprimé conformément aux termes </w:t>
      </w:r>
      <w:r w:rsidR="00527169">
        <w:t>d’une procuration</w:t>
      </w:r>
      <w:r>
        <w:t xml:space="preserve"> est valide nonobstant le décès, l</w:t>
      </w:r>
      <w:r w:rsidR="00E27310">
        <w:t>’</w:t>
      </w:r>
      <w:r>
        <w:t>incapacité, l</w:t>
      </w:r>
      <w:r w:rsidR="00E27310">
        <w:t>’</w:t>
      </w:r>
      <w:r>
        <w:t>insolvabilité, la faillite ou l</w:t>
      </w:r>
      <w:r w:rsidR="00527169">
        <w:t xml:space="preserve">’aliénation mentale </w:t>
      </w:r>
      <w:r>
        <w:t xml:space="preserve">subséquents du </w:t>
      </w:r>
      <w:r w:rsidR="00527169">
        <w:t>C</w:t>
      </w:r>
      <w:r>
        <w:t>ommanditaire qui donne la procuration ou la révocation de la procuration, à condition qu</w:t>
      </w:r>
      <w:r w:rsidR="00E27310">
        <w:t>’</w:t>
      </w:r>
      <w:r>
        <w:t xml:space="preserve">aucun avis écrit de ce décès, incapacité, insolvabilité, faillite, </w:t>
      </w:r>
      <w:r w:rsidR="00527169">
        <w:t>aliénation mentale</w:t>
      </w:r>
      <w:r>
        <w:t xml:space="preserve"> ou révocation n</w:t>
      </w:r>
      <w:r w:rsidR="00E27310">
        <w:t>’</w:t>
      </w:r>
      <w:r>
        <w:t xml:space="preserve">ait été reçu par le </w:t>
      </w:r>
      <w:r w:rsidR="00527169">
        <w:t>C</w:t>
      </w:r>
      <w:r>
        <w:t>ommandité avant l</w:t>
      </w:r>
      <w:r w:rsidR="00E27310">
        <w:t>’</w:t>
      </w:r>
      <w:r>
        <w:t>heure fixée pour la tenue de l</w:t>
      </w:r>
      <w:r w:rsidR="00E27310">
        <w:t>’</w:t>
      </w:r>
      <w:r>
        <w:t xml:space="preserve">assemblée. Un Associé qui est une société ou une institution peut nommer un dirigeant, un administrateur ou une autre personne autorisée comme son représentant pour assister, voter et agir en son nom aux </w:t>
      </w:r>
      <w:r w:rsidR="00527169">
        <w:t>assemblées</w:t>
      </w:r>
      <w:r>
        <w:t xml:space="preserve"> des Associés, et peut par un instrument similaire révoquer une telle nomination, et</w:t>
      </w:r>
      <w:r w:rsidR="00527169">
        <w:t> à</w:t>
      </w:r>
      <w:r>
        <w:t xml:space="preserve"> toutes les fins des </w:t>
      </w:r>
      <w:r w:rsidR="00527169">
        <w:t>assemblées</w:t>
      </w:r>
      <w:r>
        <w:t xml:space="preserve"> des Associés, </w:t>
      </w:r>
      <w:r w:rsidR="00527169">
        <w:t>sauf pour</w:t>
      </w:r>
      <w:r>
        <w:t xml:space="preserve"> donner un avis, une personne ainsi nommée sera réputée être le </w:t>
      </w:r>
      <w:r w:rsidR="00527169">
        <w:t>détenteur</w:t>
      </w:r>
      <w:r>
        <w:t xml:space="preserve"> de </w:t>
      </w:r>
      <w:r w:rsidR="00527169">
        <w:t>chaque Participation détenue</w:t>
      </w:r>
      <w:r>
        <w:t xml:space="preserve"> par la société ou l</w:t>
      </w:r>
      <w:r w:rsidR="00E27310">
        <w:t>’</w:t>
      </w:r>
      <w:r>
        <w:t>institution qu</w:t>
      </w:r>
      <w:r w:rsidR="00E27310">
        <w:t>’</w:t>
      </w:r>
      <w:r>
        <w:t>elle représente.</w:t>
      </w:r>
    </w:p>
    <w:p w:rsidR="0000160C" w:rsidRDefault="00C517ED" w14:paraId="644FB194" w14:textId="49112C82">
      <w:pPr>
        <w:pStyle w:val="ArtBJStyL2"/>
      </w:pPr>
      <w:bookmarkStart w:name="_Ref113892563" w:id="582"/>
      <w:bookmarkStart w:name="_Toc161762377" w:id="583"/>
      <w:r>
        <w:t xml:space="preserve">Participation et vote électroniques aux </w:t>
      </w:r>
      <w:r w:rsidR="00527169">
        <w:t>assemblées</w:t>
      </w:r>
      <w:r>
        <w:t>.</w:t>
      </w:r>
      <w:bookmarkEnd w:id="582"/>
      <w:bookmarkEnd w:id="583"/>
    </w:p>
    <w:p w:rsidR="0000160C" w:rsidRDefault="00C517ED" w14:paraId="605C5940" w14:textId="67F2B4E7">
      <w:pPr>
        <w:pStyle w:val="ArtBJStyCont2"/>
      </w:pPr>
      <w:r>
        <w:rPr>
          <w:szCs w:val="22"/>
        </w:rPr>
        <w:t xml:space="preserve">Toute personne habilitée à assister à une </w:t>
      </w:r>
      <w:r w:rsidR="00527169">
        <w:rPr>
          <w:szCs w:val="22"/>
        </w:rPr>
        <w:t>assemblée</w:t>
      </w:r>
      <w:r>
        <w:rPr>
          <w:szCs w:val="22"/>
        </w:rPr>
        <w:t xml:space="preserve"> des </w:t>
      </w:r>
      <w:r w:rsidR="00527169">
        <w:rPr>
          <w:szCs w:val="22"/>
        </w:rPr>
        <w:t>Associés</w:t>
      </w:r>
      <w:r>
        <w:rPr>
          <w:szCs w:val="22"/>
        </w:rPr>
        <w:t xml:space="preserve"> peut participer à l</w:t>
      </w:r>
      <w:r w:rsidR="00527169">
        <w:rPr>
          <w:szCs w:val="22"/>
        </w:rPr>
        <w:t xml:space="preserve">’assemblée </w:t>
      </w:r>
      <w:r>
        <w:rPr>
          <w:szCs w:val="22"/>
        </w:rPr>
        <w:t>au moyen d</w:t>
      </w:r>
      <w:r w:rsidR="00E27310">
        <w:rPr>
          <w:szCs w:val="22"/>
        </w:rPr>
        <w:t>’</w:t>
      </w:r>
      <w:r>
        <w:rPr>
          <w:szCs w:val="22"/>
        </w:rPr>
        <w:t>un moyen de communication téléphonique, électronique, Internet ou autre qui permet à tous les participants de communiquer de manière adéquate entre eux pendant l</w:t>
      </w:r>
      <w:r w:rsidR="00527169">
        <w:rPr>
          <w:szCs w:val="22"/>
        </w:rPr>
        <w:t xml:space="preserve">’assemblée </w:t>
      </w:r>
      <w:r>
        <w:rPr>
          <w:szCs w:val="22"/>
        </w:rPr>
        <w:t xml:space="preserve">si le </w:t>
      </w:r>
      <w:r w:rsidR="00527169">
        <w:rPr>
          <w:szCs w:val="22"/>
        </w:rPr>
        <w:t>Commandité</w:t>
      </w:r>
      <w:r>
        <w:rPr>
          <w:szCs w:val="22"/>
        </w:rPr>
        <w:t xml:space="preserve"> met à disposition un tel moyen de communication (la </w:t>
      </w:r>
      <w:r w:rsidR="00527169">
        <w:rPr>
          <w:szCs w:val="22"/>
        </w:rPr>
        <w:t>décision de mettre</w:t>
      </w:r>
      <w:r>
        <w:rPr>
          <w:szCs w:val="22"/>
        </w:rPr>
        <w:t xml:space="preserve"> à disposition ou non un </w:t>
      </w:r>
      <w:r>
        <w:t>tel</w:t>
      </w:r>
      <w:r>
        <w:rPr>
          <w:szCs w:val="22"/>
        </w:rPr>
        <w:t xml:space="preserve"> moyen de communication étant à la seule discrétion du </w:t>
      </w:r>
      <w:r w:rsidR="00527169">
        <w:rPr>
          <w:szCs w:val="22"/>
        </w:rPr>
        <w:t>Commandité</w:t>
      </w:r>
      <w:r>
        <w:rPr>
          <w:szCs w:val="22"/>
        </w:rPr>
        <w:t xml:space="preserve">). Toute </w:t>
      </w:r>
      <w:r w:rsidR="00527169">
        <w:rPr>
          <w:szCs w:val="22"/>
        </w:rPr>
        <w:t>P</w:t>
      </w:r>
      <w:r>
        <w:rPr>
          <w:szCs w:val="22"/>
        </w:rPr>
        <w:t xml:space="preserve">ersonne participant à une </w:t>
      </w:r>
      <w:r w:rsidR="00527169">
        <w:rPr>
          <w:szCs w:val="22"/>
        </w:rPr>
        <w:t>assemblée</w:t>
      </w:r>
      <w:r>
        <w:rPr>
          <w:szCs w:val="22"/>
        </w:rPr>
        <w:t xml:space="preserve"> prévue par </w:t>
      </w:r>
      <w:r w:rsidR="003278C2">
        <w:rPr>
          <w:szCs w:val="22"/>
        </w:rPr>
        <w:t>la présente Convention</w:t>
      </w:r>
      <w:r>
        <w:rPr>
          <w:szCs w:val="22"/>
        </w:rPr>
        <w:t xml:space="preserve"> peut voter par le biais </w:t>
      </w:r>
      <w:r w:rsidR="00527169">
        <w:rPr>
          <w:szCs w:val="22"/>
        </w:rPr>
        <w:t>d’un moyen de</w:t>
      </w:r>
      <w:r>
        <w:rPr>
          <w:szCs w:val="22"/>
        </w:rPr>
        <w:t xml:space="preserve"> communication téléphonique, électronique, Internet ou autre que le </w:t>
      </w:r>
      <w:r w:rsidR="00527169">
        <w:rPr>
          <w:szCs w:val="22"/>
        </w:rPr>
        <w:t>Commandité</w:t>
      </w:r>
      <w:r>
        <w:rPr>
          <w:szCs w:val="22"/>
        </w:rPr>
        <w:t xml:space="preserve"> a mis à disposition à cette fin (</w:t>
      </w:r>
      <w:r w:rsidR="00527169">
        <w:rPr>
          <w:szCs w:val="22"/>
        </w:rPr>
        <w:t xml:space="preserve">la décision de mettre à disposition ou non un </w:t>
      </w:r>
      <w:r w:rsidR="00527169">
        <w:t>tel</w:t>
      </w:r>
      <w:r w:rsidR="00527169">
        <w:rPr>
          <w:szCs w:val="22"/>
        </w:rPr>
        <w:t xml:space="preserve"> moyen de communication étant à la seule discrétion du Commandité</w:t>
      </w:r>
      <w:r>
        <w:rPr>
          <w:szCs w:val="22"/>
        </w:rPr>
        <w:t>).</w:t>
      </w:r>
    </w:p>
    <w:p w:rsidR="0000160C" w:rsidRDefault="00C517ED" w14:paraId="51D8C7F6" w14:textId="52328745">
      <w:pPr>
        <w:pStyle w:val="ArtBJStyL2"/>
      </w:pPr>
      <w:bookmarkStart w:name="_Ref113892564" w:id="584"/>
      <w:bookmarkStart w:name="_Toc161762378" w:id="585"/>
      <w:r>
        <w:t>Procès-verbal de l</w:t>
      </w:r>
      <w:r w:rsidR="00527169">
        <w:t>’assemblée</w:t>
      </w:r>
      <w:r>
        <w:t>.</w:t>
      </w:r>
      <w:bookmarkEnd w:id="584"/>
      <w:bookmarkEnd w:id="585"/>
    </w:p>
    <w:p w:rsidR="0000160C" w:rsidRDefault="00C517ED" w14:paraId="047C0ECC" w14:textId="5EF13C23">
      <w:pPr>
        <w:pStyle w:val="ArtBJStyCont2"/>
      </w:pPr>
      <w:r>
        <w:t xml:space="preserve">Une copie du procès-verbal approuvé par le </w:t>
      </w:r>
      <w:r w:rsidR="00527169">
        <w:t>P</w:t>
      </w:r>
      <w:r>
        <w:t>résident d</w:t>
      </w:r>
      <w:r w:rsidR="00E27310">
        <w:t>’</w:t>
      </w:r>
      <w:r>
        <w:t xml:space="preserve">une </w:t>
      </w:r>
      <w:r w:rsidR="00527169">
        <w:t>assemblée</w:t>
      </w:r>
      <w:r>
        <w:t xml:space="preserve"> et de tout </w:t>
      </w:r>
      <w:r w:rsidR="00250BD8">
        <w:t>document</w:t>
      </w:r>
      <w:r>
        <w:t xml:space="preserve"> distribué lors de cette </w:t>
      </w:r>
      <w:r w:rsidR="00250BD8">
        <w:t>assemblée</w:t>
      </w:r>
      <w:r>
        <w:t xml:space="preserve"> sera mise à la disposition de tous les </w:t>
      </w:r>
      <w:r w:rsidR="00250BD8">
        <w:t>C</w:t>
      </w:r>
      <w:r>
        <w:t>ommanditaires dans les 30 jours suivant l</w:t>
      </w:r>
      <w:r w:rsidR="00250BD8">
        <w:t>’assemblée</w:t>
      </w:r>
      <w:r>
        <w:t>.</w:t>
      </w:r>
    </w:p>
    <w:p w:rsidR="0000160C" w:rsidRDefault="00C517ED" w14:paraId="26506733" w14:textId="5AB4EBDF">
      <w:pPr>
        <w:pStyle w:val="ArtBJStyL1"/>
      </w:pPr>
      <w:r>
        <w:br/>
      </w:r>
      <w:bookmarkStart w:name="_Ref48207468" w:id="586"/>
      <w:bookmarkStart w:name="_Toc161762379" w:id="587"/>
      <w:r>
        <w:t>Comit</w:t>
      </w:r>
      <w:r w:rsidR="00C132FC">
        <w:t>É</w:t>
      </w:r>
      <w:r>
        <w:t xml:space="preserve"> consultatif </w:t>
      </w:r>
      <w:bookmarkEnd w:id="586"/>
      <w:r w:rsidR="00C132FC">
        <w:t>des commanditaires</w:t>
      </w:r>
      <w:bookmarkEnd w:id="587"/>
    </w:p>
    <w:p w:rsidR="0000160C" w:rsidRDefault="00C517ED" w14:paraId="7593E71E" w14:textId="77777777">
      <w:pPr>
        <w:pStyle w:val="ArtBJStyL2"/>
      </w:pPr>
      <w:bookmarkStart w:name="_Ref113892565" w:id="588"/>
      <w:bookmarkStart w:name="_Toc161762380" w:id="589"/>
      <w:r>
        <w:t>Nomination et remplacement des membres.</w:t>
      </w:r>
      <w:bookmarkEnd w:id="588"/>
      <w:bookmarkEnd w:id="589"/>
    </w:p>
    <w:p w:rsidR="0000160C" w:rsidRDefault="00C517ED" w14:paraId="461650B3" w14:textId="21ECBE7F">
      <w:pPr>
        <w:pStyle w:val="ArtBJStyL3"/>
      </w:pPr>
      <w:bookmarkStart w:name="_Ref113892566" w:id="590"/>
      <w:bookmarkStart w:name="_Ref40800864" w:id="591"/>
      <w:r>
        <w:t xml:space="preserve">Le </w:t>
      </w:r>
      <w:r w:rsidR="000C67A9">
        <w:t>C</w:t>
      </w:r>
      <w:r>
        <w:t xml:space="preserve">ommandité doit établir un comité consultatif du </w:t>
      </w:r>
      <w:r w:rsidR="005E621C">
        <w:t>f</w:t>
      </w:r>
      <w:r>
        <w:t xml:space="preserve">onds (le « </w:t>
      </w:r>
      <w:r w:rsidR="00C132FC">
        <w:rPr>
          <w:b/>
        </w:rPr>
        <w:t>C</w:t>
      </w:r>
      <w:r>
        <w:rPr>
          <w:b/>
        </w:rPr>
        <w:t>omité consultati</w:t>
      </w:r>
      <w:r w:rsidR="00C132FC">
        <w:rPr>
          <w:b/>
        </w:rPr>
        <w:t>f des Commanditaires</w:t>
      </w:r>
      <w:r>
        <w:rPr>
          <w:b/>
        </w:rPr>
        <w:t xml:space="preserve"> »</w:t>
      </w:r>
      <w:r>
        <w:t xml:space="preserve">) au plus tard à la </w:t>
      </w:r>
      <w:r w:rsidR="005E621C">
        <w:t>Da</w:t>
      </w:r>
      <w:r>
        <w:t>te de clôture finale composé d</w:t>
      </w:r>
      <w:r w:rsidR="00E27310">
        <w:t>’</w:t>
      </w:r>
      <w:r>
        <w:t>au moins [</w:t>
      </w:r>
      <w:r>
        <w:rPr>
          <w:b/>
          <w:highlight w:val="yellow"/>
        </w:rPr>
        <w:t>trois]</w:t>
      </w:r>
      <w:r>
        <w:t xml:space="preserve"> et d</w:t>
      </w:r>
      <w:r w:rsidR="00E27310">
        <w:t>’</w:t>
      </w:r>
      <w:r>
        <w:t>un maximum de [</w:t>
      </w:r>
      <w:r>
        <w:rPr>
          <w:b/>
          <w:highlight w:val="yellow"/>
        </w:rPr>
        <w:t>sept]</w:t>
      </w:r>
      <w:r>
        <w:t xml:space="preserve"> membres qui sont nommés par le </w:t>
      </w:r>
      <w:r w:rsidR="005E621C">
        <w:t>C</w:t>
      </w:r>
      <w:r>
        <w:t>ommandité, chacun étant un</w:t>
      </w:r>
      <w:r w:rsidR="005E621C">
        <w:t xml:space="preserve">e personne physique </w:t>
      </w:r>
      <w:r>
        <w:t>et un représentant d</w:t>
      </w:r>
      <w:r w:rsidR="00E27310">
        <w:t>’</w:t>
      </w:r>
      <w:r>
        <w:t xml:space="preserve">un </w:t>
      </w:r>
      <w:r w:rsidR="005E621C">
        <w:t>C</w:t>
      </w:r>
      <w:r>
        <w:t>ommandit</w:t>
      </w:r>
      <w:r w:rsidR="005E621C">
        <w:t>aire</w:t>
      </w:r>
      <w:r>
        <w:t xml:space="preserve"> ou d</w:t>
      </w:r>
      <w:r w:rsidR="00E27310">
        <w:t>’</w:t>
      </w:r>
      <w:r>
        <w:t xml:space="preserve">un investisseur dans une </w:t>
      </w:r>
      <w:r w:rsidR="005E621C">
        <w:t>E</w:t>
      </w:r>
      <w:r>
        <w:t>ntité nourricière qui n</w:t>
      </w:r>
      <w:r w:rsidR="00E27310">
        <w:t>’</w:t>
      </w:r>
      <w:r>
        <w:t xml:space="preserve">est pas une </w:t>
      </w:r>
      <w:r w:rsidR="005E621C">
        <w:t>P</w:t>
      </w:r>
      <w:r>
        <w:t xml:space="preserve">ersonne intéressée </w:t>
      </w:r>
      <w:r w:rsidRPr="005E621C">
        <w:rPr>
          <w:b/>
          <w:bCs/>
          <w:highlight w:val="yellow"/>
        </w:rPr>
        <w:t xml:space="preserve">[qui a souscrit un </w:t>
      </w:r>
      <w:r w:rsidR="005E621C">
        <w:rPr>
          <w:b/>
          <w:bCs/>
          <w:highlight w:val="yellow"/>
        </w:rPr>
        <w:t>E</w:t>
      </w:r>
      <w:r w:rsidRPr="005E621C">
        <w:rPr>
          <w:b/>
          <w:bCs/>
          <w:highlight w:val="yellow"/>
        </w:rPr>
        <w:t>ngagement d</w:t>
      </w:r>
      <w:r w:rsidRPr="005E621C" w:rsidR="00E27310">
        <w:rPr>
          <w:b/>
          <w:bCs/>
          <w:highlight w:val="yellow"/>
        </w:rPr>
        <w:t>’</w:t>
      </w:r>
      <w:r w:rsidRPr="005E621C">
        <w:rPr>
          <w:b/>
          <w:bCs/>
          <w:highlight w:val="yellow"/>
        </w:rPr>
        <w:t>au moins [___] $]</w:t>
      </w:r>
      <w:r w:rsidRPr="005E621C">
        <w:t xml:space="preserve">, </w:t>
      </w:r>
      <w:r>
        <w:rPr>
          <w:b/>
          <w:highlight w:val="yellow"/>
        </w:rPr>
        <w:t>[à condition qu</w:t>
      </w:r>
      <w:r w:rsidR="00E27310">
        <w:rPr>
          <w:b/>
          <w:highlight w:val="yellow"/>
        </w:rPr>
        <w:t>’</w:t>
      </w:r>
      <w:r>
        <w:rPr>
          <w:b/>
          <w:highlight w:val="yellow"/>
        </w:rPr>
        <w:t xml:space="preserve">aucun </w:t>
      </w:r>
      <w:r w:rsidR="005E621C">
        <w:rPr>
          <w:b/>
          <w:highlight w:val="yellow"/>
        </w:rPr>
        <w:t>C</w:t>
      </w:r>
      <w:r>
        <w:rPr>
          <w:b/>
          <w:highlight w:val="yellow"/>
        </w:rPr>
        <w:t xml:space="preserve">ommanditaire et </w:t>
      </w:r>
      <w:r w:rsidR="005E621C">
        <w:rPr>
          <w:b/>
          <w:highlight w:val="yellow"/>
        </w:rPr>
        <w:t>Membres du même groupe</w:t>
      </w:r>
      <w:r w:rsidR="00F96A9A">
        <w:rPr>
          <w:b/>
          <w:highlight w:val="yellow"/>
        </w:rPr>
        <w:t xml:space="preserve"> que le Commanditaire</w:t>
      </w:r>
      <w:r>
        <w:rPr>
          <w:b/>
          <w:highlight w:val="yellow"/>
        </w:rPr>
        <w:t xml:space="preserve"> ne soient représentés par plus d</w:t>
      </w:r>
      <w:r w:rsidR="00E27310">
        <w:rPr>
          <w:b/>
          <w:highlight w:val="yellow"/>
        </w:rPr>
        <w:t>’</w:t>
      </w:r>
      <w:r>
        <w:rPr>
          <w:b/>
          <w:highlight w:val="yellow"/>
        </w:rPr>
        <w:t xml:space="preserve">un membre au </w:t>
      </w:r>
      <w:r w:rsidR="005E621C">
        <w:rPr>
          <w:b/>
          <w:highlight w:val="yellow"/>
        </w:rPr>
        <w:t>C</w:t>
      </w:r>
      <w:r>
        <w:rPr>
          <w:b/>
          <w:highlight w:val="yellow"/>
        </w:rPr>
        <w:t xml:space="preserve">omité </w:t>
      </w:r>
      <w:r>
        <w:rPr>
          <w:b/>
          <w:highlight w:val="yellow"/>
        </w:rPr>
        <w:lastRenderedPageBreak/>
        <w:t xml:space="preserve">consultatif </w:t>
      </w:r>
      <w:r w:rsidR="005E621C">
        <w:rPr>
          <w:b/>
          <w:highlight w:val="yellow"/>
        </w:rPr>
        <w:t>des Commanditaires</w:t>
      </w:r>
      <w:r>
        <w:rPr>
          <w:b/>
          <w:highlight w:val="yellow"/>
        </w:rPr>
        <w:t>]</w:t>
      </w:r>
      <w:r>
        <w:t xml:space="preserve">. Le </w:t>
      </w:r>
      <w:r w:rsidR="005E621C">
        <w:t>C</w:t>
      </w:r>
      <w:r>
        <w:t xml:space="preserve">ommandité identifiera quels membres représentent quel </w:t>
      </w:r>
      <w:r w:rsidR="005E621C">
        <w:t>C</w:t>
      </w:r>
      <w:r>
        <w:t>ommanditaire.</w:t>
      </w:r>
      <w:bookmarkEnd w:id="590"/>
      <w:bookmarkEnd w:id="591"/>
    </w:p>
    <w:p w:rsidR="0000160C" w:rsidRDefault="00C517ED" w14:paraId="6122C4F5" w14:textId="7E69FAEE">
      <w:pPr>
        <w:pStyle w:val="ArtBJStyL3"/>
      </w:pPr>
      <w:bookmarkStart w:name="_Ref113892567" w:id="592"/>
      <w:r>
        <w:t xml:space="preserve">Tout membre du </w:t>
      </w:r>
      <w:r w:rsidR="00980C6E">
        <w:t>Comité consultatif des Commanditaires</w:t>
      </w:r>
      <w:r>
        <w:t xml:space="preserve"> cessera immédiatement d</w:t>
      </w:r>
      <w:r w:rsidR="00E27310">
        <w:t>’</w:t>
      </w:r>
      <w:r>
        <w:t xml:space="preserve">être membre du </w:t>
      </w:r>
      <w:r w:rsidR="00980C6E">
        <w:t>Comité consultatif des Commanditaires</w:t>
      </w:r>
      <w:r>
        <w:t xml:space="preserve"> si le </w:t>
      </w:r>
      <w:r w:rsidR="005E621C">
        <w:t>C</w:t>
      </w:r>
      <w:r>
        <w:t xml:space="preserve">ommanditaire que représente cette </w:t>
      </w:r>
      <w:r w:rsidR="005E621C">
        <w:t>P</w:t>
      </w:r>
      <w:r>
        <w:t xml:space="preserve">ersonne </w:t>
      </w:r>
      <w:bookmarkStart w:name="DocXTextRef107" w:id="593"/>
      <w:r>
        <w:t>(i)</w:t>
      </w:r>
      <w:bookmarkEnd w:id="593"/>
      <w:r>
        <w:t xml:space="preserve"> devient un </w:t>
      </w:r>
      <w:r w:rsidR="005E621C">
        <w:t>Associé</w:t>
      </w:r>
      <w:r>
        <w:t xml:space="preserve"> défaillant, </w:t>
      </w:r>
      <w:bookmarkStart w:name="DocXTextRef108" w:id="594"/>
      <w:r>
        <w:t>(ii)</w:t>
      </w:r>
      <w:bookmarkEnd w:id="594"/>
      <w:r>
        <w:t xml:space="preserve"> </w:t>
      </w:r>
      <w:r w:rsidR="005E621C">
        <w:t>T</w:t>
      </w:r>
      <w:r>
        <w:t xml:space="preserve">ransfère une partie ou la totalité de son </w:t>
      </w:r>
      <w:r w:rsidR="005E621C">
        <w:t>E</w:t>
      </w:r>
      <w:r>
        <w:t>ngagement (</w:t>
      </w:r>
      <w:r w:rsidR="005E621C">
        <w:t>autre</w:t>
      </w:r>
      <w:r>
        <w:t xml:space="preserve"> </w:t>
      </w:r>
      <w:r w:rsidR="005E621C">
        <w:t>qu’</w:t>
      </w:r>
      <w:r>
        <w:t xml:space="preserve">à </w:t>
      </w:r>
      <w:r w:rsidR="00E26C66">
        <w:t>un Membre du même groupe</w:t>
      </w:r>
      <w:r w:rsidR="005E621C">
        <w:t xml:space="preserve"> </w:t>
      </w:r>
      <w:r w:rsidR="00335434">
        <w:t>que le</w:t>
      </w:r>
      <w:r>
        <w:t xml:space="preserve"> </w:t>
      </w:r>
      <w:r w:rsidR="005E621C">
        <w:t>C</w:t>
      </w:r>
      <w:r>
        <w:t xml:space="preserve">ommanditaire), ou </w:t>
      </w:r>
      <w:bookmarkStart w:name="DocXTextRef109" w:id="595"/>
      <w:r>
        <w:t>(iii)</w:t>
      </w:r>
      <w:bookmarkEnd w:id="595"/>
      <w:r>
        <w:t xml:space="preserve"> se retire</w:t>
      </w:r>
      <w:r w:rsidR="005E621C">
        <w:t xml:space="preserve"> autrement</w:t>
      </w:r>
      <w:r>
        <w:t xml:space="preserve"> du Fonds.</w:t>
      </w:r>
      <w:bookmarkEnd w:id="592"/>
      <w:r>
        <w:t xml:space="preserve"> </w:t>
      </w:r>
    </w:p>
    <w:p w:rsidR="0000160C" w:rsidRDefault="00C517ED" w14:paraId="0DEAD45B" w14:textId="53CA5287">
      <w:pPr>
        <w:pStyle w:val="ArtBJStyL3"/>
      </w:pPr>
      <w:bookmarkStart w:name="_Ref113892568" w:id="596"/>
      <w:r>
        <w:t xml:space="preserve">Tout membre du </w:t>
      </w:r>
      <w:r w:rsidR="00980C6E">
        <w:t>Comité consultatif des Commanditaires</w:t>
      </w:r>
      <w:r>
        <w:t xml:space="preserve"> peut démissionner en donnant au </w:t>
      </w:r>
      <w:r w:rsidR="005E621C">
        <w:t>C</w:t>
      </w:r>
      <w:r>
        <w:t xml:space="preserve">ommandité un </w:t>
      </w:r>
      <w:r w:rsidR="005E621C">
        <w:t>pré</w:t>
      </w:r>
      <w:r>
        <w:t xml:space="preserve">avis écrit, et le </w:t>
      </w:r>
      <w:r w:rsidR="005E621C">
        <w:t>C</w:t>
      </w:r>
      <w:r>
        <w:t>ommandit</w:t>
      </w:r>
      <w:r w:rsidR="005E621C">
        <w:t>aire</w:t>
      </w:r>
      <w:r>
        <w:t xml:space="preserve"> qui est représenté par le membre </w:t>
      </w:r>
      <w:r w:rsidR="005E621C">
        <w:t>qui démissionne</w:t>
      </w:r>
      <w:r>
        <w:t xml:space="preserve"> peut désigner un membre remplaçant.</w:t>
      </w:r>
      <w:bookmarkEnd w:id="596"/>
    </w:p>
    <w:p w:rsidR="0000160C" w:rsidRDefault="0056751D" w14:paraId="04E16960" w14:textId="78D3EC25">
      <w:pPr>
        <w:pStyle w:val="ArtBJStyL2"/>
      </w:pPr>
      <w:bookmarkStart w:name="_Ref113882794" w:id="597"/>
      <w:bookmarkStart w:name="_Toc161762381" w:id="598"/>
      <w:r>
        <w:t>Étendue des pouvoirs</w:t>
      </w:r>
      <w:r w:rsidR="00C517ED">
        <w:t>.</w:t>
      </w:r>
      <w:bookmarkEnd w:id="597"/>
      <w:bookmarkEnd w:id="598"/>
    </w:p>
    <w:p w:rsidR="0000160C" w:rsidRDefault="00C517ED" w14:paraId="569431D5" w14:textId="225EB4FC">
      <w:pPr>
        <w:pStyle w:val="ArtBJStyL3"/>
      </w:pPr>
      <w:bookmarkStart w:name="_Ref113892569" w:id="599"/>
      <w:r>
        <w:t xml:space="preserve">Le </w:t>
      </w:r>
      <w:r w:rsidR="005E621C">
        <w:t>C</w:t>
      </w:r>
      <w:r>
        <w:t xml:space="preserve">omité consultatif </w:t>
      </w:r>
      <w:r w:rsidR="005E621C">
        <w:t>des Commanditaires</w:t>
      </w:r>
      <w:r>
        <w:t xml:space="preserve"> </w:t>
      </w:r>
      <w:r w:rsidR="005E621C">
        <w:t>doit fournir</w:t>
      </w:r>
      <w:r>
        <w:t xml:space="preserve"> les conseils et avis demandés par le </w:t>
      </w:r>
      <w:r w:rsidR="005E621C">
        <w:t>C</w:t>
      </w:r>
      <w:r>
        <w:t xml:space="preserve">ommandité, conformément </w:t>
      </w:r>
      <w:r w:rsidR="005E621C">
        <w:t>à la présente Convention</w:t>
      </w:r>
      <w:r>
        <w:t xml:space="preserve">, ou que le </w:t>
      </w:r>
      <w:r w:rsidR="005E621C">
        <w:t>C</w:t>
      </w:r>
      <w:r>
        <w:t xml:space="preserve">omité consultatif </w:t>
      </w:r>
      <w:r w:rsidR="005E621C">
        <w:t>des Commanditaires</w:t>
      </w:r>
      <w:r>
        <w:t xml:space="preserve"> pourra autrement choisir de fournir, à condition que, nonobstant toute disposition contraire </w:t>
      </w:r>
      <w:r w:rsidR="00E536D5">
        <w:t>de la présente Convention</w:t>
      </w:r>
      <w:r>
        <w:t xml:space="preserve">, les membres du </w:t>
      </w:r>
      <w:r w:rsidR="005E621C">
        <w:t>C</w:t>
      </w:r>
      <w:r>
        <w:t xml:space="preserve">omité consultatif </w:t>
      </w:r>
      <w:r w:rsidR="005E621C">
        <w:t>des Commanditaires</w:t>
      </w:r>
      <w:r>
        <w:t xml:space="preserve"> ne prennent aucune part à la gestion ou au contrôle des activités ou des affaires du Fonds</w:t>
      </w:r>
      <w:bookmarkStart w:name="_Ref113892869" w:id="600"/>
      <w:r>
        <w:rPr>
          <w:rStyle w:val="FootnoteReference"/>
        </w:rPr>
        <w:footnoteReference w:id="123"/>
      </w:r>
      <w:bookmarkEnd w:id="600"/>
      <w:r>
        <w:t xml:space="preserve">.  Le </w:t>
      </w:r>
      <w:r w:rsidR="005E621C">
        <w:t>C</w:t>
      </w:r>
      <w:r>
        <w:t>omité consultatif d</w:t>
      </w:r>
      <w:r w:rsidR="005E621C">
        <w:t>es Commanditaires</w:t>
      </w:r>
      <w:r>
        <w:t xml:space="preserve"> est un organ</w:t>
      </w:r>
      <w:r w:rsidR="008A2B32">
        <w:t>e</w:t>
      </w:r>
      <w:r>
        <w:t xml:space="preserve"> consultatif et n</w:t>
      </w:r>
      <w:r w:rsidR="00E27310">
        <w:t>’</w:t>
      </w:r>
      <w:r>
        <w:t xml:space="preserve">a pas de pouvoir </w:t>
      </w:r>
      <w:r w:rsidR="008A2B32">
        <w:t>décisionnel</w:t>
      </w:r>
      <w:r>
        <w:t xml:space="preserve"> </w:t>
      </w:r>
      <w:r w:rsidR="008A2B32">
        <w:t>à l’égard des</w:t>
      </w:r>
      <w:r>
        <w:t xml:space="preserve"> activités ou </w:t>
      </w:r>
      <w:r w:rsidR="008A2B32">
        <w:t>des</w:t>
      </w:r>
      <w:r>
        <w:t xml:space="preserve"> affaires du Fonds.  Le </w:t>
      </w:r>
      <w:r w:rsidR="008A2B32">
        <w:t>C</w:t>
      </w:r>
      <w:r>
        <w:t xml:space="preserve">ommandité </w:t>
      </w:r>
      <w:r w:rsidR="008A2B32">
        <w:t>doit tenir compte</w:t>
      </w:r>
      <w:r>
        <w:t xml:space="preserve"> </w:t>
      </w:r>
      <w:r w:rsidR="008A2B32">
        <w:t>d</w:t>
      </w:r>
      <w:r>
        <w:t xml:space="preserve">es recommandations et </w:t>
      </w:r>
      <w:r w:rsidR="008A2B32">
        <w:t>d</w:t>
      </w:r>
      <w:r>
        <w:t xml:space="preserve">es demandes du </w:t>
      </w:r>
      <w:r w:rsidR="008A2B32">
        <w:t>C</w:t>
      </w:r>
      <w:r>
        <w:t xml:space="preserve">omité consultatif </w:t>
      </w:r>
      <w:r w:rsidR="008A2B32">
        <w:t>des Commanditaires</w:t>
      </w:r>
      <w:r>
        <w:t>, mais n</w:t>
      </w:r>
      <w:r w:rsidR="008A2B32">
        <w:t xml:space="preserve">’est </w:t>
      </w:r>
      <w:r>
        <w:t xml:space="preserve">pas tenu de </w:t>
      </w:r>
      <w:r w:rsidR="008A2B32">
        <w:t>suivre</w:t>
      </w:r>
      <w:r>
        <w:t xml:space="preserve"> </w:t>
      </w:r>
      <w:r w:rsidR="008A2B32">
        <w:t>l</w:t>
      </w:r>
      <w:r>
        <w:t xml:space="preserve">es directives de celui-ci, et le </w:t>
      </w:r>
      <w:r w:rsidR="008A2B32">
        <w:t>C</w:t>
      </w:r>
      <w:r>
        <w:t xml:space="preserve">ommandité conserve la responsabilité ultime de prendre toutes les décisions relatives </w:t>
      </w:r>
      <w:r w:rsidR="008A2B32">
        <w:t xml:space="preserve">à l’exploitation </w:t>
      </w:r>
      <w:r>
        <w:t>et à la gestion du Fonds.</w:t>
      </w:r>
      <w:bookmarkEnd w:id="599"/>
    </w:p>
    <w:p w:rsidR="0000160C" w:rsidRDefault="00C517ED" w14:paraId="0E48ADCB" w14:textId="40B028B2">
      <w:pPr>
        <w:pStyle w:val="ArtBJStyL3"/>
      </w:pPr>
      <w:bookmarkStart w:name="_Ref113892570" w:id="601"/>
      <w:r>
        <w:t xml:space="preserve">Dans toute la mesure permise par </w:t>
      </w:r>
      <w:r w:rsidR="007A757B">
        <w:t>le droit applicable</w:t>
      </w:r>
      <w:r>
        <w:t xml:space="preserve">, </w:t>
      </w:r>
      <w:bookmarkStart w:name="DocXTextRef111" w:id="602"/>
      <w:r>
        <w:t>(i)</w:t>
      </w:r>
      <w:bookmarkEnd w:id="602"/>
      <w:r>
        <w:t xml:space="preserve"> </w:t>
      </w:r>
      <w:r w:rsidR="008A2B32">
        <w:t>aucun du</w:t>
      </w:r>
      <w:r>
        <w:t xml:space="preserve"> </w:t>
      </w:r>
      <w:r w:rsidR="008A2B32">
        <w:t>C</w:t>
      </w:r>
      <w:r>
        <w:t xml:space="preserve">omité consultatif </w:t>
      </w:r>
      <w:r w:rsidR="008A2B32">
        <w:t xml:space="preserve">des Commanditaires, des membres du Comité consultatif des Commanditaires, ni aucun Commanditaire </w:t>
      </w:r>
      <w:r>
        <w:t>qu</w:t>
      </w:r>
      <w:r w:rsidR="00E27310">
        <w:t>’</w:t>
      </w:r>
      <w:r>
        <w:t xml:space="preserve">un tel </w:t>
      </w:r>
      <w:r w:rsidR="008A2B32">
        <w:t>membre</w:t>
      </w:r>
      <w:r>
        <w:t xml:space="preserve"> représente </w:t>
      </w:r>
      <w:r w:rsidR="008A2B32">
        <w:t>n’aura</w:t>
      </w:r>
      <w:r>
        <w:t xml:space="preserve"> </w:t>
      </w:r>
      <w:r w:rsidR="008A2B32">
        <w:t>de devoirs</w:t>
      </w:r>
      <w:r>
        <w:t xml:space="preserve"> (fiduciaires ou autres) envers le Fonds, le </w:t>
      </w:r>
      <w:r w:rsidR="008A2B32">
        <w:t>C</w:t>
      </w:r>
      <w:r>
        <w:t xml:space="preserve">ommandité, le </w:t>
      </w:r>
      <w:r w:rsidR="008A2B32">
        <w:t>Gestionnaire</w:t>
      </w:r>
      <w:r>
        <w:t xml:space="preserve"> ou tout </w:t>
      </w:r>
      <w:r w:rsidR="008A2B32">
        <w:t>C</w:t>
      </w:r>
      <w:r>
        <w:t>ommanditaire, à l</w:t>
      </w:r>
      <w:r w:rsidR="00E27310">
        <w:t>’</w:t>
      </w:r>
      <w:r>
        <w:t xml:space="preserve">exception </w:t>
      </w:r>
      <w:r w:rsidR="008A2B32">
        <w:t>de</w:t>
      </w:r>
      <w:r>
        <w:t xml:space="preserve"> </w:t>
      </w:r>
      <w:r w:rsidR="008A2B32">
        <w:t>l’</w:t>
      </w:r>
      <w:r>
        <w:t>obligation d</w:t>
      </w:r>
      <w:r w:rsidR="00E27310">
        <w:t>’</w:t>
      </w:r>
      <w:r>
        <w:t>agir de bonne foi dans l</w:t>
      </w:r>
      <w:r w:rsidR="00E27310">
        <w:t>’</w:t>
      </w:r>
      <w:r>
        <w:t xml:space="preserve">exercice des activités du </w:t>
      </w:r>
      <w:r w:rsidR="008A2B32">
        <w:t>C</w:t>
      </w:r>
      <w:r>
        <w:t xml:space="preserve">omité consultatif </w:t>
      </w:r>
      <w:r w:rsidR="008A2B32">
        <w:t>des Commanditaires</w:t>
      </w:r>
      <w:r>
        <w:t>,</w:t>
      </w:r>
      <w:bookmarkStart w:name="_Ref113892870" w:id="603"/>
      <w:r>
        <w:rPr>
          <w:rStyle w:val="FootnoteReference"/>
        </w:rPr>
        <w:footnoteReference w:id="124"/>
      </w:r>
      <w:bookmarkEnd w:id="603"/>
      <w:r>
        <w:t xml:space="preserve"> et </w:t>
      </w:r>
      <w:bookmarkStart w:name="DocXTextRef112" w:id="604"/>
      <w:r>
        <w:t>(ii)</w:t>
      </w:r>
      <w:bookmarkEnd w:id="604"/>
      <w:r>
        <w:t xml:space="preserve"> chaque membre du </w:t>
      </w:r>
      <w:r w:rsidR="008A2B32">
        <w:t>C</w:t>
      </w:r>
      <w:r>
        <w:t xml:space="preserve">omité consultatif </w:t>
      </w:r>
      <w:r w:rsidR="008A2B32">
        <w:t>des Commanditaires</w:t>
      </w:r>
      <w:r>
        <w:t xml:space="preserve"> ne peut tenir compte que des intérêts et des facteurs </w:t>
      </w:r>
      <w:r w:rsidR="008A2B32">
        <w:t>qu’il souhaite</w:t>
      </w:r>
      <w:r>
        <w:t xml:space="preserve">, y compris les intérêts du </w:t>
      </w:r>
      <w:r w:rsidR="008A2B32">
        <w:t>C</w:t>
      </w:r>
      <w:r>
        <w:t xml:space="preserve">ommanditaire que le </w:t>
      </w:r>
      <w:r w:rsidR="008A2B32">
        <w:t>membre</w:t>
      </w:r>
      <w:r>
        <w:t xml:space="preserve"> représente, et n</w:t>
      </w:r>
      <w:r w:rsidR="00E27310">
        <w:t>’</w:t>
      </w:r>
      <w:r>
        <w:t xml:space="preserve">a </w:t>
      </w:r>
      <w:r w:rsidR="008A2B32">
        <w:t>aucun devoir</w:t>
      </w:r>
      <w:r>
        <w:t xml:space="preserve"> de tenir compte des intérêts ou des facteurs touchant le Fonds ou toute autre </w:t>
      </w:r>
      <w:r w:rsidR="008A2B32">
        <w:t>P</w:t>
      </w:r>
      <w:r>
        <w:t xml:space="preserve">ersonne, et ce faisant, tout membre du </w:t>
      </w:r>
      <w:r w:rsidR="00980C6E">
        <w:t>Comité consultatif des Commanditaires</w:t>
      </w:r>
      <w:r>
        <w:t xml:space="preserve"> sera réputé avoir rempli son obligation d</w:t>
      </w:r>
      <w:r w:rsidR="00E27310">
        <w:t>’</w:t>
      </w:r>
      <w:r>
        <w:t>agir de bonne foi.</w:t>
      </w:r>
      <w:bookmarkEnd w:id="601"/>
    </w:p>
    <w:p w:rsidR="0000160C" w:rsidRDefault="00C517ED" w14:paraId="1540106D" w14:textId="68D7A2DA">
      <w:pPr>
        <w:pStyle w:val="ArtBJStyL3"/>
      </w:pPr>
      <w:bookmarkStart w:name="_Ref113892571" w:id="605"/>
      <w:r>
        <w:t xml:space="preserve">Le </w:t>
      </w:r>
      <w:r w:rsidR="008A2B32">
        <w:t>C</w:t>
      </w:r>
      <w:r>
        <w:t xml:space="preserve">ommandité doit informer le </w:t>
      </w:r>
      <w:r w:rsidR="008A2B32">
        <w:t>C</w:t>
      </w:r>
      <w:r>
        <w:t xml:space="preserve">omité consultatif </w:t>
      </w:r>
      <w:r w:rsidR="008A2B32">
        <w:t>des Commanditaires</w:t>
      </w:r>
      <w:r>
        <w:t xml:space="preserve"> par écrit de toute question nécessitant l</w:t>
      </w:r>
      <w:r w:rsidR="00E27310">
        <w:t>’</w:t>
      </w:r>
      <w:r>
        <w:t xml:space="preserve">approbation du </w:t>
      </w:r>
      <w:r w:rsidR="008A2B32">
        <w:t>C</w:t>
      </w:r>
      <w:r>
        <w:t xml:space="preserve">omité consultatif </w:t>
      </w:r>
      <w:r w:rsidR="008A2B32">
        <w:t>des Commanditaires</w:t>
      </w:r>
      <w:r>
        <w:t xml:space="preserve"> en vertu </w:t>
      </w:r>
      <w:r w:rsidR="00E536D5">
        <w:t>de la présente Convention</w:t>
      </w:r>
      <w:r>
        <w:t xml:space="preserve"> et ne peut </w:t>
      </w:r>
      <w:r w:rsidR="008A2B32">
        <w:t xml:space="preserve">donner suite à </w:t>
      </w:r>
      <w:r w:rsidR="00235007">
        <w:t>une telle question</w:t>
      </w:r>
      <w:r>
        <w:t xml:space="preserve"> tant que cette approbation n</w:t>
      </w:r>
      <w:r w:rsidR="00E27310">
        <w:t>’</w:t>
      </w:r>
      <w:r>
        <w:t>a pas été obtenue.</w:t>
      </w:r>
      <w:bookmarkEnd w:id="605"/>
    </w:p>
    <w:p w:rsidR="0000160C" w:rsidRDefault="00C517ED" w14:paraId="55C2EA9B" w14:textId="3247C5DC">
      <w:pPr>
        <w:pStyle w:val="ArtBJStyL3"/>
        <w:keepNext/>
      </w:pPr>
      <w:bookmarkStart w:name="_Ref113892572" w:id="606"/>
      <w:r>
        <w:lastRenderedPageBreak/>
        <w:t xml:space="preserve">Le </w:t>
      </w:r>
      <w:r w:rsidR="008A2B32">
        <w:t>C</w:t>
      </w:r>
      <w:r>
        <w:t>ommandité doit</w:t>
      </w:r>
      <w:bookmarkStart w:name="_Ref113892871" w:id="607"/>
      <w:r>
        <w:rPr>
          <w:rStyle w:val="FootnoteReference"/>
        </w:rPr>
        <w:footnoteReference w:id="125"/>
      </w:r>
      <w:bookmarkEnd w:id="607"/>
      <w:r>
        <w:t xml:space="preserve"> :</w:t>
      </w:r>
      <w:bookmarkEnd w:id="606"/>
    </w:p>
    <w:p w:rsidR="0000160C" w:rsidRDefault="00C517ED" w14:paraId="31AF2150" w14:textId="52862BF6">
      <w:pPr>
        <w:pStyle w:val="ArtBJStyL4"/>
      </w:pPr>
      <w:bookmarkStart w:name="_Ref113892573" w:id="608"/>
      <w:proofErr w:type="gramStart"/>
      <w:r>
        <w:t>fournir</w:t>
      </w:r>
      <w:proofErr w:type="gramEnd"/>
      <w:r>
        <w:t xml:space="preserve"> au </w:t>
      </w:r>
      <w:r w:rsidR="008A2B32">
        <w:t>C</w:t>
      </w:r>
      <w:r>
        <w:t xml:space="preserve">omité consultatif </w:t>
      </w:r>
      <w:r w:rsidR="008A2B32">
        <w:t>des Commanditaires</w:t>
      </w:r>
      <w:r>
        <w:t xml:space="preserve"> les renseignements concernant l</w:t>
      </w:r>
      <w:r w:rsidR="008A2B32">
        <w:t xml:space="preserve">e Fonds </w:t>
      </w:r>
      <w:r>
        <w:t xml:space="preserve">et les </w:t>
      </w:r>
      <w:r w:rsidR="008A2B32">
        <w:t>actifs</w:t>
      </w:r>
      <w:r>
        <w:t xml:space="preserve"> </w:t>
      </w:r>
      <w:r w:rsidR="008A2B32">
        <w:t>du Fonds</w:t>
      </w:r>
      <w:r>
        <w:t xml:space="preserve"> que le </w:t>
      </w:r>
      <w:r w:rsidR="008A2B32">
        <w:t>C</w:t>
      </w:r>
      <w:r>
        <w:t xml:space="preserve">omité consultatif </w:t>
      </w:r>
      <w:r w:rsidR="008A2B32">
        <w:t>des Commanditaires</w:t>
      </w:r>
      <w:r>
        <w:t xml:space="preserve"> peut demander, étant entendu que le coût de la </w:t>
      </w:r>
      <w:r w:rsidR="008A2B32">
        <w:t>transmission</w:t>
      </w:r>
      <w:r>
        <w:t xml:space="preserve"> de ces renseignements sera une </w:t>
      </w:r>
      <w:r w:rsidR="00235007">
        <w:t>Dépenses du Fonds</w:t>
      </w:r>
      <w:r>
        <w:t>;</w:t>
      </w:r>
      <w:bookmarkEnd w:id="608"/>
    </w:p>
    <w:p w:rsidR="0000160C" w:rsidRDefault="00235007" w14:paraId="269DCE35" w14:textId="2A810235">
      <w:pPr>
        <w:pStyle w:val="ArtBJStyL4"/>
        <w:keepNext/>
      </w:pPr>
      <w:bookmarkStart w:name="_Ref113892574" w:id="609"/>
      <w:proofErr w:type="gramStart"/>
      <w:r>
        <w:t>divulguer</w:t>
      </w:r>
      <w:proofErr w:type="gramEnd"/>
      <w:r w:rsidR="00C517ED">
        <w:t xml:space="preserve"> chaque année au </w:t>
      </w:r>
      <w:r w:rsidR="00980C6E">
        <w:t>Comité consultatif des Commanditaires</w:t>
      </w:r>
      <w:r w:rsidR="00C517ED">
        <w:t xml:space="preserve"> :</w:t>
      </w:r>
      <w:bookmarkEnd w:id="609"/>
    </w:p>
    <w:p w:rsidR="0000160C" w:rsidRDefault="00C517ED" w14:paraId="0EFCA06C" w14:textId="3C3875AD">
      <w:pPr>
        <w:pStyle w:val="ArtBJStyL5"/>
      </w:pPr>
      <w:bookmarkStart w:name="_Ref113892575" w:id="610"/>
      <w:proofErr w:type="gramStart"/>
      <w:r>
        <w:t>tous</w:t>
      </w:r>
      <w:proofErr w:type="gramEnd"/>
      <w:r>
        <w:t xml:space="preserve"> les </w:t>
      </w:r>
      <w:r w:rsidR="00235007">
        <w:t>R</w:t>
      </w:r>
      <w:r>
        <w:t>evenus de frais payés ou payables;</w:t>
      </w:r>
      <w:bookmarkEnd w:id="610"/>
      <w:r w:rsidR="00235007">
        <w:t xml:space="preserve"> et</w:t>
      </w:r>
    </w:p>
    <w:p w:rsidR="0000160C" w:rsidRDefault="00C517ED" w14:paraId="0CA3088F" w14:textId="29175868">
      <w:pPr>
        <w:pStyle w:val="ArtBJStyL5"/>
      </w:pPr>
      <w:bookmarkStart w:name="_Ref113892576" w:id="611"/>
      <w:proofErr w:type="gramStart"/>
      <w:r>
        <w:t>les</w:t>
      </w:r>
      <w:proofErr w:type="gramEnd"/>
      <w:r>
        <w:t xml:space="preserve"> calculs et une liste des </w:t>
      </w:r>
      <w:r w:rsidR="00235007">
        <w:t>F</w:t>
      </w:r>
      <w:r>
        <w:t xml:space="preserve">rais de gestion, des </w:t>
      </w:r>
      <w:r w:rsidR="00235007">
        <w:t>Distributions spéciales</w:t>
      </w:r>
      <w:r>
        <w:t xml:space="preserve"> et des autres dépenses du Fonds </w:t>
      </w:r>
      <w:r w:rsidR="00235007">
        <w:t>encourues</w:t>
      </w:r>
      <w:r>
        <w:t xml:space="preserve"> au cours de l</w:t>
      </w:r>
      <w:r w:rsidR="00E27310">
        <w:t>’</w:t>
      </w:r>
      <w:r w:rsidR="001D6FD0">
        <w:t>E</w:t>
      </w:r>
      <w:r>
        <w:t xml:space="preserve">xercice financier </w:t>
      </w:r>
      <w:r w:rsidR="0082726A">
        <w:t>concerné</w:t>
      </w:r>
      <w:r>
        <w:t xml:space="preserve">, dans chaque cas, au cours de </w:t>
      </w:r>
      <w:r w:rsidR="00235007">
        <w:t>l’année en question</w:t>
      </w:r>
      <w:r>
        <w:t>;</w:t>
      </w:r>
      <w:bookmarkEnd w:id="611"/>
    </w:p>
    <w:p w:rsidR="0000160C" w:rsidRDefault="00235007" w14:paraId="658C07B3" w14:textId="1B15B8EC">
      <w:pPr>
        <w:pStyle w:val="ArtBJStyL4"/>
        <w:keepNext/>
      </w:pPr>
      <w:bookmarkStart w:name="_Ref113892577" w:id="612"/>
      <w:proofErr w:type="gramStart"/>
      <w:r>
        <w:t>aviser</w:t>
      </w:r>
      <w:proofErr w:type="gramEnd"/>
      <w:r w:rsidR="00C517ED">
        <w:t xml:space="preserve"> sans délai</w:t>
      </w:r>
      <w:r>
        <w:t> le</w:t>
      </w:r>
      <w:r w:rsidR="00C517ED">
        <w:t xml:space="preserve"> </w:t>
      </w:r>
      <w:r>
        <w:t>C</w:t>
      </w:r>
      <w:r w:rsidR="00C517ED">
        <w:t xml:space="preserve">omité consultatif </w:t>
      </w:r>
      <w:r>
        <w:t>des Commanditaires</w:t>
      </w:r>
      <w:bookmarkEnd w:id="612"/>
      <w:r>
        <w:t> :</w:t>
      </w:r>
      <w:r w:rsidR="00C517ED">
        <w:t xml:space="preserve">  </w:t>
      </w:r>
    </w:p>
    <w:p w:rsidR="0000160C" w:rsidRDefault="00235007" w14:paraId="48104F3E" w14:textId="6DB96AA6">
      <w:pPr>
        <w:pStyle w:val="ArtBJStyL5"/>
      </w:pPr>
      <w:bookmarkStart w:name="_Ref113892578" w:id="613"/>
      <w:r>
        <w:t>du</w:t>
      </w:r>
      <w:r w:rsidR="00C517ED">
        <w:t xml:space="preserve"> début de toute </w:t>
      </w:r>
      <w:r>
        <w:t>P</w:t>
      </w:r>
      <w:r w:rsidR="00C517ED">
        <w:t>rocédure à l</w:t>
      </w:r>
      <w:r w:rsidR="00E27310">
        <w:t>’</w:t>
      </w:r>
      <w:r w:rsidR="00C517ED">
        <w:t xml:space="preserve">encontre du Fonds, de tout Fonds antérieur, du </w:t>
      </w:r>
      <w:r>
        <w:t>Commandité</w:t>
      </w:r>
      <w:r w:rsidR="00C517ED">
        <w:t>, du Gestionnaire, de toute Personne</w:t>
      </w:r>
      <w:r>
        <w:t>-</w:t>
      </w:r>
      <w:r w:rsidR="00C517ED">
        <w:t>clé ou de tout</w:t>
      </w:r>
      <w:r>
        <w:t xml:space="preserve"> Membre du même groupe</w:t>
      </w:r>
      <w:r w:rsidR="00F96A9A">
        <w:t xml:space="preserve"> </w:t>
      </w:r>
      <w:r w:rsidR="00335434">
        <w:t>que l’une des Personnes précédentes</w:t>
      </w:r>
      <w:r w:rsidR="00C517ED">
        <w:t xml:space="preserve">, en rapport avec les activités du Fonds, du </w:t>
      </w:r>
      <w:r>
        <w:t>Commandité</w:t>
      </w:r>
      <w:r w:rsidR="00C517ED">
        <w:t xml:space="preserve"> ou du Gestionnaire, et </w:t>
      </w:r>
      <w:r>
        <w:t>le résultat</w:t>
      </w:r>
      <w:r w:rsidR="00C517ED">
        <w:t>, une fois résolue, d</w:t>
      </w:r>
      <w:r w:rsidR="00E27310">
        <w:t>’</w:t>
      </w:r>
      <w:r w:rsidR="00C517ED">
        <w:t>une telle procédure</w:t>
      </w:r>
      <w:r>
        <w:t>,</w:t>
      </w:r>
      <w:r w:rsidR="00C517ED">
        <w:t xml:space="preserve"> à condition que le Comité consultatif </w:t>
      </w:r>
      <w:r>
        <w:t>des Commanditaires</w:t>
      </w:r>
      <w:r w:rsidR="00C517ED">
        <w:t>, en sa qualité de comité du Fonds, ait accès à tous les détails supplémentaires d</w:t>
      </w:r>
      <w:r w:rsidR="00E27310">
        <w:t>’</w:t>
      </w:r>
      <w:r w:rsidR="00C517ED">
        <w:t>une telle procédure sur demande, dans la mesure permise par la loi;</w:t>
      </w:r>
      <w:bookmarkEnd w:id="613"/>
      <w:r w:rsidR="00C517ED">
        <w:t xml:space="preserve"> </w:t>
      </w:r>
    </w:p>
    <w:p w:rsidR="0000160C" w:rsidRDefault="00235007" w14:paraId="34BCE8F9" w14:textId="0A2D0B2A">
      <w:pPr>
        <w:pStyle w:val="ArtBJStyL5"/>
      </w:pPr>
      <w:bookmarkStart w:name="_Ref113892579" w:id="614"/>
      <w:r>
        <w:t>du</w:t>
      </w:r>
      <w:r w:rsidR="00C517ED">
        <w:t xml:space="preserve"> début de toute Procédure (autre que les examens de routine) par tout organisme de réglementation ou administratif ayant autorité sur le Fonds, le </w:t>
      </w:r>
      <w:r>
        <w:t>Commandité</w:t>
      </w:r>
      <w:r w:rsidR="00C517ED">
        <w:t>, le Gestionnaire, toute Personne</w:t>
      </w:r>
      <w:r>
        <w:t>-</w:t>
      </w:r>
      <w:r w:rsidR="00C517ED">
        <w:t xml:space="preserve">Clé ou </w:t>
      </w:r>
      <w:r>
        <w:t>tout Membre du même groupe</w:t>
      </w:r>
      <w:r w:rsidR="00335434">
        <w:t xml:space="preserve"> que l’une des Personnes précédentes</w:t>
      </w:r>
      <w:r w:rsidR="00C517ED">
        <w:t xml:space="preserve"> qui implique une allégation de violation </w:t>
      </w:r>
      <w:r>
        <w:t>importante</w:t>
      </w:r>
      <w:r w:rsidR="00C517ED">
        <w:t xml:space="preserve"> de la loi par l</w:t>
      </w:r>
      <w:r w:rsidR="00E27310">
        <w:t>’</w:t>
      </w:r>
      <w:r w:rsidR="00C517ED">
        <w:t>une de ces Personnes, et le résultat, une fois résolu</w:t>
      </w:r>
      <w:r>
        <w:t>e</w:t>
      </w:r>
      <w:r w:rsidR="00C517ED">
        <w:t>, de toute Procédure (y compris les examens de routine)</w:t>
      </w:r>
      <w:r>
        <w:t>,</w:t>
      </w:r>
      <w:r w:rsidR="00C517ED">
        <w:t xml:space="preserve"> à condition que le Comité consultatif </w:t>
      </w:r>
      <w:r>
        <w:t>des Commanditaires</w:t>
      </w:r>
      <w:r w:rsidR="00B025A3">
        <w:t>,</w:t>
      </w:r>
      <w:r w:rsidR="00C517ED">
        <w:t xml:space="preserve"> en sa qualité de comité du Fonds</w:t>
      </w:r>
      <w:r w:rsidR="00B025A3">
        <w:t>,</w:t>
      </w:r>
      <w:r w:rsidR="00C517ED">
        <w:t xml:space="preserve"> ait accès à tous les détails supplémentaires d</w:t>
      </w:r>
      <w:r w:rsidR="00B025A3">
        <w:t>’une telle p</w:t>
      </w:r>
      <w:r w:rsidR="00C517ED">
        <w:t>rocédure sur demande</w:t>
      </w:r>
      <w:r>
        <w:t>,</w:t>
      </w:r>
      <w:r w:rsidR="00C517ED">
        <w:t xml:space="preserve"> dans la mesure permise par la loi;</w:t>
      </w:r>
      <w:bookmarkEnd w:id="614"/>
      <w:r w:rsidR="00C517ED">
        <w:t xml:space="preserve"> </w:t>
      </w:r>
    </w:p>
    <w:p w:rsidR="0000160C" w:rsidRDefault="00235007" w14:paraId="4E425E11" w14:textId="0D6F597F">
      <w:pPr>
        <w:pStyle w:val="ArtBJStyL5"/>
      </w:pPr>
      <w:bookmarkStart w:name="_Ref113892580" w:id="615"/>
      <w:proofErr w:type="gramStart"/>
      <w:r>
        <w:t>de</w:t>
      </w:r>
      <w:proofErr w:type="gramEnd"/>
      <w:r>
        <w:t xml:space="preserve"> </w:t>
      </w:r>
      <w:r w:rsidR="00C517ED">
        <w:t xml:space="preserve">tout </w:t>
      </w:r>
      <w:r>
        <w:t>C</w:t>
      </w:r>
      <w:r w:rsidR="00C517ED">
        <w:t>hangement de contrôle;</w:t>
      </w:r>
      <w:bookmarkEnd w:id="615"/>
    </w:p>
    <w:p w:rsidR="0000160C" w:rsidRDefault="00235007" w14:paraId="631F8233" w14:textId="4941401C">
      <w:pPr>
        <w:pStyle w:val="ArtBJStyL5"/>
      </w:pPr>
      <w:bookmarkStart w:name="_Ref113892581" w:id="616"/>
      <w:proofErr w:type="gramStart"/>
      <w:r>
        <w:t>du</w:t>
      </w:r>
      <w:proofErr w:type="gramEnd"/>
      <w:r w:rsidR="00C517ED">
        <w:t xml:space="preserve"> transfert par l</w:t>
      </w:r>
      <w:r w:rsidR="00E27310">
        <w:t>’</w:t>
      </w:r>
      <w:r w:rsidR="00C517ED">
        <w:t xml:space="preserve">une des </w:t>
      </w:r>
      <w:r>
        <w:t>P</w:t>
      </w:r>
      <w:r w:rsidR="00C517ED">
        <w:t>ersonnes</w:t>
      </w:r>
      <w:r>
        <w:t>-</w:t>
      </w:r>
      <w:r w:rsidR="00C517ED">
        <w:t xml:space="preserve">clés de leur contrôle (tel que défini dans la définition de « </w:t>
      </w:r>
      <w:r>
        <w:t>C</w:t>
      </w:r>
      <w:r w:rsidR="00C517ED">
        <w:t xml:space="preserve">hangement de contrôle ») du </w:t>
      </w:r>
      <w:r>
        <w:t>C</w:t>
      </w:r>
      <w:r w:rsidR="00C517ED">
        <w:t xml:space="preserve">ommandité ou du </w:t>
      </w:r>
      <w:r>
        <w:t>Gestionnaire</w:t>
      </w:r>
      <w:r w:rsidR="00C517ED">
        <w:t>;</w:t>
      </w:r>
      <w:bookmarkEnd w:id="616"/>
      <w:r w:rsidR="00C517ED">
        <w:t xml:space="preserve"> </w:t>
      </w:r>
    </w:p>
    <w:p w:rsidR="0000160C" w:rsidRDefault="00235007" w14:paraId="4AD2B811" w14:textId="68C58659">
      <w:pPr>
        <w:pStyle w:val="ArtBJStyL5"/>
      </w:pPr>
      <w:bookmarkStart w:name="_Ref113892582" w:id="617"/>
      <w:proofErr w:type="gramStart"/>
      <w:r>
        <w:t>du</w:t>
      </w:r>
      <w:proofErr w:type="gramEnd"/>
      <w:r w:rsidR="00C517ED">
        <w:t xml:space="preserve"> transfert par l</w:t>
      </w:r>
      <w:r w:rsidR="00E27310">
        <w:t>’</w:t>
      </w:r>
      <w:r w:rsidR="00C517ED">
        <w:t xml:space="preserve">une des </w:t>
      </w:r>
      <w:r>
        <w:t>P</w:t>
      </w:r>
      <w:r w:rsidR="00C517ED">
        <w:t>ersonnes</w:t>
      </w:r>
      <w:r>
        <w:t>-</w:t>
      </w:r>
      <w:r w:rsidR="00C517ED">
        <w:t>clés d</w:t>
      </w:r>
      <w:r w:rsidR="00E27310">
        <w:t>’</w:t>
      </w:r>
      <w:r w:rsidR="00C517ED">
        <w:t xml:space="preserve">une partie de leur droit aux </w:t>
      </w:r>
      <w:r>
        <w:t>Distributions spéciales</w:t>
      </w:r>
      <w:r w:rsidR="00C517ED">
        <w:t>;</w:t>
      </w:r>
      <w:bookmarkStart w:name="_Ref113892872" w:id="618"/>
      <w:r w:rsidR="00C517ED">
        <w:t xml:space="preserve"> et</w:t>
      </w:r>
      <w:r w:rsidR="00C517ED">
        <w:rPr>
          <w:rStyle w:val="FootnoteReference"/>
        </w:rPr>
        <w:footnoteReference w:id="126"/>
      </w:r>
      <w:bookmarkEnd w:id="617"/>
      <w:bookmarkEnd w:id="618"/>
      <w:r w:rsidR="00C517ED">
        <w:rPr>
          <w:highlight w:val="yellow"/>
        </w:rPr>
        <w:t xml:space="preserve"> </w:t>
      </w:r>
      <w:r w:rsidR="00C517ED">
        <w:t xml:space="preserve"> </w:t>
      </w:r>
    </w:p>
    <w:p w:rsidR="0000160C" w:rsidRDefault="00235007" w14:paraId="10EC4057" w14:textId="7110F611">
      <w:pPr>
        <w:pStyle w:val="ArtBJStyL5"/>
      </w:pPr>
      <w:bookmarkStart w:name="_Ref113892583" w:id="619"/>
      <w:proofErr w:type="gramStart"/>
      <w:r>
        <w:t>de</w:t>
      </w:r>
      <w:proofErr w:type="gramEnd"/>
      <w:r>
        <w:t xml:space="preserve"> </w:t>
      </w:r>
      <w:r w:rsidR="00C517ED">
        <w:t>tout conflit d</w:t>
      </w:r>
      <w:r w:rsidR="00E27310">
        <w:t>’</w:t>
      </w:r>
      <w:r w:rsidR="00C517ED">
        <w:t xml:space="preserve">intérêts </w:t>
      </w:r>
      <w:r>
        <w:t>qu’il</w:t>
      </w:r>
      <w:r w:rsidR="00C517ED">
        <w:t xml:space="preserve"> est tenu de divulguer en vertu de l</w:t>
      </w:r>
      <w:r>
        <w:t xml:space="preserve">’article </w:t>
      </w:r>
      <w:r w:rsidRPr="00D33A0A" w:rsidR="00C517ED">
        <w:fldChar w:fldCharType="begin"/>
      </w:r>
      <w:r w:rsidRPr="00D33A0A" w:rsidR="00C517ED">
        <w:instrText xml:space="preserve"> REF _Ref40803336 \w \h </w:instrText>
      </w:r>
      <w:r w:rsidRPr="00D33A0A" w:rsidR="00791303">
        <w:instrText xml:space="preserve"> \* MERGEFORMAT </w:instrText>
      </w:r>
      <w:r w:rsidRPr="00D33A0A" w:rsidR="00C517ED">
        <w:fldChar w:fldCharType="separate"/>
      </w:r>
      <w:r w:rsidR="00B50BE2">
        <w:t>9.5</w:t>
      </w:r>
      <w:r w:rsidRPr="00D33A0A" w:rsidR="00C517ED">
        <w:fldChar w:fldCharType="end"/>
      </w:r>
      <w:r w:rsidR="00C517ED">
        <w:t xml:space="preserve"> (</w:t>
      </w:r>
      <w:r w:rsidRPr="00D33A0A" w:rsidR="003A3836">
        <w:rPr>
          <w:i/>
        </w:rPr>
        <w:fldChar w:fldCharType="begin"/>
      </w:r>
      <w:r w:rsidRPr="00D33A0A" w:rsidR="003A3836">
        <w:rPr>
          <w:i/>
        </w:rPr>
        <w:instrText xml:space="preserve"> REF _Ref113892527 \h  \* MERGEFORMAT </w:instrText>
      </w:r>
      <w:r w:rsidRPr="00D33A0A" w:rsidR="003A3836">
        <w:rPr>
          <w:i/>
        </w:rPr>
      </w:r>
      <w:r w:rsidRPr="00D33A0A" w:rsidR="003A3836">
        <w:rPr>
          <w:i/>
        </w:rPr>
        <w:fldChar w:fldCharType="separate"/>
      </w:r>
      <w:r w:rsidRPr="00B50BE2" w:rsidR="00B50BE2">
        <w:rPr>
          <w:i/>
        </w:rPr>
        <w:t>Autres conflits d’intérêts.</w:t>
      </w:r>
      <w:r w:rsidRPr="00D33A0A" w:rsidR="003A3836">
        <w:rPr>
          <w:i/>
        </w:rPr>
        <w:fldChar w:fldCharType="end"/>
      </w:r>
      <w:r w:rsidR="00C517ED">
        <w:t>).</w:t>
      </w:r>
      <w:bookmarkEnd w:id="619"/>
    </w:p>
    <w:p w:rsidR="0000160C" w:rsidRDefault="00C517ED" w14:paraId="526D0D1D" w14:textId="4F2848BA">
      <w:pPr>
        <w:pStyle w:val="ArtBJStyL4"/>
      </w:pPr>
      <w:bookmarkStart w:name="_Ref113892584" w:id="620"/>
      <w:proofErr w:type="gramStart"/>
      <w:r>
        <w:lastRenderedPageBreak/>
        <w:t>informer</w:t>
      </w:r>
      <w:proofErr w:type="gramEnd"/>
      <w:r>
        <w:t xml:space="preserve"> le </w:t>
      </w:r>
      <w:r w:rsidR="00980C6E">
        <w:t>Comité consultatif des Commanditaires</w:t>
      </w:r>
      <w:r>
        <w:t xml:space="preserve"> de toute possibilité d</w:t>
      </w:r>
      <w:r w:rsidR="00235007">
        <w:t>’</w:t>
      </w:r>
      <w:r w:rsidR="00BE4B19">
        <w:t>investissement conjoint</w:t>
      </w:r>
      <w:r>
        <w:t xml:space="preserve"> qui a été offerte par le </w:t>
      </w:r>
      <w:r w:rsidR="00235007">
        <w:t>C</w:t>
      </w:r>
      <w:r>
        <w:t>ommandité ou l</w:t>
      </w:r>
      <w:r w:rsidR="00E27310">
        <w:t>’</w:t>
      </w:r>
      <w:r>
        <w:t>un</w:t>
      </w:r>
      <w:r w:rsidR="00235007">
        <w:t xml:space="preserve"> des Membres du même groupe</w:t>
      </w:r>
      <w:r w:rsidR="00F96A9A">
        <w:t xml:space="preserve"> que le Commandité</w:t>
      </w:r>
      <w:r w:rsidR="00235007">
        <w:t xml:space="preserve"> </w:t>
      </w:r>
      <w:r>
        <w:t xml:space="preserve">à une </w:t>
      </w:r>
      <w:r w:rsidR="00235007">
        <w:t>P</w:t>
      </w:r>
      <w:r>
        <w:t xml:space="preserve">ersonne; </w:t>
      </w:r>
      <w:bookmarkEnd w:id="620"/>
    </w:p>
    <w:p w:rsidR="0000160C" w:rsidRDefault="00C517ED" w14:paraId="3C9D04A0" w14:textId="61FA2F1B">
      <w:pPr>
        <w:pStyle w:val="ArtBJStyL4"/>
      </w:pPr>
      <w:bookmarkStart w:name="_Ref40802561" w:id="621"/>
      <w:proofErr w:type="gramStart"/>
      <w:r>
        <w:t>si</w:t>
      </w:r>
      <w:proofErr w:type="gramEnd"/>
      <w:r>
        <w:t xml:space="preserve"> le </w:t>
      </w:r>
      <w:r w:rsidR="00235007">
        <w:t>C</w:t>
      </w:r>
      <w:r>
        <w:t xml:space="preserve">omité consultatif </w:t>
      </w:r>
      <w:r w:rsidR="00235007">
        <w:t>des Commanditaires</w:t>
      </w:r>
      <w:r>
        <w:t xml:space="preserve"> le demande, soumettre toute </w:t>
      </w:r>
      <w:r w:rsidR="00235007">
        <w:t>V</w:t>
      </w:r>
      <w:r>
        <w:t xml:space="preserve">aleur déterminée par le Fonds ou le </w:t>
      </w:r>
      <w:r w:rsidR="00235007">
        <w:t>C</w:t>
      </w:r>
      <w:r>
        <w:t>ommandité ou en son nom à une confirmation ou (si elle n</w:t>
      </w:r>
      <w:r w:rsidR="00E27310">
        <w:t>’</w:t>
      </w:r>
      <w:r>
        <w:t>est pas confirmée) à un ajustement par une banque d</w:t>
      </w:r>
      <w:r w:rsidR="00E27310">
        <w:t>’</w:t>
      </w:r>
      <w:r>
        <w:t xml:space="preserve">investissement, une </w:t>
      </w:r>
      <w:r w:rsidR="00235007">
        <w:t>firme comptable</w:t>
      </w:r>
      <w:r>
        <w:t xml:space="preserve"> ou une autre société d</w:t>
      </w:r>
      <w:r w:rsidR="00E27310">
        <w:t>’</w:t>
      </w:r>
      <w:r>
        <w:t xml:space="preserve">évaluation reconnue indépendante sélectionnée par le </w:t>
      </w:r>
      <w:r w:rsidR="00235007">
        <w:t>C</w:t>
      </w:r>
      <w:r>
        <w:t xml:space="preserve">ommandité, consentie par écrit par le </w:t>
      </w:r>
      <w:r w:rsidR="00235007">
        <w:t>C</w:t>
      </w:r>
      <w:r>
        <w:t xml:space="preserve">omité consultatif </w:t>
      </w:r>
      <w:r w:rsidR="00235007">
        <w:t>des Commanditaires</w:t>
      </w:r>
      <w:r>
        <w:t xml:space="preserve"> et nommée </w:t>
      </w:r>
      <w:r w:rsidR="00235007">
        <w:t xml:space="preserve">(et agissant en son nom) </w:t>
      </w:r>
      <w:r>
        <w:t>par le Fonds aux</w:t>
      </w:r>
      <w:r w:rsidR="00235007">
        <w:t xml:space="preserve"> F</w:t>
      </w:r>
      <w:r>
        <w:t>rais du Fonds; et</w:t>
      </w:r>
      <w:bookmarkEnd w:id="621"/>
    </w:p>
    <w:p w:rsidR="0000160C" w:rsidRDefault="00C517ED" w14:paraId="6EC747F6" w14:textId="765B8251">
      <w:pPr>
        <w:pStyle w:val="ArtBJStyL4"/>
      </w:pPr>
      <w:bookmarkStart w:name="_Ref113892585" w:id="622"/>
      <w:proofErr w:type="gramStart"/>
      <w:r>
        <w:t>aviser</w:t>
      </w:r>
      <w:proofErr w:type="gramEnd"/>
      <w:r>
        <w:t xml:space="preserve"> sans délai le </w:t>
      </w:r>
      <w:r w:rsidR="00980C6E">
        <w:t>Comité consultatif des Commanditaires</w:t>
      </w:r>
      <w:r>
        <w:t xml:space="preserve"> de toute demande d</w:t>
      </w:r>
      <w:r w:rsidR="00E27310">
        <w:t>’</w:t>
      </w:r>
      <w:r>
        <w:t xml:space="preserve">indemnisation </w:t>
      </w:r>
      <w:r w:rsidR="00643E5F">
        <w:t>faite</w:t>
      </w:r>
      <w:r>
        <w:t xml:space="preserve"> conformément à </w:t>
      </w:r>
      <w:r w:rsidR="00643E5F">
        <w:t>l’article</w:t>
      </w:r>
      <w:r>
        <w:t>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3A3836" w:rsidR="003A3836">
        <w:rPr>
          <w:i/>
        </w:rPr>
        <w:fldChar w:fldCharType="begin"/>
      </w:r>
      <w:r w:rsidRPr="003A3836" w:rsidR="003A3836">
        <w:rPr>
          <w:i/>
        </w:rPr>
        <w:instrText xml:space="preserve"> REF _Ref40803551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Indemnisation des Personnes couvertes.</w:t>
      </w:r>
      <w:r w:rsidRPr="003A3836" w:rsidR="003A3836">
        <w:rPr>
          <w:i/>
        </w:rPr>
        <w:fldChar w:fldCharType="end"/>
      </w:r>
      <w:r>
        <w:t xml:space="preserve">) que le </w:t>
      </w:r>
      <w:r w:rsidR="00F96A9A">
        <w:t>C</w:t>
      </w:r>
      <w:r>
        <w:t>ommandité a l</w:t>
      </w:r>
      <w:r w:rsidR="00E27310">
        <w:t>’</w:t>
      </w:r>
      <w:r>
        <w:t>intention de satisfaire à partir des actifs du Fonds.</w:t>
      </w:r>
      <w:bookmarkEnd w:id="622"/>
      <w:r>
        <w:t xml:space="preserve"> </w:t>
      </w:r>
    </w:p>
    <w:p w:rsidR="0000160C" w:rsidRDefault="00C517ED" w14:paraId="6E20A066" w14:textId="77777777">
      <w:pPr>
        <w:pStyle w:val="ArtBJStyL2"/>
      </w:pPr>
      <w:bookmarkStart w:name="_Ref113892586" w:id="623"/>
      <w:bookmarkStart w:name="_Toc161762382" w:id="624"/>
      <w:r>
        <w:t>Réunions.</w:t>
      </w:r>
      <w:bookmarkEnd w:id="623"/>
      <w:bookmarkEnd w:id="624"/>
    </w:p>
    <w:p w:rsidR="0000160C" w:rsidRDefault="00643E5F" w14:paraId="74B668F4" w14:textId="07E25C27">
      <w:pPr>
        <w:pStyle w:val="ArtBJStyL3"/>
        <w:keepNext/>
      </w:pPr>
      <w:bookmarkStart w:name="_Ref113892587" w:id="625"/>
      <w:r>
        <w:t>Les r</w:t>
      </w:r>
      <w:r w:rsidR="00C517ED">
        <w:t>éunions du Comité consultatif d</w:t>
      </w:r>
      <w:r>
        <w:t>es Commanditaires</w:t>
      </w:r>
      <w:bookmarkEnd w:id="625"/>
      <w:r>
        <w:t> :</w:t>
      </w:r>
    </w:p>
    <w:p w:rsidR="0000160C" w:rsidRDefault="00643E5F" w14:paraId="14E55B3E" w14:textId="04425D70">
      <w:pPr>
        <w:pStyle w:val="ArtBJStyL4"/>
      </w:pPr>
      <w:bookmarkStart w:name="_Ref113892588" w:id="626"/>
      <w:proofErr w:type="gramStart"/>
      <w:r>
        <w:t>doivent</w:t>
      </w:r>
      <w:proofErr w:type="gramEnd"/>
      <w:r>
        <w:t xml:space="preserve"> être convoquées</w:t>
      </w:r>
      <w:r w:rsidR="00C517ED">
        <w:t xml:space="preserve"> par le </w:t>
      </w:r>
      <w:r>
        <w:t>C</w:t>
      </w:r>
      <w:r w:rsidR="00C517ED">
        <w:t xml:space="preserve">ommandité à tout moment </w:t>
      </w:r>
      <w:r>
        <w:t>afin</w:t>
      </w:r>
      <w:r w:rsidR="00C517ED">
        <w:t xml:space="preserve"> </w:t>
      </w:r>
      <w:r>
        <w:t>d’</w:t>
      </w:r>
      <w:r w:rsidR="00C517ED">
        <w:t xml:space="preserve">examiner </w:t>
      </w:r>
      <w:r>
        <w:t>l</w:t>
      </w:r>
      <w:r w:rsidR="00C517ED">
        <w:t>es questions pour lesquelles le consentement, l</w:t>
      </w:r>
      <w:r w:rsidR="00E27310">
        <w:t>’</w:t>
      </w:r>
      <w:r w:rsidR="00C517ED">
        <w:t>approbation, l</w:t>
      </w:r>
      <w:r>
        <w:t xml:space="preserve">’examen </w:t>
      </w:r>
      <w:r w:rsidR="00C517ED">
        <w:t xml:space="preserve">ou la renonciation du </w:t>
      </w:r>
      <w:r w:rsidR="00980C6E">
        <w:t>Comité consultatif des Commanditaires</w:t>
      </w:r>
      <w:r w:rsidR="00C517ED">
        <w:t xml:space="preserve"> est requis par </w:t>
      </w:r>
      <w:r w:rsidR="003278C2">
        <w:t>la présente Convention</w:t>
      </w:r>
      <w:r w:rsidR="00C517ED">
        <w:t xml:space="preserve"> ou est demandé par le </w:t>
      </w:r>
      <w:r>
        <w:t>C</w:t>
      </w:r>
      <w:r w:rsidR="00C517ED">
        <w:t xml:space="preserve">ommandité, à condition que le </w:t>
      </w:r>
      <w:r>
        <w:t>C</w:t>
      </w:r>
      <w:r w:rsidR="00C517ED">
        <w:t xml:space="preserve">ommandité convoque au moins </w:t>
      </w:r>
      <w:r w:rsidR="00C517ED">
        <w:rPr>
          <w:b/>
          <w:highlight w:val="yellow"/>
        </w:rPr>
        <w:t>[une]</w:t>
      </w:r>
      <w:r w:rsidR="00C517ED">
        <w:t xml:space="preserve"> réunion du </w:t>
      </w:r>
      <w:r w:rsidR="00980C6E">
        <w:t>Comité consultatif des Commanditaires</w:t>
      </w:r>
      <w:r w:rsidR="00C517ED">
        <w:t xml:space="preserve"> par </w:t>
      </w:r>
      <w:r w:rsidR="00C517ED">
        <w:rPr>
          <w:b/>
          <w:highlight w:val="yellow"/>
        </w:rPr>
        <w:t>[année]</w:t>
      </w:r>
      <w:r w:rsidR="00C517ED">
        <w:t>; et</w:t>
      </w:r>
      <w:bookmarkEnd w:id="626"/>
    </w:p>
    <w:p w:rsidR="0000160C" w:rsidRDefault="00C517ED" w14:paraId="3DEA2414" w14:textId="2F820B07">
      <w:pPr>
        <w:pStyle w:val="ArtBJStyL4"/>
      </w:pPr>
      <w:bookmarkStart w:name="_Ref113892589" w:id="627"/>
      <w:proofErr w:type="gramStart"/>
      <w:r>
        <w:t>peuvent</w:t>
      </w:r>
      <w:proofErr w:type="gramEnd"/>
      <w:r>
        <w:t xml:space="preserve"> être convoqué</w:t>
      </w:r>
      <w:r w:rsidR="00643E5F">
        <w:t>e</w:t>
      </w:r>
      <w:r>
        <w:t xml:space="preserve">s à tout moment par deux ou plusieurs membres du </w:t>
      </w:r>
      <w:r w:rsidR="00643E5F">
        <w:t>C</w:t>
      </w:r>
      <w:r>
        <w:t xml:space="preserve">omité consultatif </w:t>
      </w:r>
      <w:r w:rsidR="00643E5F">
        <w:t>des Commanditaires</w:t>
      </w:r>
      <w:r>
        <w:t>.</w:t>
      </w:r>
      <w:bookmarkEnd w:id="627"/>
    </w:p>
    <w:p w:rsidR="0000160C" w:rsidRDefault="00C517ED" w14:paraId="5A76E2D7" w14:textId="3BC04D7F">
      <w:pPr>
        <w:pStyle w:val="ArtBJStyL3"/>
      </w:pPr>
      <w:bookmarkStart w:name="_Ref113892590" w:id="628"/>
      <w:r>
        <w:t xml:space="preserve">Un avis écrit de chaque réunion du </w:t>
      </w:r>
      <w:r w:rsidR="00643E5F">
        <w:t>C</w:t>
      </w:r>
      <w:r>
        <w:t xml:space="preserve">omité consultatif </w:t>
      </w:r>
      <w:r w:rsidR="00643E5F">
        <w:t>des Commanditaires</w:t>
      </w:r>
      <w:r>
        <w:t xml:space="preserve"> doit être donné à chaque membre du </w:t>
      </w:r>
      <w:r w:rsidR="00643E5F">
        <w:t>C</w:t>
      </w:r>
      <w:r>
        <w:t xml:space="preserve">omité consultatif </w:t>
      </w:r>
      <w:r w:rsidR="00643E5F">
        <w:t>des Commanditaires</w:t>
      </w:r>
      <w:r>
        <w:t xml:space="preserve"> au moins </w:t>
      </w:r>
      <w:r>
        <w:rPr>
          <w:b/>
          <w:highlight w:val="yellow"/>
        </w:rPr>
        <w:t xml:space="preserve">[10 </w:t>
      </w:r>
      <w:r w:rsidR="00643E5F">
        <w:rPr>
          <w:b/>
          <w:highlight w:val="yellow"/>
        </w:rPr>
        <w:t>J</w:t>
      </w:r>
      <w:r>
        <w:rPr>
          <w:b/>
          <w:highlight w:val="yellow"/>
        </w:rPr>
        <w:t>ours ouvrables]</w:t>
      </w:r>
      <w:r>
        <w:t xml:space="preserve"> avant la date à laquelle la réunion doit </w:t>
      </w:r>
      <w:r w:rsidR="00643E5F">
        <w:t>avoir lieu</w:t>
      </w:r>
      <w:r>
        <w:t>. La présence d</w:t>
      </w:r>
      <w:r w:rsidR="00E27310">
        <w:t>’</w:t>
      </w:r>
      <w:r>
        <w:t xml:space="preserve">un membre du </w:t>
      </w:r>
      <w:r w:rsidR="00980C6E">
        <w:t>Comité consultatif des Commanditaires</w:t>
      </w:r>
      <w:r>
        <w:t xml:space="preserve"> à une réunion du </w:t>
      </w:r>
      <w:r w:rsidR="00980C6E">
        <w:t>Comité consultatif des Commanditaires</w:t>
      </w:r>
      <w:r>
        <w:t xml:space="preserve"> constitue une renonciation à un tel avis. Tout avis </w:t>
      </w:r>
      <w:r w:rsidR="00643E5F">
        <w:t>de convocation</w:t>
      </w:r>
      <w:r>
        <w:t xml:space="preserve"> à une réunion du </w:t>
      </w:r>
      <w:r w:rsidR="00643E5F">
        <w:t>C</w:t>
      </w:r>
      <w:r>
        <w:t xml:space="preserve">omité consultatif </w:t>
      </w:r>
      <w:r w:rsidR="00643E5F">
        <w:t>des Commanditaires</w:t>
      </w:r>
      <w:r>
        <w:t xml:space="preserve"> doit contenir une description des questions à </w:t>
      </w:r>
      <w:r w:rsidR="00643E5F">
        <w:t>examiner</w:t>
      </w:r>
      <w:r>
        <w:t xml:space="preserve"> ainsi que tous les documents pertinents à examiner lors de cette réunion.</w:t>
      </w:r>
      <w:bookmarkEnd w:id="628"/>
    </w:p>
    <w:p w:rsidR="0000160C" w:rsidRDefault="00C517ED" w14:paraId="1DE92833" w14:textId="279AC366">
      <w:pPr>
        <w:pStyle w:val="ArtBJStyL3"/>
      </w:pPr>
      <w:bookmarkStart w:name="_Ref113892591" w:id="629"/>
      <w:r>
        <w:t xml:space="preserve">Les membres du Comité consultatif </w:t>
      </w:r>
      <w:r w:rsidR="00643E5F">
        <w:t>des Commanditaires</w:t>
      </w:r>
      <w:r>
        <w:t xml:space="preserve"> peuvent participer à une réunion du Comité consultatif </w:t>
      </w:r>
      <w:r w:rsidR="00643E5F">
        <w:t>des Commanditaires</w:t>
      </w:r>
      <w:r>
        <w:t xml:space="preserve"> par téléphone, vidéo ou équipement de communication similaire </w:t>
      </w:r>
      <w:r w:rsidR="00F40894">
        <w:t>au moyen</w:t>
      </w:r>
      <w:r>
        <w:t xml:space="preserve"> </w:t>
      </w:r>
      <w:r w:rsidR="00F40894">
        <w:t>d</w:t>
      </w:r>
      <w:r>
        <w:t xml:space="preserve">uquel toutes les </w:t>
      </w:r>
      <w:r w:rsidR="00F40894">
        <w:t>P</w:t>
      </w:r>
      <w:r>
        <w:t>ersonnes participant à la réunion peuvent s</w:t>
      </w:r>
      <w:r w:rsidR="00E27310">
        <w:t>’</w:t>
      </w:r>
      <w:r>
        <w:t>entendre et se parler.</w:t>
      </w:r>
      <w:bookmarkEnd w:id="629"/>
    </w:p>
    <w:p w:rsidR="0000160C" w:rsidRDefault="00C517ED" w14:paraId="14B7FB0E" w14:textId="00F0AE61">
      <w:pPr>
        <w:pStyle w:val="ArtBJStyL3"/>
      </w:pPr>
      <w:bookmarkStart w:name="_Ref113892592" w:id="630"/>
      <w:r>
        <w:t xml:space="preserve">Le </w:t>
      </w:r>
      <w:r w:rsidR="00F40894">
        <w:t>C</w:t>
      </w:r>
      <w:r>
        <w:t>omité consultatif d</w:t>
      </w:r>
      <w:r w:rsidR="00F40894">
        <w:t xml:space="preserve">es Commanditaires </w:t>
      </w:r>
      <w:r>
        <w:t xml:space="preserve">peut à tout moment se réunir à </w:t>
      </w:r>
      <w:r>
        <w:rPr>
          <w:i/>
        </w:rPr>
        <w:t>huis clos</w:t>
      </w:r>
      <w:r>
        <w:t xml:space="preserve"> sans qu</w:t>
      </w:r>
      <w:r w:rsidR="00E27310">
        <w:t>’</w:t>
      </w:r>
      <w:r>
        <w:t xml:space="preserve">aucune </w:t>
      </w:r>
      <w:r w:rsidR="00F40894">
        <w:t>P</w:t>
      </w:r>
      <w:r>
        <w:t>ersonne intéressée ou aucun représentant d</w:t>
      </w:r>
      <w:r w:rsidR="00E27310">
        <w:t>’</w:t>
      </w:r>
      <w:r>
        <w:t xml:space="preserve">une </w:t>
      </w:r>
      <w:r w:rsidR="00F40894">
        <w:t>P</w:t>
      </w:r>
      <w:r>
        <w:t>ersonne intéressée ne soit présent.</w:t>
      </w:r>
      <w:bookmarkEnd w:id="630"/>
    </w:p>
    <w:p w:rsidR="0000160C" w:rsidRDefault="00C517ED" w14:paraId="71270959" w14:textId="6BF7FF96">
      <w:pPr>
        <w:pStyle w:val="ArtBJStyL2"/>
      </w:pPr>
      <w:bookmarkStart w:name="_Ref48202945" w:id="631"/>
      <w:bookmarkStart w:name="_Toc161762383" w:id="632"/>
      <w:r>
        <w:lastRenderedPageBreak/>
        <w:t xml:space="preserve">Résolutions du </w:t>
      </w:r>
      <w:r w:rsidR="00980C6E">
        <w:t>Comité consultatif des Commanditaires</w:t>
      </w:r>
      <w:r>
        <w:t>.</w:t>
      </w:r>
      <w:bookmarkEnd w:id="631"/>
      <w:bookmarkEnd w:id="632"/>
    </w:p>
    <w:p w:rsidR="0000160C" w:rsidRDefault="00C517ED" w14:paraId="019E7D31" w14:textId="135C8690">
      <w:pPr>
        <w:pStyle w:val="ArtBJStyL3"/>
      </w:pPr>
      <w:bookmarkStart w:name="_Ref113892593" w:id="633"/>
      <w:r>
        <w:t xml:space="preserve">Toute mesure prise par le </w:t>
      </w:r>
      <w:r w:rsidR="00980C6E">
        <w:t>Comité consultatif des Commanditaires</w:t>
      </w:r>
      <w:r>
        <w:t xml:space="preserve"> peut également l</w:t>
      </w:r>
      <w:r w:rsidR="00E27310">
        <w:t>’</w:t>
      </w:r>
      <w:r>
        <w:t xml:space="preserve">être par un consentement écrit énonçant la mesure prise et (sauf si un seuil plus élevé a été spécifié dans </w:t>
      </w:r>
      <w:r w:rsidR="00F40894">
        <w:t>la présente Convention</w:t>
      </w:r>
      <w:r>
        <w:t>) approuvé</w:t>
      </w:r>
      <w:r w:rsidR="006157DA">
        <w:t>e</w:t>
      </w:r>
      <w:r>
        <w:t xml:space="preserve"> par la majorité des membres du </w:t>
      </w:r>
      <w:r w:rsidR="00980C6E">
        <w:t>Comité consultatif des Commanditaires</w:t>
      </w:r>
      <w:r>
        <w:t>, ce consentement écrit pouvant être donné par courriel ou sous toute autre forme écrite.</w:t>
      </w:r>
      <w:bookmarkStart w:name="_Ref113892873" w:id="634"/>
      <w:r>
        <w:rPr>
          <w:rStyle w:val="FootnoteReference"/>
        </w:rPr>
        <w:footnoteReference w:id="127"/>
      </w:r>
      <w:bookmarkEnd w:id="634"/>
      <w:r>
        <w:t xml:space="preserve"> </w:t>
      </w:r>
      <w:bookmarkEnd w:id="633"/>
      <w:r>
        <w:rPr>
          <w:b/>
        </w:rPr>
        <w:t xml:space="preserve"> </w:t>
      </w:r>
    </w:p>
    <w:p w:rsidR="0000160C" w:rsidRDefault="00C517ED" w14:paraId="38357CF8" w14:textId="0762A93A">
      <w:pPr>
        <w:pStyle w:val="ArtBJStyL3"/>
      </w:pPr>
      <w:bookmarkStart w:name="_Ref113892594" w:id="636"/>
      <w:r>
        <w:t xml:space="preserve">Chaque membre du </w:t>
      </w:r>
      <w:r w:rsidR="00F40894">
        <w:t>C</w:t>
      </w:r>
      <w:r>
        <w:t xml:space="preserve">omité consultatif </w:t>
      </w:r>
      <w:r w:rsidR="00F40894">
        <w:t>des Commanditaires</w:t>
      </w:r>
      <w:r>
        <w:t xml:space="preserve"> dispose d</w:t>
      </w:r>
      <w:r w:rsidR="00E27310">
        <w:t>’</w:t>
      </w:r>
      <w:r>
        <w:t>une voix.</w:t>
      </w:r>
      <w:bookmarkEnd w:id="636"/>
    </w:p>
    <w:p w:rsidR="0000160C" w:rsidRDefault="00C517ED" w14:paraId="77080A76" w14:textId="10304B97">
      <w:pPr>
        <w:pStyle w:val="ArtBJStyL3"/>
      </w:pPr>
      <w:bookmarkStart w:name="_Ref113892595" w:id="637"/>
      <w:r>
        <w:t xml:space="preserve">Sauf disposition expresse </w:t>
      </w:r>
      <w:r w:rsidR="00F40894">
        <w:t>du présent article</w:t>
      </w:r>
      <w:r>
        <w:t> </w:t>
      </w:r>
      <w:r w:rsidRPr="006400F9">
        <w:fldChar w:fldCharType="begin"/>
      </w:r>
      <w:r w:rsidRPr="006400F9">
        <w:instrText xml:space="preserve"> REF _Ref48202945 \w \h </w:instrText>
      </w:r>
      <w:r w:rsidRPr="006400F9" w:rsidR="00791303">
        <w:instrText xml:space="preserve"> \* MERGEFORMAT </w:instrText>
      </w:r>
      <w:r w:rsidRPr="006400F9">
        <w:fldChar w:fldCharType="separate"/>
      </w:r>
      <w:r w:rsidR="00B50BE2">
        <w:t>13.4</w:t>
      </w:r>
      <w:r w:rsidRPr="006400F9">
        <w:fldChar w:fldCharType="end"/>
      </w:r>
      <w:r>
        <w:t xml:space="preserve"> (</w:t>
      </w:r>
      <w:r w:rsidRPr="003A3836" w:rsidR="003A3836">
        <w:rPr>
          <w:i/>
        </w:rPr>
        <w:fldChar w:fldCharType="begin"/>
      </w:r>
      <w:r w:rsidRPr="003A3836" w:rsidR="003A3836">
        <w:rPr>
          <w:i/>
        </w:rPr>
        <w:instrText xml:space="preserve"> REF _Ref48202945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Résolutions du Comité consultatif des Commanditaires.</w:t>
      </w:r>
      <w:r w:rsidRPr="003A3836" w:rsidR="003A3836">
        <w:rPr>
          <w:i/>
        </w:rPr>
        <w:fldChar w:fldCharType="end"/>
      </w:r>
      <w:r>
        <w:t xml:space="preserve">), le </w:t>
      </w:r>
      <w:r w:rsidR="00F40894">
        <w:t>C</w:t>
      </w:r>
      <w:r>
        <w:t xml:space="preserve">omité consultatif </w:t>
      </w:r>
      <w:r w:rsidR="00F40894">
        <w:t>des Commanditaires</w:t>
      </w:r>
      <w:r>
        <w:t xml:space="preserve"> mène ses activités de la manière et selon les procédures qu</w:t>
      </w:r>
      <w:r w:rsidR="00E27310">
        <w:t>’</w:t>
      </w:r>
      <w:r>
        <w:t>une majorité de ses membres juge appropriées.</w:t>
      </w:r>
      <w:bookmarkEnd w:id="637"/>
    </w:p>
    <w:p w:rsidR="0000160C" w:rsidRDefault="00F40894" w14:paraId="0A864A68" w14:textId="723FA057">
      <w:pPr>
        <w:pStyle w:val="ArtBJStyL2"/>
      </w:pPr>
      <w:bookmarkStart w:name="_Ref113892596" w:id="638"/>
      <w:bookmarkStart w:name="_Toc161762384" w:id="639"/>
      <w:r>
        <w:t>Frais,</w:t>
      </w:r>
      <w:r w:rsidR="00C517ED">
        <w:t xml:space="preserve"> </w:t>
      </w:r>
      <w:r w:rsidR="0069568C">
        <w:t>d</w:t>
      </w:r>
      <w:r w:rsidR="00C517ED">
        <w:t>épenses</w:t>
      </w:r>
      <w:r>
        <w:t>,</w:t>
      </w:r>
      <w:r w:rsidR="00C517ED">
        <w:t xml:space="preserve"> </w:t>
      </w:r>
      <w:r w:rsidR="0069568C">
        <w:t>i</w:t>
      </w:r>
      <w:r w:rsidR="00C517ED">
        <w:t>ndemnité, etc.</w:t>
      </w:r>
      <w:bookmarkEnd w:id="638"/>
      <w:bookmarkEnd w:id="639"/>
    </w:p>
    <w:p w:rsidR="0000160C" w:rsidRDefault="00C517ED" w14:paraId="5CE11CDF" w14:textId="7B0F1E61">
      <w:pPr>
        <w:pStyle w:val="ArtBJStyL3"/>
      </w:pPr>
      <w:bookmarkStart w:name="_Ref113892597" w:id="640"/>
      <w:r>
        <w:t xml:space="preserve">Les membres du </w:t>
      </w:r>
      <w:r w:rsidR="00F40894">
        <w:t>C</w:t>
      </w:r>
      <w:r>
        <w:t xml:space="preserve">omité consultatif </w:t>
      </w:r>
      <w:r w:rsidR="00F40894">
        <w:t>des Commanditaires</w:t>
      </w:r>
      <w:r>
        <w:t xml:space="preserve"> ne </w:t>
      </w:r>
      <w:r w:rsidR="00F40894">
        <w:t>reçoivent</w:t>
      </w:r>
      <w:r>
        <w:t xml:space="preserve"> </w:t>
      </w:r>
      <w:r w:rsidR="00F40894">
        <w:t>aucun</w:t>
      </w:r>
      <w:r w:rsidR="006157DA">
        <w:t>s</w:t>
      </w:r>
      <w:r w:rsidR="00F40894">
        <w:t xml:space="preserve"> frais</w:t>
      </w:r>
      <w:r>
        <w:t xml:space="preserve"> de conseil, ni aucun autre </w:t>
      </w:r>
      <w:r w:rsidR="00F40894">
        <w:t>frai</w:t>
      </w:r>
      <w:r w:rsidR="00B025A3">
        <w:t>s</w:t>
      </w:r>
      <w:r>
        <w:t>, ni aucune compensation pour leur participation.</w:t>
      </w:r>
      <w:bookmarkEnd w:id="640"/>
    </w:p>
    <w:p w:rsidR="0000160C" w:rsidRDefault="00C517ED" w14:paraId="431D6D7B" w14:textId="1D8BE1F6">
      <w:pPr>
        <w:pStyle w:val="ArtBJStyL3"/>
      </w:pPr>
      <w:bookmarkStart w:name="_Ref113892598" w:id="641"/>
      <w:r>
        <w:t xml:space="preserve">Chaque membre du </w:t>
      </w:r>
      <w:r w:rsidR="00980C6E">
        <w:t>Comité consultatif des Commanditaires</w:t>
      </w:r>
      <w:r>
        <w:t xml:space="preserve"> </w:t>
      </w:r>
      <w:r w:rsidR="00F40894">
        <w:t>doit payer</w:t>
      </w:r>
      <w:r>
        <w:t xml:space="preserve"> ses propres frais </w:t>
      </w:r>
      <w:r w:rsidR="00F40894">
        <w:t>li</w:t>
      </w:r>
      <w:r w:rsidR="006157DA">
        <w:t>é</w:t>
      </w:r>
      <w:r w:rsidR="00F40894">
        <w:t>s à sa participation</w:t>
      </w:r>
      <w:r>
        <w:t xml:space="preserve">, mais est remboursé par le Fonds </w:t>
      </w:r>
      <w:r w:rsidR="00F40894">
        <w:t>pour les</w:t>
      </w:r>
      <w:r>
        <w:t xml:space="preserve"> dépenses raisonnables </w:t>
      </w:r>
      <w:r w:rsidR="00F40894">
        <w:t>encourues</w:t>
      </w:r>
      <w:r>
        <w:t xml:space="preserve"> pour </w:t>
      </w:r>
      <w:r w:rsidRPr="00B025A3">
        <w:rPr>
          <w:bCs/>
        </w:rPr>
        <w:t>assister aux réunions</w:t>
      </w:r>
      <w:r w:rsidRPr="00B025A3">
        <w:rPr>
          <w:b/>
        </w:rPr>
        <w:t xml:space="preserve"> </w:t>
      </w:r>
      <w:r w:rsidR="00B025A3">
        <w:rPr>
          <w:b/>
          <w:highlight w:val="yellow"/>
        </w:rPr>
        <w:t>[</w:t>
      </w:r>
      <w:r>
        <w:rPr>
          <w:b/>
          <w:highlight w:val="yellow"/>
        </w:rPr>
        <w:t>en personne]</w:t>
      </w:r>
      <w:r>
        <w:t xml:space="preserve"> du </w:t>
      </w:r>
      <w:r w:rsidR="00980C6E">
        <w:t>Comité consultatif des Commanditaires</w:t>
      </w:r>
      <w:r>
        <w:t xml:space="preserve">, y compris les frais de </w:t>
      </w:r>
      <w:r w:rsidR="00F40894">
        <w:t>déplacement</w:t>
      </w:r>
      <w:r>
        <w:t xml:space="preserve"> raisonnables.</w:t>
      </w:r>
      <w:bookmarkEnd w:id="641"/>
    </w:p>
    <w:p w:rsidR="0000160C" w:rsidRDefault="00C517ED" w14:paraId="5AFDD2AF" w14:textId="392D838F">
      <w:pPr>
        <w:pStyle w:val="ArtBJStyL3"/>
      </w:pPr>
      <w:bookmarkStart w:name="_Ref113892599" w:id="642"/>
      <w:r>
        <w:t xml:space="preserve">Les </w:t>
      </w:r>
      <w:r w:rsidR="00F40894">
        <w:t>P</w:t>
      </w:r>
      <w:r>
        <w:t xml:space="preserve">ersonnes couvertes par </w:t>
      </w:r>
      <w:r w:rsidR="00F40894">
        <w:t>le CCC</w:t>
      </w:r>
      <w:r>
        <w:t xml:space="preserve"> seront </w:t>
      </w:r>
      <w:r w:rsidR="00F40894">
        <w:t>exonérées</w:t>
      </w:r>
      <w:r>
        <w:t xml:space="preserve"> et indemnisées par le Fonds conformément à l</w:t>
      </w:r>
      <w:r w:rsidR="00F40894">
        <w:t xml:space="preserve">’article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3A3836" w:rsidR="003A3836">
        <w:rPr>
          <w:i/>
        </w:rPr>
        <w:fldChar w:fldCharType="begin"/>
      </w:r>
      <w:r w:rsidRPr="003A3836" w:rsidR="003A3836">
        <w:rPr>
          <w:i/>
        </w:rPr>
        <w:instrText xml:space="preserve"> REF _Ref40803551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Indemnisation des Personnes couvertes.</w:t>
      </w:r>
      <w:r w:rsidRPr="003A3836" w:rsidR="003A3836">
        <w:rPr>
          <w:i/>
        </w:rPr>
        <w:fldChar w:fldCharType="end"/>
      </w:r>
      <w:r>
        <w:t>).</w:t>
      </w:r>
      <w:bookmarkEnd w:id="642"/>
    </w:p>
    <w:p w:rsidR="0000160C" w:rsidRDefault="00C517ED" w14:paraId="56887CF5" w14:textId="1A686E24">
      <w:pPr>
        <w:pStyle w:val="ArtBJStyL3"/>
      </w:pPr>
      <w:bookmarkStart w:name="_Ref113892600" w:id="643"/>
      <w:r>
        <w:t xml:space="preserve">Le </w:t>
      </w:r>
      <w:r w:rsidR="00980C6E">
        <w:t>Comité consultatif des Commanditaires</w:t>
      </w:r>
      <w:r>
        <w:t xml:space="preserve"> peut nommer des conseillers professionnels, et le </w:t>
      </w:r>
      <w:r w:rsidR="00F40894">
        <w:t>C</w:t>
      </w:r>
      <w:r>
        <w:t xml:space="preserve">ommandité doit faire en sorte que les </w:t>
      </w:r>
      <w:r w:rsidR="00F40894">
        <w:t>frais</w:t>
      </w:r>
      <w:r>
        <w:t xml:space="preserve"> et les dépenses raisonnables et documentés de ces conseillers soient payés par le Fonds à titre de </w:t>
      </w:r>
      <w:r w:rsidR="00F40894">
        <w:t>D</w:t>
      </w:r>
      <w:r>
        <w:t>épense d</w:t>
      </w:r>
      <w:r w:rsidR="00F40894">
        <w:t>u</w:t>
      </w:r>
      <w:r>
        <w:t xml:space="preserve"> </w:t>
      </w:r>
      <w:r w:rsidR="00D84F4D">
        <w:t>F</w:t>
      </w:r>
      <w:r>
        <w:t xml:space="preserve">onds, à condition toutefois que le </w:t>
      </w:r>
      <w:r w:rsidR="00980C6E">
        <w:t>Comité consultatif des Commanditaires</w:t>
      </w:r>
      <w:r>
        <w:t xml:space="preserve"> ne puisse engager plus de </w:t>
      </w:r>
      <w:r>
        <w:rPr>
          <w:b/>
        </w:rPr>
        <w:t>[</w:t>
      </w:r>
      <w:r>
        <w:rPr>
          <w:highlight w:val="yellow"/>
        </w:rPr>
        <w:t>__</w:t>
      </w:r>
      <w:r>
        <w:rPr>
          <w:b/>
        </w:rPr>
        <w:t>]</w:t>
      </w:r>
      <w:r w:rsidR="00B025A3">
        <w:rPr>
          <w:b/>
        </w:rPr>
        <w:t xml:space="preserve"> </w:t>
      </w:r>
      <w:r w:rsidRPr="00B025A3" w:rsidR="00F40894">
        <w:rPr>
          <w:bCs/>
        </w:rPr>
        <w:t>$</w:t>
      </w:r>
      <w:r w:rsidRPr="00B025A3">
        <w:rPr>
          <w:bCs/>
        </w:rPr>
        <w:t xml:space="preserve"> </w:t>
      </w:r>
      <w:r>
        <w:t xml:space="preserve">en </w:t>
      </w:r>
      <w:r w:rsidR="00F40894">
        <w:t>frais</w:t>
      </w:r>
      <w:r>
        <w:t xml:space="preserve"> de conseillers professionnels au cours d</w:t>
      </w:r>
      <w:r w:rsidR="00E27310">
        <w:t>’</w:t>
      </w:r>
      <w:r>
        <w:t xml:space="preserve">un </w:t>
      </w:r>
      <w:r w:rsidR="001D6FD0">
        <w:t>E</w:t>
      </w:r>
      <w:r>
        <w:t>xercice</w:t>
      </w:r>
      <w:r w:rsidR="00F40894">
        <w:t xml:space="preserve"> financier</w:t>
      </w:r>
      <w:r>
        <w:t xml:space="preserve"> </w:t>
      </w:r>
      <w:r w:rsidR="00F40894">
        <w:t>à titre de</w:t>
      </w:r>
      <w:r>
        <w:t xml:space="preserve"> </w:t>
      </w:r>
      <w:r w:rsidR="00F40894">
        <w:t>D</w:t>
      </w:r>
      <w:r>
        <w:t>épense</w:t>
      </w:r>
      <w:r w:rsidR="00D84F4D">
        <w:t>s</w:t>
      </w:r>
      <w:r>
        <w:t xml:space="preserve"> d</w:t>
      </w:r>
      <w:r w:rsidR="00F40894">
        <w:t>u</w:t>
      </w:r>
      <w:r>
        <w:t xml:space="preserve"> </w:t>
      </w:r>
      <w:r w:rsidR="00F40894">
        <w:t>F</w:t>
      </w:r>
      <w:r>
        <w:t>onds.</w:t>
      </w:r>
      <w:bookmarkStart w:name="_Ref113892874" w:id="644"/>
      <w:r>
        <w:rPr>
          <w:szCs w:val="22"/>
          <w:vertAlign w:val="superscript"/>
        </w:rPr>
        <w:footnoteReference w:id="128"/>
      </w:r>
      <w:bookmarkEnd w:id="643"/>
      <w:bookmarkEnd w:id="644"/>
    </w:p>
    <w:p w:rsidR="0000160C" w:rsidRDefault="00C517ED" w14:paraId="4D2EA6BC" w14:textId="77777777">
      <w:pPr>
        <w:pStyle w:val="ArtBJStyL2"/>
      </w:pPr>
      <w:bookmarkStart w:name="_Ref40805853" w:id="645"/>
      <w:bookmarkStart w:name="_Toc161762385" w:id="646"/>
      <w:r>
        <w:t>Assurance des administrateurs ou dirigeants.</w:t>
      </w:r>
      <w:bookmarkEnd w:id="645"/>
      <w:bookmarkEnd w:id="646"/>
    </w:p>
    <w:p w:rsidR="0000160C" w:rsidRDefault="00C517ED" w14:paraId="11BF4B13" w14:textId="278D7CB3">
      <w:pPr>
        <w:pStyle w:val="ArtBJStyCont2"/>
        <w:rPr>
          <w:b/>
        </w:rPr>
      </w:pPr>
      <w:r>
        <w:t xml:space="preserve">Le </w:t>
      </w:r>
      <w:r w:rsidR="00F40894">
        <w:t>C</w:t>
      </w:r>
      <w:r>
        <w:t>ommandité doit exiger à tout moment du Fonds qu</w:t>
      </w:r>
      <w:r w:rsidR="00E27310">
        <w:t>’</w:t>
      </w:r>
      <w:r>
        <w:t xml:space="preserve">il maintienne une assurance au profit de chaque membre du </w:t>
      </w:r>
      <w:r w:rsidR="00F40894">
        <w:t>C</w:t>
      </w:r>
      <w:r>
        <w:t xml:space="preserve">omité consultatif </w:t>
      </w:r>
      <w:r w:rsidR="00F40894">
        <w:t>des Commanditaires</w:t>
      </w:r>
      <w:r>
        <w:t xml:space="preserve"> et des </w:t>
      </w:r>
      <w:r w:rsidR="00F40894">
        <w:t>C</w:t>
      </w:r>
      <w:r>
        <w:t xml:space="preserve">ommanditaires qui ont </w:t>
      </w:r>
      <w:r w:rsidR="00F40894">
        <w:t>nommé</w:t>
      </w:r>
      <w:r>
        <w:t xml:space="preserve"> ces membres afin de couvrir adéquatement toute responsabilité </w:t>
      </w:r>
      <w:r w:rsidR="00F40894">
        <w:t>potentielle</w:t>
      </w:r>
      <w:r>
        <w:t xml:space="preserve"> (y compris en cas de réclamations découlant d</w:t>
      </w:r>
      <w:r w:rsidR="00E27310">
        <w:t>’</w:t>
      </w:r>
      <w:r>
        <w:t>un manquement aux obligations, d</w:t>
      </w:r>
      <w:r w:rsidR="00E27310">
        <w:t>’</w:t>
      </w:r>
      <w:r>
        <w:t>un abus de confiance ou d</w:t>
      </w:r>
      <w:r w:rsidR="00E27310">
        <w:t>’</w:t>
      </w:r>
      <w:r>
        <w:t xml:space="preserve">une négligence) de cette </w:t>
      </w:r>
      <w:r w:rsidR="00F40894">
        <w:t>P</w:t>
      </w:r>
      <w:r>
        <w:t>ersonne à l</w:t>
      </w:r>
      <w:r w:rsidR="00E27310">
        <w:t>’</w:t>
      </w:r>
      <w:r>
        <w:t xml:space="preserve">égard des fonctions exercées par le membre </w:t>
      </w:r>
      <w:r w:rsidR="0082726A">
        <w:t>concerné</w:t>
      </w:r>
      <w:r>
        <w:t xml:space="preserve"> du </w:t>
      </w:r>
      <w:r w:rsidR="00D43178">
        <w:t>C</w:t>
      </w:r>
      <w:r>
        <w:t xml:space="preserve">omité consultatif </w:t>
      </w:r>
      <w:r w:rsidR="00D43178">
        <w:t>des Commanditaires</w:t>
      </w:r>
      <w:r>
        <w:t>.</w:t>
      </w:r>
      <w:bookmarkStart w:name="_Ref113892875" w:id="647"/>
      <w:r>
        <w:rPr>
          <w:rStyle w:val="FootnoteReference"/>
        </w:rPr>
        <w:footnoteReference w:id="129"/>
      </w:r>
      <w:bookmarkEnd w:id="647"/>
    </w:p>
    <w:p w:rsidR="0000160C" w:rsidRDefault="00C517ED" w14:paraId="72AFC408" w14:textId="1AA60801">
      <w:pPr>
        <w:pStyle w:val="ArtBJStyL1"/>
      </w:pPr>
      <w:r>
        <w:lastRenderedPageBreak/>
        <w:br/>
      </w:r>
      <w:bookmarkStart w:name="_Ref40807042" w:id="648"/>
      <w:bookmarkStart w:name="_Toc161762386" w:id="649"/>
      <w:proofErr w:type="gramStart"/>
      <w:r w:rsidR="00C30D30">
        <w:t>DISTRIBUTIONS;</w:t>
      </w:r>
      <w:proofErr w:type="gramEnd"/>
      <w:r>
        <w:t xml:space="preserve"> </w:t>
      </w:r>
      <w:bookmarkEnd w:id="648"/>
      <w:r w:rsidR="00C30D30">
        <w:t>Attributions</w:t>
      </w:r>
      <w:bookmarkEnd w:id="649"/>
    </w:p>
    <w:p w:rsidR="0000160C" w:rsidRDefault="00C517ED" w14:paraId="5C006695" w14:textId="027B596B">
      <w:pPr>
        <w:pStyle w:val="ArtBJStyL2"/>
      </w:pPr>
      <w:bookmarkStart w:name="_Ref40805000" w:id="650"/>
      <w:bookmarkStart w:name="_Toc161762387" w:id="651"/>
      <w:r>
        <w:t>Disposition</w:t>
      </w:r>
      <w:r w:rsidR="00D43178">
        <w:t>s</w:t>
      </w:r>
      <w:r>
        <w:t xml:space="preserve"> générale</w:t>
      </w:r>
      <w:r w:rsidR="00D43178">
        <w:t>s</w:t>
      </w:r>
      <w:r>
        <w:t>.</w:t>
      </w:r>
      <w:bookmarkEnd w:id="650"/>
      <w:bookmarkEnd w:id="651"/>
    </w:p>
    <w:p w:rsidR="0000160C" w:rsidRDefault="00C517ED" w14:paraId="166C4FC0" w14:textId="10C0803E">
      <w:pPr>
        <w:pStyle w:val="ArtBJStyL3"/>
      </w:pPr>
      <w:bookmarkStart w:name="_Ref113892601" w:id="652"/>
      <w:r>
        <w:t xml:space="preserve">Sous réserve de </w:t>
      </w:r>
      <w:r w:rsidR="00D43178">
        <w:t>l’article</w:t>
      </w:r>
      <w:r>
        <w:t> </w:t>
      </w:r>
      <w:r w:rsidRPr="006400F9">
        <w:fldChar w:fldCharType="begin"/>
      </w:r>
      <w:r w:rsidRPr="006400F9">
        <w:instrText xml:space="preserve"> REF _Ref40804470 \w \h </w:instrText>
      </w:r>
      <w:r w:rsidRPr="006400F9" w:rsidR="00791303">
        <w:instrText xml:space="preserve"> \* MERGEFORMAT </w:instrText>
      </w:r>
      <w:r w:rsidRPr="006400F9">
        <w:fldChar w:fldCharType="separate"/>
      </w:r>
      <w:r w:rsidR="00B50BE2">
        <w:t>14.1(b)</w:t>
      </w:r>
      <w:r w:rsidRPr="006400F9">
        <w:fldChar w:fldCharType="end"/>
      </w:r>
      <w:r>
        <w:t xml:space="preserve"> (</w:t>
      </w:r>
      <w:r w:rsidRPr="003A3836" w:rsidR="003A3836">
        <w:rPr>
          <w:i/>
        </w:rPr>
        <w:fldChar w:fldCharType="begin"/>
      </w:r>
      <w:r w:rsidRPr="003A3836" w:rsidR="003A3836">
        <w:rPr>
          <w:i/>
        </w:rPr>
        <w:instrText xml:space="preserve"> REF _Ref40805000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Dispositions générales.</w:t>
      </w:r>
      <w:r w:rsidRPr="003A3836" w:rsidR="003A3836">
        <w:rPr>
          <w:i/>
        </w:rPr>
        <w:fldChar w:fldCharType="end"/>
      </w:r>
      <w:r>
        <w:t xml:space="preserve">), le </w:t>
      </w:r>
      <w:r w:rsidR="00D43178">
        <w:t>C</w:t>
      </w:r>
      <w:r>
        <w:t xml:space="preserve">ommandité peut faire en sorte que le Fonds effectue des distributions </w:t>
      </w:r>
      <w:r w:rsidR="00D84F4D">
        <w:t>de liquidités</w:t>
      </w:r>
      <w:r>
        <w:t>, de titres et d</w:t>
      </w:r>
      <w:r w:rsidR="00E27310">
        <w:t>’</w:t>
      </w:r>
      <w:r>
        <w:t xml:space="preserve">autres biens aux </w:t>
      </w:r>
      <w:r w:rsidR="00D43178">
        <w:t>Associés</w:t>
      </w:r>
      <w:r>
        <w:t xml:space="preserve"> à tout moment et de temps à autre de la manière décrite dans </w:t>
      </w:r>
      <w:r w:rsidR="003278C2">
        <w:t>la présente Convention</w:t>
      </w:r>
      <w:r>
        <w:t xml:space="preserve">. Les </w:t>
      </w:r>
      <w:r w:rsidR="00D43178">
        <w:t>P</w:t>
      </w:r>
      <w:r>
        <w:t xml:space="preserve">roduits distribuables constitués de </w:t>
      </w:r>
      <w:r w:rsidR="00D43178">
        <w:t>R</w:t>
      </w:r>
      <w:r>
        <w:t xml:space="preserve">evenus </w:t>
      </w:r>
      <w:r w:rsidR="00D43178">
        <w:t>d’Investissement</w:t>
      </w:r>
      <w:r>
        <w:t xml:space="preserve"> temporaire sont généralement distribués sur une </w:t>
      </w:r>
      <w:r w:rsidRPr="00D43178">
        <w:rPr>
          <w:bCs/>
        </w:rPr>
        <w:t>base</w:t>
      </w:r>
      <w:r>
        <w:rPr>
          <w:b/>
        </w:rPr>
        <w:t xml:space="preserve"> [</w:t>
      </w:r>
      <w:r>
        <w:rPr>
          <w:b/>
          <w:highlight w:val="yellow"/>
        </w:rPr>
        <w:t>annuelle</w:t>
      </w:r>
      <w:r>
        <w:rPr>
          <w:b/>
        </w:rPr>
        <w:t>]</w:t>
      </w:r>
      <w:r>
        <w:t xml:space="preserve"> et les </w:t>
      </w:r>
      <w:r w:rsidR="00D43178">
        <w:t>P</w:t>
      </w:r>
      <w:r>
        <w:t xml:space="preserve">roduits distribuables autres que </w:t>
      </w:r>
      <w:r w:rsidR="00D43178">
        <w:t>d</w:t>
      </w:r>
      <w:r>
        <w:t xml:space="preserve">es </w:t>
      </w:r>
      <w:r w:rsidR="00D43178">
        <w:t>R</w:t>
      </w:r>
      <w:r>
        <w:t xml:space="preserve">evenus </w:t>
      </w:r>
      <w:r w:rsidR="00D43178">
        <w:t>d’Investissement</w:t>
      </w:r>
      <w:r>
        <w:t xml:space="preserve"> temporaire sont </w:t>
      </w:r>
      <w:r w:rsidR="00D43178">
        <w:t xml:space="preserve">généralement </w:t>
      </w:r>
      <w:r>
        <w:t xml:space="preserve">distribués dès que possible après réception par le Fonds, mais </w:t>
      </w:r>
      <w:r w:rsidR="00D43178">
        <w:t>dans tous les cas</w:t>
      </w:r>
      <w:r>
        <w:t xml:space="preserve"> dans les </w:t>
      </w:r>
      <w:r>
        <w:rPr>
          <w:b/>
        </w:rPr>
        <w:t>[</w:t>
      </w:r>
      <w:r>
        <w:rPr>
          <w:b/>
          <w:highlight w:val="yellow"/>
        </w:rPr>
        <w:t>45</w:t>
      </w:r>
      <w:r>
        <w:rPr>
          <w:b/>
        </w:rPr>
        <w:t>]</w:t>
      </w:r>
      <w:r>
        <w:t xml:space="preserve"> jours </w:t>
      </w:r>
      <w:r w:rsidR="00D43178">
        <w:t>suivant sa</w:t>
      </w:r>
      <w:r>
        <w:t xml:space="preserve"> réception </w:t>
      </w:r>
      <w:r w:rsidR="00040C15">
        <w:t xml:space="preserve">de ceux-ci </w:t>
      </w:r>
      <w:r>
        <w:t>par le Fonds.</w:t>
      </w:r>
      <w:bookmarkStart w:name="_Ref113892876" w:id="653"/>
      <w:r>
        <w:rPr>
          <w:rStyle w:val="FootnoteReference"/>
          <w:position w:val="6"/>
          <w:sz w:val="16"/>
        </w:rPr>
        <w:footnoteReference w:id="130"/>
      </w:r>
      <w:bookmarkEnd w:id="652"/>
      <w:bookmarkEnd w:id="653"/>
    </w:p>
    <w:p w:rsidR="0000160C" w:rsidRDefault="00C517ED" w14:paraId="543C489F" w14:textId="46E87CAC">
      <w:pPr>
        <w:pStyle w:val="ArtBJStyL3"/>
      </w:pPr>
      <w:bookmarkStart w:name="_Ref40804470" w:id="654"/>
      <w:r>
        <w:t xml:space="preserve">Ni le Fonds ni le </w:t>
      </w:r>
      <w:r w:rsidR="00D43178">
        <w:t>C</w:t>
      </w:r>
      <w:r>
        <w:t xml:space="preserve">ommandité au nom du Fonds ne </w:t>
      </w:r>
      <w:r w:rsidR="00D43178">
        <w:t>doit faire</w:t>
      </w:r>
      <w:r>
        <w:t xml:space="preserve"> </w:t>
      </w:r>
      <w:r w:rsidR="00D43178">
        <w:t>une</w:t>
      </w:r>
      <w:r>
        <w:t xml:space="preserve"> distribution à un </w:t>
      </w:r>
      <w:r w:rsidR="00D43178">
        <w:t>Associé</w:t>
      </w:r>
      <w:r>
        <w:t xml:space="preserve"> en raison de </w:t>
      </w:r>
      <w:r w:rsidR="00D43178">
        <w:t>sa participation</w:t>
      </w:r>
      <w:r>
        <w:t xml:space="preserve"> dans le Fonds dans la mesure où une telle distribution violerait toute loi applicable.</w:t>
      </w:r>
      <w:bookmarkEnd w:id="654"/>
    </w:p>
    <w:p w:rsidR="0000160C" w:rsidRDefault="00C517ED" w14:paraId="27BAEDBB" w14:textId="18DE1518">
      <w:pPr>
        <w:pStyle w:val="ArtBJStyL3"/>
      </w:pPr>
      <w:bookmarkStart w:name="_Ref113892602" w:id="655"/>
      <w:r>
        <w:t>Chaque distribution doit être accompagnée d</w:t>
      </w:r>
      <w:r w:rsidR="00E27310">
        <w:t>’</w:t>
      </w:r>
      <w:r>
        <w:t>un avis de distribution comprenant au moins une description de la source et de la nature d</w:t>
      </w:r>
      <w:r w:rsidR="00D43178">
        <w:t>es P</w:t>
      </w:r>
      <w:r>
        <w:t>roduit</w:t>
      </w:r>
      <w:r w:rsidR="00D43178">
        <w:t>s</w:t>
      </w:r>
      <w:r>
        <w:t xml:space="preserve"> distribuable</w:t>
      </w:r>
      <w:r w:rsidR="00D43178">
        <w:t>s</w:t>
      </w:r>
      <w:r>
        <w:t xml:space="preserve">, le calcul du montant distribué, y compris les </w:t>
      </w:r>
      <w:r w:rsidR="00D43178">
        <w:t>Distributions spéciales</w:t>
      </w:r>
      <w:r>
        <w:t xml:space="preserve">, et tous les montants qui augmentent les </w:t>
      </w:r>
      <w:r w:rsidR="00D43178">
        <w:t>E</w:t>
      </w:r>
      <w:r>
        <w:t>ngagements restants conformément à l</w:t>
      </w:r>
      <w:r w:rsidR="00E27310">
        <w:t>’</w:t>
      </w:r>
      <w:r>
        <w:t>article </w:t>
      </w:r>
      <w:r w:rsidRPr="006400F9">
        <w:fldChar w:fldCharType="begin"/>
      </w:r>
      <w:r w:rsidRPr="006400F9">
        <w:instrText xml:space="preserve"> REF _Ref40802292 \w \h </w:instrText>
      </w:r>
      <w:r w:rsidRPr="006400F9" w:rsidR="00791303">
        <w:instrText xml:space="preserve"> \* MERGEFORMAT </w:instrText>
      </w:r>
      <w:r w:rsidRPr="006400F9">
        <w:fldChar w:fldCharType="separate"/>
      </w:r>
      <w:r w:rsidR="00B50BE2">
        <w:t>6.4</w:t>
      </w:r>
      <w:r w:rsidRPr="006400F9">
        <w:fldChar w:fldCharType="end"/>
      </w:r>
      <w:r>
        <w:t xml:space="preserve"> (</w:t>
      </w:r>
      <w:r w:rsidRPr="003A3836" w:rsidR="003A3836">
        <w:rPr>
          <w:i/>
        </w:rPr>
        <w:fldChar w:fldCharType="begin"/>
      </w:r>
      <w:r w:rsidRPr="003A3836" w:rsidR="003A3836">
        <w:rPr>
          <w:i/>
        </w:rPr>
        <w:instrText xml:space="preserve"> REF _Ref40802292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Réinvestissement.</w:t>
      </w:r>
      <w:r w:rsidRPr="003A3836" w:rsidR="003A3836">
        <w:rPr>
          <w:i/>
        </w:rPr>
        <w:fldChar w:fldCharType="end"/>
      </w:r>
      <w:r>
        <w:t>).</w:t>
      </w:r>
      <w:bookmarkEnd w:id="655"/>
      <w:r>
        <w:rPr>
          <w:sz w:val="16"/>
          <w:szCs w:val="24"/>
          <w:vertAlign w:val="superscript"/>
        </w:rPr>
        <w:t xml:space="preserve"> </w:t>
      </w:r>
    </w:p>
    <w:p w:rsidR="0000160C" w:rsidRDefault="00C517ED" w14:paraId="493EDCF9" w14:textId="36902746">
      <w:pPr>
        <w:pStyle w:val="ArtBJStyL2"/>
      </w:pPr>
      <w:bookmarkStart w:name="_Ref40804738" w:id="656"/>
      <w:bookmarkStart w:name="_Toc161762388" w:id="657"/>
      <w:r>
        <w:t xml:space="preserve">Distributions de </w:t>
      </w:r>
      <w:r w:rsidR="00D43178">
        <w:t>R</w:t>
      </w:r>
      <w:r>
        <w:t xml:space="preserve">evenus </w:t>
      </w:r>
      <w:r w:rsidR="00D43178">
        <w:t>d’Investissement</w:t>
      </w:r>
      <w:r>
        <w:t xml:space="preserve"> temporaire.</w:t>
      </w:r>
      <w:bookmarkEnd w:id="656"/>
      <w:bookmarkEnd w:id="657"/>
    </w:p>
    <w:p w:rsidR="0000160C" w:rsidRDefault="00C517ED" w14:paraId="0BB02596" w14:textId="116A553A">
      <w:pPr>
        <w:pStyle w:val="ArtBJStyCont2"/>
      </w:pPr>
      <w:r>
        <w:t xml:space="preserve">Sous réserve de </w:t>
      </w:r>
      <w:r w:rsidR="00BA232E">
        <w:t>l’article</w:t>
      </w:r>
      <w:r>
        <w:t> </w:t>
      </w:r>
      <w:r w:rsidRPr="006400F9">
        <w:fldChar w:fldCharType="begin"/>
      </w:r>
      <w:r w:rsidRPr="006400F9">
        <w:instrText xml:space="preserve"> REF _Ref45625252 \w \h </w:instrText>
      </w:r>
      <w:r w:rsidRPr="006400F9" w:rsidR="00791303">
        <w:instrText xml:space="preserve"> \* MERGEFORMAT </w:instrText>
      </w:r>
      <w:r w:rsidRPr="006400F9">
        <w:fldChar w:fldCharType="separate"/>
      </w:r>
      <w:r w:rsidR="00B50BE2">
        <w:t>6.5</w:t>
      </w:r>
      <w:r w:rsidRPr="006400F9">
        <w:fldChar w:fldCharType="end"/>
      </w:r>
      <w:r>
        <w:t xml:space="preserve"> (</w:t>
      </w:r>
      <w:r w:rsidRPr="003A3836" w:rsidR="003A3836">
        <w:rPr>
          <w:i/>
        </w:rPr>
        <w:fldChar w:fldCharType="begin"/>
      </w:r>
      <w:r w:rsidRPr="003A3836" w:rsidR="003A3836">
        <w:rPr>
          <w:i/>
        </w:rPr>
        <w:instrText xml:space="preserve"> REF _Ref45625252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Utilisation des Produits distribuables pour les Versements au Fonds.</w:t>
      </w:r>
      <w:r w:rsidRPr="003A3836" w:rsidR="003A3836">
        <w:rPr>
          <w:i/>
        </w:rPr>
        <w:fldChar w:fldCharType="end"/>
      </w:r>
      <w:r>
        <w:t xml:space="preserve">), les </w:t>
      </w:r>
      <w:r w:rsidR="00D43178">
        <w:t>P</w:t>
      </w:r>
      <w:r>
        <w:t xml:space="preserve">roduits distribuables constitués de </w:t>
      </w:r>
      <w:r w:rsidR="00DE6781">
        <w:t>R</w:t>
      </w:r>
      <w:r>
        <w:t xml:space="preserve">evenus </w:t>
      </w:r>
      <w:r w:rsidR="00DE6781">
        <w:t>d’Investissement</w:t>
      </w:r>
      <w:r>
        <w:t xml:space="preserve"> temporaire sont </w:t>
      </w:r>
      <w:r w:rsidR="00DE6781">
        <w:t>distribués</w:t>
      </w:r>
      <w:r>
        <w:t xml:space="preserve"> entre les </w:t>
      </w:r>
      <w:r w:rsidR="00DE6781">
        <w:t>A</w:t>
      </w:r>
      <w:r>
        <w:t xml:space="preserve">ssociés (autres que les </w:t>
      </w:r>
      <w:r w:rsidR="00DE6781">
        <w:t>A</w:t>
      </w:r>
      <w:r>
        <w:t xml:space="preserve">ssociés défaillants) au prorata de leur </w:t>
      </w:r>
      <w:r w:rsidR="00DE6781">
        <w:t>P</w:t>
      </w:r>
      <w:r>
        <w:t>ourcentage de partage relatif à l</w:t>
      </w:r>
      <w:r w:rsidR="00E27310">
        <w:t>’</w:t>
      </w:r>
      <w:r w:rsidR="00DE6781">
        <w:t>I</w:t>
      </w:r>
      <w:r>
        <w:t xml:space="preserve">nvestissement de portefeuille </w:t>
      </w:r>
      <w:r w:rsidR="00DE6781">
        <w:t>pertinent</w:t>
      </w:r>
      <w:r>
        <w:t>.</w:t>
      </w:r>
    </w:p>
    <w:p w:rsidR="0000160C" w:rsidRDefault="00C517ED" w14:paraId="7F9E98E5" w14:textId="2F00E267">
      <w:pPr>
        <w:pStyle w:val="ArtBJStyL2"/>
      </w:pPr>
      <w:bookmarkStart w:name="_Ref40803030" w:id="658"/>
      <w:bookmarkStart w:name="_Toc161762389" w:id="659"/>
      <w:r>
        <w:t xml:space="preserve">Distributions des </w:t>
      </w:r>
      <w:r w:rsidR="00FB3AC4">
        <w:t>P</w:t>
      </w:r>
      <w:r>
        <w:t>roduits distribuables.</w:t>
      </w:r>
      <w:bookmarkEnd w:id="658"/>
      <w:bookmarkEnd w:id="659"/>
    </w:p>
    <w:p w:rsidR="0000160C" w:rsidRDefault="00C517ED" w14:paraId="025C8C3F" w14:textId="024FB7D2">
      <w:pPr>
        <w:pStyle w:val="ArtBJStyCont2"/>
      </w:pPr>
      <w:r>
        <w:t xml:space="preserve">Sous réserve de </w:t>
      </w:r>
      <w:r w:rsidR="00BA232E">
        <w:t>l’article</w:t>
      </w:r>
      <w:r>
        <w:t> </w:t>
      </w:r>
      <w:r w:rsidRPr="006400F9">
        <w:fldChar w:fldCharType="begin"/>
      </w:r>
      <w:r w:rsidRPr="006400F9">
        <w:instrText xml:space="preserve"> REF _Ref45625252 \w \h </w:instrText>
      </w:r>
      <w:r w:rsidRPr="006400F9" w:rsidR="00791303">
        <w:instrText xml:space="preserve"> \* MERGEFORMAT </w:instrText>
      </w:r>
      <w:r w:rsidRPr="006400F9">
        <w:fldChar w:fldCharType="separate"/>
      </w:r>
      <w:r w:rsidR="00B50BE2">
        <w:t>6.5</w:t>
      </w:r>
      <w:r w:rsidRPr="006400F9">
        <w:fldChar w:fldCharType="end"/>
      </w:r>
      <w:r>
        <w:t xml:space="preserve"> (</w:t>
      </w:r>
      <w:r w:rsidRPr="003A3836" w:rsidR="003A3836">
        <w:rPr>
          <w:i/>
        </w:rPr>
        <w:fldChar w:fldCharType="begin"/>
      </w:r>
      <w:r w:rsidRPr="003A3836" w:rsidR="003A3836">
        <w:rPr>
          <w:i/>
        </w:rPr>
        <w:instrText xml:space="preserve"> REF _Ref45625252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Utilisation des Produits distribuables pour les Versements au Fonds.</w:t>
      </w:r>
      <w:r w:rsidRPr="003A3836" w:rsidR="003A3836">
        <w:rPr>
          <w:i/>
        </w:rPr>
        <w:fldChar w:fldCharType="end"/>
      </w:r>
      <w:r>
        <w:t xml:space="preserve">), les </w:t>
      </w:r>
      <w:r w:rsidR="00DE6781">
        <w:t>P</w:t>
      </w:r>
      <w:r>
        <w:t xml:space="preserve">roduits distribuables (autres que les </w:t>
      </w:r>
      <w:r w:rsidR="00DE6781">
        <w:t>R</w:t>
      </w:r>
      <w:r>
        <w:t xml:space="preserve">evenus </w:t>
      </w:r>
      <w:r w:rsidR="00DE6781">
        <w:t>d’Investissement</w:t>
      </w:r>
      <w:r>
        <w:t xml:space="preserve"> temporaire) de tout </w:t>
      </w:r>
      <w:r w:rsidR="00DE6781">
        <w:t>I</w:t>
      </w:r>
      <w:r>
        <w:t xml:space="preserve">nvestissement de portefeuille </w:t>
      </w:r>
      <w:r w:rsidR="00DE6781">
        <w:t>doivent être</w:t>
      </w:r>
      <w:r>
        <w:t xml:space="preserve"> initialement </w:t>
      </w:r>
      <w:r w:rsidR="00DE6781">
        <w:t>répartis</w:t>
      </w:r>
      <w:r>
        <w:t xml:space="preserve"> entre les </w:t>
      </w:r>
      <w:r w:rsidR="00DE6781">
        <w:t>Associés</w:t>
      </w:r>
      <w:r>
        <w:t xml:space="preserve"> </w:t>
      </w:r>
      <w:r w:rsidR="00DE6781">
        <w:t>en proportion</w:t>
      </w:r>
      <w:r>
        <w:t xml:space="preserve"> </w:t>
      </w:r>
      <w:r w:rsidR="00DE6781">
        <w:t xml:space="preserve">de </w:t>
      </w:r>
      <w:r>
        <w:t xml:space="preserve">leur </w:t>
      </w:r>
      <w:r w:rsidR="00DE6781">
        <w:t>P</w:t>
      </w:r>
      <w:r>
        <w:t>ourcentage de partage relatif à l</w:t>
      </w:r>
      <w:r w:rsidR="00E27310">
        <w:t>’</w:t>
      </w:r>
      <w:r w:rsidR="00DE6781">
        <w:t>I</w:t>
      </w:r>
      <w:r>
        <w:t xml:space="preserve">nvestissement de portefeuille applicable. Le montant ainsi </w:t>
      </w:r>
      <w:r w:rsidR="00DE6781">
        <w:t>réparti</w:t>
      </w:r>
      <w:r>
        <w:t xml:space="preserve"> à tout </w:t>
      </w:r>
      <w:r w:rsidR="00DE6781">
        <w:t>Associé</w:t>
      </w:r>
      <w:r>
        <w:t xml:space="preserve"> </w:t>
      </w:r>
      <w:r w:rsidR="00DE6781">
        <w:t>a</w:t>
      </w:r>
      <w:r>
        <w:t xml:space="preserve">ffilié </w:t>
      </w:r>
      <w:r w:rsidR="00DE6781">
        <w:t>doit être</w:t>
      </w:r>
      <w:r>
        <w:t xml:space="preserve"> distribué à cette Personne et, sauf disposition contraire dans le présent </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3A3836" w:rsidR="003A3836">
        <w:rPr>
          <w:i/>
        </w:rPr>
        <w:fldChar w:fldCharType="begin"/>
      </w:r>
      <w:r w:rsidRPr="003A3836" w:rsidR="003A3836">
        <w:rPr>
          <w:i/>
        </w:rPr>
        <w:instrText xml:space="preserve"> REF _Ref40807042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 xml:space="preserve">DISTRIBUTIONS; </w:t>
      </w:r>
      <w:r w:rsidRPr="003A3836" w:rsidR="003A3836">
        <w:rPr>
          <w:i/>
        </w:rPr>
        <w:fldChar w:fldCharType="end"/>
      </w:r>
      <w:r>
        <w:t xml:space="preserve">) et </w:t>
      </w:r>
      <w:r w:rsidR="00BA232E">
        <w:t>l’article</w:t>
      </w:r>
      <w:r>
        <w:t>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B50BE2">
        <w:t>6.6</w:t>
      </w:r>
      <w:r w:rsidRPr="006400F9">
        <w:fldChar w:fldCharType="end"/>
      </w:r>
      <w:r>
        <w:t xml:space="preserve"> (</w:t>
      </w:r>
      <w:r w:rsidRPr="003A3836" w:rsidR="003A3836">
        <w:rPr>
          <w:i/>
        </w:rPr>
        <w:fldChar w:fldCharType="begin"/>
      </w:r>
      <w:r w:rsidRPr="003A3836" w:rsidR="003A3836">
        <w:rPr>
          <w:i/>
        </w:rPr>
        <w:instrText xml:space="preserve"> REF _Ref40803112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Associés défaillants.</w:t>
      </w:r>
      <w:r w:rsidRPr="003A3836" w:rsidR="003A3836">
        <w:rPr>
          <w:i/>
        </w:rPr>
        <w:fldChar w:fldCharType="end"/>
      </w:r>
      <w:r>
        <w:t xml:space="preserve">), le montant ainsi réparti </w:t>
      </w:r>
      <w:r w:rsidR="00DE6781">
        <w:t>à</w:t>
      </w:r>
      <w:r>
        <w:t xml:space="preserve"> chaque </w:t>
      </w:r>
      <w:r w:rsidR="00DE6781">
        <w:t>Associé</w:t>
      </w:r>
      <w:r>
        <w:t xml:space="preserve"> </w:t>
      </w:r>
      <w:r w:rsidR="00DE6781">
        <w:t>doit être distribué</w:t>
      </w:r>
      <w:r>
        <w:t xml:space="preserve"> entre le </w:t>
      </w:r>
      <w:r w:rsidR="00DE6781">
        <w:t>Commandité</w:t>
      </w:r>
      <w:r>
        <w:t xml:space="preserve"> et </w:t>
      </w:r>
      <w:r w:rsidR="00DE6781">
        <w:t xml:space="preserve">cet Associé </w:t>
      </w:r>
      <w:r>
        <w:t>de la manière suivante :</w:t>
      </w:r>
    </w:p>
    <w:p w:rsidR="0000160C" w:rsidRDefault="00DE6781" w14:paraId="337CF486" w14:textId="55247768">
      <w:pPr>
        <w:pStyle w:val="ArtBJStyL3"/>
      </w:pPr>
      <w:bookmarkStart w:name="_Ref40804497" w:id="660"/>
      <w:r>
        <w:rPr>
          <w:u w:val="single"/>
        </w:rPr>
        <w:t>Premièrement</w:t>
      </w:r>
      <w:r w:rsidR="00C517ED">
        <w:t>, 100 % à ce</w:t>
      </w:r>
      <w:r>
        <w:t xml:space="preserve">t Associé </w:t>
      </w:r>
      <w:r w:rsidR="00C517ED">
        <w:t>jusqu</w:t>
      </w:r>
      <w:r w:rsidR="00E27310">
        <w:t>’</w:t>
      </w:r>
      <w:r w:rsidR="00C517ED">
        <w:t>à ce qu</w:t>
      </w:r>
      <w:r w:rsidR="00E27310">
        <w:t>’</w:t>
      </w:r>
      <w:r w:rsidR="00C517ED">
        <w:t xml:space="preserve">il ait reçu des distributions cumulatives conformément </w:t>
      </w:r>
      <w:r>
        <w:t>au présent article</w:t>
      </w:r>
      <w:r w:rsidR="00C517ED">
        <w:t> </w:t>
      </w:r>
      <w:r w:rsidRPr="006400F9" w:rsidR="00C517ED">
        <w:fldChar w:fldCharType="begin"/>
      </w:r>
      <w:r w:rsidRPr="006400F9" w:rsidR="00C517ED">
        <w:instrText xml:space="preserve"> REF _Ref40804497 \w \h </w:instrText>
      </w:r>
      <w:r w:rsidRPr="006400F9" w:rsidR="00791303">
        <w:instrText xml:space="preserve"> \* MERGEFORMAT </w:instrText>
      </w:r>
      <w:r w:rsidRPr="006400F9" w:rsidR="00C517ED">
        <w:fldChar w:fldCharType="separate"/>
      </w:r>
      <w:r w:rsidR="00B50BE2">
        <w:t>14.3(a)</w:t>
      </w:r>
      <w:r w:rsidRPr="006400F9" w:rsidR="00C517ED">
        <w:fldChar w:fldCharType="end"/>
      </w:r>
      <w:r w:rsidR="00C517ED">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rsidR="00C517ED">
        <w:t>) égal</w:t>
      </w:r>
      <w:r>
        <w:t>es</w:t>
      </w:r>
      <w:r w:rsidR="00C517ED">
        <w:t xml:space="preserve"> aux Apports </w:t>
      </w:r>
      <w:r>
        <w:t>de</w:t>
      </w:r>
      <w:r w:rsidR="00C517ED">
        <w:t xml:space="preserve"> capital </w:t>
      </w:r>
      <w:r>
        <w:t>globaux</w:t>
      </w:r>
      <w:r w:rsidR="00C517ED">
        <w:t xml:space="preserve"> de ce</w:t>
      </w:r>
      <w:r>
        <w:t xml:space="preserve">t </w:t>
      </w:r>
      <w:proofErr w:type="gramStart"/>
      <w:r>
        <w:t>Associé</w:t>
      </w:r>
      <w:r w:rsidR="00C517ED">
        <w:t>;</w:t>
      </w:r>
      <w:bookmarkEnd w:id="660"/>
      <w:proofErr w:type="gramEnd"/>
    </w:p>
    <w:p w:rsidR="0000160C" w:rsidRDefault="00C517ED" w14:paraId="5BBD95E4" w14:textId="53A38422">
      <w:pPr>
        <w:pStyle w:val="ArtBJStyL3"/>
      </w:pPr>
      <w:bookmarkStart w:name="_Ref40804540" w:id="661"/>
      <w:r>
        <w:rPr>
          <w:u w:val="single"/>
        </w:rPr>
        <w:t>Deuxièmement</w:t>
      </w:r>
      <w:r>
        <w:t>, 100 % à ce</w:t>
      </w:r>
      <w:r w:rsidR="00DE6781">
        <w:t xml:space="preserve">t Associé </w:t>
      </w:r>
      <w:r>
        <w:t>jusqu</w:t>
      </w:r>
      <w:r w:rsidR="00E27310">
        <w:t>’</w:t>
      </w:r>
      <w:r>
        <w:t>à ce que le montant cumulatif distribué à ce</w:t>
      </w:r>
      <w:r w:rsidR="008C6450">
        <w:t xml:space="preserve">t Associé </w:t>
      </w:r>
      <w:r>
        <w:t xml:space="preserve">conformément </w:t>
      </w:r>
      <w:r w:rsidR="008C6450">
        <w:t>au présent article</w:t>
      </w:r>
      <w:r>
        <w:t> </w:t>
      </w:r>
      <w:r w:rsidRPr="006400F9">
        <w:fldChar w:fldCharType="begin"/>
      </w:r>
      <w:r w:rsidRPr="006400F9">
        <w:instrText xml:space="preserve"> REF _Ref40804540 \w \h </w:instrText>
      </w:r>
      <w:r w:rsidRPr="006400F9" w:rsidR="00791303">
        <w:instrText xml:space="preserve"> \* MERGEFORMAT </w:instrText>
      </w:r>
      <w:r w:rsidRPr="006400F9">
        <w:fldChar w:fldCharType="separate"/>
      </w:r>
      <w:r w:rsidR="00B50BE2">
        <w:t>14.3(b)</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w:t>
      </w:r>
      <w:r w:rsidR="008C6450">
        <w:t>soit</w:t>
      </w:r>
      <w:r>
        <w:t xml:space="preserve"> égal au </w:t>
      </w:r>
      <w:r w:rsidR="008C6450">
        <w:t>R</w:t>
      </w:r>
      <w:r>
        <w:t xml:space="preserve">endement </w:t>
      </w:r>
      <w:r w:rsidR="008C6450">
        <w:t>privilégié</w:t>
      </w:r>
      <w:r>
        <w:t xml:space="preserve"> de </w:t>
      </w:r>
      <w:r w:rsidR="008C6450">
        <w:t xml:space="preserve">cet </w:t>
      </w:r>
      <w:proofErr w:type="gramStart"/>
      <w:r w:rsidR="008C6450">
        <w:t>Associé</w:t>
      </w:r>
      <w:r>
        <w:t>;</w:t>
      </w:r>
      <w:bookmarkEnd w:id="661"/>
      <w:proofErr w:type="gramEnd"/>
    </w:p>
    <w:p w:rsidR="0000160C" w:rsidRDefault="00C517ED" w14:paraId="132C3B2D" w14:textId="79E0B6D1">
      <w:pPr>
        <w:pStyle w:val="ArtBJStyL3"/>
      </w:pPr>
      <w:bookmarkStart w:name="_Ref40800986" w:id="662"/>
      <w:r>
        <w:rPr>
          <w:u w:val="single"/>
        </w:rPr>
        <w:lastRenderedPageBreak/>
        <w:t>Troisièmement</w:t>
      </w:r>
      <w:r w:rsidRPr="008C6450">
        <w:t xml:space="preserve">, </w:t>
      </w:r>
      <w:r w:rsidRPr="008C6450">
        <w:rPr>
          <w:b/>
          <w:highlight w:val="yellow"/>
        </w:rPr>
        <w:t>[80]</w:t>
      </w:r>
      <w:r>
        <w:t>%</w:t>
      </w:r>
      <w:bookmarkStart w:name="_Ref113892877" w:id="663"/>
      <w:r>
        <w:rPr>
          <w:szCs w:val="22"/>
          <w:vertAlign w:val="superscript"/>
        </w:rPr>
        <w:footnoteReference w:id="131"/>
      </w:r>
      <w:bookmarkEnd w:id="663"/>
      <w:r>
        <w:t xml:space="preserve"> au </w:t>
      </w:r>
      <w:r w:rsidR="008C6450">
        <w:t>C</w:t>
      </w:r>
      <w:r>
        <w:t xml:space="preserve">ommandité et </w:t>
      </w:r>
      <w:r w:rsidRPr="008C6450">
        <w:rPr>
          <w:b/>
          <w:highlight w:val="yellow"/>
        </w:rPr>
        <w:t>[20]</w:t>
      </w:r>
      <w:r>
        <w:t xml:space="preserve">% </w:t>
      </w:r>
      <w:r w:rsidR="008C6450">
        <w:t>à cet Associé</w:t>
      </w:r>
      <w:r>
        <w:t xml:space="preserve"> jusqu</w:t>
      </w:r>
      <w:r w:rsidR="00E27310">
        <w:t>’</w:t>
      </w:r>
      <w:r>
        <w:t>à ce que celui-ci ait reçu des distributions cumulatives à l</w:t>
      </w:r>
      <w:r w:rsidR="00E27310">
        <w:t>’</w:t>
      </w:r>
      <w:r>
        <w:t>égard de ce</w:t>
      </w:r>
      <w:r w:rsidR="008C6450">
        <w:t xml:space="preserve">t Associé </w:t>
      </w:r>
      <w:r>
        <w:t xml:space="preserve">conformément </w:t>
      </w:r>
      <w:r w:rsidR="008C6450">
        <w:t>au présent article</w:t>
      </w:r>
      <w:r>
        <w:t>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B50BE2">
        <w:t>14.3(c)</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égal</w:t>
      </w:r>
      <w:r w:rsidR="008C6450">
        <w:t>es</w:t>
      </w:r>
      <w:r>
        <w:t xml:space="preserve"> à </w:t>
      </w:r>
      <w:r w:rsidRPr="008C6450">
        <w:rPr>
          <w:b/>
          <w:highlight w:val="yellow"/>
        </w:rPr>
        <w:t>[20]</w:t>
      </w:r>
      <w:r>
        <w:t xml:space="preserve">% du montant cumulé des distributions </w:t>
      </w:r>
      <w:r w:rsidR="008C6450">
        <w:t>faites</w:t>
      </w:r>
      <w:r>
        <w:t xml:space="preserve"> ou en cours </w:t>
      </w:r>
      <w:r w:rsidR="008C6450">
        <w:t>d’être faites</w:t>
      </w:r>
      <w:r>
        <w:t xml:space="preserve"> </w:t>
      </w:r>
      <w:bookmarkStart w:name="DocXTextRef116" w:id="664"/>
      <w:r>
        <w:t>(i)</w:t>
      </w:r>
      <w:bookmarkEnd w:id="664"/>
      <w:r>
        <w:t xml:space="preserve"> </w:t>
      </w:r>
      <w:r w:rsidR="008C6450">
        <w:t>à cet Associé</w:t>
      </w:r>
      <w:r>
        <w:t xml:space="preserve"> conformément à l</w:t>
      </w:r>
      <w:r w:rsidR="00E27310">
        <w:t>’</w:t>
      </w:r>
      <w:r>
        <w:t>article </w:t>
      </w:r>
      <w:r w:rsidRPr="006400F9">
        <w:fldChar w:fldCharType="begin"/>
      </w:r>
      <w:r w:rsidRPr="006400F9">
        <w:instrText xml:space="preserve"> REF _Ref40804540 \w \h </w:instrText>
      </w:r>
      <w:r w:rsidRPr="006400F9" w:rsidR="00791303">
        <w:instrText xml:space="preserve"> \* MERGEFORMAT </w:instrText>
      </w:r>
      <w:r w:rsidRPr="006400F9">
        <w:fldChar w:fldCharType="separate"/>
      </w:r>
      <w:r w:rsidR="00B50BE2">
        <w:t>14.3(b)</w:t>
      </w:r>
      <w:r w:rsidRPr="006400F9">
        <w:fldChar w:fldCharType="end"/>
      </w:r>
      <w:r>
        <w:t xml:space="preserve"> et </w:t>
      </w:r>
      <w:r w:rsidR="008C6450">
        <w:t>au présent article</w:t>
      </w:r>
      <w:r>
        <w:t>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B50BE2">
        <w:t>14.3(c)</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et </w:t>
      </w:r>
      <w:bookmarkStart w:name="DocXTextRef117" w:id="665"/>
      <w:r>
        <w:t>(ii)</w:t>
      </w:r>
      <w:bookmarkEnd w:id="665"/>
      <w:r>
        <w:t xml:space="preserve"> </w:t>
      </w:r>
      <w:r w:rsidR="008C6450">
        <w:t>au</w:t>
      </w:r>
      <w:r>
        <w:t xml:space="preserve"> </w:t>
      </w:r>
      <w:r w:rsidR="008C6450">
        <w:t>C</w:t>
      </w:r>
      <w:r>
        <w:t>ommandité à l</w:t>
      </w:r>
      <w:r w:rsidR="00E27310">
        <w:t>’</w:t>
      </w:r>
      <w:r>
        <w:t xml:space="preserve">égard de </w:t>
      </w:r>
      <w:r w:rsidR="008C6450">
        <w:t>cet Associé</w:t>
      </w:r>
      <w:r>
        <w:t xml:space="preserve"> conformément au présent article </w:t>
      </w:r>
      <w:r w:rsidRPr="006400F9">
        <w:fldChar w:fldCharType="begin"/>
      </w:r>
      <w:r w:rsidRPr="006400F9">
        <w:instrText xml:space="preserve"> REF _Ref40800986 \w \h </w:instrText>
      </w:r>
      <w:r w:rsidRPr="006400F9" w:rsidR="00791303">
        <w:instrText xml:space="preserve"> \* MERGEFORMAT </w:instrText>
      </w:r>
      <w:r w:rsidRPr="006400F9">
        <w:fldChar w:fldCharType="separate"/>
      </w:r>
      <w:r w:rsidR="00B50BE2">
        <w:t>14.3(c)</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et</w:t>
      </w:r>
      <w:bookmarkEnd w:id="662"/>
    </w:p>
    <w:p w:rsidR="0000160C" w:rsidRDefault="00C517ED" w14:paraId="22E6DDAE" w14:textId="1728207B">
      <w:pPr>
        <w:pStyle w:val="ArtBJStyL3"/>
      </w:pPr>
      <w:bookmarkStart w:name="_Ref113892603" w:id="666"/>
      <w:bookmarkStart w:name="_Ref40801003" w:id="667"/>
      <w:r>
        <w:rPr>
          <w:u w:val="single"/>
        </w:rPr>
        <w:t>Quatrièmement</w:t>
      </w:r>
      <w:r>
        <w:t xml:space="preserve">, par la suite, </w:t>
      </w:r>
      <w:bookmarkStart w:name="DocXTextRef118" w:id="668"/>
      <w:r>
        <w:t>(i)</w:t>
      </w:r>
      <w:bookmarkEnd w:id="668"/>
      <w:r>
        <w:t xml:space="preserve"> </w:t>
      </w:r>
      <w:r w:rsidRPr="008C6450">
        <w:rPr>
          <w:b/>
          <w:highlight w:val="yellow"/>
        </w:rPr>
        <w:t>[</w:t>
      </w:r>
      <w:proofErr w:type="gramStart"/>
      <w:r w:rsidRPr="008C6450">
        <w:rPr>
          <w:b/>
          <w:highlight w:val="yellow"/>
        </w:rPr>
        <w:t>20]</w:t>
      </w:r>
      <w:r>
        <w:t>%</w:t>
      </w:r>
      <w:proofErr w:type="gramEnd"/>
      <w:r>
        <w:t xml:space="preserve"> au </w:t>
      </w:r>
      <w:r w:rsidR="008C6450">
        <w:t>C</w:t>
      </w:r>
      <w:r>
        <w:t xml:space="preserve">ommandité et </w:t>
      </w:r>
      <w:bookmarkStart w:name="DocXTextRef119" w:id="669"/>
      <w:r>
        <w:t>(ii)</w:t>
      </w:r>
      <w:bookmarkEnd w:id="669"/>
      <w:r>
        <w:t xml:space="preserve"> </w:t>
      </w:r>
      <w:r w:rsidRPr="008C6450">
        <w:rPr>
          <w:b/>
          <w:highlight w:val="yellow"/>
        </w:rPr>
        <w:t>[80]</w:t>
      </w:r>
      <w:r>
        <w:t xml:space="preserve">% </w:t>
      </w:r>
      <w:r w:rsidR="008C6450">
        <w:t>à cet Associé</w:t>
      </w:r>
      <w:r>
        <w:t>.</w:t>
      </w:r>
      <w:r>
        <w:rPr>
          <w:szCs w:val="22"/>
          <w:vertAlign w:val="superscript"/>
        </w:rPr>
        <w:t xml:space="preserve"> </w:t>
      </w:r>
      <w:bookmarkStart w:name="_Ref113892878" w:id="670"/>
      <w:r>
        <w:rPr>
          <w:szCs w:val="22"/>
          <w:vertAlign w:val="superscript"/>
        </w:rPr>
        <w:footnoteReference w:id="132"/>
      </w:r>
      <w:bookmarkEnd w:id="666"/>
      <w:bookmarkEnd w:id="667"/>
      <w:bookmarkEnd w:id="670"/>
    </w:p>
    <w:p w:rsidR="0000160C" w:rsidRDefault="00C517ED" w14:paraId="0DD315C2" w14:textId="77777777">
      <w:pPr>
        <w:pStyle w:val="ArtBJStyL2"/>
      </w:pPr>
      <w:bookmarkStart w:name="_Ref113892604" w:id="671"/>
      <w:bookmarkStart w:name="_Toc161762390" w:id="672"/>
      <w:r>
        <w:t>Distributions en nature.</w:t>
      </w:r>
      <w:bookmarkEnd w:id="671"/>
      <w:bookmarkEnd w:id="672"/>
    </w:p>
    <w:p w:rsidR="0000160C" w:rsidRDefault="00C517ED" w14:paraId="75F67A22" w14:textId="50DD7E0D">
      <w:pPr>
        <w:pStyle w:val="ArtBJStyL3"/>
      </w:pPr>
      <w:bookmarkStart w:name="_Ref113892605" w:id="673"/>
      <w:r>
        <w:t xml:space="preserve">Avant la distribution finale des actifs dans le cadre de la dissolution et de la liquidation du Fonds, le Fonds ne peut distribuer que des </w:t>
      </w:r>
      <w:r w:rsidR="00335434">
        <w:t>liquidités</w:t>
      </w:r>
      <w:r>
        <w:t xml:space="preserve"> ou des </w:t>
      </w:r>
      <w:r w:rsidR="00AA1AF7">
        <w:t>T</w:t>
      </w:r>
      <w:r>
        <w:t xml:space="preserve">itres négociables à un </w:t>
      </w:r>
      <w:r w:rsidR="00AA1AF7">
        <w:t>Associé</w:t>
      </w:r>
      <w:r>
        <w:t>.</w:t>
      </w:r>
      <w:bookmarkEnd w:id="673"/>
    </w:p>
    <w:p w:rsidR="0000160C" w:rsidRDefault="00C517ED" w14:paraId="0BB84F35" w14:textId="08ECF92F">
      <w:pPr>
        <w:pStyle w:val="ArtBJStyL3"/>
      </w:pPr>
      <w:bookmarkStart w:name="_Ref40804641" w:id="674"/>
      <w:r>
        <w:t xml:space="preserve">Si un </w:t>
      </w:r>
      <w:r w:rsidR="00AA1AF7">
        <w:t>Commanditaire</w:t>
      </w:r>
      <w:r>
        <w:t xml:space="preserve"> informe le </w:t>
      </w:r>
      <w:r w:rsidR="00AA1AF7">
        <w:t>C</w:t>
      </w:r>
      <w:r>
        <w:t>ommandité par écrit qu</w:t>
      </w:r>
      <w:r w:rsidR="00E27310">
        <w:t>’</w:t>
      </w:r>
      <w:r>
        <w:t xml:space="preserve">il choisit de ne pas recevoir de distributions de </w:t>
      </w:r>
      <w:r w:rsidR="00AA1AF7">
        <w:t>T</w:t>
      </w:r>
      <w:r>
        <w:t xml:space="preserve">itres, alors </w:t>
      </w:r>
      <w:bookmarkStart w:name="DocXTextRef120" w:id="675"/>
      <w:r>
        <w:t>(i)</w:t>
      </w:r>
      <w:bookmarkEnd w:id="675"/>
      <w:r>
        <w:t xml:space="preserve"> aucune distribution ne sera faite à ce </w:t>
      </w:r>
      <w:r w:rsidR="00AA1AF7">
        <w:t>Commanditaire</w:t>
      </w:r>
      <w:r>
        <w:t xml:space="preserve"> et </w:t>
      </w:r>
      <w:bookmarkStart w:name="DocXTextRef121" w:id="676"/>
      <w:r>
        <w:t>(ii)</w:t>
      </w:r>
      <w:bookmarkEnd w:id="676"/>
      <w:r>
        <w:t xml:space="preserve"> le </w:t>
      </w:r>
      <w:r w:rsidR="00AA1AF7">
        <w:t>C</w:t>
      </w:r>
      <w:r>
        <w:t xml:space="preserve">ommandité </w:t>
      </w:r>
      <w:r w:rsidR="00063FE0">
        <w:t>doit faire</w:t>
      </w:r>
      <w:r>
        <w:t xml:space="preserve"> des efforts raisonnables</w:t>
      </w:r>
      <w:r w:rsidR="00AA1AF7">
        <w:t xml:space="preserve"> sur le plan commercial</w:t>
      </w:r>
      <w:r>
        <w:t xml:space="preserve"> pour vendre au nom de ce </w:t>
      </w:r>
      <w:r w:rsidR="00AA1AF7">
        <w:t>Commanditaire</w:t>
      </w:r>
      <w:r>
        <w:t xml:space="preserve"> </w:t>
      </w:r>
      <w:r w:rsidR="00AA1AF7">
        <w:t>les</w:t>
      </w:r>
      <w:r>
        <w:t xml:space="preserve"> </w:t>
      </w:r>
      <w:r w:rsidR="00AA1AF7">
        <w:t>T</w:t>
      </w:r>
      <w:r>
        <w:t xml:space="preserve">itres qui auraient autrement été distribués à ce </w:t>
      </w:r>
      <w:r w:rsidR="00AA1AF7">
        <w:t>Commanditaire</w:t>
      </w:r>
      <w:r>
        <w:t xml:space="preserve"> pour </w:t>
      </w:r>
      <w:r w:rsidR="00AA1AF7">
        <w:t xml:space="preserve">des </w:t>
      </w:r>
      <w:r w:rsidR="00335434">
        <w:t>liquidités</w:t>
      </w:r>
      <w:r>
        <w:t xml:space="preserve">, </w:t>
      </w:r>
      <w:r w:rsidR="00AA1AF7">
        <w:t>desquels</w:t>
      </w:r>
      <w:r>
        <w:t xml:space="preserve"> les dépenses raisonnables du </w:t>
      </w:r>
      <w:r w:rsidR="00AA1AF7">
        <w:t>C</w:t>
      </w:r>
      <w:r>
        <w:t>ommandité seront d</w:t>
      </w:r>
      <w:r w:rsidR="00E27310">
        <w:t>’</w:t>
      </w:r>
      <w:r>
        <w:t>abord déduites</w:t>
      </w:r>
      <w:r w:rsidR="00AA1AF7">
        <w:t>,</w:t>
      </w:r>
      <w:r>
        <w:t xml:space="preserve"> à condition que, sans le consentement écrit du </w:t>
      </w:r>
      <w:r w:rsidR="00980C6E">
        <w:t>Comité consultatif des Commanditaires</w:t>
      </w:r>
      <w:r>
        <w:t xml:space="preserve"> ou du </w:t>
      </w:r>
      <w:r w:rsidR="00AA1AF7">
        <w:t>C</w:t>
      </w:r>
      <w:r>
        <w:t>ommandit</w:t>
      </w:r>
      <w:r w:rsidR="00AA1AF7">
        <w:t>aire</w:t>
      </w:r>
      <w:r>
        <w:t xml:space="preserve"> </w:t>
      </w:r>
      <w:r w:rsidR="00AA1AF7">
        <w:t>concerné</w:t>
      </w:r>
      <w:r>
        <w:t xml:space="preserve">, le </w:t>
      </w:r>
      <w:r w:rsidR="00AA1AF7">
        <w:t>C</w:t>
      </w:r>
      <w:r>
        <w:t xml:space="preserve">ommandité </w:t>
      </w:r>
      <w:r w:rsidR="00AA1AF7">
        <w:t>ne doit vendre aucun</w:t>
      </w:r>
      <w:r>
        <w:t xml:space="preserve"> de </w:t>
      </w:r>
      <w:r w:rsidR="00AA1AF7">
        <w:t>ces</w:t>
      </w:r>
      <w:r>
        <w:t xml:space="preserve"> </w:t>
      </w:r>
      <w:r w:rsidR="00063FE0">
        <w:t>T</w:t>
      </w:r>
      <w:r>
        <w:t xml:space="preserve">itres à lui-même ou à </w:t>
      </w:r>
      <w:r w:rsidR="00063FE0">
        <w:t>l’un des Membres du même groupe</w:t>
      </w:r>
      <w:r w:rsidR="00335434">
        <w:t xml:space="preserve"> que le Commandité</w:t>
      </w:r>
      <w:r>
        <w:t xml:space="preserve">. Le </w:t>
      </w:r>
      <w:r w:rsidR="00063FE0">
        <w:t>C</w:t>
      </w:r>
      <w:r>
        <w:t xml:space="preserve">ommandité </w:t>
      </w:r>
      <w:r w:rsidR="00063FE0">
        <w:t>doit faire</w:t>
      </w:r>
      <w:r>
        <w:t xml:space="preserve"> des efforts raisonnables </w:t>
      </w:r>
      <w:r w:rsidR="00063FE0">
        <w:t xml:space="preserve">sur le plan commercial </w:t>
      </w:r>
      <w:r>
        <w:t xml:space="preserve">pour vendre ces </w:t>
      </w:r>
      <w:r w:rsidR="00063FE0">
        <w:t>T</w:t>
      </w:r>
      <w:r>
        <w:t>itres au nom d</w:t>
      </w:r>
      <w:r w:rsidR="00E27310">
        <w:t>’</w:t>
      </w:r>
      <w:r>
        <w:t xml:space="preserve">un </w:t>
      </w:r>
      <w:r w:rsidR="00063FE0">
        <w:t>Commanditaire</w:t>
      </w:r>
      <w:r>
        <w:t xml:space="preserve"> et </w:t>
      </w:r>
      <w:r w:rsidR="00063FE0">
        <w:t>n’aura</w:t>
      </w:r>
      <w:r>
        <w:t xml:space="preserve"> aucune responsabilité envers ce </w:t>
      </w:r>
      <w:r w:rsidR="00063FE0">
        <w:t>Commanditaire</w:t>
      </w:r>
      <w:r>
        <w:t xml:space="preserve"> </w:t>
      </w:r>
      <w:r w:rsidR="00063FE0">
        <w:t>s’il n’obtient</w:t>
      </w:r>
      <w:r>
        <w:t xml:space="preserve"> </w:t>
      </w:r>
      <w:r w:rsidR="00040C15">
        <w:t xml:space="preserve">pas </w:t>
      </w:r>
      <w:r>
        <w:t xml:space="preserve">le meilleur prix ou la meilleure exécution dans la mesure maximale permise par </w:t>
      </w:r>
      <w:r w:rsidR="007A757B">
        <w:t>le droit</w:t>
      </w:r>
      <w:r>
        <w:t xml:space="preserve"> applicable, et chaque </w:t>
      </w:r>
      <w:r w:rsidR="00063FE0">
        <w:t>Commanditaire</w:t>
      </w:r>
      <w:r>
        <w:t xml:space="preserve"> remboursera </w:t>
      </w:r>
      <w:r w:rsidR="00063FE0">
        <w:t>au</w:t>
      </w:r>
      <w:r>
        <w:t xml:space="preserve"> Fonds et </w:t>
      </w:r>
      <w:r w:rsidR="00063FE0">
        <w:t>au</w:t>
      </w:r>
      <w:r>
        <w:t xml:space="preserve"> </w:t>
      </w:r>
      <w:r w:rsidR="00063FE0">
        <w:t>C</w:t>
      </w:r>
      <w:r>
        <w:t xml:space="preserve">ommandité les coûts raisonnables encourus par le </w:t>
      </w:r>
      <w:r w:rsidR="00063FE0">
        <w:t>C</w:t>
      </w:r>
      <w:r>
        <w:t xml:space="preserve">ommandité </w:t>
      </w:r>
      <w:r w:rsidR="00063FE0">
        <w:t>afin</w:t>
      </w:r>
      <w:r>
        <w:t xml:space="preserve"> </w:t>
      </w:r>
      <w:r w:rsidR="00063FE0">
        <w:t>d’</w:t>
      </w:r>
      <w:r>
        <w:t>agir sur une telle demande ou un tel arrangement autre que les coûts ou la responsabilité découlant de la fraude</w:t>
      </w:r>
      <w:r w:rsidR="00063FE0">
        <w:t xml:space="preserve"> </w:t>
      </w:r>
      <w:r w:rsidR="00063FE0">
        <w:rPr>
          <w:b/>
          <w:bCs/>
          <w:highlight w:val="yellow"/>
        </w:rPr>
        <w:t>[,/ ou]</w:t>
      </w:r>
      <w:r w:rsidRPr="00063FE0" w:rsidR="00063FE0">
        <w:t xml:space="preserve"> de l</w:t>
      </w:r>
      <w:r w:rsidR="00851DDB">
        <w:t xml:space="preserve">’inconduite délibérée </w:t>
      </w:r>
      <w:r>
        <w:t xml:space="preserve">du </w:t>
      </w:r>
      <w:r w:rsidR="00063FE0">
        <w:t>C</w:t>
      </w:r>
      <w:r>
        <w:t xml:space="preserve">ommandité </w:t>
      </w:r>
      <w:r>
        <w:rPr>
          <w:b/>
          <w:highlight w:val="yellow"/>
        </w:rPr>
        <w:t>[</w:t>
      </w:r>
      <w:r>
        <w:rPr>
          <w:b/>
          <w:bCs/>
          <w:highlight w:val="yellow"/>
        </w:rPr>
        <w:t xml:space="preserve">ou la faute intentionnelle ou </w:t>
      </w:r>
      <w:r w:rsidR="00851DDB">
        <w:rPr>
          <w:b/>
          <w:bCs/>
          <w:highlight w:val="yellow"/>
        </w:rPr>
        <w:t>lourde</w:t>
      </w:r>
      <w:r>
        <w:rPr>
          <w:b/>
          <w:bCs/>
          <w:highlight w:val="yellow"/>
        </w:rPr>
        <w:t>]</w:t>
      </w:r>
      <w:r>
        <w:rPr>
          <w:highlight w:val="yellow"/>
        </w:rPr>
        <w:t>;</w:t>
      </w:r>
      <w:bookmarkStart w:name="_Ref113892879" w:id="677"/>
      <w:r>
        <w:rPr>
          <w:rStyle w:val="FootnoteReference"/>
          <w:highlight w:val="yellow"/>
        </w:rPr>
        <w:footnoteReference w:id="133"/>
      </w:r>
      <w:bookmarkEnd w:id="677"/>
      <w:r w:rsidR="00851DDB">
        <w:rPr>
          <w:highlight w:val="yellow"/>
        </w:rPr>
        <w:t xml:space="preserve"> </w:t>
      </w:r>
      <w:r w:rsidRPr="00851DDB">
        <w:rPr>
          <w:b/>
          <w:bCs/>
          <w:highlight w:val="yellow"/>
        </w:rPr>
        <w:t>[à</w:t>
      </w:r>
      <w:r>
        <w:rPr>
          <w:b/>
          <w:highlight w:val="yellow"/>
        </w:rPr>
        <w:t xml:space="preserve"> condition que si le </w:t>
      </w:r>
      <w:r w:rsidR="00851DDB">
        <w:rPr>
          <w:b/>
          <w:highlight w:val="yellow"/>
        </w:rPr>
        <w:t>C</w:t>
      </w:r>
      <w:r>
        <w:rPr>
          <w:b/>
          <w:highlight w:val="yellow"/>
        </w:rPr>
        <w:t xml:space="preserve">ommandité vend des </w:t>
      </w:r>
      <w:r w:rsidR="00851DDB">
        <w:rPr>
          <w:b/>
          <w:highlight w:val="yellow"/>
        </w:rPr>
        <w:t>T</w:t>
      </w:r>
      <w:r>
        <w:rPr>
          <w:b/>
          <w:highlight w:val="yellow"/>
        </w:rPr>
        <w:t xml:space="preserve">itres identiques en </w:t>
      </w:r>
      <w:r w:rsidR="00851DDB">
        <w:rPr>
          <w:b/>
          <w:highlight w:val="yellow"/>
        </w:rPr>
        <w:t>quantités</w:t>
      </w:r>
      <w:r>
        <w:rPr>
          <w:b/>
          <w:highlight w:val="yellow"/>
        </w:rPr>
        <w:t xml:space="preserve"> comparables pour son propre compte ou pour le compte </w:t>
      </w:r>
      <w:r w:rsidR="00851DDB">
        <w:rPr>
          <w:b/>
          <w:highlight w:val="yellow"/>
        </w:rPr>
        <w:t>d’un Membre du même groupe</w:t>
      </w:r>
      <w:r w:rsidR="00335434">
        <w:rPr>
          <w:b/>
          <w:highlight w:val="yellow"/>
        </w:rPr>
        <w:t xml:space="preserve"> que le Commandité</w:t>
      </w:r>
      <w:r w:rsidR="00851DDB">
        <w:rPr>
          <w:b/>
          <w:highlight w:val="yellow"/>
        </w:rPr>
        <w:t xml:space="preserve"> e</w:t>
      </w:r>
      <w:r>
        <w:rPr>
          <w:b/>
          <w:highlight w:val="yellow"/>
        </w:rPr>
        <w:t>n même temps qu</w:t>
      </w:r>
      <w:r w:rsidR="00E27310">
        <w:rPr>
          <w:b/>
          <w:highlight w:val="yellow"/>
        </w:rPr>
        <w:t>’</w:t>
      </w:r>
      <w:r>
        <w:rPr>
          <w:b/>
          <w:highlight w:val="yellow"/>
        </w:rPr>
        <w:t xml:space="preserve">il vend des Titres au nom de ce </w:t>
      </w:r>
      <w:r w:rsidR="00851DDB">
        <w:rPr>
          <w:b/>
          <w:highlight w:val="yellow"/>
        </w:rPr>
        <w:t>Commanditaire</w:t>
      </w:r>
      <w:r>
        <w:rPr>
          <w:b/>
          <w:highlight w:val="yellow"/>
        </w:rPr>
        <w:t xml:space="preserve">, le </w:t>
      </w:r>
      <w:r w:rsidR="00851DDB">
        <w:rPr>
          <w:b/>
          <w:highlight w:val="yellow"/>
        </w:rPr>
        <w:t>Commandité</w:t>
      </w:r>
      <w:r>
        <w:rPr>
          <w:b/>
          <w:highlight w:val="yellow"/>
        </w:rPr>
        <w:t xml:space="preserve"> ne </w:t>
      </w:r>
      <w:r w:rsidR="00851DDB">
        <w:rPr>
          <w:b/>
          <w:highlight w:val="yellow"/>
        </w:rPr>
        <w:t>doit pas vendre</w:t>
      </w:r>
      <w:r>
        <w:rPr>
          <w:b/>
          <w:highlight w:val="yellow"/>
        </w:rPr>
        <w:t xml:space="preserve"> ces Titres pour le compte de ce </w:t>
      </w:r>
      <w:r w:rsidR="00851DDB">
        <w:rPr>
          <w:b/>
          <w:highlight w:val="yellow"/>
        </w:rPr>
        <w:t>Commanditaire</w:t>
      </w:r>
      <w:r>
        <w:rPr>
          <w:b/>
          <w:highlight w:val="yellow"/>
        </w:rPr>
        <w:t xml:space="preserve"> à un prix inférieur au prix qu</w:t>
      </w:r>
      <w:r w:rsidR="00E27310">
        <w:rPr>
          <w:b/>
          <w:highlight w:val="yellow"/>
        </w:rPr>
        <w:t>’</w:t>
      </w:r>
      <w:r>
        <w:rPr>
          <w:b/>
          <w:highlight w:val="yellow"/>
        </w:rPr>
        <w:t xml:space="preserve">il obtient pour lui-même ou pour </w:t>
      </w:r>
      <w:r w:rsidR="00851DDB">
        <w:rPr>
          <w:b/>
          <w:highlight w:val="yellow"/>
        </w:rPr>
        <w:t>ce Membre du même groupe</w:t>
      </w:r>
      <w:r w:rsidR="00335434">
        <w:rPr>
          <w:b/>
          <w:highlight w:val="yellow"/>
        </w:rPr>
        <w:t xml:space="preserve"> que le Commanditaire</w:t>
      </w:r>
      <w:r>
        <w:rPr>
          <w:b/>
          <w:highlight w:val="yellow"/>
        </w:rPr>
        <w:t xml:space="preserve">, sous réserve de considérations juridiques, fiscales, réglementaires, comptables et autres considérations similaires applicables à ce </w:t>
      </w:r>
      <w:r w:rsidR="00851DDB">
        <w:rPr>
          <w:b/>
          <w:highlight w:val="yellow"/>
        </w:rPr>
        <w:t>Commanditaire</w:t>
      </w:r>
      <w:r>
        <w:rPr>
          <w:b/>
          <w:highlight w:val="yellow"/>
        </w:rPr>
        <w:t>.]</w:t>
      </w:r>
      <w:r>
        <w:t xml:space="preserve"> Tout produit reçu par le Fonds en vertu </w:t>
      </w:r>
      <w:r w:rsidR="00851DDB">
        <w:t xml:space="preserve">du présent </w:t>
      </w:r>
      <w:r w:rsidR="00851DDB">
        <w:lastRenderedPageBreak/>
        <w:t>article</w:t>
      </w:r>
      <w:r>
        <w:t> </w:t>
      </w:r>
      <w:r w:rsidRPr="006400F9">
        <w:fldChar w:fldCharType="begin"/>
      </w:r>
      <w:r w:rsidRPr="006400F9">
        <w:instrText xml:space="preserve"> REF _Ref40804641 \w \h </w:instrText>
      </w:r>
      <w:r w:rsidRPr="006400F9" w:rsidR="00791303">
        <w:instrText xml:space="preserve"> \* MERGEFORMAT </w:instrText>
      </w:r>
      <w:r w:rsidRPr="006400F9">
        <w:fldChar w:fldCharType="separate"/>
      </w:r>
      <w:r w:rsidR="00B50BE2">
        <w:t>14.4(b)</w:t>
      </w:r>
      <w:r w:rsidRPr="006400F9">
        <w:fldChar w:fldCharType="end"/>
      </w:r>
      <w:r>
        <w:t xml:space="preserve"> </w:t>
      </w:r>
      <w:r>
        <w:rPr>
          <w:i/>
        </w:rPr>
        <w:t>(</w:t>
      </w:r>
      <w:r w:rsidRPr="003A3836" w:rsidR="003A3836">
        <w:rPr>
          <w:i/>
        </w:rPr>
        <w:fldChar w:fldCharType="begin"/>
      </w:r>
      <w:r w:rsidRPr="003A3836" w:rsidR="003A3836">
        <w:rPr>
          <w:i/>
        </w:rPr>
        <w:instrText xml:space="preserve"> REF _Ref113892604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en nature.</w:t>
      </w:r>
      <w:r w:rsidRPr="003A3836" w:rsidR="003A3836">
        <w:rPr>
          <w:i/>
        </w:rPr>
        <w:fldChar w:fldCharType="end"/>
      </w:r>
      <w:r>
        <w:t xml:space="preserve">) sera distribué au </w:t>
      </w:r>
      <w:r w:rsidR="00851DDB">
        <w:t>C</w:t>
      </w:r>
      <w:r>
        <w:t xml:space="preserve">ommanditaire concerné dès que cela </w:t>
      </w:r>
      <w:r w:rsidR="00851DDB">
        <w:t>sera</w:t>
      </w:r>
      <w:r>
        <w:t xml:space="preserve"> raisonnablement possible.</w:t>
      </w:r>
      <w:bookmarkEnd w:id="674"/>
    </w:p>
    <w:p w:rsidR="0000160C" w:rsidRDefault="00C517ED" w14:paraId="38C36A9D" w14:textId="27437298">
      <w:pPr>
        <w:pStyle w:val="ArtBJStyL3"/>
      </w:pPr>
      <w:bookmarkStart w:name="_Ref40802045" w:id="678"/>
      <w:r>
        <w:t xml:space="preserve">Si une distribution de </w:t>
      </w:r>
      <w:r w:rsidR="00851DDB">
        <w:t>T</w:t>
      </w:r>
      <w:r w:rsidR="009154D8">
        <w:t>itres</w:t>
      </w:r>
      <w:r w:rsidR="00851DDB">
        <w:t xml:space="preserve"> négociables</w:t>
      </w:r>
      <w:r>
        <w:t xml:space="preserve"> ou d</w:t>
      </w:r>
      <w:r w:rsidR="00E27310">
        <w:t>’</w:t>
      </w:r>
      <w:r>
        <w:t xml:space="preserve">actifs est </w:t>
      </w:r>
      <w:r w:rsidR="00851DDB">
        <w:t>fait</w:t>
      </w:r>
      <w:r w:rsidR="006157DA">
        <w:t>e</w:t>
      </w:r>
      <w:r>
        <w:t xml:space="preserve"> à un </w:t>
      </w:r>
      <w:r w:rsidR="00851DDB">
        <w:t>Commanditaire</w:t>
      </w:r>
      <w:r>
        <w:t xml:space="preserve">, ces </w:t>
      </w:r>
      <w:r w:rsidR="00851DDB">
        <w:t>T</w:t>
      </w:r>
      <w:r w:rsidR="009154D8">
        <w:t>itres</w:t>
      </w:r>
      <w:r w:rsidR="00851DDB">
        <w:t xml:space="preserve"> négociables</w:t>
      </w:r>
      <w:r>
        <w:t xml:space="preserve"> ou actifs seront réputés avoir été vendus à la </w:t>
      </w:r>
      <w:r w:rsidR="00851DDB">
        <w:t>V</w:t>
      </w:r>
      <w:r>
        <w:t xml:space="preserve">aleur déterminée par le </w:t>
      </w:r>
      <w:r w:rsidR="00851DDB">
        <w:t>C</w:t>
      </w:r>
      <w:r>
        <w:t>ommandité (sous réserve de l</w:t>
      </w:r>
      <w:r w:rsidR="00E27310">
        <w:t>’</w:t>
      </w:r>
      <w:r>
        <w:t>article </w:t>
      </w:r>
      <w:r w:rsidRPr="006400F9" w:rsidR="0044140B">
        <w:fldChar w:fldCharType="begin"/>
      </w:r>
      <w:r w:rsidRPr="006400F9" w:rsidR="0044140B">
        <w:instrText xml:space="preserve"> REF _Ref40802561 \w \h </w:instrText>
      </w:r>
      <w:r w:rsidRPr="006400F9" w:rsidR="00791303">
        <w:instrText xml:space="preserve"> \* MERGEFORMAT </w:instrText>
      </w:r>
      <w:r w:rsidRPr="006400F9" w:rsidR="0044140B">
        <w:fldChar w:fldCharType="separate"/>
      </w:r>
      <w:r w:rsidR="00B50BE2">
        <w:t>13.2(d)(v)</w:t>
      </w:r>
      <w:r w:rsidRPr="006400F9" w:rsidR="0044140B">
        <w:fldChar w:fldCharType="end"/>
      </w:r>
      <w:r>
        <w:t xml:space="preserve"> (</w:t>
      </w:r>
      <w:r w:rsidRPr="003A3836" w:rsidR="003A3836">
        <w:rPr>
          <w:i/>
        </w:rPr>
        <w:fldChar w:fldCharType="begin"/>
      </w:r>
      <w:r w:rsidRPr="003A3836" w:rsidR="003A3836">
        <w:rPr>
          <w:i/>
        </w:rPr>
        <w:instrText xml:space="preserve"> REF _Ref113882794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Étendue des pouvoirs.</w:t>
      </w:r>
      <w:r w:rsidRPr="003A3836" w:rsidR="003A3836">
        <w:rPr>
          <w:i/>
        </w:rPr>
        <w:fldChar w:fldCharType="end"/>
      </w:r>
      <w:r>
        <w:t xml:space="preserve">), </w:t>
      </w:r>
      <w:bookmarkStart w:name="DocXTextRef122" w:id="679"/>
      <w:r>
        <w:t>(i)</w:t>
      </w:r>
      <w:bookmarkEnd w:id="679"/>
      <w:r>
        <w:t xml:space="preserve"> dans le cas des </w:t>
      </w:r>
      <w:r w:rsidR="00851DDB">
        <w:t>Titres</w:t>
      </w:r>
      <w:r>
        <w:t xml:space="preserve"> négociables, en utilisant la moyenne des prix de clôture enregistrés sur le marché où les </w:t>
      </w:r>
      <w:r w:rsidR="00851DDB">
        <w:t>Titres</w:t>
      </w:r>
      <w:r>
        <w:t xml:space="preserve"> sont négociés au cours des </w:t>
      </w:r>
      <w:r>
        <w:rPr>
          <w:b/>
          <w:highlight w:val="yellow"/>
        </w:rPr>
        <w:t>[</w:t>
      </w:r>
      <w:r w:rsidR="00040C15">
        <w:rPr>
          <w:b/>
          <w:highlight w:val="yellow"/>
        </w:rPr>
        <w:t>5</w:t>
      </w:r>
      <w:r>
        <w:rPr>
          <w:b/>
          <w:highlight w:val="yellow"/>
        </w:rPr>
        <w:t>]</w:t>
      </w:r>
      <w:r>
        <w:t xml:space="preserve"> jours de </w:t>
      </w:r>
      <w:r w:rsidR="00851DDB">
        <w:t>bourse</w:t>
      </w:r>
      <w:r>
        <w:t xml:space="preserve"> précédant la date de distribution </w:t>
      </w:r>
      <w:r>
        <w:rPr>
          <w:b/>
          <w:highlight w:val="yellow"/>
        </w:rPr>
        <w:t xml:space="preserve">[et des </w:t>
      </w:r>
      <w:r w:rsidR="00040C15">
        <w:rPr>
          <w:b/>
          <w:highlight w:val="yellow"/>
        </w:rPr>
        <w:t>5</w:t>
      </w:r>
      <w:r>
        <w:rPr>
          <w:b/>
          <w:highlight w:val="yellow"/>
        </w:rPr>
        <w:t xml:space="preserve"> jours de </w:t>
      </w:r>
      <w:r w:rsidR="00851DDB">
        <w:rPr>
          <w:b/>
          <w:highlight w:val="yellow"/>
        </w:rPr>
        <w:t>bourse</w:t>
      </w:r>
      <w:r>
        <w:rPr>
          <w:b/>
          <w:highlight w:val="yellow"/>
        </w:rPr>
        <w:t xml:space="preserve"> suivant la date de distribution]</w:t>
      </w:r>
      <w:r>
        <w:t xml:space="preserve">, et </w:t>
      </w:r>
      <w:bookmarkStart w:name="DocXTextRef123" w:id="680"/>
      <w:r>
        <w:t>(ii)</w:t>
      </w:r>
      <w:bookmarkEnd w:id="680"/>
      <w:r>
        <w:t xml:space="preserve"> dans le cas des autres actifs, en tenant compte de tous les facteurs, informations et données pertinents, </w:t>
      </w:r>
      <w:r w:rsidR="006157DA">
        <w:t>et</w:t>
      </w:r>
      <w:r>
        <w:t xml:space="preserve"> dans </w:t>
      </w:r>
      <w:r w:rsidR="00D82680">
        <w:t>l’un ou l’autre des cas</w:t>
      </w:r>
      <w:r>
        <w:t xml:space="preserve">, </w:t>
      </w:r>
      <w:r w:rsidR="00D82680">
        <w:t>tous les produits</w:t>
      </w:r>
      <w:r>
        <w:t xml:space="preserve"> de cette vente </w:t>
      </w:r>
      <w:r w:rsidR="00D82680">
        <w:t>seront</w:t>
      </w:r>
      <w:r>
        <w:t xml:space="preserve"> payé</w:t>
      </w:r>
      <w:r w:rsidR="00D82680">
        <w:t>s</w:t>
      </w:r>
      <w:r>
        <w:t xml:space="preserve"> par ou </w:t>
      </w:r>
      <w:r w:rsidR="00D82680">
        <w:t>au nom</w:t>
      </w:r>
      <w:r>
        <w:t xml:space="preserve"> du Fonds et du </w:t>
      </w:r>
      <w:r w:rsidR="00D82680">
        <w:t>C</w:t>
      </w:r>
      <w:r>
        <w:t xml:space="preserve">ommandité au </w:t>
      </w:r>
      <w:r w:rsidR="00D82680">
        <w:t>Commanditaire</w:t>
      </w:r>
      <w:r>
        <w:t xml:space="preserve"> concerné et </w:t>
      </w:r>
      <w:r w:rsidR="00D82680">
        <w:t>seront</w:t>
      </w:r>
      <w:r>
        <w:t xml:space="preserve"> réputé</w:t>
      </w:r>
      <w:r w:rsidR="00D82680">
        <w:t>s</w:t>
      </w:r>
      <w:r>
        <w:t xml:space="preserve"> avoir été distribué</w:t>
      </w:r>
      <w:r w:rsidR="00D82680">
        <w:t>s</w:t>
      </w:r>
      <w:r>
        <w:t xml:space="preserve"> sous la forme de </w:t>
      </w:r>
      <w:r w:rsidR="00D82680">
        <w:t>P</w:t>
      </w:r>
      <w:r>
        <w:t>roduit</w:t>
      </w:r>
      <w:r w:rsidR="00D82680">
        <w:t>s</w:t>
      </w:r>
      <w:r>
        <w:t xml:space="preserve"> distribuable</w:t>
      </w:r>
      <w:r w:rsidR="00D82680">
        <w:t>s</w:t>
      </w:r>
      <w:r>
        <w:t xml:space="preserve"> à ce </w:t>
      </w:r>
      <w:r w:rsidR="00D82680">
        <w:t>Commanditaire</w:t>
      </w:r>
      <w:r>
        <w:t xml:space="preserve"> conformément à l</w:t>
      </w:r>
      <w:r w:rsidR="00E27310">
        <w:t>’</w:t>
      </w:r>
      <w:r>
        <w:t>article </w:t>
      </w:r>
      <w:r w:rsidRPr="006400F9" w:rsidR="0044140B">
        <w:fldChar w:fldCharType="begin"/>
      </w:r>
      <w:r w:rsidRPr="006400F9" w:rsidR="0044140B">
        <w:instrText xml:space="preserve"> REF _Ref40803030 \w \h </w:instrText>
      </w:r>
      <w:r w:rsidRPr="006400F9" w:rsidR="00791303">
        <w:instrText xml:space="preserve"> \* MERGEFORMAT </w:instrText>
      </w:r>
      <w:r w:rsidRPr="006400F9" w:rsidR="0044140B">
        <w:fldChar w:fldCharType="separate"/>
      </w:r>
      <w:r w:rsidR="00B50BE2">
        <w:t>14.3</w:t>
      </w:r>
      <w:r w:rsidRPr="006400F9" w:rsidR="0044140B">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w:t>
      </w:r>
      <w:bookmarkEnd w:id="678"/>
    </w:p>
    <w:p w:rsidR="0000160C" w:rsidRDefault="00587B62" w14:paraId="3BDDD204" w14:textId="48625043">
      <w:pPr>
        <w:pStyle w:val="ArtBJStyL2"/>
      </w:pPr>
      <w:bookmarkStart w:name="_Ref40801023" w:id="681"/>
      <w:bookmarkStart w:name="_Ref45625600" w:id="682"/>
      <w:bookmarkStart w:name="_Ref45625609" w:id="683"/>
      <w:bookmarkStart w:name="_Toc53064520" w:id="684"/>
      <w:bookmarkStart w:name="_Toc161762391" w:id="685"/>
      <w:bookmarkStart w:name="_Ref40804818" w:id="686"/>
      <w:bookmarkStart w:name="_Ref48206997" w:id="687"/>
      <w:r>
        <w:t>Distributions d’impôts</w:t>
      </w:r>
      <w:r w:rsidR="00C517ED">
        <w:t>.</w:t>
      </w:r>
      <w:bookmarkEnd w:id="681"/>
      <w:bookmarkEnd w:id="682"/>
      <w:bookmarkEnd w:id="683"/>
      <w:bookmarkEnd w:id="684"/>
      <w:bookmarkEnd w:id="685"/>
    </w:p>
    <w:p w:rsidR="0000160C" w:rsidRDefault="00C517ED" w14:paraId="47CEBA25" w14:textId="343E3FB1">
      <w:pPr>
        <w:pStyle w:val="ArtBJStyCont2"/>
      </w:pPr>
      <w:r>
        <w:t xml:space="preserve">Nonobstant les priorités énoncées à </w:t>
      </w:r>
      <w:r w:rsidR="00D82680">
        <w:t>l’article</w:t>
      </w:r>
      <w:r>
        <w:t> </w:t>
      </w:r>
      <w:r>
        <w:fldChar w:fldCharType="begin"/>
      </w:r>
      <w:r>
        <w:instrText xml:space="preserve"> REF _Ref40803030 \w \h </w:instrText>
      </w:r>
      <w:r>
        <w:fldChar w:fldCharType="separate"/>
      </w:r>
      <w:r w:rsidR="00B50BE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ci-dessus, le </w:t>
      </w:r>
      <w:r w:rsidR="00D82680">
        <w:t>C</w:t>
      </w:r>
      <w:r>
        <w:t>ommandité a l</w:t>
      </w:r>
      <w:r w:rsidR="00D82680">
        <w:t>’autorisé de faire en sorte que</w:t>
      </w:r>
      <w:r>
        <w:t xml:space="preserve"> le Fonds </w:t>
      </w:r>
      <w:r w:rsidR="00D82680">
        <w:t>fasse</w:t>
      </w:r>
      <w:r>
        <w:t xml:space="preserve"> des distributions conformément </w:t>
      </w:r>
      <w:r w:rsidR="00D82680">
        <w:t>au présent article</w:t>
      </w:r>
      <w:r>
        <w:t> </w:t>
      </w:r>
      <w:r>
        <w:fldChar w:fldCharType="begin"/>
      </w:r>
      <w:r>
        <w:instrText xml:space="preserve"> REF _Ref40801023 \w \h </w:instrText>
      </w:r>
      <w:r>
        <w:fldChar w:fldCharType="separate"/>
      </w:r>
      <w:r w:rsidR="00B50BE2">
        <w:t>14.5</w:t>
      </w:r>
      <w:r>
        <w:fldChar w:fldCharType="end"/>
      </w:r>
      <w:r>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d’impôts.</w:t>
      </w:r>
      <w:r w:rsidRPr="003A3836" w:rsidR="003A3836">
        <w:rPr>
          <w:i/>
        </w:rPr>
        <w:fldChar w:fldCharType="end"/>
      </w:r>
      <w:r>
        <w:t xml:space="preserve">) à tous les </w:t>
      </w:r>
      <w:r w:rsidR="001D6FD0">
        <w:t>Associés</w:t>
      </w:r>
      <w:r>
        <w:t xml:space="preserve"> au prorata de leurs Engagements respectifs jusqu</w:t>
      </w:r>
      <w:r w:rsidR="00E27310">
        <w:t>’</w:t>
      </w:r>
      <w:r>
        <w:t xml:space="preserve">à concurrence, pour chaque </w:t>
      </w:r>
      <w:r w:rsidR="001D6FD0">
        <w:t>Associé</w:t>
      </w:r>
      <w:r>
        <w:t>, de l</w:t>
      </w:r>
      <w:r w:rsidR="00E27310">
        <w:t>’</w:t>
      </w:r>
      <w:r>
        <w:t xml:space="preserve">excédent </w:t>
      </w:r>
      <w:r w:rsidR="001D6FD0">
        <w:t>du</w:t>
      </w:r>
      <w:r>
        <w:t xml:space="preserve"> Montant</w:t>
      </w:r>
      <w:r w:rsidR="001D6FD0">
        <w:t xml:space="preserve"> des impôts </w:t>
      </w:r>
      <w:r>
        <w:t>globaux de ce</w:t>
      </w:r>
      <w:r w:rsidR="001D6FD0">
        <w:t xml:space="preserve">t Associé </w:t>
      </w:r>
      <w:r>
        <w:t>pour l</w:t>
      </w:r>
      <w:r w:rsidR="00E27310">
        <w:t>’</w:t>
      </w:r>
      <w:r>
        <w:t xml:space="preserve">Exercice </w:t>
      </w:r>
      <w:r w:rsidR="001D6FD0">
        <w:t>financier</w:t>
      </w:r>
      <w:r>
        <w:t xml:space="preserve"> </w:t>
      </w:r>
      <w:r w:rsidR="001D6FD0">
        <w:t>concerné</w:t>
      </w:r>
      <w:r>
        <w:t xml:space="preserve"> et </w:t>
      </w:r>
      <w:r w:rsidR="001D6FD0">
        <w:t xml:space="preserve">de </w:t>
      </w:r>
      <w:r>
        <w:t xml:space="preserve">tous les Exercices </w:t>
      </w:r>
      <w:r w:rsidR="001D6FD0">
        <w:t>financiers</w:t>
      </w:r>
      <w:r>
        <w:t xml:space="preserve"> antérieurs sur le montant cumulatif des distributions précédemment faites à ce</w:t>
      </w:r>
      <w:r w:rsidR="001D6FD0">
        <w:t xml:space="preserve">t Associé </w:t>
      </w:r>
      <w:r>
        <w:t xml:space="preserve">conformément à </w:t>
      </w:r>
      <w:r w:rsidR="001D6FD0">
        <w:t>l’</w:t>
      </w:r>
      <w:r>
        <w:fldChar w:fldCharType="begin"/>
      </w:r>
      <w:r>
        <w:instrText xml:space="preserve"> REF _Ref40807042 \w \h </w:instrText>
      </w:r>
      <w:r>
        <w:fldChar w:fldCharType="separate"/>
      </w:r>
      <w:r w:rsidR="00B50BE2">
        <w:t>Article 14</w:t>
      </w:r>
      <w:r>
        <w:fldChar w:fldCharType="end"/>
      </w:r>
      <w:r>
        <w:t xml:space="preserve"> (</w:t>
      </w:r>
      <w:r w:rsidRPr="003A3836" w:rsidR="003A3836">
        <w:rPr>
          <w:i/>
        </w:rPr>
        <w:fldChar w:fldCharType="begin"/>
      </w:r>
      <w:r w:rsidRPr="003A3836" w:rsidR="003A3836">
        <w:rPr>
          <w:i/>
        </w:rPr>
        <w:instrText xml:space="preserve"> REF _Ref40807042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 xml:space="preserve">DISTRIBUTIONS; </w:t>
      </w:r>
      <w:r w:rsidRPr="003A3836" w:rsidR="003A3836">
        <w:rPr>
          <w:i/>
        </w:rPr>
        <w:fldChar w:fldCharType="end"/>
      </w:r>
      <w:r>
        <w:t>) à l</w:t>
      </w:r>
      <w:r w:rsidR="00E27310">
        <w:t>’</w:t>
      </w:r>
      <w:r>
        <w:t xml:space="preserve">égard de cet </w:t>
      </w:r>
      <w:r w:rsidR="001D6FD0">
        <w:t>Exercice financier</w:t>
      </w:r>
      <w:r>
        <w:t xml:space="preserve"> et de tous les </w:t>
      </w:r>
      <w:r w:rsidR="001D6FD0">
        <w:t>Exercices financiers</w:t>
      </w:r>
      <w:r>
        <w:t xml:space="preserve"> antérieurs. Ces distributions </w:t>
      </w:r>
      <w:r w:rsidR="001D6FD0">
        <w:t>doivent être</w:t>
      </w:r>
      <w:r>
        <w:t xml:space="preserve"> traitées à toutes fins </w:t>
      </w:r>
      <w:r w:rsidR="001D6FD0">
        <w:t>utiles, autre</w:t>
      </w:r>
      <w:r w:rsidR="006157DA">
        <w:t>s</w:t>
      </w:r>
      <w:r>
        <w:t xml:space="preserve"> que celles </w:t>
      </w:r>
      <w:r w:rsidR="001D6FD0">
        <w:t>du présent article</w:t>
      </w:r>
      <w:r>
        <w:t> </w:t>
      </w:r>
      <w:r>
        <w:fldChar w:fldCharType="begin"/>
      </w:r>
      <w:r>
        <w:instrText xml:space="preserve"> REF _Ref40801023 \w \h </w:instrText>
      </w:r>
      <w:r>
        <w:fldChar w:fldCharType="separate"/>
      </w:r>
      <w:r w:rsidR="00B50BE2">
        <w:t>14.5</w:t>
      </w:r>
      <w:r>
        <w:fldChar w:fldCharType="end"/>
      </w:r>
      <w:r>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d’impôts.</w:t>
      </w:r>
      <w:r w:rsidRPr="003A3836" w:rsidR="003A3836">
        <w:rPr>
          <w:i/>
        </w:rPr>
        <w:fldChar w:fldCharType="end"/>
      </w:r>
      <w:r>
        <w:t xml:space="preserve">), </w:t>
      </w:r>
      <w:r w:rsidR="001D6FD0">
        <w:t>comme des avances</w:t>
      </w:r>
      <w:r>
        <w:t xml:space="preserve"> de distributions conformément à l</w:t>
      </w:r>
      <w:r w:rsidR="001D6FD0">
        <w:t xml:space="preserve">’article </w:t>
      </w:r>
      <w:r>
        <w:fldChar w:fldCharType="begin"/>
      </w:r>
      <w:r>
        <w:instrText xml:space="preserve"> REF _Ref40804738 \w \h </w:instrText>
      </w:r>
      <w:r>
        <w:fldChar w:fldCharType="separate"/>
      </w:r>
      <w:r w:rsidR="00B50BE2">
        <w:t>14.2</w:t>
      </w:r>
      <w:r>
        <w:fldChar w:fldCharType="end"/>
      </w:r>
      <w:r>
        <w:t xml:space="preserve"> (</w:t>
      </w:r>
      <w:r w:rsidRPr="003A3836" w:rsidR="003A3836">
        <w:rPr>
          <w:i/>
        </w:rPr>
        <w:fldChar w:fldCharType="begin"/>
      </w:r>
      <w:r w:rsidRPr="003A3836" w:rsidR="003A3836">
        <w:rPr>
          <w:i/>
        </w:rPr>
        <w:instrText xml:space="preserve"> REF _Ref40804738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 Revenus d’Investissement temporaire.</w:t>
      </w:r>
      <w:r w:rsidRPr="003A3836" w:rsidR="003A3836">
        <w:rPr>
          <w:i/>
        </w:rPr>
        <w:fldChar w:fldCharType="end"/>
      </w:r>
      <w:r>
        <w:t xml:space="preserve">) et </w:t>
      </w:r>
      <w:r w:rsidR="001D6FD0">
        <w:t>l’article</w:t>
      </w:r>
      <w:r>
        <w:t> </w:t>
      </w:r>
      <w:r>
        <w:fldChar w:fldCharType="begin"/>
      </w:r>
      <w:r>
        <w:instrText xml:space="preserve"> REF _Ref40803030 \w \h </w:instrText>
      </w:r>
      <w:r>
        <w:fldChar w:fldCharType="separate"/>
      </w:r>
      <w:r w:rsidR="00B50BE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et </w:t>
      </w:r>
      <w:r w:rsidR="001D6FD0">
        <w:t>doivent être utilisées</w:t>
      </w:r>
      <w:r>
        <w:t xml:space="preserve"> pour réduire le montant des distributions futures à ce</w:t>
      </w:r>
      <w:r w:rsidR="001D6FD0">
        <w:t xml:space="preserve">t Associé </w:t>
      </w:r>
      <w:r>
        <w:t xml:space="preserve">conformément à </w:t>
      </w:r>
      <w:r w:rsidR="001D6FD0">
        <w:t>l’article</w:t>
      </w:r>
      <w:r>
        <w:t> </w:t>
      </w:r>
      <w:r>
        <w:fldChar w:fldCharType="begin"/>
      </w:r>
      <w:r>
        <w:instrText xml:space="preserve"> REF _Ref40804738 \w \h </w:instrText>
      </w:r>
      <w:r>
        <w:fldChar w:fldCharType="separate"/>
      </w:r>
      <w:r w:rsidR="00B50BE2">
        <w:t>14.2</w:t>
      </w:r>
      <w:r>
        <w:fldChar w:fldCharType="end"/>
      </w:r>
      <w:r>
        <w:t xml:space="preserve"> (</w:t>
      </w:r>
      <w:r w:rsidRPr="003A3836" w:rsidR="003A3836">
        <w:rPr>
          <w:i/>
        </w:rPr>
        <w:fldChar w:fldCharType="begin"/>
      </w:r>
      <w:r w:rsidRPr="003A3836" w:rsidR="003A3836">
        <w:rPr>
          <w:i/>
        </w:rPr>
        <w:instrText xml:space="preserve"> REF _Ref40804738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 Revenus d’Investissement temporaire.</w:t>
      </w:r>
      <w:r w:rsidRPr="003A3836" w:rsidR="003A3836">
        <w:rPr>
          <w:i/>
        </w:rPr>
        <w:fldChar w:fldCharType="end"/>
      </w:r>
      <w:r>
        <w:t xml:space="preserve">) et </w:t>
      </w:r>
      <w:r w:rsidR="00CA616F">
        <w:t xml:space="preserve">à </w:t>
      </w:r>
      <w:r w:rsidR="001D6FD0">
        <w:t>l’article</w:t>
      </w:r>
      <w:r>
        <w:t> </w:t>
      </w:r>
      <w:r>
        <w:fldChar w:fldCharType="begin"/>
      </w:r>
      <w:r>
        <w:instrText xml:space="preserve"> REF _Ref40803030 \w \h </w:instrText>
      </w:r>
      <w:r>
        <w:fldChar w:fldCharType="separate"/>
      </w:r>
      <w:r w:rsidR="00B50BE2">
        <w:t>14.3</w:t>
      </w:r>
      <w:r>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d</w:t>
      </w:r>
      <w:r w:rsidR="00E27310">
        <w:t>’</w:t>
      </w:r>
      <w:r>
        <w:t>un montant équivalent.</w:t>
      </w:r>
      <w:bookmarkStart w:name="_Ref113892880" w:id="688"/>
      <w:r>
        <w:rPr>
          <w:sz w:val="16"/>
          <w:vertAlign w:val="superscript"/>
        </w:rPr>
        <w:footnoteReference w:id="134"/>
      </w:r>
      <w:bookmarkEnd w:id="688"/>
    </w:p>
    <w:p w:rsidR="0000160C" w:rsidRDefault="00C517ED" w14:paraId="60C7FD59" w14:textId="77777777">
      <w:pPr>
        <w:pStyle w:val="ArtBJStyL2"/>
      </w:pPr>
      <w:bookmarkStart w:name="_Ref85270970" w:id="689"/>
      <w:bookmarkStart w:name="_Toc161762392" w:id="690"/>
      <w:r>
        <w:t>Retenue.</w:t>
      </w:r>
      <w:bookmarkEnd w:id="686"/>
      <w:bookmarkEnd w:id="687"/>
      <w:bookmarkEnd w:id="689"/>
      <w:bookmarkEnd w:id="690"/>
    </w:p>
    <w:p w:rsidR="0000160C" w:rsidRDefault="00C517ED" w14:paraId="734F2C5A" w14:textId="1269A709">
      <w:pPr>
        <w:pStyle w:val="ArtBJStyL3"/>
      </w:pPr>
      <w:bookmarkStart w:name="_Ref113892606" w:id="691"/>
      <w:bookmarkStart w:name="_Ref40802474" w:id="692"/>
      <w:bookmarkStart w:name="_Ref40803084" w:id="693"/>
      <w:r>
        <w:t xml:space="preserve">Le </w:t>
      </w:r>
      <w:r w:rsidR="00CA616F">
        <w:t>C</w:t>
      </w:r>
      <w:r>
        <w:t xml:space="preserve">ommandité peut retenir de toute distribution à un </w:t>
      </w:r>
      <w:r w:rsidR="00CA616F">
        <w:t>Associé</w:t>
      </w:r>
      <w:r>
        <w:t xml:space="preserve"> tout montant qu</w:t>
      </w:r>
      <w:r w:rsidR="00E27310">
        <w:t>’</w:t>
      </w:r>
      <w:r>
        <w:t xml:space="preserve">il croit raisonnablement être payable à une autorité </w:t>
      </w:r>
      <w:r w:rsidR="00CA616F">
        <w:t>fiscale</w:t>
      </w:r>
      <w:r>
        <w:t xml:space="preserve"> et, à condition que ce montant soit remis à l</w:t>
      </w:r>
      <w:r w:rsidR="00E27310">
        <w:t>’</w:t>
      </w:r>
      <w:r>
        <w:t xml:space="preserve">autorité </w:t>
      </w:r>
      <w:r w:rsidR="00CA616F">
        <w:t>fiscal</w:t>
      </w:r>
      <w:r w:rsidR="006157DA">
        <w:t>e</w:t>
      </w:r>
      <w:r>
        <w:t xml:space="preserve">, ce montant sera réputé, à toutes fins </w:t>
      </w:r>
      <w:r w:rsidR="00E536D5">
        <w:t>de la présente Convention</w:t>
      </w:r>
      <w:r>
        <w:t>, avoir été distribué à ce</w:t>
      </w:r>
      <w:r w:rsidR="00CA616F">
        <w:t xml:space="preserve">t Associé </w:t>
      </w:r>
      <w:r>
        <w:t xml:space="preserve">au moment où il a été retenu. Si le Fonds, le </w:t>
      </w:r>
      <w:r w:rsidR="00CA616F">
        <w:t>C</w:t>
      </w:r>
      <w:r>
        <w:t xml:space="preserve">ommandité, le </w:t>
      </w:r>
      <w:r w:rsidR="00CA616F">
        <w:t>G</w:t>
      </w:r>
      <w:r>
        <w:t xml:space="preserve">estionnaire ou </w:t>
      </w:r>
      <w:r w:rsidR="00CA616F">
        <w:t>les Membres du même groupe</w:t>
      </w:r>
      <w:r w:rsidR="00335434">
        <w:t xml:space="preserve"> que l’une des Personnes précédentes</w:t>
      </w:r>
      <w:r>
        <w:t xml:space="preserve"> devient responsable en raison d</w:t>
      </w:r>
      <w:r w:rsidR="00E27310">
        <w:t>’</w:t>
      </w:r>
      <w:r>
        <w:t>un défaut de reten</w:t>
      </w:r>
      <w:r w:rsidR="00CA616F">
        <w:t>ir</w:t>
      </w:r>
      <w:r>
        <w:t xml:space="preserve"> et de </w:t>
      </w:r>
      <w:r w:rsidR="00CA616F">
        <w:t>remettre</w:t>
      </w:r>
      <w:r>
        <w:t xml:space="preserve"> un montant à l</w:t>
      </w:r>
      <w:r w:rsidR="00E27310">
        <w:t>’</w:t>
      </w:r>
      <w:r>
        <w:t>égard d</w:t>
      </w:r>
      <w:r w:rsidR="00E27310">
        <w:t>’</w:t>
      </w:r>
      <w:r>
        <w:t xml:space="preserve">un </w:t>
      </w:r>
      <w:r w:rsidR="00CA616F">
        <w:t>Commanditaire</w:t>
      </w:r>
      <w:r>
        <w:t>,</w:t>
      </w:r>
      <w:r w:rsidR="00CA616F">
        <w:t xml:space="preserve"> alors</w:t>
      </w:r>
      <w:r>
        <w:t xml:space="preserve"> ce </w:t>
      </w:r>
      <w:r w:rsidR="00CA616F">
        <w:t>Commanditaire</w:t>
      </w:r>
      <w:r>
        <w:t xml:space="preserve"> </w:t>
      </w:r>
      <w:r w:rsidR="00CA616F">
        <w:t>doit indemniser</w:t>
      </w:r>
      <w:r>
        <w:t xml:space="preserve"> et </w:t>
      </w:r>
      <w:r w:rsidR="00CA616F">
        <w:t>tenir à couvert</w:t>
      </w:r>
      <w:r>
        <w:t xml:space="preserve"> le Fonds, le </w:t>
      </w:r>
      <w:r w:rsidR="00CA616F">
        <w:t>C</w:t>
      </w:r>
      <w:r>
        <w:t xml:space="preserve">ommandité, le </w:t>
      </w:r>
      <w:r w:rsidR="00CA616F">
        <w:t>G</w:t>
      </w:r>
      <w:r>
        <w:t xml:space="preserve">estionnaire et </w:t>
      </w:r>
      <w:r w:rsidR="00CA616F">
        <w:t>les Membres respectifs du même groupe</w:t>
      </w:r>
      <w:r w:rsidR="00335434">
        <w:t xml:space="preserve"> que l’une des Personnes précédentes</w:t>
      </w:r>
      <w:r>
        <w:t xml:space="preserve"> de toute</w:t>
      </w:r>
      <w:r w:rsidR="00CA616F">
        <w:t>s ces</w:t>
      </w:r>
      <w:r>
        <w:t xml:space="preserve"> </w:t>
      </w:r>
      <w:r w:rsidR="0082726A">
        <w:t>obligations</w:t>
      </w:r>
      <w:r>
        <w:t>, y compris les intérêts et les pénalités, et de toute</w:t>
      </w:r>
      <w:r w:rsidR="00CA616F">
        <w:t>s les</w:t>
      </w:r>
      <w:r>
        <w:t xml:space="preserve"> dépense</w:t>
      </w:r>
      <w:r w:rsidR="00CA616F">
        <w:t>s</w:t>
      </w:r>
      <w:r>
        <w:t xml:space="preserve"> </w:t>
      </w:r>
      <w:r w:rsidR="00CA616F">
        <w:t>encourues</w:t>
      </w:r>
      <w:r>
        <w:t xml:space="preserve"> </w:t>
      </w:r>
      <w:r w:rsidR="00CA616F">
        <w:t>dans le cadre</w:t>
      </w:r>
      <w:r>
        <w:t xml:space="preserve"> </w:t>
      </w:r>
      <w:r w:rsidR="00CA616F">
        <w:t>d’un</w:t>
      </w:r>
      <w:r>
        <w:t xml:space="preserve"> examen, </w:t>
      </w:r>
      <w:r w:rsidR="00CA616F">
        <w:t xml:space="preserve">d’une </w:t>
      </w:r>
      <w:r>
        <w:t xml:space="preserve">détermination, </w:t>
      </w:r>
      <w:r w:rsidR="00CA616F">
        <w:t xml:space="preserve">d’une </w:t>
      </w:r>
      <w:r>
        <w:t xml:space="preserve">résolution et </w:t>
      </w:r>
      <w:r w:rsidR="00CA616F">
        <w:t xml:space="preserve">d’un </w:t>
      </w:r>
      <w:r>
        <w:t xml:space="preserve">paiement de cette </w:t>
      </w:r>
      <w:r w:rsidR="0082726A">
        <w:t>obligation</w:t>
      </w:r>
      <w:r>
        <w:t>.</w:t>
      </w:r>
      <w:bookmarkStart w:name="_Ref113892881" w:id="694"/>
      <w:r>
        <w:rPr>
          <w:szCs w:val="24"/>
          <w:vertAlign w:val="superscript"/>
        </w:rPr>
        <w:footnoteReference w:id="135"/>
      </w:r>
      <w:bookmarkEnd w:id="694"/>
      <w:r>
        <w:t xml:space="preserve"> Le </w:t>
      </w:r>
      <w:r w:rsidR="00CA616F">
        <w:t>C</w:t>
      </w:r>
      <w:r>
        <w:t xml:space="preserve">ommandité </w:t>
      </w:r>
      <w:r w:rsidR="00CA616F">
        <w:t>doit faire</w:t>
      </w:r>
      <w:r>
        <w:t xml:space="preserve"> des efforts raisonnables</w:t>
      </w:r>
      <w:r w:rsidR="00CA616F">
        <w:t xml:space="preserve"> sur le plan commercial</w:t>
      </w:r>
      <w:r>
        <w:t xml:space="preserve"> pour aviser chaque </w:t>
      </w:r>
      <w:r w:rsidR="00CA616F">
        <w:t>C</w:t>
      </w:r>
      <w:r>
        <w:t xml:space="preserve">ommanditaire, au moins </w:t>
      </w:r>
      <w:r>
        <w:rPr>
          <w:b/>
          <w:highlight w:val="yellow"/>
        </w:rPr>
        <w:t>[20]</w:t>
      </w:r>
      <w:r>
        <w:t xml:space="preserve"> jours avant de retenir et de </w:t>
      </w:r>
      <w:r w:rsidR="00CA616F">
        <w:t>payer</w:t>
      </w:r>
      <w:r>
        <w:t xml:space="preserve"> à toute autorité fiscale tout montant qui représenterait une </w:t>
      </w:r>
      <w:r>
        <w:lastRenderedPageBreak/>
        <w:t xml:space="preserve">obligation fiscale de ce </w:t>
      </w:r>
      <w:r w:rsidR="00CA616F">
        <w:t>C</w:t>
      </w:r>
      <w:r>
        <w:t xml:space="preserve">ommanditaire en vertu </w:t>
      </w:r>
      <w:r w:rsidR="00E536D5">
        <w:t>de la présente Convention</w:t>
      </w:r>
      <w:r>
        <w:t xml:space="preserve">. Le </w:t>
      </w:r>
      <w:r w:rsidR="00CA616F">
        <w:t>C</w:t>
      </w:r>
      <w:r>
        <w:t xml:space="preserve">ommandité doit donner au </w:t>
      </w:r>
      <w:r w:rsidR="00CA616F">
        <w:t>Commanditaire</w:t>
      </w:r>
      <w:r>
        <w:t xml:space="preserve"> la possibilité de contester toute </w:t>
      </w:r>
      <w:r w:rsidR="0082726A">
        <w:t>dette</w:t>
      </w:r>
      <w:r>
        <w:t xml:space="preserve"> fiscale pendant toute période où le concours n</w:t>
      </w:r>
      <w:r w:rsidR="00E27310">
        <w:t>’</w:t>
      </w:r>
      <w:r>
        <w:t xml:space="preserve">expose pas le </w:t>
      </w:r>
      <w:r w:rsidR="00CA616F">
        <w:t>F</w:t>
      </w:r>
      <w:r>
        <w:t xml:space="preserve">onds, le </w:t>
      </w:r>
      <w:r w:rsidR="00CA616F">
        <w:t>C</w:t>
      </w:r>
      <w:r>
        <w:t xml:space="preserve">ommandité ou le </w:t>
      </w:r>
      <w:r w:rsidR="00CA616F">
        <w:t>G</w:t>
      </w:r>
      <w:r>
        <w:t>estionnaire à une obligation supplémentaire envers une autorité fiscale pour toute retenue et tout paiement.</w:t>
      </w:r>
      <w:bookmarkEnd w:id="691"/>
    </w:p>
    <w:p w:rsidR="0000160C" w:rsidRDefault="00C517ED" w14:paraId="3F655D8D" w14:textId="294E417D">
      <w:pPr>
        <w:pStyle w:val="ArtBJStyL3"/>
      </w:pPr>
      <w:bookmarkStart w:name="_Ref113892607" w:id="695"/>
      <w:r>
        <w:t xml:space="preserve">Le montant des impôts retenus ou payés relativement aux </w:t>
      </w:r>
      <w:r w:rsidR="00CA616F">
        <w:t>investissements</w:t>
      </w:r>
      <w:r>
        <w:t xml:space="preserve"> du Fonds qui découlent du statut ou d</w:t>
      </w:r>
      <w:r w:rsidR="00E27310">
        <w:t>’</w:t>
      </w:r>
      <w:r>
        <w:t xml:space="preserve">autres questions qui sont propres à un </w:t>
      </w:r>
      <w:r w:rsidR="00CA616F">
        <w:t>Associé</w:t>
      </w:r>
      <w:r>
        <w:t xml:space="preserve"> </w:t>
      </w:r>
      <w:r w:rsidR="00CA616F">
        <w:t>doit être</w:t>
      </w:r>
      <w:r>
        <w:t xml:space="preserve"> réparti entre les </w:t>
      </w:r>
      <w:r w:rsidR="00CA616F">
        <w:t>Associés</w:t>
      </w:r>
      <w:r>
        <w:t xml:space="preserve"> auxquels ces impôts sont attribuables et le montant de ces impôts qui </w:t>
      </w:r>
      <w:r w:rsidR="00CA616F">
        <w:t>est</w:t>
      </w:r>
      <w:r>
        <w:t xml:space="preserve"> attribué à un </w:t>
      </w:r>
      <w:r w:rsidR="00CA616F">
        <w:t>Associé</w:t>
      </w:r>
      <w:r>
        <w:t xml:space="preserve"> sera réputé avoir été distribué à c</w:t>
      </w:r>
      <w:r w:rsidR="00CA616F">
        <w:t>et Associé</w:t>
      </w:r>
      <w:r>
        <w:t>.</w:t>
      </w:r>
      <w:bookmarkEnd w:id="695"/>
    </w:p>
    <w:p w:rsidR="0000160C" w:rsidRDefault="00CA616F" w14:paraId="2EC2B095" w14:textId="0B6F47BA">
      <w:pPr>
        <w:pStyle w:val="ArtBJStyL2"/>
      </w:pPr>
      <w:bookmarkStart w:name="_Ref85271165" w:id="696"/>
      <w:bookmarkStart w:name="_Toc161762393" w:id="697"/>
      <w:bookmarkEnd w:id="692"/>
      <w:r>
        <w:t>Recouvrement</w:t>
      </w:r>
      <w:r w:rsidR="00C517ED">
        <w:t>.</w:t>
      </w:r>
      <w:bookmarkStart w:name="_Ref113892882" w:id="698"/>
      <w:bookmarkEnd w:id="693"/>
      <w:r w:rsidR="00C517ED">
        <w:rPr>
          <w:rFonts w:ascii="Times New Roman" w:hAnsi="Times New Roman"/>
          <w:b w:val="0"/>
          <w:szCs w:val="22"/>
          <w:vertAlign w:val="superscript"/>
        </w:rPr>
        <w:footnoteReference w:id="136"/>
      </w:r>
      <w:bookmarkEnd w:id="696"/>
      <w:bookmarkEnd w:id="697"/>
      <w:bookmarkEnd w:id="698"/>
    </w:p>
    <w:p w:rsidR="0000160C" w:rsidRDefault="00C517ED" w14:paraId="7DFD0D1B" w14:textId="071E2E2C">
      <w:pPr>
        <w:pStyle w:val="ArtBJStyL3"/>
        <w:keepNext/>
      </w:pPr>
      <w:bookmarkStart w:name="_Ref40805031" w:id="699"/>
      <w:r>
        <w:t>Si, à l</w:t>
      </w:r>
      <w:r w:rsidR="00E27310">
        <w:t>’</w:t>
      </w:r>
      <w:r>
        <w:t xml:space="preserve">un des moments suivants </w:t>
      </w:r>
      <w:bookmarkStart w:name="DocXTextRef125" w:id="700"/>
      <w:r>
        <w:t>(i)</w:t>
      </w:r>
      <w:bookmarkEnd w:id="700"/>
      <w:r>
        <w:t xml:space="preserve"> le premier anniversaire suivant la fin de la </w:t>
      </w:r>
      <w:r w:rsidR="00247620">
        <w:t>P</w:t>
      </w:r>
      <w:r>
        <w:t>ériode d</w:t>
      </w:r>
      <w:r w:rsidR="00E27310">
        <w:t>’</w:t>
      </w:r>
      <w:r>
        <w:t xml:space="preserve">engagement, </w:t>
      </w:r>
      <w:bookmarkStart w:name="DocXTextRef126" w:id="701"/>
      <w:r>
        <w:t>(ii)</w:t>
      </w:r>
      <w:bookmarkEnd w:id="701"/>
      <w:r>
        <w:t xml:space="preserve"> une </w:t>
      </w:r>
      <w:r w:rsidR="00247620">
        <w:t>Date de destitution</w:t>
      </w:r>
      <w:r>
        <w:t xml:space="preserve">, </w:t>
      </w:r>
      <w:bookmarkStart w:name="DocXTextRef127" w:id="702"/>
      <w:r>
        <w:t>(iii)</w:t>
      </w:r>
      <w:bookmarkEnd w:id="702"/>
      <w:r>
        <w:t xml:space="preserve"> la liquidation du Fonds et la distribution finale aux</w:t>
      </w:r>
      <w:r w:rsidR="00247620">
        <w:t xml:space="preserve"> Associés</w:t>
      </w:r>
      <w:r>
        <w:t xml:space="preserve"> conformément à l</w:t>
      </w:r>
      <w:r w:rsidR="00247620">
        <w:t xml:space="preserve">’article </w:t>
      </w:r>
      <w:r w:rsidRPr="006400F9">
        <w:fldChar w:fldCharType="begin"/>
      </w:r>
      <w:r w:rsidRPr="006400F9">
        <w:instrText xml:space="preserve"> REF _Ref40804851 \w \h </w:instrText>
      </w:r>
      <w:r w:rsidRPr="006400F9" w:rsidR="00791303">
        <w:instrText xml:space="preserve"> \* MERGEFORMAT </w:instrText>
      </w:r>
      <w:r w:rsidRPr="006400F9">
        <w:fldChar w:fldCharType="separate"/>
      </w:r>
      <w:r w:rsidR="00B50BE2">
        <w:t>18.3(b)(ii)</w:t>
      </w:r>
      <w:r w:rsidRPr="006400F9">
        <w:fldChar w:fldCharType="end"/>
      </w:r>
      <w:r>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Procédure préalable à la dissolution.</w:t>
      </w:r>
      <w:r w:rsidRPr="003A3836" w:rsidR="003A3836">
        <w:rPr>
          <w:i/>
        </w:rPr>
        <w:fldChar w:fldCharType="end"/>
      </w:r>
      <w:r>
        <w:t>)</w:t>
      </w:r>
      <w:r w:rsidR="00247620">
        <w:t>,</w:t>
      </w:r>
      <w:r>
        <w:t xml:space="preserve"> ou </w:t>
      </w:r>
      <w:bookmarkStart w:name="DocXTextRef128" w:id="703"/>
      <w:r>
        <w:t>(iv)</w:t>
      </w:r>
      <w:bookmarkEnd w:id="703"/>
      <w:r>
        <w:t xml:space="preserve"> toute </w:t>
      </w:r>
      <w:r w:rsidR="00247620">
        <w:t xml:space="preserve">nouvelle </w:t>
      </w:r>
      <w:r>
        <w:t xml:space="preserve">avance de </w:t>
      </w:r>
      <w:r w:rsidR="00247620">
        <w:t xml:space="preserve">tout </w:t>
      </w:r>
      <w:r>
        <w:t>montant en vertu de l</w:t>
      </w:r>
      <w:r w:rsidR="00E27310">
        <w:t>’</w:t>
      </w:r>
      <w:r>
        <w:t>article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sidRPr="003A3836" w:rsidR="003A3836">
        <w:rPr>
          <w:i/>
        </w:rPr>
        <w:fldChar w:fldCharType="begin"/>
      </w:r>
      <w:r w:rsidRPr="003A3836" w:rsidR="003A3836">
        <w:rPr>
          <w:i/>
        </w:rPr>
        <w:instrText xml:space="preserve"> REF _Ref40803097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Restitution par les Commanditaires.</w:t>
      </w:r>
      <w:r w:rsidRPr="003A3836" w:rsidR="003A3836">
        <w:rPr>
          <w:i/>
        </w:rPr>
        <w:fldChar w:fldCharType="end"/>
      </w:r>
      <w:r>
        <w:t xml:space="preserve">), en ce qui concerne tout </w:t>
      </w:r>
      <w:r w:rsidR="00247620">
        <w:t>C</w:t>
      </w:r>
      <w:r>
        <w:t>ommanditaire</w:t>
      </w:r>
      <w:r w:rsidR="00247620">
        <w:t>, soit</w:t>
      </w:r>
      <w:r>
        <w:t xml:space="preserve"> :</w:t>
      </w:r>
      <w:bookmarkEnd w:id="699"/>
    </w:p>
    <w:p w:rsidR="0000160C" w:rsidRDefault="00C517ED" w14:paraId="6FECC1DC" w14:textId="7E2532F1">
      <w:pPr>
        <w:pStyle w:val="ArtBJStyL4"/>
      </w:pPr>
      <w:bookmarkStart w:name="_Ref40804961" w:id="704"/>
      <w:r>
        <w:t xml:space="preserve">le </w:t>
      </w:r>
      <w:r w:rsidR="00247620">
        <w:rPr>
          <w:iCs/>
        </w:rPr>
        <w:t>C</w:t>
      </w:r>
      <w:r>
        <w:rPr>
          <w:iCs/>
        </w:rPr>
        <w:t>ommandité</w:t>
      </w:r>
      <w:r>
        <w:t xml:space="preserve"> a reçu des distributions cumulatives </w:t>
      </w:r>
      <w:r w:rsidR="00D45CF2">
        <w:t>de Distributions spéciales</w:t>
      </w:r>
      <w:r>
        <w:t xml:space="preserve"> conformément à l</w:t>
      </w:r>
      <w:r w:rsidR="00D45CF2">
        <w:t xml:space="preserve">’article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w:t>
      </w:r>
      <w:r w:rsidR="00D45CF2">
        <w:t>à l’article</w:t>
      </w:r>
      <w:r>
        <w:t xml:space="preserve"> </w:t>
      </w:r>
      <w:r w:rsidR="00B347CC">
        <w:fldChar w:fldCharType="begin"/>
      </w:r>
      <w:r w:rsidR="00B347CC">
        <w:instrText xml:space="preserve"> REF _Ref40801023 \w \h </w:instrText>
      </w:r>
      <w:r w:rsidR="00B347CC">
        <w:fldChar w:fldCharType="separate"/>
      </w:r>
      <w:r w:rsidR="00B50BE2">
        <w:t>14.5</w:t>
      </w:r>
      <w:r w:rsidR="00B347CC">
        <w:fldChar w:fldCharType="end"/>
      </w:r>
      <w:r>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d’impôts.</w:t>
      </w:r>
      <w:r w:rsidRPr="003A3836" w:rsidR="003A3836">
        <w:rPr>
          <w:i/>
        </w:rPr>
        <w:fldChar w:fldCharType="end"/>
      </w:r>
      <w:r>
        <w:t xml:space="preserve">) et </w:t>
      </w:r>
      <w:r w:rsidR="00D45CF2">
        <w:t>à l’article</w:t>
      </w:r>
      <w:r>
        <w:t>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B50BE2">
        <w:t>18.3</w:t>
      </w:r>
      <w:r w:rsidRPr="006400F9">
        <w:fldChar w:fldCharType="end"/>
      </w:r>
      <w:r>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Procédure préalable à la dissolution.</w:t>
      </w:r>
      <w:r w:rsidRPr="003A3836" w:rsidR="003A3836">
        <w:rPr>
          <w:i/>
        </w:rPr>
        <w:fldChar w:fldCharType="end"/>
      </w:r>
      <w:r>
        <w:t>) attribuable</w:t>
      </w:r>
      <w:r w:rsidR="00040C15">
        <w:t>s</w:t>
      </w:r>
      <w:r>
        <w:t xml:space="preserve"> à </w:t>
      </w:r>
      <w:r>
        <w:rPr>
          <w:iCs/>
        </w:rPr>
        <w:t xml:space="preserve">ce </w:t>
      </w:r>
      <w:r w:rsidR="00D45CF2">
        <w:rPr>
          <w:iCs/>
        </w:rPr>
        <w:t>Co</w:t>
      </w:r>
      <w:r>
        <w:rPr>
          <w:iCs/>
        </w:rPr>
        <w:t>mmanditaire qui</w:t>
      </w:r>
      <w:r>
        <w:t xml:space="preserve"> </w:t>
      </w:r>
      <w:r w:rsidR="00D45CF2">
        <w:t>excède</w:t>
      </w:r>
      <w:r w:rsidR="00040C15">
        <w:t>nt</w:t>
      </w:r>
      <w:r>
        <w:t xml:space="preserve"> le montant des distributions </w:t>
      </w:r>
      <w:r w:rsidR="00D45CF2">
        <w:t>de Distributions spéciales</w:t>
      </w:r>
      <w:r>
        <w:t xml:space="preserve"> que le </w:t>
      </w:r>
      <w:r w:rsidR="00D45CF2">
        <w:rPr>
          <w:iCs/>
        </w:rPr>
        <w:t>C</w:t>
      </w:r>
      <w:r>
        <w:rPr>
          <w:iCs/>
        </w:rPr>
        <w:t>ommandité</w:t>
      </w:r>
      <w:r>
        <w:t xml:space="preserve"> aurait dû recevoir, </w:t>
      </w:r>
      <w:r w:rsidR="00D45CF2">
        <w:t>en tenant compte</w:t>
      </w:r>
      <w:r>
        <w:t xml:space="preserve"> </w:t>
      </w:r>
      <w:r w:rsidR="00D45CF2">
        <w:t>des Apports de capital globaux</w:t>
      </w:r>
      <w:r>
        <w:t xml:space="preserve">, de toutes les distributions par le Fonds conformément à </w:t>
      </w:r>
      <w:r w:rsidR="00D45CF2">
        <w:t xml:space="preserve">l’article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w:t>
      </w:r>
      <w:r w:rsidR="00D45CF2">
        <w:t>à l’article</w:t>
      </w:r>
      <w:r>
        <w:t xml:space="preserve"> </w:t>
      </w:r>
      <w:r w:rsidR="00B347CC">
        <w:fldChar w:fldCharType="begin"/>
      </w:r>
      <w:r w:rsidR="00B347CC">
        <w:instrText xml:space="preserve"> REF _Ref40801023 \w \h </w:instrText>
      </w:r>
      <w:r w:rsidR="00B347CC">
        <w:fldChar w:fldCharType="separate"/>
      </w:r>
      <w:r w:rsidR="00B50BE2">
        <w:t>14.5</w:t>
      </w:r>
      <w:r w:rsidR="00B347CC">
        <w:fldChar w:fldCharType="end"/>
      </w:r>
      <w:r>
        <w:t xml:space="preserve"> (</w:t>
      </w:r>
      <w:r w:rsidRPr="003A3836" w:rsidR="003A3836">
        <w:rPr>
          <w:i/>
        </w:rPr>
        <w:fldChar w:fldCharType="begin"/>
      </w:r>
      <w:r w:rsidRPr="003A3836" w:rsidR="003A3836">
        <w:rPr>
          <w:i/>
        </w:rPr>
        <w:instrText xml:space="preserve"> REF _Ref40801023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d’impôts.</w:t>
      </w:r>
      <w:r w:rsidRPr="003A3836" w:rsidR="003A3836">
        <w:rPr>
          <w:i/>
        </w:rPr>
        <w:fldChar w:fldCharType="end"/>
      </w:r>
      <w:r>
        <w:t xml:space="preserve">) et </w:t>
      </w:r>
      <w:r w:rsidR="00D45CF2">
        <w:t>à l’article</w:t>
      </w:r>
      <w:r>
        <w:t>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B50BE2">
        <w:t>18.3</w:t>
      </w:r>
      <w:r w:rsidRPr="006400F9">
        <w:fldChar w:fldCharType="end"/>
      </w:r>
      <w:r>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Procédure préalable à la dissolution.</w:t>
      </w:r>
      <w:r w:rsidRPr="003A3836" w:rsidR="003A3836">
        <w:rPr>
          <w:i/>
        </w:rPr>
        <w:fldChar w:fldCharType="end"/>
      </w:r>
      <w:r>
        <w:t>), et tous les paiements retournés conformément à l</w:t>
      </w:r>
      <w:r w:rsidR="00D45CF2">
        <w:t xml:space="preserve">’article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sidRPr="003A3836" w:rsidR="003A3836">
        <w:rPr>
          <w:i/>
        </w:rPr>
        <w:fldChar w:fldCharType="begin"/>
      </w:r>
      <w:r w:rsidRPr="003A3836" w:rsidR="003A3836">
        <w:rPr>
          <w:i/>
        </w:rPr>
        <w:instrText xml:space="preserve"> REF _Ref40803097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Restitution par les Commanditaires.</w:t>
      </w:r>
      <w:r w:rsidRPr="003A3836" w:rsidR="003A3836">
        <w:rPr>
          <w:i/>
        </w:rPr>
        <w:fldChar w:fldCharType="end"/>
      </w:r>
      <w:r>
        <w:t>) attribuable</w:t>
      </w:r>
      <w:r w:rsidR="00D45CF2">
        <w:t>s</w:t>
      </w:r>
      <w:r>
        <w:t xml:space="preserve"> à ce </w:t>
      </w:r>
      <w:r w:rsidR="00D45CF2">
        <w:t>C</w:t>
      </w:r>
      <w:r>
        <w:t>ommanditaire à ce moment; ou</w:t>
      </w:r>
      <w:bookmarkEnd w:id="704"/>
    </w:p>
    <w:p w:rsidR="0000160C" w:rsidRDefault="00C517ED" w14:paraId="68D61B44" w14:textId="570DDC97">
      <w:pPr>
        <w:pStyle w:val="ArtBJStyL4"/>
      </w:pPr>
      <w:bookmarkStart w:name="_Ref40804980" w:id="705"/>
      <w:r>
        <w:t xml:space="preserve">les distributions reçues par ce </w:t>
      </w:r>
      <w:r w:rsidR="00D45CF2">
        <w:t>C</w:t>
      </w:r>
      <w:r>
        <w:t>ommanditaire conformément à l</w:t>
      </w:r>
      <w:r w:rsidR="00D45CF2">
        <w:t xml:space="preserve">’article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et </w:t>
      </w:r>
      <w:r w:rsidR="00D45CF2">
        <w:t>à l’article</w:t>
      </w:r>
      <w:r>
        <w:t xml:space="preserve">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B50BE2">
        <w:t>18.3</w:t>
      </w:r>
      <w:r w:rsidRPr="006400F9">
        <w:fldChar w:fldCharType="end"/>
      </w:r>
      <w:r>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Procédure préalable à la dissolution.</w:t>
      </w:r>
      <w:r w:rsidRPr="003A3836" w:rsidR="003A3836">
        <w:rPr>
          <w:i/>
        </w:rPr>
        <w:fldChar w:fldCharType="end"/>
      </w:r>
      <w:r>
        <w:t xml:space="preserve">) dans la mesure prévue à </w:t>
      </w:r>
      <w:r w:rsidR="00D45CF2">
        <w:t>l’article</w:t>
      </w:r>
      <w:r>
        <w:t>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w:t>
      </w:r>
      <w:r w:rsidR="00D45CF2">
        <w:t>qu’elles sont</w:t>
      </w:r>
      <w:r>
        <w:t xml:space="preserve"> inférieures à la somme </w:t>
      </w:r>
      <w:bookmarkStart w:name="DocXTextRef129" w:id="706"/>
      <w:r>
        <w:t>(a)</w:t>
      </w:r>
      <w:bookmarkEnd w:id="706"/>
      <w:r>
        <w:t xml:space="preserve"> </w:t>
      </w:r>
      <w:r w:rsidR="00D45CF2">
        <w:t>d</w:t>
      </w:r>
      <w:r>
        <w:t xml:space="preserve">es Apports </w:t>
      </w:r>
      <w:r w:rsidR="00D45CF2">
        <w:t>de</w:t>
      </w:r>
      <w:r>
        <w:t xml:space="preserve"> </w:t>
      </w:r>
      <w:r w:rsidR="00D45CF2">
        <w:t>c</w:t>
      </w:r>
      <w:r>
        <w:t xml:space="preserve">apital faits par ce </w:t>
      </w:r>
      <w:r w:rsidR="00D45CF2">
        <w:t>C</w:t>
      </w:r>
      <w:r>
        <w:t xml:space="preserve">ommanditaire et </w:t>
      </w:r>
      <w:bookmarkStart w:name="DocXTextRef130" w:id="707"/>
      <w:r>
        <w:t>(b)</w:t>
      </w:r>
      <w:bookmarkEnd w:id="707"/>
      <w:r>
        <w:t xml:space="preserve"> </w:t>
      </w:r>
      <w:r w:rsidR="00D45CF2">
        <w:t>du</w:t>
      </w:r>
      <w:r>
        <w:t xml:space="preserve"> Rendement </w:t>
      </w:r>
      <w:r w:rsidR="00D45CF2">
        <w:t>p</w:t>
      </w:r>
      <w:r>
        <w:t xml:space="preserve">rivilégié relativement à ce </w:t>
      </w:r>
      <w:r w:rsidR="00D45CF2">
        <w:t>C</w:t>
      </w:r>
      <w:r>
        <w:t>ommanditaire,</w:t>
      </w:r>
      <w:bookmarkEnd w:id="705"/>
    </w:p>
    <w:p w:rsidR="0000160C" w:rsidRDefault="00D45CF2" w14:paraId="78E0F3C4" w14:textId="5CFE059E">
      <w:pPr>
        <w:pStyle w:val="ArtBJStyCont3"/>
        <w:keepNext/>
      </w:pPr>
      <w:proofErr w:type="gramStart"/>
      <w:r>
        <w:t>alors</w:t>
      </w:r>
      <w:proofErr w:type="gramEnd"/>
      <w:r>
        <w:t xml:space="preserve">, </w:t>
      </w:r>
      <w:r w:rsidR="00C517ED">
        <w:t xml:space="preserve">dans </w:t>
      </w:r>
      <w:r>
        <w:t>les</w:t>
      </w:r>
      <w:r w:rsidR="00C517ED">
        <w:t xml:space="preserve"> </w:t>
      </w:r>
      <w:r w:rsidR="00C517ED">
        <w:rPr>
          <w:b/>
          <w:highlight w:val="yellow"/>
        </w:rPr>
        <w:t xml:space="preserve">[10 </w:t>
      </w:r>
      <w:r>
        <w:rPr>
          <w:b/>
          <w:highlight w:val="yellow"/>
        </w:rPr>
        <w:t>J</w:t>
      </w:r>
      <w:r w:rsidR="00C517ED">
        <w:rPr>
          <w:b/>
          <w:highlight w:val="yellow"/>
        </w:rPr>
        <w:t>ours ouvrables]</w:t>
      </w:r>
      <w:r w:rsidR="00C517ED">
        <w:t xml:space="preserve"> </w:t>
      </w:r>
      <w:r w:rsidR="00437894">
        <w:t>suivant cet événement</w:t>
      </w:r>
      <w:r w:rsidR="00C517ED">
        <w:t xml:space="preserve">, </w:t>
      </w:r>
      <w:bookmarkStart w:name="DocXTextRef131" w:id="708"/>
      <w:r w:rsidR="00C517ED">
        <w:t>(i)</w:t>
      </w:r>
      <w:bookmarkEnd w:id="708"/>
      <w:r w:rsidR="00C517ED">
        <w:t xml:space="preserve"> le </w:t>
      </w:r>
      <w:r w:rsidR="00437894">
        <w:t>C</w:t>
      </w:r>
      <w:r w:rsidR="00C517ED">
        <w:t xml:space="preserve">ommandité doit en aviser chaque </w:t>
      </w:r>
      <w:r w:rsidR="00437894">
        <w:t>Commanditaire</w:t>
      </w:r>
      <w:r w:rsidR="00C517ED">
        <w:t xml:space="preserve"> par écrit (en fournissant des calculs détaillés), et </w:t>
      </w:r>
      <w:bookmarkStart w:name="DocXTextRef132" w:id="709"/>
      <w:r w:rsidR="00C517ED">
        <w:t>(ii)</w:t>
      </w:r>
      <w:bookmarkEnd w:id="709"/>
      <w:r w:rsidR="00C517ED">
        <w:t xml:space="preserve"> le </w:t>
      </w:r>
      <w:r w:rsidR="00437894">
        <w:rPr>
          <w:iCs/>
        </w:rPr>
        <w:t>C</w:t>
      </w:r>
      <w:r w:rsidR="00C517ED">
        <w:rPr>
          <w:iCs/>
        </w:rPr>
        <w:t>ommandité</w:t>
      </w:r>
      <w:r w:rsidR="00C517ED">
        <w:t xml:space="preserve"> doit verser au Fonds l</w:t>
      </w:r>
      <w:r w:rsidR="00437894">
        <w:t xml:space="preserve">e </w:t>
      </w:r>
      <w:r w:rsidR="00C517ED">
        <w:t xml:space="preserve">moins élevé des </w:t>
      </w:r>
      <w:r w:rsidR="00437894">
        <w:t>montants</w:t>
      </w:r>
      <w:r w:rsidR="00C517ED">
        <w:t xml:space="preserve"> suivants :</w:t>
      </w:r>
    </w:p>
    <w:p w:rsidR="0000160C" w:rsidRDefault="00437894" w14:paraId="68F48DE7" w14:textId="46C23FE7">
      <w:pPr>
        <w:pStyle w:val="ArtBJStyL4"/>
      </w:pPr>
      <w:bookmarkStart w:name="_Ref113892608" w:id="710"/>
      <w:r>
        <w:t>le montant le plus élevé entre</w:t>
      </w:r>
      <w:r w:rsidR="00C517ED">
        <w:t xml:space="preserve"> : </w:t>
      </w:r>
      <w:bookmarkStart w:name="DocXTextRef133" w:id="711"/>
      <w:r w:rsidR="00C517ED">
        <w:t>(a)</w:t>
      </w:r>
      <w:bookmarkEnd w:id="711"/>
      <w:r w:rsidR="00C517ED">
        <w:t xml:space="preserve"> le montant des distributions excédentaires </w:t>
      </w:r>
      <w:r>
        <w:t>décrites au sous-paragraphe</w:t>
      </w:r>
      <w:r w:rsidR="00C517ED">
        <w:t> </w:t>
      </w:r>
      <w:r w:rsidRPr="006400F9" w:rsidR="00C517ED">
        <w:fldChar w:fldCharType="begin"/>
      </w:r>
      <w:r w:rsidRPr="006400F9" w:rsidR="00C517ED">
        <w:instrText xml:space="preserve"> REF _Ref40804961 \r \h </w:instrText>
      </w:r>
      <w:r w:rsidRPr="006400F9" w:rsidR="00791303">
        <w:instrText xml:space="preserve"> \* MERGEFORMAT </w:instrText>
      </w:r>
      <w:r w:rsidRPr="006400F9" w:rsidR="00C517ED">
        <w:fldChar w:fldCharType="separate"/>
      </w:r>
      <w:r w:rsidR="00B50BE2">
        <w:t>(i)</w:t>
      </w:r>
      <w:r w:rsidRPr="006400F9" w:rsidR="00C517ED">
        <w:fldChar w:fldCharType="end"/>
      </w:r>
      <w:r w:rsidR="00C517ED">
        <w:t xml:space="preserve"> de </w:t>
      </w:r>
      <w:r>
        <w:t>l’article</w:t>
      </w:r>
      <w:r w:rsidR="00C517ED">
        <w:t> </w:t>
      </w:r>
      <w:r w:rsidRPr="006400F9" w:rsidR="00C517ED">
        <w:fldChar w:fldCharType="begin"/>
      </w:r>
      <w:r w:rsidRPr="006400F9" w:rsidR="00C517ED">
        <w:instrText xml:space="preserve"> REF _Ref40805031 \w \h </w:instrText>
      </w:r>
      <w:r w:rsidRPr="006400F9" w:rsidR="00791303">
        <w:instrText xml:space="preserve"> \* MERGEFORMAT </w:instrText>
      </w:r>
      <w:r w:rsidRPr="006400F9" w:rsidR="00C517ED">
        <w:fldChar w:fldCharType="separate"/>
      </w:r>
      <w:r w:rsidR="00B50BE2">
        <w:t>14.7(a)</w:t>
      </w:r>
      <w:r w:rsidRPr="006400F9" w:rsidR="00C517ED">
        <w:fldChar w:fldCharType="end"/>
      </w:r>
      <w:r w:rsidR="00C517ED">
        <w:t xml:space="preserve"> (</w:t>
      </w:r>
      <w:r w:rsidRPr="003A3836" w:rsidR="003A3836">
        <w:rPr>
          <w:i/>
        </w:rPr>
        <w:fldChar w:fldCharType="begin"/>
      </w:r>
      <w:r w:rsidRPr="003A3836" w:rsidR="003A3836">
        <w:rPr>
          <w:i/>
        </w:rPr>
        <w:instrText xml:space="preserve"> REF _Ref85271165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Recouvrement.</w:t>
      </w:r>
      <w:r w:rsidRPr="003A3836" w:rsidR="003A3836">
        <w:rPr>
          <w:i/>
        </w:rPr>
        <w:fldChar w:fldCharType="end"/>
      </w:r>
      <w:r w:rsidR="00C517ED">
        <w:t xml:space="preserve">), et </w:t>
      </w:r>
      <w:bookmarkStart w:name="DocXTextRef134" w:id="712"/>
      <w:r w:rsidR="00C517ED">
        <w:t>b)</w:t>
      </w:r>
      <w:bookmarkEnd w:id="712"/>
      <w:r w:rsidR="00C517ED">
        <w:t xml:space="preserve"> le montant du manque à gagner décrit </w:t>
      </w:r>
      <w:r>
        <w:t>au sous-paragraphe</w:t>
      </w:r>
      <w:r w:rsidR="00C517ED">
        <w:t> </w:t>
      </w:r>
      <w:r w:rsidRPr="006400F9" w:rsidR="00C517ED">
        <w:fldChar w:fldCharType="begin"/>
      </w:r>
      <w:r w:rsidRPr="006400F9" w:rsidR="00C517ED">
        <w:instrText xml:space="preserve"> REF _Ref40804980 \r \h </w:instrText>
      </w:r>
      <w:r w:rsidRPr="006400F9" w:rsidR="00791303">
        <w:instrText xml:space="preserve"> \* MERGEFORMAT </w:instrText>
      </w:r>
      <w:r w:rsidRPr="006400F9" w:rsidR="00C517ED">
        <w:fldChar w:fldCharType="separate"/>
      </w:r>
      <w:r w:rsidR="00B50BE2">
        <w:t>(ii)</w:t>
      </w:r>
      <w:r w:rsidRPr="006400F9" w:rsidR="00C517ED">
        <w:fldChar w:fldCharType="end"/>
      </w:r>
      <w:r w:rsidR="00C517ED">
        <w:t xml:space="preserve"> de </w:t>
      </w:r>
      <w:r>
        <w:t>l’article</w:t>
      </w:r>
      <w:r w:rsidR="00C517ED">
        <w:t> </w:t>
      </w:r>
      <w:r w:rsidRPr="006400F9" w:rsidR="00C517ED">
        <w:fldChar w:fldCharType="begin"/>
      </w:r>
      <w:r w:rsidRPr="006400F9" w:rsidR="00C517ED">
        <w:instrText xml:space="preserve"> REF _Ref40805031 \w \h </w:instrText>
      </w:r>
      <w:r w:rsidRPr="006400F9" w:rsidR="00791303">
        <w:instrText xml:space="preserve"> \* MERGEFORMAT </w:instrText>
      </w:r>
      <w:r w:rsidRPr="006400F9" w:rsidR="00C517ED">
        <w:fldChar w:fldCharType="separate"/>
      </w:r>
      <w:r w:rsidR="00B50BE2">
        <w:t>14.7(a)</w:t>
      </w:r>
      <w:r w:rsidRPr="006400F9" w:rsidR="00C517ED">
        <w:fldChar w:fldCharType="end"/>
      </w:r>
      <w:r w:rsidR="00C517ED">
        <w:t xml:space="preserve"> (</w:t>
      </w:r>
      <w:r w:rsidRPr="003A3836" w:rsidR="003A3836">
        <w:rPr>
          <w:i/>
        </w:rPr>
        <w:fldChar w:fldCharType="begin"/>
      </w:r>
      <w:r w:rsidRPr="003A3836" w:rsidR="003A3836">
        <w:rPr>
          <w:i/>
        </w:rPr>
        <w:instrText xml:space="preserve"> REF _Ref85271165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Recouvrement.</w:t>
      </w:r>
      <w:r w:rsidRPr="003A3836" w:rsidR="003A3836">
        <w:rPr>
          <w:i/>
        </w:rPr>
        <w:fldChar w:fldCharType="end"/>
      </w:r>
      <w:r w:rsidR="00C517ED">
        <w:t>); et</w:t>
      </w:r>
      <w:bookmarkEnd w:id="710"/>
    </w:p>
    <w:p w:rsidR="0000160C" w:rsidRDefault="00C517ED" w14:paraId="08F4BFBF" w14:textId="1546AC43">
      <w:pPr>
        <w:pStyle w:val="ArtBJStyL4"/>
      </w:pPr>
      <w:bookmarkStart w:name="_Ref113892609" w:id="713"/>
      <w:r>
        <w:lastRenderedPageBreak/>
        <w:t xml:space="preserve">le montant des distributions </w:t>
      </w:r>
      <w:r w:rsidR="00437894">
        <w:t>de Distributions spéciales</w:t>
      </w:r>
      <w:r>
        <w:t xml:space="preserve"> effectuées au </w:t>
      </w:r>
      <w:r w:rsidR="00437894">
        <w:rPr>
          <w:iCs/>
        </w:rPr>
        <w:t>C</w:t>
      </w:r>
      <w:r>
        <w:rPr>
          <w:iCs/>
        </w:rPr>
        <w:t>ommandité</w:t>
      </w:r>
      <w:r>
        <w:t xml:space="preserve"> conformément à l</w:t>
      </w:r>
      <w:r w:rsidR="00E27310">
        <w:t>’</w:t>
      </w:r>
      <w:r>
        <w:t>article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3A3836" w:rsidR="003A3836">
        <w:rPr>
          <w:i/>
        </w:rPr>
        <w:fldChar w:fldCharType="begin"/>
      </w:r>
      <w:r w:rsidRPr="003A3836" w:rsidR="003A3836">
        <w:rPr>
          <w:i/>
        </w:rPr>
        <w:instrText xml:space="preserve"> REF _Ref40803030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Distributions des Produits distribuables.</w:t>
      </w:r>
      <w:r w:rsidRPr="003A3836" w:rsidR="003A3836">
        <w:rPr>
          <w:i/>
        </w:rPr>
        <w:fldChar w:fldCharType="end"/>
      </w:r>
      <w:r>
        <w:t xml:space="preserve">) et </w:t>
      </w:r>
      <w:r w:rsidR="00437894">
        <w:t>à l’article</w:t>
      </w:r>
      <w:r>
        <w:t> </w:t>
      </w:r>
      <w:r w:rsidRPr="006400F9">
        <w:fldChar w:fldCharType="begin"/>
      </w:r>
      <w:r w:rsidRPr="006400F9">
        <w:instrText xml:space="preserve"> REF _Ref47555170 \w \h </w:instrText>
      </w:r>
      <w:r w:rsidRPr="006400F9" w:rsidR="00791303">
        <w:instrText xml:space="preserve"> \* MERGEFORMAT </w:instrText>
      </w:r>
      <w:r w:rsidRPr="006400F9">
        <w:fldChar w:fldCharType="separate"/>
      </w:r>
      <w:r w:rsidR="00B50BE2">
        <w:t>18.3</w:t>
      </w:r>
      <w:r w:rsidRPr="006400F9">
        <w:fldChar w:fldCharType="end"/>
      </w:r>
      <w:r>
        <w:t xml:space="preserve"> (</w:t>
      </w:r>
      <w:r w:rsidRPr="003A3836" w:rsidR="003A3836">
        <w:rPr>
          <w:i/>
        </w:rPr>
        <w:fldChar w:fldCharType="begin"/>
      </w:r>
      <w:r w:rsidRPr="003A3836" w:rsidR="003A3836">
        <w:rPr>
          <w:i/>
        </w:rPr>
        <w:instrText xml:space="preserve"> REF _Ref47555170 \h </w:instrText>
      </w:r>
      <w:r w:rsidR="003A3836">
        <w:rPr>
          <w:i/>
        </w:rPr>
        <w:instrText xml:space="preserve"> \* MERGEFORMAT </w:instrText>
      </w:r>
      <w:r w:rsidRPr="003A3836" w:rsidR="003A3836">
        <w:rPr>
          <w:i/>
        </w:rPr>
      </w:r>
      <w:r w:rsidRPr="003A3836" w:rsidR="003A3836">
        <w:rPr>
          <w:i/>
        </w:rPr>
        <w:fldChar w:fldCharType="separate"/>
      </w:r>
      <w:r w:rsidRPr="00B50BE2" w:rsidR="00B50BE2">
        <w:rPr>
          <w:i/>
        </w:rPr>
        <w:t>Procédure préalable à la dissolution.</w:t>
      </w:r>
      <w:r w:rsidRPr="003A3836" w:rsidR="003A3836">
        <w:rPr>
          <w:i/>
        </w:rPr>
        <w:fldChar w:fldCharType="end"/>
      </w:r>
      <w:r>
        <w:t xml:space="preserve">) attribuable à ce </w:t>
      </w:r>
      <w:r w:rsidR="00437894">
        <w:t>Commanditaire</w:t>
      </w:r>
      <w:r>
        <w:t>, moins la somme de</w:t>
      </w:r>
      <w:r w:rsidR="00437894">
        <w:t xml:space="preserve"> tous les</w:t>
      </w:r>
      <w:r>
        <w:t xml:space="preserve"> impôts réellement payés ou payables par le </w:t>
      </w:r>
      <w:r w:rsidR="00437894">
        <w:rPr>
          <w:iCs/>
        </w:rPr>
        <w:t>C</w:t>
      </w:r>
      <w:r>
        <w:rPr>
          <w:iCs/>
        </w:rPr>
        <w:t>ommandité (ou ses propriétaires directs ou indirects)</w:t>
      </w:r>
      <w:r>
        <w:t xml:space="preserve"> </w:t>
      </w:r>
      <w:r w:rsidR="00437894">
        <w:t>à cet égard</w:t>
      </w:r>
      <w:r>
        <w:t xml:space="preserve">, tel que divulgué et prouvé aux </w:t>
      </w:r>
      <w:r w:rsidR="00437894">
        <w:t>Commanditaires,</w:t>
      </w:r>
      <w:r>
        <w:t xml:space="preserve"> à condition que le montant de ces impôts soit réputé réduit du montant de tout avantage fiscal qui serait réalisé par le </w:t>
      </w:r>
      <w:r w:rsidR="00437894">
        <w:t>C</w:t>
      </w:r>
      <w:r>
        <w:t xml:space="preserve">ommandité (ou ses propriétaires </w:t>
      </w:r>
      <w:r w:rsidR="00437894">
        <w:t>véritables</w:t>
      </w:r>
      <w:r>
        <w:t xml:space="preserve"> directs ou indirects) </w:t>
      </w:r>
      <w:r w:rsidR="00437894">
        <w:t>à l’égard</w:t>
      </w:r>
      <w:r>
        <w:t xml:space="preserve"> </w:t>
      </w:r>
      <w:r w:rsidR="00437894">
        <w:t>de</w:t>
      </w:r>
      <w:r>
        <w:t xml:space="preserve"> l</w:t>
      </w:r>
      <w:r w:rsidR="00437894">
        <w:t xml:space="preserve">’apport </w:t>
      </w:r>
      <w:r>
        <w:t>conformément au présent article </w:t>
      </w:r>
      <w:r w:rsidRPr="006400F9">
        <w:fldChar w:fldCharType="begin"/>
      </w:r>
      <w:r w:rsidRPr="006400F9">
        <w:instrText xml:space="preserve"> REF _Ref40805031 \w \h </w:instrText>
      </w:r>
      <w:r w:rsidRPr="006400F9" w:rsidR="00791303">
        <w:instrText xml:space="preserve"> \* MERGEFORMAT </w:instrText>
      </w:r>
      <w:r w:rsidRPr="006400F9">
        <w:fldChar w:fldCharType="separate"/>
      </w:r>
      <w:r w:rsidR="00B50BE2">
        <w:t>14.7(a)</w:t>
      </w:r>
      <w:r w:rsidRPr="006400F9">
        <w:fldChar w:fldCharType="end"/>
      </w:r>
      <w:r>
        <w:t xml:space="preserve"> (</w:t>
      </w:r>
      <w:r w:rsidRPr="003A3836" w:rsidR="00184A18">
        <w:rPr>
          <w:i/>
        </w:rPr>
        <w:fldChar w:fldCharType="begin"/>
      </w:r>
      <w:r w:rsidRPr="003A3836" w:rsidR="00184A18">
        <w:rPr>
          <w:i/>
        </w:rPr>
        <w:instrText xml:space="preserve"> REF _Ref85271165 \h </w:instrText>
      </w:r>
      <w:r w:rsidR="00184A18">
        <w:rPr>
          <w:i/>
        </w:rPr>
        <w:instrText xml:space="preserve"> \* MERGEFORMAT </w:instrText>
      </w:r>
      <w:r w:rsidRPr="003A3836" w:rsidR="00184A18">
        <w:rPr>
          <w:i/>
        </w:rPr>
      </w:r>
      <w:r w:rsidRPr="003A3836" w:rsidR="00184A18">
        <w:rPr>
          <w:i/>
        </w:rPr>
        <w:fldChar w:fldCharType="separate"/>
      </w:r>
      <w:r w:rsidRPr="00B50BE2" w:rsidR="00B50BE2">
        <w:rPr>
          <w:i/>
        </w:rPr>
        <w:t>Recouvrement.</w:t>
      </w:r>
      <w:r w:rsidRPr="003A3836" w:rsidR="00184A18">
        <w:rPr>
          <w:i/>
        </w:rPr>
        <w:fldChar w:fldCharType="end"/>
      </w:r>
      <w:r>
        <w:t>),</w:t>
      </w:r>
      <w:bookmarkEnd w:id="713"/>
    </w:p>
    <w:p w:rsidR="0000160C" w:rsidRDefault="00C517ED" w14:paraId="306CBA49" w14:textId="1260AB95">
      <w:pPr>
        <w:pStyle w:val="ArtBJStyCont3"/>
      </w:pPr>
      <w:r>
        <w:t xml:space="preserve">et le </w:t>
      </w:r>
      <w:r w:rsidR="00437894">
        <w:t>C</w:t>
      </w:r>
      <w:r>
        <w:t xml:space="preserve">ommandité </w:t>
      </w:r>
      <w:r w:rsidR="00437894">
        <w:t>doit faire en sorte que le</w:t>
      </w:r>
      <w:r>
        <w:t xml:space="preserve"> Fonds, sous réserve de l</w:t>
      </w:r>
      <w:r w:rsidR="00437894">
        <w:t xml:space="preserve">’article </w:t>
      </w:r>
      <w:r w:rsidR="00BE0681">
        <w:fldChar w:fldCharType="begin"/>
      </w:r>
      <w:r w:rsidR="00BE0681">
        <w:instrText xml:space="preserve"> REF _Ref85270970 \r \h </w:instrText>
      </w:r>
      <w:r w:rsidR="00BE0681">
        <w:fldChar w:fldCharType="separate"/>
      </w:r>
      <w:r w:rsidR="00B50BE2">
        <w:t>14.6</w:t>
      </w:r>
      <w:r w:rsidR="00BE0681">
        <w:fldChar w:fldCharType="end"/>
      </w:r>
      <w:r>
        <w:t xml:space="preserve"> (</w:t>
      </w:r>
      <w:r w:rsidRPr="00184A18" w:rsidR="00184A18">
        <w:rPr>
          <w:i/>
        </w:rPr>
        <w:fldChar w:fldCharType="begin"/>
      </w:r>
      <w:r w:rsidRPr="00184A18" w:rsidR="00184A18">
        <w:rPr>
          <w:i/>
        </w:rPr>
        <w:instrText xml:space="preserve"> REF _Ref85270970 \h </w:instrText>
      </w:r>
      <w:r w:rsidR="00184A18">
        <w:rPr>
          <w:i/>
        </w:rPr>
        <w:instrText xml:space="preserve"> \* MERGEFORMAT </w:instrText>
      </w:r>
      <w:r w:rsidRPr="00184A18" w:rsidR="00184A18">
        <w:rPr>
          <w:i/>
        </w:rPr>
      </w:r>
      <w:r w:rsidRPr="00184A18" w:rsidR="00184A18">
        <w:rPr>
          <w:i/>
        </w:rPr>
        <w:fldChar w:fldCharType="separate"/>
      </w:r>
      <w:r w:rsidRPr="00B50BE2" w:rsidR="00B50BE2">
        <w:rPr>
          <w:i/>
        </w:rPr>
        <w:t>Retenue.</w:t>
      </w:r>
      <w:r w:rsidRPr="00184A18" w:rsidR="00184A18">
        <w:rPr>
          <w:i/>
        </w:rPr>
        <w:fldChar w:fldCharType="end"/>
      </w:r>
      <w:r>
        <w:t xml:space="preserve">) et </w:t>
      </w:r>
      <w:r w:rsidR="007A757B">
        <w:t>du droit</w:t>
      </w:r>
      <w:r>
        <w:t xml:space="preserve"> applicable, distribue ce montant à ce </w:t>
      </w:r>
      <w:r w:rsidR="00437894">
        <w:t>C</w:t>
      </w:r>
      <w:r>
        <w:t xml:space="preserve">ommanditaire </w:t>
      </w:r>
      <w:r>
        <w:rPr>
          <w:b/>
          <w:highlight w:val="yellow"/>
        </w:rPr>
        <w:t>[</w:t>
      </w:r>
      <w:r w:rsidR="00437894">
        <w:rPr>
          <w:b/>
          <w:highlight w:val="yellow"/>
        </w:rPr>
        <w:t xml:space="preserve">, </w:t>
      </w:r>
      <w:r>
        <w:rPr>
          <w:b/>
          <w:highlight w:val="yellow"/>
        </w:rPr>
        <w:t xml:space="preserve">à condition que </w:t>
      </w:r>
      <w:r w:rsidR="00437894">
        <w:rPr>
          <w:b/>
          <w:highlight w:val="yellow"/>
        </w:rPr>
        <w:t>toute exigence du</w:t>
      </w:r>
      <w:r>
        <w:rPr>
          <w:b/>
          <w:highlight w:val="yellow"/>
        </w:rPr>
        <w:t xml:space="preserve"> </w:t>
      </w:r>
      <w:r w:rsidR="00437894">
        <w:rPr>
          <w:b/>
          <w:highlight w:val="yellow"/>
        </w:rPr>
        <w:t>C</w:t>
      </w:r>
      <w:r>
        <w:rPr>
          <w:b/>
          <w:highlight w:val="yellow"/>
        </w:rPr>
        <w:t xml:space="preserve">ommandité </w:t>
      </w:r>
      <w:r w:rsidR="00437894">
        <w:rPr>
          <w:b/>
          <w:highlight w:val="yellow"/>
        </w:rPr>
        <w:t>de faire un apport</w:t>
      </w:r>
      <w:r>
        <w:rPr>
          <w:b/>
          <w:highlight w:val="yellow"/>
        </w:rPr>
        <w:t xml:space="preserve"> au Fonds conformément </w:t>
      </w:r>
      <w:r w:rsidR="00437894">
        <w:rPr>
          <w:b/>
          <w:highlight w:val="yellow"/>
        </w:rPr>
        <w:t>au présent article</w:t>
      </w:r>
      <w:r>
        <w:rPr>
          <w:b/>
          <w:highlight w:val="yellow"/>
        </w:rPr>
        <w:t> </w:t>
      </w:r>
      <w:r w:rsidRPr="008A5873">
        <w:rPr>
          <w:b/>
          <w:highlight w:val="yellow"/>
        </w:rPr>
        <w:fldChar w:fldCharType="begin"/>
      </w:r>
      <w:r w:rsidRPr="008A5873">
        <w:rPr>
          <w:b/>
          <w:highlight w:val="yellow"/>
        </w:rPr>
        <w:instrText xml:space="preserve"> REF _Ref40805031 \w \h </w:instrText>
      </w:r>
      <w:r w:rsidRPr="008A5873" w:rsidR="00791303">
        <w:rPr>
          <w:b/>
          <w:highlight w:val="yellow"/>
        </w:rPr>
        <w:instrText xml:space="preserve"> \* MERGEFORMAT </w:instrText>
      </w:r>
      <w:r w:rsidRPr="008A5873">
        <w:rPr>
          <w:b/>
          <w:highlight w:val="yellow"/>
        </w:rPr>
      </w:r>
      <w:r w:rsidRPr="008A5873">
        <w:rPr>
          <w:b/>
          <w:highlight w:val="yellow"/>
        </w:rPr>
        <w:fldChar w:fldCharType="separate"/>
      </w:r>
      <w:r w:rsidR="00B50BE2">
        <w:rPr>
          <w:b/>
          <w:highlight w:val="yellow"/>
        </w:rPr>
        <w:t>14.7(a)</w:t>
      </w:r>
      <w:r w:rsidRPr="008A5873">
        <w:rPr>
          <w:b/>
          <w:highlight w:val="yellow"/>
        </w:rPr>
        <w:fldChar w:fldCharType="end"/>
      </w:r>
      <w:r>
        <w:rPr>
          <w:b/>
          <w:highlight w:val="yellow"/>
        </w:rPr>
        <w:t xml:space="preserve"> (</w:t>
      </w:r>
      <w:r w:rsidRPr="008A5873" w:rsidR="00184A18">
        <w:rPr>
          <w:i/>
          <w:highlight w:val="yellow"/>
        </w:rPr>
        <w:fldChar w:fldCharType="begin"/>
      </w:r>
      <w:r w:rsidRPr="008A5873" w:rsidR="00184A18">
        <w:rPr>
          <w:i/>
          <w:highlight w:val="yellow"/>
        </w:rPr>
        <w:instrText xml:space="preserve"> REF _Ref85271165 \h  \* MERGEFORMAT </w:instrText>
      </w:r>
      <w:r w:rsidRPr="008A5873" w:rsidR="00184A18">
        <w:rPr>
          <w:i/>
          <w:highlight w:val="yellow"/>
        </w:rPr>
      </w:r>
      <w:r w:rsidRPr="008A5873" w:rsidR="00184A18">
        <w:rPr>
          <w:i/>
          <w:highlight w:val="yellow"/>
        </w:rPr>
        <w:fldChar w:fldCharType="separate"/>
      </w:r>
      <w:r w:rsidRPr="00B50BE2" w:rsidR="00B50BE2">
        <w:rPr>
          <w:i/>
          <w:highlight w:val="yellow"/>
        </w:rPr>
        <w:t>Recouvrement.</w:t>
      </w:r>
      <w:r w:rsidRPr="008A5873" w:rsidR="00184A18">
        <w:rPr>
          <w:i/>
          <w:highlight w:val="yellow"/>
        </w:rPr>
        <w:fldChar w:fldCharType="end"/>
      </w:r>
      <w:r>
        <w:rPr>
          <w:b/>
          <w:highlight w:val="yellow"/>
        </w:rPr>
        <w:t xml:space="preserve">) </w:t>
      </w:r>
      <w:r w:rsidR="00541F55">
        <w:rPr>
          <w:b/>
          <w:highlight w:val="yellow"/>
        </w:rPr>
        <w:t>soit</w:t>
      </w:r>
      <w:r>
        <w:rPr>
          <w:b/>
          <w:highlight w:val="yellow"/>
        </w:rPr>
        <w:t xml:space="preserve"> d</w:t>
      </w:r>
      <w:r w:rsidR="00E27310">
        <w:rPr>
          <w:b/>
          <w:highlight w:val="yellow"/>
        </w:rPr>
        <w:t>’</w:t>
      </w:r>
      <w:r>
        <w:rPr>
          <w:b/>
          <w:highlight w:val="yellow"/>
        </w:rPr>
        <w:t xml:space="preserve">abord satisfaite par le montant, le cas échéant, détenu </w:t>
      </w:r>
      <w:r w:rsidR="00541F55">
        <w:rPr>
          <w:b/>
          <w:highlight w:val="yellow"/>
        </w:rPr>
        <w:t>dans le Compte d’entiercement</w:t>
      </w:r>
      <w:r>
        <w:rPr>
          <w:b/>
          <w:highlight w:val="yellow"/>
        </w:rPr>
        <w:t xml:space="preserve"> à ce moment</w:t>
      </w:r>
      <w:r w:rsidR="00541F55">
        <w:rPr>
          <w:b/>
          <w:highlight w:val="yellow"/>
        </w:rPr>
        <w:t>-là</w:t>
      </w:r>
      <w:r>
        <w:rPr>
          <w:b/>
          <w:highlight w:val="yellow"/>
        </w:rPr>
        <w:t>]</w:t>
      </w:r>
      <w:r w:rsidRPr="00437894" w:rsidR="00437894">
        <w:rPr>
          <w:bCs/>
        </w:rPr>
        <w:t>.</w:t>
      </w:r>
    </w:p>
    <w:p w:rsidR="0000160C" w:rsidRDefault="00C517ED" w14:paraId="56334953" w14:textId="328E5D8B">
      <w:pPr>
        <w:pStyle w:val="ArtBJStyL3"/>
        <w:rPr>
          <w:b/>
        </w:rPr>
      </w:pPr>
      <w:bookmarkStart w:name="_Ref113892610" w:id="714"/>
      <w:bookmarkStart w:name="_Ref40801365" w:id="715"/>
      <w:r>
        <w:rPr>
          <w:b/>
          <w:highlight w:val="yellow"/>
        </w:rPr>
        <w:t xml:space="preserve">[Nonobstant les priorités énoncées à </w:t>
      </w:r>
      <w:r w:rsidR="00541F55">
        <w:rPr>
          <w:b/>
          <w:highlight w:val="yellow"/>
        </w:rPr>
        <w:t>l’article</w:t>
      </w:r>
      <w:r>
        <w:rPr>
          <w:b/>
          <w:highlight w:val="yellow"/>
        </w:rPr>
        <w:t> </w:t>
      </w:r>
      <w:r w:rsidRPr="008A5873">
        <w:rPr>
          <w:b/>
          <w:highlight w:val="yellow"/>
        </w:rPr>
        <w:fldChar w:fldCharType="begin"/>
      </w:r>
      <w:r w:rsidRPr="008A5873">
        <w:rPr>
          <w:b/>
          <w:highlight w:val="yellow"/>
        </w:rPr>
        <w:instrText xml:space="preserve"> REF _Ref40803030 \w \h  \* MERGEFORMAT </w:instrText>
      </w:r>
      <w:r w:rsidRPr="008A5873">
        <w:rPr>
          <w:b/>
          <w:highlight w:val="yellow"/>
        </w:rPr>
      </w:r>
      <w:r w:rsidRPr="008A5873">
        <w:rPr>
          <w:b/>
          <w:highlight w:val="yellow"/>
        </w:rPr>
        <w:fldChar w:fldCharType="separate"/>
      </w:r>
      <w:r w:rsidR="00B50BE2">
        <w:rPr>
          <w:b/>
          <w:highlight w:val="yellow"/>
        </w:rPr>
        <w:t>14.3</w:t>
      </w:r>
      <w:r w:rsidRPr="008A5873">
        <w:rPr>
          <w:b/>
          <w:highlight w:val="yellow"/>
        </w:rPr>
        <w:fldChar w:fldCharType="end"/>
      </w:r>
      <w:r>
        <w:rPr>
          <w:b/>
          <w:highlight w:val="yellow"/>
        </w:rPr>
        <w:t xml:space="preserve"> (</w:t>
      </w:r>
      <w:r w:rsidRPr="008A5873" w:rsidR="00184A18">
        <w:rPr>
          <w:b/>
          <w:i/>
          <w:highlight w:val="yellow"/>
        </w:rPr>
        <w:fldChar w:fldCharType="begin"/>
      </w:r>
      <w:r w:rsidRPr="008A5873" w:rsidR="00184A18">
        <w:rPr>
          <w:b/>
          <w:i/>
          <w:highlight w:val="yellow"/>
        </w:rPr>
        <w:instrText xml:space="preserve"> REF _Ref40803030 \h  \* MERGEFORMAT </w:instrText>
      </w:r>
      <w:r w:rsidRPr="008A5873" w:rsidR="00184A18">
        <w:rPr>
          <w:b/>
          <w:i/>
          <w:highlight w:val="yellow"/>
        </w:rPr>
      </w:r>
      <w:r w:rsidRPr="008A5873" w:rsidR="00184A18">
        <w:rPr>
          <w:b/>
          <w:i/>
          <w:highlight w:val="yellow"/>
        </w:rPr>
        <w:fldChar w:fldCharType="separate"/>
      </w:r>
      <w:r w:rsidRPr="00B50BE2" w:rsidR="00B50BE2">
        <w:rPr>
          <w:b/>
          <w:i/>
          <w:highlight w:val="yellow"/>
        </w:rPr>
        <w:t>Distributions des Produits distribuables.</w:t>
      </w:r>
      <w:r w:rsidRPr="008A5873" w:rsidR="00184A18">
        <w:rPr>
          <w:b/>
          <w:i/>
          <w:highlight w:val="yellow"/>
        </w:rPr>
        <w:fldChar w:fldCharType="end"/>
      </w:r>
      <w:r>
        <w:rPr>
          <w:b/>
          <w:highlight w:val="yellow"/>
        </w:rPr>
        <w:t>), sauf dans les cas prévus à l</w:t>
      </w:r>
      <w:r w:rsidR="00541F55">
        <w:rPr>
          <w:b/>
          <w:highlight w:val="yellow"/>
        </w:rPr>
        <w:t xml:space="preserve">’article </w:t>
      </w:r>
      <w:r w:rsidRPr="008A5873" w:rsidR="00B347CC">
        <w:rPr>
          <w:b/>
          <w:highlight w:val="yellow"/>
        </w:rPr>
        <w:fldChar w:fldCharType="begin"/>
      </w:r>
      <w:r w:rsidRPr="008A5873" w:rsidR="00B347CC">
        <w:rPr>
          <w:b/>
          <w:highlight w:val="yellow"/>
        </w:rPr>
        <w:instrText xml:space="preserve"> REF _Ref40801023 \w \h </w:instrText>
      </w:r>
      <w:r w:rsidRPr="008A5873" w:rsidR="00992703">
        <w:rPr>
          <w:b/>
          <w:highlight w:val="yellow"/>
        </w:rPr>
        <w:instrText xml:space="preserve"> \* MERGEFORMAT </w:instrText>
      </w:r>
      <w:r w:rsidRPr="008A5873" w:rsidR="00B347CC">
        <w:rPr>
          <w:b/>
          <w:highlight w:val="yellow"/>
        </w:rPr>
      </w:r>
      <w:r w:rsidRPr="008A5873" w:rsidR="00B347CC">
        <w:rPr>
          <w:b/>
          <w:highlight w:val="yellow"/>
        </w:rPr>
        <w:fldChar w:fldCharType="separate"/>
      </w:r>
      <w:r w:rsidR="00B50BE2">
        <w:rPr>
          <w:b/>
          <w:highlight w:val="yellow"/>
        </w:rPr>
        <w:t>14.5</w:t>
      </w:r>
      <w:r w:rsidRPr="008A5873" w:rsidR="00B347CC">
        <w:rPr>
          <w:b/>
          <w:highlight w:val="yellow"/>
        </w:rPr>
        <w:fldChar w:fldCharType="end"/>
      </w:r>
      <w:r>
        <w:rPr>
          <w:b/>
          <w:highlight w:val="yellow"/>
        </w:rPr>
        <w:t xml:space="preserve"> (</w:t>
      </w:r>
      <w:r w:rsidRPr="008A5873" w:rsidR="00184A18">
        <w:rPr>
          <w:b/>
          <w:i/>
          <w:highlight w:val="yellow"/>
        </w:rPr>
        <w:fldChar w:fldCharType="begin"/>
      </w:r>
      <w:r w:rsidRPr="008A5873" w:rsidR="00184A18">
        <w:rPr>
          <w:b/>
          <w:i/>
          <w:highlight w:val="yellow"/>
        </w:rPr>
        <w:instrText xml:space="preserve"> REF _Ref40801023 \h  \* MERGEFORMAT </w:instrText>
      </w:r>
      <w:r w:rsidRPr="008A5873" w:rsidR="00184A18">
        <w:rPr>
          <w:b/>
          <w:i/>
          <w:highlight w:val="yellow"/>
        </w:rPr>
      </w:r>
      <w:r w:rsidRPr="008A5873" w:rsidR="00184A18">
        <w:rPr>
          <w:b/>
          <w:i/>
          <w:highlight w:val="yellow"/>
        </w:rPr>
        <w:fldChar w:fldCharType="separate"/>
      </w:r>
      <w:r w:rsidRPr="00B50BE2" w:rsidR="00B50BE2">
        <w:rPr>
          <w:b/>
          <w:i/>
          <w:highlight w:val="yellow"/>
        </w:rPr>
        <w:t>Distributions d’impôts.</w:t>
      </w:r>
      <w:r w:rsidRPr="008A5873" w:rsidR="00184A18">
        <w:rPr>
          <w:b/>
          <w:i/>
          <w:highlight w:val="yellow"/>
        </w:rPr>
        <w:fldChar w:fldCharType="end"/>
      </w:r>
      <w:r>
        <w:rPr>
          <w:b/>
          <w:highlight w:val="yellow"/>
        </w:rPr>
        <w:t>)</w:t>
      </w:r>
      <w:r w:rsidR="00541F55">
        <w:rPr>
          <w:b/>
          <w:highlight w:val="yellow"/>
        </w:rPr>
        <w:t>,</w:t>
      </w:r>
      <w:r>
        <w:rPr>
          <w:b/>
          <w:highlight w:val="yellow"/>
        </w:rPr>
        <w:t xml:space="preserve"> le </w:t>
      </w:r>
      <w:r w:rsidR="00541F55">
        <w:rPr>
          <w:b/>
          <w:highlight w:val="yellow"/>
        </w:rPr>
        <w:t>C</w:t>
      </w:r>
      <w:r>
        <w:rPr>
          <w:b/>
          <w:highlight w:val="yellow"/>
        </w:rPr>
        <w:t>ommandité doit déposer [__]</w:t>
      </w:r>
      <w:r w:rsidR="00040C15">
        <w:rPr>
          <w:b/>
          <w:highlight w:val="yellow"/>
        </w:rPr>
        <w:t xml:space="preserve"> </w:t>
      </w:r>
      <w:r>
        <w:rPr>
          <w:b/>
          <w:highlight w:val="yellow"/>
        </w:rPr>
        <w:t>%</w:t>
      </w:r>
      <w:bookmarkStart w:name="_Ref113892883" w:id="716"/>
      <w:r>
        <w:rPr>
          <w:rStyle w:val="FootnoteReference"/>
          <w:b/>
          <w:highlight w:val="yellow"/>
        </w:rPr>
        <w:footnoteReference w:id="137"/>
      </w:r>
      <w:bookmarkEnd w:id="716"/>
      <w:r>
        <w:rPr>
          <w:b/>
          <w:highlight w:val="yellow"/>
        </w:rPr>
        <w:t xml:space="preserve"> de tous les montants qui seraient autrement distribués au </w:t>
      </w:r>
      <w:r w:rsidR="00541F55">
        <w:rPr>
          <w:b/>
          <w:highlight w:val="yellow"/>
        </w:rPr>
        <w:t>C</w:t>
      </w:r>
      <w:r>
        <w:rPr>
          <w:b/>
          <w:highlight w:val="yellow"/>
        </w:rPr>
        <w:t>ommandité à l</w:t>
      </w:r>
      <w:r w:rsidR="00E27310">
        <w:rPr>
          <w:b/>
          <w:highlight w:val="yellow"/>
        </w:rPr>
        <w:t>’</w:t>
      </w:r>
      <w:r>
        <w:rPr>
          <w:b/>
          <w:highlight w:val="yellow"/>
        </w:rPr>
        <w:t xml:space="preserve">égard de chaque </w:t>
      </w:r>
      <w:r w:rsidR="00541F55">
        <w:rPr>
          <w:b/>
          <w:highlight w:val="yellow"/>
        </w:rPr>
        <w:t>Associé</w:t>
      </w:r>
      <w:r>
        <w:rPr>
          <w:b/>
          <w:highlight w:val="yellow"/>
        </w:rPr>
        <w:t xml:space="preserve"> conformément </w:t>
      </w:r>
      <w:r w:rsidR="00541F55">
        <w:rPr>
          <w:b/>
          <w:highlight w:val="yellow"/>
        </w:rPr>
        <w:t>à l’article</w:t>
      </w:r>
      <w:r>
        <w:rPr>
          <w:b/>
          <w:highlight w:val="yellow"/>
        </w:rPr>
        <w:t> </w:t>
      </w:r>
      <w:r w:rsidRPr="008A5873">
        <w:rPr>
          <w:b/>
          <w:highlight w:val="yellow"/>
        </w:rPr>
        <w:fldChar w:fldCharType="begin"/>
      </w:r>
      <w:r w:rsidRPr="008A5873">
        <w:rPr>
          <w:b/>
          <w:highlight w:val="yellow"/>
        </w:rPr>
        <w:instrText xml:space="preserve"> REF _Ref40800986 \w \h  \* MERGEFORMAT </w:instrText>
      </w:r>
      <w:r w:rsidRPr="008A5873">
        <w:rPr>
          <w:b/>
          <w:highlight w:val="yellow"/>
        </w:rPr>
      </w:r>
      <w:r w:rsidRPr="008A5873">
        <w:rPr>
          <w:b/>
          <w:highlight w:val="yellow"/>
        </w:rPr>
        <w:fldChar w:fldCharType="separate"/>
      </w:r>
      <w:r w:rsidR="00B50BE2">
        <w:rPr>
          <w:b/>
          <w:highlight w:val="yellow"/>
        </w:rPr>
        <w:t>14.3(c)</w:t>
      </w:r>
      <w:r w:rsidRPr="008A5873">
        <w:rPr>
          <w:b/>
          <w:highlight w:val="yellow"/>
        </w:rPr>
        <w:fldChar w:fldCharType="end"/>
      </w:r>
      <w:r>
        <w:rPr>
          <w:b/>
          <w:highlight w:val="yellow"/>
        </w:rPr>
        <w:t xml:space="preserve"> (</w:t>
      </w:r>
      <w:r w:rsidRPr="008A5873" w:rsidR="00184A18">
        <w:rPr>
          <w:b/>
          <w:i/>
          <w:highlight w:val="yellow"/>
        </w:rPr>
        <w:fldChar w:fldCharType="begin"/>
      </w:r>
      <w:r w:rsidRPr="008A5873" w:rsidR="00184A18">
        <w:rPr>
          <w:b/>
          <w:i/>
          <w:highlight w:val="yellow"/>
        </w:rPr>
        <w:instrText xml:space="preserve"> REF _Ref40803030 \h  \* MERGEFORMAT </w:instrText>
      </w:r>
      <w:r w:rsidRPr="008A5873" w:rsidR="00184A18">
        <w:rPr>
          <w:b/>
          <w:i/>
          <w:highlight w:val="yellow"/>
        </w:rPr>
      </w:r>
      <w:r w:rsidRPr="008A5873" w:rsidR="00184A18">
        <w:rPr>
          <w:b/>
          <w:i/>
          <w:highlight w:val="yellow"/>
        </w:rPr>
        <w:fldChar w:fldCharType="separate"/>
      </w:r>
      <w:r w:rsidRPr="00B50BE2" w:rsidR="00B50BE2">
        <w:rPr>
          <w:b/>
          <w:i/>
          <w:highlight w:val="yellow"/>
        </w:rPr>
        <w:t>Distributions des Produits distribuables.</w:t>
      </w:r>
      <w:r w:rsidRPr="008A5873" w:rsidR="00184A18">
        <w:rPr>
          <w:b/>
          <w:i/>
          <w:highlight w:val="yellow"/>
        </w:rPr>
        <w:fldChar w:fldCharType="end"/>
      </w:r>
      <w:r>
        <w:rPr>
          <w:b/>
          <w:highlight w:val="yellow"/>
        </w:rPr>
        <w:t>)</w:t>
      </w:r>
      <w:r w:rsidR="00541F55">
        <w:rPr>
          <w:b/>
          <w:highlight w:val="yellow"/>
        </w:rPr>
        <w:t xml:space="preserve"> </w:t>
      </w:r>
      <w:r>
        <w:rPr>
          <w:b/>
          <w:highlight w:val="yellow"/>
        </w:rPr>
        <w:t xml:space="preserve">et </w:t>
      </w:r>
      <w:r w:rsidR="00541F55">
        <w:rPr>
          <w:b/>
          <w:highlight w:val="yellow"/>
        </w:rPr>
        <w:t xml:space="preserve">à l’article </w:t>
      </w:r>
      <w:r w:rsidRPr="008A5873">
        <w:rPr>
          <w:b/>
          <w:highlight w:val="yellow"/>
        </w:rPr>
        <w:fldChar w:fldCharType="begin"/>
      </w:r>
      <w:r w:rsidRPr="008A5873">
        <w:rPr>
          <w:b/>
          <w:highlight w:val="yellow"/>
        </w:rPr>
        <w:instrText xml:space="preserve"> REF _Ref40801003 \w \h  \* MERGEFORMAT </w:instrText>
      </w:r>
      <w:r w:rsidRPr="008A5873">
        <w:rPr>
          <w:b/>
          <w:highlight w:val="yellow"/>
        </w:rPr>
      </w:r>
      <w:r w:rsidRPr="008A5873">
        <w:rPr>
          <w:b/>
          <w:highlight w:val="yellow"/>
        </w:rPr>
        <w:fldChar w:fldCharType="separate"/>
      </w:r>
      <w:r w:rsidR="00B50BE2">
        <w:rPr>
          <w:b/>
          <w:highlight w:val="yellow"/>
        </w:rPr>
        <w:t>14.3(d)</w:t>
      </w:r>
      <w:r w:rsidRPr="008A5873">
        <w:rPr>
          <w:b/>
          <w:highlight w:val="yellow"/>
        </w:rPr>
        <w:fldChar w:fldCharType="end"/>
      </w:r>
      <w:r>
        <w:rPr>
          <w:b/>
          <w:highlight w:val="yellow"/>
        </w:rPr>
        <w:t xml:space="preserve"> (</w:t>
      </w:r>
      <w:r w:rsidRPr="008A5873" w:rsidR="00992703">
        <w:rPr>
          <w:b/>
          <w:i/>
          <w:highlight w:val="yellow"/>
        </w:rPr>
        <w:fldChar w:fldCharType="begin"/>
      </w:r>
      <w:r w:rsidRPr="008A5873" w:rsidR="00992703">
        <w:rPr>
          <w:b/>
          <w:i/>
          <w:highlight w:val="yellow"/>
        </w:rPr>
        <w:instrText xml:space="preserve"> REF _Ref40803030 \h  \* MERGEFORMAT </w:instrText>
      </w:r>
      <w:r w:rsidRPr="008A5873" w:rsidR="00992703">
        <w:rPr>
          <w:b/>
          <w:i/>
          <w:highlight w:val="yellow"/>
        </w:rPr>
      </w:r>
      <w:r w:rsidRPr="008A5873" w:rsidR="00992703">
        <w:rPr>
          <w:b/>
          <w:i/>
          <w:highlight w:val="yellow"/>
        </w:rPr>
        <w:fldChar w:fldCharType="separate"/>
      </w:r>
      <w:r w:rsidRPr="00B50BE2" w:rsidR="00B50BE2">
        <w:rPr>
          <w:b/>
          <w:i/>
          <w:highlight w:val="yellow"/>
        </w:rPr>
        <w:t>Distributions des Produits distribuables.</w:t>
      </w:r>
      <w:r w:rsidRPr="008A5873" w:rsidR="00992703">
        <w:rPr>
          <w:b/>
          <w:i/>
          <w:highlight w:val="yellow"/>
        </w:rPr>
        <w:fldChar w:fldCharType="end"/>
      </w:r>
      <w:r>
        <w:rPr>
          <w:b/>
          <w:highlight w:val="yellow"/>
        </w:rPr>
        <w:t xml:space="preserve">) ci-dessus dans un compte distinct du Fonds détenu auprès de la banque commerciale tierce du Fonds pour le compte </w:t>
      </w:r>
      <w:r w:rsidR="00541F55">
        <w:rPr>
          <w:b/>
          <w:highlight w:val="yellow"/>
        </w:rPr>
        <w:t>de l’Associé concerné</w:t>
      </w:r>
      <w:r>
        <w:rPr>
          <w:b/>
          <w:highlight w:val="yellow"/>
        </w:rPr>
        <w:t xml:space="preserve"> (le « Compte </w:t>
      </w:r>
      <w:r w:rsidR="00541F55">
        <w:rPr>
          <w:b/>
          <w:highlight w:val="yellow"/>
        </w:rPr>
        <w:t>d’entiercement</w:t>
      </w:r>
      <w:r>
        <w:rPr>
          <w:b/>
          <w:highlight w:val="yellow"/>
        </w:rPr>
        <w:t xml:space="preserve"> »), jusqu</w:t>
      </w:r>
      <w:r w:rsidR="00E27310">
        <w:rPr>
          <w:b/>
          <w:highlight w:val="yellow"/>
        </w:rPr>
        <w:t>’</w:t>
      </w:r>
      <w:r>
        <w:rPr>
          <w:b/>
          <w:highlight w:val="yellow"/>
        </w:rPr>
        <w:t>à ce que ce</w:t>
      </w:r>
      <w:r w:rsidR="00541F55">
        <w:rPr>
          <w:b/>
          <w:highlight w:val="yellow"/>
        </w:rPr>
        <w:t>t Associé concerné</w:t>
      </w:r>
      <w:r>
        <w:rPr>
          <w:b/>
          <w:highlight w:val="yellow"/>
        </w:rPr>
        <w:t xml:space="preserve"> ait reçu des distributions globales d</w:t>
      </w:r>
      <w:r w:rsidR="00E27310">
        <w:rPr>
          <w:b/>
          <w:highlight w:val="yellow"/>
        </w:rPr>
        <w:t>’</w:t>
      </w:r>
      <w:r>
        <w:rPr>
          <w:b/>
          <w:highlight w:val="yellow"/>
        </w:rPr>
        <w:t xml:space="preserve">un montant égal à son Engagement et </w:t>
      </w:r>
      <w:r w:rsidR="00541F55">
        <w:rPr>
          <w:b/>
          <w:highlight w:val="yellow"/>
        </w:rPr>
        <w:t xml:space="preserve">à </w:t>
      </w:r>
      <w:r>
        <w:rPr>
          <w:b/>
          <w:highlight w:val="yellow"/>
        </w:rPr>
        <w:t xml:space="preserve">tout Rendement </w:t>
      </w:r>
      <w:r w:rsidR="00541F55">
        <w:rPr>
          <w:b/>
          <w:highlight w:val="yellow"/>
        </w:rPr>
        <w:t>privilégié</w:t>
      </w:r>
      <w:r>
        <w:rPr>
          <w:b/>
          <w:highlight w:val="yellow"/>
        </w:rPr>
        <w:t xml:space="preserve"> calculé sur les </w:t>
      </w:r>
      <w:r w:rsidR="00541F55">
        <w:rPr>
          <w:b/>
          <w:highlight w:val="yellow"/>
        </w:rPr>
        <w:t>Apports</w:t>
      </w:r>
      <w:r>
        <w:rPr>
          <w:b/>
          <w:highlight w:val="yellow"/>
        </w:rPr>
        <w:t xml:space="preserve"> </w:t>
      </w:r>
      <w:r w:rsidR="00541F55">
        <w:rPr>
          <w:b/>
          <w:highlight w:val="yellow"/>
        </w:rPr>
        <w:t>de</w:t>
      </w:r>
      <w:r>
        <w:rPr>
          <w:b/>
          <w:highlight w:val="yellow"/>
        </w:rPr>
        <w:t xml:space="preserve"> capital </w:t>
      </w:r>
      <w:r w:rsidR="00541F55">
        <w:rPr>
          <w:b/>
          <w:highlight w:val="yellow"/>
        </w:rPr>
        <w:t>globaux</w:t>
      </w:r>
      <w:r>
        <w:rPr>
          <w:b/>
          <w:highlight w:val="yellow"/>
        </w:rPr>
        <w:t xml:space="preserve"> </w:t>
      </w:r>
      <w:r w:rsidR="00541F55">
        <w:rPr>
          <w:b/>
          <w:highlight w:val="yellow"/>
        </w:rPr>
        <w:t>faits</w:t>
      </w:r>
      <w:r>
        <w:rPr>
          <w:b/>
          <w:highlight w:val="yellow"/>
        </w:rPr>
        <w:t xml:space="preserve"> par c</w:t>
      </w:r>
      <w:r w:rsidR="00541F55">
        <w:rPr>
          <w:b/>
          <w:highlight w:val="yellow"/>
        </w:rPr>
        <w:t>et Associé</w:t>
      </w:r>
      <w:r>
        <w:rPr>
          <w:b/>
          <w:highlight w:val="yellow"/>
        </w:rPr>
        <w:t xml:space="preserve">, après quoi les montants détenus dans le Compte </w:t>
      </w:r>
      <w:r w:rsidR="00541F55">
        <w:rPr>
          <w:b/>
          <w:highlight w:val="yellow"/>
        </w:rPr>
        <w:t>d’entiercement</w:t>
      </w:r>
      <w:r>
        <w:rPr>
          <w:b/>
          <w:highlight w:val="yellow"/>
        </w:rPr>
        <w:t xml:space="preserve"> seront </w:t>
      </w:r>
      <w:r w:rsidR="00541F55">
        <w:rPr>
          <w:b/>
          <w:highlight w:val="yellow"/>
        </w:rPr>
        <w:t>libérés en faveur du Commandité</w:t>
      </w:r>
      <w:r>
        <w:rPr>
          <w:b/>
          <w:highlight w:val="yellow"/>
        </w:rPr>
        <w:t xml:space="preserve">. Le </w:t>
      </w:r>
      <w:r w:rsidR="00541F55">
        <w:rPr>
          <w:b/>
          <w:highlight w:val="yellow"/>
        </w:rPr>
        <w:t>C</w:t>
      </w:r>
      <w:r>
        <w:rPr>
          <w:b/>
          <w:highlight w:val="yellow"/>
        </w:rPr>
        <w:t>ommandité a droit à tou</w:t>
      </w:r>
      <w:r w:rsidR="00541F55">
        <w:rPr>
          <w:b/>
          <w:highlight w:val="yellow"/>
        </w:rPr>
        <w:t>s</w:t>
      </w:r>
      <w:r>
        <w:rPr>
          <w:b/>
          <w:highlight w:val="yellow"/>
        </w:rPr>
        <w:t xml:space="preserve"> </w:t>
      </w:r>
      <w:r w:rsidR="00541F55">
        <w:rPr>
          <w:b/>
          <w:highlight w:val="yellow"/>
        </w:rPr>
        <w:t>R</w:t>
      </w:r>
      <w:r>
        <w:rPr>
          <w:b/>
          <w:highlight w:val="yellow"/>
        </w:rPr>
        <w:t>evenu</w:t>
      </w:r>
      <w:r w:rsidR="00541F55">
        <w:rPr>
          <w:b/>
          <w:highlight w:val="yellow"/>
        </w:rPr>
        <w:t>s</w:t>
      </w:r>
      <w:r>
        <w:rPr>
          <w:b/>
          <w:highlight w:val="yellow"/>
        </w:rPr>
        <w:t xml:space="preserve"> </w:t>
      </w:r>
      <w:r w:rsidR="00541F55">
        <w:rPr>
          <w:b/>
          <w:highlight w:val="yellow"/>
        </w:rPr>
        <w:t>d’Investissement temporaire</w:t>
      </w:r>
      <w:r>
        <w:rPr>
          <w:b/>
          <w:highlight w:val="yellow"/>
        </w:rPr>
        <w:t xml:space="preserve"> </w:t>
      </w:r>
      <w:r w:rsidR="00541F55">
        <w:rPr>
          <w:b/>
          <w:highlight w:val="yellow"/>
        </w:rPr>
        <w:t>provenant</w:t>
      </w:r>
      <w:r>
        <w:rPr>
          <w:b/>
          <w:highlight w:val="yellow"/>
        </w:rPr>
        <w:t xml:space="preserve"> des montants détenus </w:t>
      </w:r>
      <w:r w:rsidR="00541F55">
        <w:rPr>
          <w:b/>
          <w:highlight w:val="yellow"/>
        </w:rPr>
        <w:t>dans le Compte d’entiercement</w:t>
      </w:r>
      <w:r>
        <w:rPr>
          <w:b/>
          <w:highlight w:val="yellow"/>
        </w:rPr>
        <w:t xml:space="preserve">. Le solde des montants conservés </w:t>
      </w:r>
      <w:r w:rsidR="00541F55">
        <w:rPr>
          <w:b/>
          <w:highlight w:val="yellow"/>
        </w:rPr>
        <w:t>dans le Compte d’entiercement</w:t>
      </w:r>
      <w:r>
        <w:rPr>
          <w:b/>
          <w:highlight w:val="yellow"/>
        </w:rPr>
        <w:t xml:space="preserve"> sera, en tout état de cause, immédiatement avant la fin de la liquidation finale du Fonds, libéré </w:t>
      </w:r>
      <w:r w:rsidR="00541F55">
        <w:rPr>
          <w:b/>
          <w:highlight w:val="yellow"/>
        </w:rPr>
        <w:t xml:space="preserve">en faveur du Commandité </w:t>
      </w:r>
      <w:r>
        <w:rPr>
          <w:b/>
          <w:highlight w:val="yellow"/>
        </w:rPr>
        <w:t xml:space="preserve">après déduction du montant (le cas échéant) que le </w:t>
      </w:r>
      <w:r w:rsidR="00541F55">
        <w:rPr>
          <w:b/>
          <w:highlight w:val="yellow"/>
        </w:rPr>
        <w:t>Commandité</w:t>
      </w:r>
      <w:r>
        <w:rPr>
          <w:b/>
          <w:highlight w:val="yellow"/>
        </w:rPr>
        <w:t xml:space="preserve"> serait </w:t>
      </w:r>
      <w:r w:rsidR="00541F55">
        <w:rPr>
          <w:b/>
          <w:highlight w:val="yellow"/>
        </w:rPr>
        <w:t>autrement</w:t>
      </w:r>
      <w:r>
        <w:rPr>
          <w:b/>
          <w:highlight w:val="yellow"/>
        </w:rPr>
        <w:t xml:space="preserve"> tenu de restituer au Fonds conformément à l</w:t>
      </w:r>
      <w:r w:rsidR="00541F55">
        <w:rPr>
          <w:b/>
          <w:highlight w:val="yellow"/>
        </w:rPr>
        <w:t xml:space="preserve">’article </w:t>
      </w:r>
      <w:r w:rsidRPr="008A5873">
        <w:rPr>
          <w:b/>
          <w:highlight w:val="yellow"/>
        </w:rPr>
        <w:fldChar w:fldCharType="begin"/>
      </w:r>
      <w:r w:rsidRPr="008A5873">
        <w:rPr>
          <w:b/>
          <w:highlight w:val="yellow"/>
        </w:rPr>
        <w:instrText xml:space="preserve"> REF _Ref40805031 \w \h  \* MERGEFORMAT </w:instrText>
      </w:r>
      <w:r w:rsidRPr="008A5873">
        <w:rPr>
          <w:b/>
          <w:highlight w:val="yellow"/>
        </w:rPr>
      </w:r>
      <w:r w:rsidRPr="008A5873">
        <w:rPr>
          <w:b/>
          <w:highlight w:val="yellow"/>
        </w:rPr>
        <w:fldChar w:fldCharType="separate"/>
      </w:r>
      <w:r w:rsidR="00B50BE2">
        <w:rPr>
          <w:b/>
          <w:highlight w:val="yellow"/>
        </w:rPr>
        <w:t>14.7(a)</w:t>
      </w:r>
      <w:r w:rsidRPr="008A5873">
        <w:rPr>
          <w:b/>
          <w:highlight w:val="yellow"/>
        </w:rPr>
        <w:fldChar w:fldCharType="end"/>
      </w:r>
      <w:r>
        <w:rPr>
          <w:b/>
          <w:highlight w:val="yellow"/>
        </w:rPr>
        <w:t xml:space="preserve"> (</w:t>
      </w:r>
      <w:r w:rsidRPr="008A5873" w:rsidR="00992703">
        <w:rPr>
          <w:b/>
          <w:i/>
          <w:highlight w:val="yellow"/>
        </w:rPr>
        <w:fldChar w:fldCharType="begin"/>
      </w:r>
      <w:r w:rsidRPr="008A5873" w:rsidR="00992703">
        <w:rPr>
          <w:b/>
          <w:i/>
          <w:highlight w:val="yellow"/>
        </w:rPr>
        <w:instrText xml:space="preserve"> REF _Ref85271165 \h  \* MERGEFORMAT </w:instrText>
      </w:r>
      <w:r w:rsidRPr="008A5873" w:rsidR="00992703">
        <w:rPr>
          <w:b/>
          <w:i/>
          <w:highlight w:val="yellow"/>
        </w:rPr>
      </w:r>
      <w:r w:rsidRPr="008A5873" w:rsidR="00992703">
        <w:rPr>
          <w:b/>
          <w:i/>
          <w:highlight w:val="yellow"/>
        </w:rPr>
        <w:fldChar w:fldCharType="separate"/>
      </w:r>
      <w:r w:rsidRPr="00B50BE2" w:rsidR="00B50BE2">
        <w:rPr>
          <w:b/>
          <w:i/>
          <w:highlight w:val="yellow"/>
        </w:rPr>
        <w:t>Recouvrement.</w:t>
      </w:r>
      <w:r w:rsidRPr="008A5873" w:rsidR="00992703">
        <w:rPr>
          <w:b/>
          <w:i/>
          <w:highlight w:val="yellow"/>
        </w:rPr>
        <w:fldChar w:fldCharType="end"/>
      </w:r>
      <w:r>
        <w:rPr>
          <w:b/>
          <w:highlight w:val="yellow"/>
        </w:rPr>
        <w:t xml:space="preserve">), </w:t>
      </w:r>
      <w:r w:rsidR="00541F55">
        <w:rPr>
          <w:b/>
          <w:highlight w:val="yellow"/>
        </w:rPr>
        <w:t xml:space="preserve">lequel </w:t>
      </w:r>
      <w:r>
        <w:rPr>
          <w:b/>
          <w:highlight w:val="yellow"/>
        </w:rPr>
        <w:t>montant sera distribué</w:t>
      </w:r>
      <w:r w:rsidR="00541F55">
        <w:rPr>
          <w:b/>
          <w:highlight w:val="yellow"/>
        </w:rPr>
        <w:t xml:space="preserve"> à l’Associé </w:t>
      </w:r>
      <w:r>
        <w:rPr>
          <w:b/>
          <w:highlight w:val="yellow"/>
        </w:rPr>
        <w:t>concerné conformément à ces dispositions.]</w:t>
      </w:r>
      <w:bookmarkStart w:name="_Ref113892884" w:id="717"/>
      <w:r>
        <w:rPr>
          <w:b/>
          <w:szCs w:val="22"/>
          <w:vertAlign w:val="superscript"/>
        </w:rPr>
        <w:footnoteReference w:id="138"/>
      </w:r>
      <w:bookmarkEnd w:id="714"/>
      <w:bookmarkEnd w:id="715"/>
      <w:bookmarkEnd w:id="717"/>
    </w:p>
    <w:p w:rsidR="0000160C" w:rsidRDefault="00C517ED" w14:paraId="0890E7F2" w14:textId="1341FF36">
      <w:pPr>
        <w:pStyle w:val="ArtBJStyL3"/>
        <w:rPr>
          <w:iCs/>
        </w:rPr>
      </w:pPr>
      <w:bookmarkStart w:name="_Ref47458282" w:id="718"/>
      <w:bookmarkStart w:name="_Ref85271038" w:id="719"/>
      <w:r>
        <w:rPr>
          <w:iCs/>
        </w:rPr>
        <w:t xml:space="preserve">Le </w:t>
      </w:r>
      <w:r w:rsidR="006C0EAD">
        <w:rPr>
          <w:iCs/>
        </w:rPr>
        <w:t>C</w:t>
      </w:r>
      <w:r>
        <w:rPr>
          <w:iCs/>
        </w:rPr>
        <w:t>ommandité doit s</w:t>
      </w:r>
      <w:r w:rsidR="00E27310">
        <w:rPr>
          <w:iCs/>
        </w:rPr>
        <w:t>’</w:t>
      </w:r>
      <w:r>
        <w:rPr>
          <w:iCs/>
        </w:rPr>
        <w:t xml:space="preserve">assurer que chaque </w:t>
      </w:r>
      <w:bookmarkStart w:name="_Ref113892885" w:id="720"/>
      <w:r w:rsidR="001E648F">
        <w:rPr>
          <w:iCs/>
        </w:rPr>
        <w:t>associé du Commandité</w:t>
      </w:r>
      <w:r>
        <w:rPr>
          <w:szCs w:val="22"/>
          <w:vertAlign w:val="superscript"/>
        </w:rPr>
        <w:footnoteReference w:id="139"/>
      </w:r>
      <w:bookmarkEnd w:id="720"/>
      <w:r>
        <w:rPr>
          <w:iCs/>
        </w:rPr>
        <w:t xml:space="preserve"> (qui, aux fins </w:t>
      </w:r>
      <w:r w:rsidR="001E648F">
        <w:rPr>
          <w:iCs/>
        </w:rPr>
        <w:t>du présent article</w:t>
      </w:r>
      <w:r>
        <w:rPr>
          <w:iCs/>
        </w:rPr>
        <w:t> </w:t>
      </w:r>
      <w:bookmarkEnd w:id="718"/>
      <w:r w:rsidR="00BE0681">
        <w:rPr>
          <w:iCs/>
        </w:rPr>
        <w:fldChar w:fldCharType="begin"/>
      </w:r>
      <w:r w:rsidR="00BE0681">
        <w:rPr>
          <w:iCs/>
        </w:rPr>
        <w:instrText xml:space="preserve"> REF _Ref85271038 \w \h </w:instrText>
      </w:r>
      <w:r w:rsidR="00BE0681">
        <w:rPr>
          <w:iCs/>
        </w:rPr>
      </w:r>
      <w:r w:rsidR="00BE0681">
        <w:rPr>
          <w:iCs/>
        </w:rPr>
        <w:fldChar w:fldCharType="separate"/>
      </w:r>
      <w:r w:rsidR="00B50BE2">
        <w:rPr>
          <w:iCs/>
        </w:rPr>
        <w:t>14.7(c)</w:t>
      </w:r>
      <w:r w:rsidR="00BE0681">
        <w:rPr>
          <w:iCs/>
        </w:rPr>
        <w:fldChar w:fldCharType="end"/>
      </w:r>
      <w:r>
        <w:rPr>
          <w:iCs/>
        </w:rPr>
        <w:t xml:space="preserve"> </w:t>
      </w:r>
      <w:r>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w:t>
      </w:r>
      <w:r>
        <w:rPr>
          <w:iCs/>
        </w:rPr>
        <w:t>, comprend chaque propriétaire indirect de c</w:t>
      </w:r>
      <w:r w:rsidR="001E648F">
        <w:rPr>
          <w:iCs/>
        </w:rPr>
        <w:t>et associé</w:t>
      </w:r>
      <w:r>
        <w:rPr>
          <w:iCs/>
        </w:rPr>
        <w:t xml:space="preserve">) qui a le droit de recevoir une </w:t>
      </w:r>
      <w:r w:rsidR="001E648F">
        <w:rPr>
          <w:iCs/>
        </w:rPr>
        <w:t>portion</w:t>
      </w:r>
      <w:r>
        <w:rPr>
          <w:iCs/>
        </w:rPr>
        <w:t xml:space="preserve"> </w:t>
      </w:r>
      <w:r w:rsidR="001E648F">
        <w:rPr>
          <w:iCs/>
        </w:rPr>
        <w:t>des Distributions spéciales</w:t>
      </w:r>
      <w:r>
        <w:rPr>
          <w:iCs/>
        </w:rPr>
        <w:t xml:space="preserve"> conclut un engagement en faveur du Fonds et au profit des </w:t>
      </w:r>
      <w:r w:rsidR="001E648F">
        <w:rPr>
          <w:iCs/>
        </w:rPr>
        <w:t>Commanditaires</w:t>
      </w:r>
      <w:r>
        <w:rPr>
          <w:iCs/>
        </w:rPr>
        <w:t xml:space="preserve"> en vertu duquel, si le </w:t>
      </w:r>
      <w:r w:rsidR="004C5C10">
        <w:rPr>
          <w:iCs/>
        </w:rPr>
        <w:t>C</w:t>
      </w:r>
      <w:r>
        <w:rPr>
          <w:iCs/>
        </w:rPr>
        <w:t xml:space="preserve">ommandité est tenu de </w:t>
      </w:r>
      <w:r w:rsidR="004C5C10">
        <w:rPr>
          <w:iCs/>
        </w:rPr>
        <w:t>faire un apport</w:t>
      </w:r>
      <w:r>
        <w:rPr>
          <w:iCs/>
        </w:rPr>
        <w:t xml:space="preserve"> au Fonds conformément à l</w:t>
      </w:r>
      <w:r w:rsidR="00E27310">
        <w:rPr>
          <w:iCs/>
        </w:rPr>
        <w:t>’</w:t>
      </w:r>
      <w:r>
        <w:rPr>
          <w:iCs/>
        </w:rPr>
        <w:t>article </w:t>
      </w:r>
      <w:r w:rsidRPr="00992703">
        <w:fldChar w:fldCharType="begin"/>
      </w:r>
      <w:r w:rsidRPr="00992703">
        <w:instrText xml:space="preserve"> REF _Ref40805031 \w \h </w:instrText>
      </w:r>
      <w:r w:rsidRPr="00992703" w:rsidR="00791303">
        <w:instrText xml:space="preserve"> \* MERGEFORMAT </w:instrText>
      </w:r>
      <w:r w:rsidRPr="00992703">
        <w:fldChar w:fldCharType="separate"/>
      </w:r>
      <w:r w:rsidR="00B50BE2">
        <w:t>14.7(a)</w:t>
      </w:r>
      <w:r w:rsidRPr="00992703">
        <w:fldChar w:fldCharType="end"/>
      </w:r>
      <w:r>
        <w:t xml:space="preserve"> (</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 ce</w:t>
      </w:r>
      <w:r w:rsidR="004C5C10">
        <w:t>t</w:t>
      </w:r>
      <w:r>
        <w:t xml:space="preserve"> </w:t>
      </w:r>
      <w:r w:rsidR="004C5C10">
        <w:t>associé</w:t>
      </w:r>
      <w:r>
        <w:t xml:space="preserve"> du </w:t>
      </w:r>
      <w:r w:rsidR="004C5C10">
        <w:t>C</w:t>
      </w:r>
      <w:r>
        <w:t xml:space="preserve">ommandité sera tenu, sur une base </w:t>
      </w:r>
      <w:r>
        <w:rPr>
          <w:b/>
          <w:bCs/>
          <w:highlight w:val="yellow"/>
        </w:rPr>
        <w:lastRenderedPageBreak/>
        <w:t>[</w:t>
      </w:r>
      <w:r w:rsidR="004C5C10">
        <w:rPr>
          <w:b/>
          <w:bCs/>
          <w:highlight w:val="yellow"/>
        </w:rPr>
        <w:t>solidaire/</w:t>
      </w:r>
      <w:r>
        <w:rPr>
          <w:b/>
          <w:bCs/>
          <w:highlight w:val="yellow"/>
        </w:rPr>
        <w:t>conjointe]</w:t>
      </w:r>
      <w:bookmarkStart w:name="_Ref113892886" w:id="721"/>
      <w:r>
        <w:rPr>
          <w:szCs w:val="22"/>
          <w:vertAlign w:val="superscript"/>
        </w:rPr>
        <w:footnoteReference w:id="140"/>
      </w:r>
      <w:bookmarkEnd w:id="721"/>
      <w:r>
        <w:t xml:space="preserve">, de payer directement au Fonds sa part proportionnelle </w:t>
      </w:r>
      <w:r w:rsidR="004C5C10">
        <w:t>du</w:t>
      </w:r>
      <w:r>
        <w:t xml:space="preserve"> montant </w:t>
      </w:r>
      <w:r w:rsidR="004C5C10">
        <w:t>de cet apport</w:t>
      </w:r>
      <w:r>
        <w:t xml:space="preserve"> (sur la base des montants reçus comme </w:t>
      </w:r>
      <w:r w:rsidR="004C5C10">
        <w:t>Distribution spéciale</w:t>
      </w:r>
      <w:r>
        <w:t xml:space="preserve">) dans la mesure où le </w:t>
      </w:r>
      <w:r w:rsidR="004C5C10">
        <w:t>C</w:t>
      </w:r>
      <w:r>
        <w:t>ommandité ne dispose pas de fonds suffisants ou a autrement manqué à ses obligations en vertu de l</w:t>
      </w:r>
      <w:r w:rsidR="00755403">
        <w:t xml:space="preserve">’article </w:t>
      </w:r>
      <w:r w:rsidRPr="00D52949">
        <w:fldChar w:fldCharType="begin"/>
      </w:r>
      <w:r w:rsidRPr="00D52949">
        <w:instrText xml:space="preserve"> REF _Ref40805031 \w \h </w:instrText>
      </w:r>
      <w:r w:rsidRPr="00D52949" w:rsidR="00791303">
        <w:instrText xml:space="preserve"> \* MERGEFORMAT </w:instrText>
      </w:r>
      <w:r w:rsidRPr="00D52949">
        <w:fldChar w:fldCharType="separate"/>
      </w:r>
      <w:r w:rsidR="00B50BE2">
        <w:t>14.7(a)</w:t>
      </w:r>
      <w:r w:rsidRPr="00D52949">
        <w:fldChar w:fldCharType="end"/>
      </w:r>
      <w:r>
        <w:t xml:space="preserve"> (</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 xml:space="preserve">). Le Fonds et les </w:t>
      </w:r>
      <w:r w:rsidR="00755403">
        <w:t>C</w:t>
      </w:r>
      <w:r>
        <w:t xml:space="preserve">ommanditaires seront des bénéficiaires directs et tiers, respectivement, de cet engagement et auront le droit de </w:t>
      </w:r>
      <w:r w:rsidR="00755403">
        <w:t>le faire respecter</w:t>
      </w:r>
      <w:r>
        <w:t>. To</w:t>
      </w:r>
      <w:r w:rsidR="00755403">
        <w:t>ut apport fait</w:t>
      </w:r>
      <w:r>
        <w:t xml:space="preserve"> au Fonds en vertu </w:t>
      </w:r>
      <w:r w:rsidR="00755403">
        <w:rPr>
          <w:iCs/>
        </w:rPr>
        <w:t>du présent article</w:t>
      </w:r>
      <w:r>
        <w:rPr>
          <w:iCs/>
        </w:rPr>
        <w:t> </w:t>
      </w:r>
      <w:r w:rsidR="00BE0681">
        <w:rPr>
          <w:iCs/>
        </w:rPr>
        <w:fldChar w:fldCharType="begin"/>
      </w:r>
      <w:r w:rsidR="00BE0681">
        <w:rPr>
          <w:iCs/>
        </w:rPr>
        <w:instrText xml:space="preserve"> REF _Ref85271038 \w \h </w:instrText>
      </w:r>
      <w:r w:rsidR="00BE0681">
        <w:rPr>
          <w:iCs/>
        </w:rPr>
      </w:r>
      <w:r w:rsidR="00BE0681">
        <w:rPr>
          <w:iCs/>
        </w:rPr>
        <w:fldChar w:fldCharType="separate"/>
      </w:r>
      <w:r w:rsidR="00B50BE2">
        <w:rPr>
          <w:iCs/>
        </w:rPr>
        <w:t>14.7(c)</w:t>
      </w:r>
      <w:r w:rsidR="00BE0681">
        <w:rPr>
          <w:iCs/>
        </w:rPr>
        <w:fldChar w:fldCharType="end"/>
      </w:r>
      <w:r>
        <w:rPr>
          <w:iCs/>
        </w:rPr>
        <w:t xml:space="preserve"> </w:t>
      </w:r>
      <w:r>
        <w:t>(</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w:t>
      </w:r>
      <w:r>
        <w:rPr>
          <w:iCs/>
        </w:rPr>
        <w:t xml:space="preserve"> </w:t>
      </w:r>
      <w:r w:rsidR="00755403">
        <w:rPr>
          <w:iCs/>
        </w:rPr>
        <w:t>doit être</w:t>
      </w:r>
      <w:r>
        <w:rPr>
          <w:iCs/>
        </w:rPr>
        <w:t xml:space="preserve"> distribué aux </w:t>
      </w:r>
      <w:r w:rsidR="00755403">
        <w:rPr>
          <w:iCs/>
        </w:rPr>
        <w:t>Co</w:t>
      </w:r>
      <w:r>
        <w:rPr>
          <w:iCs/>
        </w:rPr>
        <w:t xml:space="preserve">mmanditaires conformément à </w:t>
      </w:r>
      <w:r w:rsidR="00755403">
        <w:rPr>
          <w:iCs/>
        </w:rPr>
        <w:t>l’article</w:t>
      </w:r>
      <w:r>
        <w:rPr>
          <w:iCs/>
        </w:rPr>
        <w:t> </w:t>
      </w:r>
      <w:r w:rsidRPr="00D52949">
        <w:fldChar w:fldCharType="begin"/>
      </w:r>
      <w:r w:rsidRPr="00D52949">
        <w:instrText xml:space="preserve"> REF _Ref40805031 \w \h </w:instrText>
      </w:r>
      <w:r w:rsidRPr="00D52949" w:rsidR="00791303">
        <w:instrText xml:space="preserve"> \* MERGEFORMAT </w:instrText>
      </w:r>
      <w:r w:rsidRPr="00D52949">
        <w:fldChar w:fldCharType="separate"/>
      </w:r>
      <w:r w:rsidR="00B50BE2">
        <w:t>14.7(a)</w:t>
      </w:r>
      <w:r w:rsidRPr="00D52949">
        <w:fldChar w:fldCharType="end"/>
      </w:r>
      <w:r>
        <w:t xml:space="preserve"> (</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w:t>
      </w:r>
      <w:bookmarkStart w:name="_Ref113892887" w:id="722"/>
      <w:r>
        <w:rPr>
          <w:rStyle w:val="FootnoteReference"/>
        </w:rPr>
        <w:footnoteReference w:id="141"/>
      </w:r>
      <w:bookmarkEnd w:id="719"/>
      <w:bookmarkEnd w:id="722"/>
    </w:p>
    <w:p w:rsidR="0000160C" w:rsidRDefault="00C517ED" w14:paraId="3A1EECE1" w14:textId="6D68B89D">
      <w:pPr>
        <w:pStyle w:val="ArtBJStyL3"/>
      </w:pPr>
      <w:bookmarkStart w:name="_Ref113892611" w:id="723"/>
      <w:r>
        <w:t xml:space="preserve">Les obligations du </w:t>
      </w:r>
      <w:r w:rsidR="00755403">
        <w:rPr>
          <w:iCs/>
        </w:rPr>
        <w:t>C</w:t>
      </w:r>
      <w:r>
        <w:rPr>
          <w:iCs/>
        </w:rPr>
        <w:t>ommandité</w:t>
      </w:r>
      <w:r>
        <w:t xml:space="preserve"> et du </w:t>
      </w:r>
      <w:r w:rsidR="00C339BE">
        <w:t>F</w:t>
      </w:r>
      <w:r>
        <w:t xml:space="preserve">onds en vertu </w:t>
      </w:r>
      <w:r w:rsidR="00C339BE">
        <w:t>du présent article</w:t>
      </w:r>
      <w:r>
        <w:t> </w:t>
      </w:r>
      <w:r w:rsidR="00607930">
        <w:fldChar w:fldCharType="begin"/>
      </w:r>
      <w:r w:rsidR="00607930">
        <w:instrText xml:space="preserve"> REF _Ref85271165 \w \h </w:instrText>
      </w:r>
      <w:r w:rsidR="00607930">
        <w:fldChar w:fldCharType="separate"/>
      </w:r>
      <w:r w:rsidR="00B50BE2">
        <w:t>14.7</w:t>
      </w:r>
      <w:r w:rsidR="00607930">
        <w:fldChar w:fldCharType="end"/>
      </w:r>
      <w:r>
        <w:t xml:space="preserve"> (</w:t>
      </w:r>
      <w:r w:rsidRPr="00992703" w:rsidR="00992703">
        <w:rPr>
          <w:i/>
        </w:rPr>
        <w:fldChar w:fldCharType="begin"/>
      </w:r>
      <w:r w:rsidRPr="00992703" w:rsidR="00992703">
        <w:rPr>
          <w:i/>
        </w:rPr>
        <w:instrText xml:space="preserve"> REF _Ref85271165 \h  \* MERGEFORMAT </w:instrText>
      </w:r>
      <w:r w:rsidRPr="00992703" w:rsidR="00992703">
        <w:rPr>
          <w:i/>
        </w:rPr>
      </w:r>
      <w:r w:rsidRPr="00992703" w:rsidR="00992703">
        <w:rPr>
          <w:i/>
        </w:rPr>
        <w:fldChar w:fldCharType="separate"/>
      </w:r>
      <w:r w:rsidRPr="00B50BE2" w:rsidR="00B50BE2">
        <w:rPr>
          <w:i/>
        </w:rPr>
        <w:t>Recouvrement.</w:t>
      </w:r>
      <w:r w:rsidRPr="00992703" w:rsidR="00992703">
        <w:rPr>
          <w:i/>
        </w:rPr>
        <w:fldChar w:fldCharType="end"/>
      </w:r>
      <w:r>
        <w:t>) survivr</w:t>
      </w:r>
      <w:r w:rsidR="00C339BE">
        <w:t>ont</w:t>
      </w:r>
      <w:r>
        <w:t xml:space="preserve"> </w:t>
      </w:r>
      <w:bookmarkStart w:name="DocXTextRef136" w:id="724"/>
      <w:r>
        <w:t>(i)</w:t>
      </w:r>
      <w:bookmarkEnd w:id="724"/>
      <w:r>
        <w:t xml:space="preserve"> à la </w:t>
      </w:r>
      <w:r w:rsidR="00C339BE">
        <w:t>destitution</w:t>
      </w:r>
      <w:r>
        <w:t xml:space="preserve"> et au remplacement du </w:t>
      </w:r>
      <w:r w:rsidR="00C339BE">
        <w:t>C</w:t>
      </w:r>
      <w:r>
        <w:t xml:space="preserve">ommandité et du </w:t>
      </w:r>
      <w:r w:rsidR="00C339BE">
        <w:rPr>
          <w:iCs/>
        </w:rPr>
        <w:t>Gestionnaire</w:t>
      </w:r>
      <w:r>
        <w:t xml:space="preserve"> conformément à </w:t>
      </w:r>
      <w:r w:rsidR="00C339BE">
        <w:t>l’</w:t>
      </w:r>
      <w:r w:rsidRPr="00D52949">
        <w:fldChar w:fldCharType="begin"/>
      </w:r>
      <w:r w:rsidRPr="00D52949">
        <w:instrText xml:space="preserve"> REF _Ref40806970 \w \h </w:instrText>
      </w:r>
      <w:r w:rsidRPr="00D52949" w:rsidR="00791303">
        <w:instrText xml:space="preserve"> \* MERGEFORMAT </w:instrText>
      </w:r>
      <w:r w:rsidRPr="00D52949">
        <w:fldChar w:fldCharType="separate"/>
      </w:r>
      <w:r w:rsidR="00B50BE2">
        <w:t>Article 10</w:t>
      </w:r>
      <w:r w:rsidRPr="00D52949">
        <w:fldChar w:fldCharType="end"/>
      </w:r>
      <w:r>
        <w:t xml:space="preserve"> (</w:t>
      </w:r>
      <w:proofErr w:type="spellStart"/>
      <w:r w:rsidRPr="00992703" w:rsidR="00992703">
        <w:rPr>
          <w:i/>
        </w:rPr>
        <w:fldChar w:fldCharType="begin"/>
      </w:r>
      <w:r w:rsidRPr="00992703" w:rsidR="00992703">
        <w:rPr>
          <w:i/>
        </w:rPr>
        <w:instrText xml:space="preserve"> REF _Ref40806970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Destition</w:t>
      </w:r>
      <w:proofErr w:type="spellEnd"/>
      <w:r w:rsidRPr="00B50BE2" w:rsidR="00B50BE2">
        <w:rPr>
          <w:i/>
        </w:rPr>
        <w:t xml:space="preserve"> du commandité; R</w:t>
      </w:r>
      <w:r w:rsidRPr="00992703" w:rsidR="00992703">
        <w:rPr>
          <w:i/>
        </w:rPr>
        <w:fldChar w:fldCharType="end"/>
      </w:r>
      <w:r>
        <w:t xml:space="preserve">) et </w:t>
      </w:r>
      <w:bookmarkStart w:name="DocXTextRef137" w:id="725"/>
      <w:r>
        <w:t>(ii)</w:t>
      </w:r>
      <w:bookmarkEnd w:id="725"/>
      <w:r>
        <w:t xml:space="preserve"> la dissolution et la liquidation du Fonds, et s</w:t>
      </w:r>
      <w:r w:rsidR="00E27310">
        <w:t>’</w:t>
      </w:r>
      <w:r>
        <w:t>appliquer</w:t>
      </w:r>
      <w:r w:rsidR="00C339BE">
        <w:t>ont</w:t>
      </w:r>
      <w:r>
        <w:t xml:space="preserve"> en tout temps à tout ancien </w:t>
      </w:r>
      <w:r w:rsidR="00C339BE">
        <w:rPr>
          <w:iCs/>
        </w:rPr>
        <w:t>C</w:t>
      </w:r>
      <w:r>
        <w:rPr>
          <w:iCs/>
        </w:rPr>
        <w:t>ommandité</w:t>
      </w:r>
      <w:r>
        <w:t xml:space="preserve"> </w:t>
      </w:r>
      <w:r w:rsidR="00C339BE">
        <w:t>à l’égard</w:t>
      </w:r>
      <w:r>
        <w:t xml:space="preserve"> </w:t>
      </w:r>
      <w:r w:rsidR="00C339BE">
        <w:t>d</w:t>
      </w:r>
      <w:r>
        <w:t xml:space="preserve">es distributions auxquelles il a droit. </w:t>
      </w:r>
      <w:r w:rsidR="00C339BE">
        <w:t>Aux fins</w:t>
      </w:r>
      <w:r>
        <w:t xml:space="preserve"> du présent article  </w:t>
      </w:r>
      <w:r w:rsidR="004A0E93">
        <w:fldChar w:fldCharType="begin"/>
      </w:r>
      <w:r w:rsidR="004A0E93">
        <w:instrText xml:space="preserve"> REF _Ref85271165 \w \h </w:instrText>
      </w:r>
      <w:r w:rsidR="004A0E93">
        <w:fldChar w:fldCharType="separate"/>
      </w:r>
      <w:r w:rsidR="00B50BE2">
        <w:t>14.7</w:t>
      </w:r>
      <w:r w:rsidR="004A0E93">
        <w:fldChar w:fldCharType="end"/>
      </w:r>
      <w:r>
        <w:t xml:space="preserve"> (</w:t>
      </w:r>
      <w:r w:rsidRPr="003A3836" w:rsidR="00992703">
        <w:rPr>
          <w:i/>
        </w:rPr>
        <w:fldChar w:fldCharType="begin"/>
      </w:r>
      <w:r w:rsidRPr="003A3836" w:rsidR="00992703">
        <w:rPr>
          <w:i/>
        </w:rPr>
        <w:instrText xml:space="preserve"> REF _Ref85271165 \h </w:instrText>
      </w:r>
      <w:r w:rsidR="00992703">
        <w:rPr>
          <w:i/>
        </w:rPr>
        <w:instrText xml:space="preserve"> \* MERGEFORMAT </w:instrText>
      </w:r>
      <w:r w:rsidRPr="003A3836" w:rsidR="00992703">
        <w:rPr>
          <w:i/>
        </w:rPr>
      </w:r>
      <w:r w:rsidRPr="003A3836" w:rsidR="00992703">
        <w:rPr>
          <w:i/>
        </w:rPr>
        <w:fldChar w:fldCharType="separate"/>
      </w:r>
      <w:r w:rsidRPr="00B50BE2" w:rsidR="00B50BE2">
        <w:rPr>
          <w:i/>
        </w:rPr>
        <w:t>Recouvrement.</w:t>
      </w:r>
      <w:r w:rsidRPr="003A3836" w:rsidR="00992703">
        <w:rPr>
          <w:i/>
        </w:rPr>
        <w:fldChar w:fldCharType="end"/>
      </w:r>
      <w:r>
        <w:t xml:space="preserve">) la référence au « </w:t>
      </w:r>
      <w:r w:rsidR="00C339BE">
        <w:rPr>
          <w:iCs/>
        </w:rPr>
        <w:t>C</w:t>
      </w:r>
      <w:r>
        <w:rPr>
          <w:iCs/>
        </w:rPr>
        <w:t>ommandité »</w:t>
      </w:r>
      <w:r>
        <w:t xml:space="preserve"> inclut tout ancien </w:t>
      </w:r>
      <w:r w:rsidR="00C339BE">
        <w:rPr>
          <w:iCs/>
        </w:rPr>
        <w:t>C</w:t>
      </w:r>
      <w:r>
        <w:rPr>
          <w:iCs/>
        </w:rPr>
        <w:t>ommandité</w:t>
      </w:r>
      <w:r>
        <w:t>.</w:t>
      </w:r>
      <w:bookmarkEnd w:id="723"/>
    </w:p>
    <w:p w:rsidR="0000160C" w:rsidRDefault="00C517ED" w14:paraId="4F7255E5" w14:textId="77777777">
      <w:pPr>
        <w:pStyle w:val="ArtBJStyL2"/>
      </w:pPr>
      <w:bookmarkStart w:name="_Ref48201893" w:id="726"/>
      <w:bookmarkStart w:name="_Toc161762394" w:id="727"/>
      <w:r>
        <w:t>Comptes de capital.</w:t>
      </w:r>
      <w:bookmarkEnd w:id="726"/>
      <w:bookmarkEnd w:id="727"/>
    </w:p>
    <w:p w:rsidR="0000160C" w:rsidRDefault="00C517ED" w14:paraId="70560A14" w14:textId="118EC79F">
      <w:pPr>
        <w:pStyle w:val="ArtBJStyCont2"/>
      </w:pPr>
      <w:bookmarkStart w:name="_Ref40805251" w:id="728"/>
      <w:bookmarkStart w:name="_Ref48042512" w:id="729"/>
      <w:r>
        <w:t xml:space="preserve">Le </w:t>
      </w:r>
      <w:r w:rsidR="00C339BE">
        <w:t>C</w:t>
      </w:r>
      <w:r>
        <w:t xml:space="preserve">ommandité doit </w:t>
      </w:r>
      <w:r w:rsidR="00C339BE">
        <w:t>maintenir</w:t>
      </w:r>
      <w:r>
        <w:t xml:space="preserve"> un compte de capital distinct (un « </w:t>
      </w:r>
      <w:r w:rsidRPr="00C339BE" w:rsidR="00C339BE">
        <w:rPr>
          <w:b/>
          <w:bCs/>
        </w:rPr>
        <w:t>C</w:t>
      </w:r>
      <w:r>
        <w:rPr>
          <w:b/>
        </w:rPr>
        <w:t>ompte de capital</w:t>
      </w:r>
      <w:r>
        <w:t xml:space="preserve"> ») pour chaque </w:t>
      </w:r>
      <w:r w:rsidR="00C339BE">
        <w:t>Associé</w:t>
      </w:r>
      <w:r>
        <w:t xml:space="preserve"> et doit, sur réception d</w:t>
      </w:r>
      <w:r w:rsidR="00E27310">
        <w:t>’</w:t>
      </w:r>
      <w:r>
        <w:t>un montant relatif à l</w:t>
      </w:r>
      <w:r w:rsidR="00E27310">
        <w:t>’</w:t>
      </w:r>
      <w:r w:rsidR="00C339BE">
        <w:t>E</w:t>
      </w:r>
      <w:r>
        <w:t>ngagement d</w:t>
      </w:r>
      <w:r w:rsidR="00E27310">
        <w:t>’</w:t>
      </w:r>
      <w:r>
        <w:t xml:space="preserve">un </w:t>
      </w:r>
      <w:r w:rsidR="00C339BE">
        <w:t>Associé</w:t>
      </w:r>
      <w:r>
        <w:t xml:space="preserve">, créditer le </w:t>
      </w:r>
      <w:r w:rsidR="00C339BE">
        <w:t>C</w:t>
      </w:r>
      <w:r>
        <w:t>ompte de capital d</w:t>
      </w:r>
      <w:r w:rsidR="00C339BE">
        <w:t xml:space="preserve">e l’Associé </w:t>
      </w:r>
      <w:r>
        <w:t xml:space="preserve">de ce montant. Le </w:t>
      </w:r>
      <w:r w:rsidR="00C339BE">
        <w:t>C</w:t>
      </w:r>
      <w:r>
        <w:t xml:space="preserve">ommandité doit également créditer le </w:t>
      </w:r>
      <w:r w:rsidR="00C339BE">
        <w:t>C</w:t>
      </w:r>
      <w:r>
        <w:t xml:space="preserve">ompte de capital de chaque </w:t>
      </w:r>
      <w:r w:rsidR="00C339BE">
        <w:t>Associé</w:t>
      </w:r>
      <w:r>
        <w:t xml:space="preserve"> du montant de tous les revenus et gains du fonds attribués au </w:t>
      </w:r>
      <w:r w:rsidR="00040C15">
        <w:t>C</w:t>
      </w:r>
      <w:r>
        <w:t xml:space="preserve">ommandité et débiter le compte de capital du </w:t>
      </w:r>
      <w:r w:rsidR="00040C15">
        <w:t>C</w:t>
      </w:r>
      <w:r>
        <w:t xml:space="preserve">ommandité du montant de toutes les pertes du </w:t>
      </w:r>
      <w:r w:rsidR="00C339BE">
        <w:t>F</w:t>
      </w:r>
      <w:r>
        <w:t>onds attribué</w:t>
      </w:r>
      <w:r w:rsidR="00B85A5A">
        <w:t>es</w:t>
      </w:r>
      <w:r>
        <w:t xml:space="preserve"> </w:t>
      </w:r>
      <w:r w:rsidR="00C339BE">
        <w:t xml:space="preserve">à l’Associé </w:t>
      </w:r>
      <w:r>
        <w:t xml:space="preserve">et du montant de tous les fonds et de la juste valeur marchande de tout bien distribué de temps à autre par le </w:t>
      </w:r>
      <w:r w:rsidR="00C339BE">
        <w:t>F</w:t>
      </w:r>
      <w:r>
        <w:t xml:space="preserve">onds </w:t>
      </w:r>
      <w:r w:rsidR="00C339BE">
        <w:t>à l’Associé</w:t>
      </w:r>
      <w:r>
        <w:t xml:space="preserve">. </w:t>
      </w:r>
      <w:r w:rsidR="00C339BE">
        <w:t>La Participation</w:t>
      </w:r>
      <w:r>
        <w:t xml:space="preserve"> d</w:t>
      </w:r>
      <w:r w:rsidR="00E27310">
        <w:t>’</w:t>
      </w:r>
      <w:r>
        <w:t xml:space="preserve">un </w:t>
      </w:r>
      <w:r w:rsidR="00C339BE">
        <w:t>A</w:t>
      </w:r>
      <w:r>
        <w:t>ssocié ne prendra pas fin en raison d</w:t>
      </w:r>
      <w:r w:rsidR="00E27310">
        <w:t>’</w:t>
      </w:r>
      <w:r>
        <w:t xml:space="preserve">un solde négatif ou nul dans le </w:t>
      </w:r>
      <w:r w:rsidR="00C339BE">
        <w:t>C</w:t>
      </w:r>
      <w:r>
        <w:t>ompte de capital de l</w:t>
      </w:r>
      <w:r w:rsidR="00E27310">
        <w:t>’</w:t>
      </w:r>
      <w:r w:rsidR="00C339BE">
        <w:t>A</w:t>
      </w:r>
      <w:r>
        <w:t>ssocié.</w:t>
      </w:r>
    </w:p>
    <w:p w:rsidR="0000160C" w:rsidRDefault="00C517ED" w14:paraId="2FCDA3F1" w14:textId="77777777">
      <w:pPr>
        <w:pStyle w:val="ArtBJStyL2"/>
      </w:pPr>
      <w:bookmarkStart w:name="_Ref72504350" w:id="730"/>
      <w:bookmarkStart w:name="_Toc161762395" w:id="731"/>
      <w:r>
        <w:t>Détermination du résultat net.</w:t>
      </w:r>
      <w:bookmarkEnd w:id="728"/>
      <w:bookmarkEnd w:id="729"/>
      <w:bookmarkEnd w:id="730"/>
      <w:bookmarkEnd w:id="731"/>
    </w:p>
    <w:p w:rsidR="0000160C" w:rsidRDefault="00C517ED" w14:paraId="7F1725FF" w14:textId="3B127DE2">
      <w:pPr>
        <w:pStyle w:val="ArtBJStyCont2"/>
      </w:pPr>
      <w:r>
        <w:t xml:space="preserve">Le </w:t>
      </w:r>
      <w:r w:rsidR="00964F59">
        <w:t>revenu</w:t>
      </w:r>
      <w:r>
        <w:t xml:space="preserve"> net ou la perte nette du Fonds pour chaque </w:t>
      </w:r>
      <w:r w:rsidR="00964F59">
        <w:t>E</w:t>
      </w:r>
      <w:r>
        <w:t>xercice</w:t>
      </w:r>
      <w:r w:rsidR="00964F59">
        <w:t xml:space="preserve"> financier</w:t>
      </w:r>
      <w:r>
        <w:t xml:space="preserve"> est déterminé conformément aux PCGR.</w:t>
      </w:r>
      <w:bookmarkStart w:name="_Ref113892889" w:id="732"/>
      <w:r>
        <w:rPr>
          <w:szCs w:val="22"/>
          <w:vertAlign w:val="superscript"/>
        </w:rPr>
        <w:footnoteReference w:id="142"/>
      </w:r>
      <w:bookmarkEnd w:id="732"/>
    </w:p>
    <w:p w:rsidR="0000160C" w:rsidRDefault="001476F1" w14:paraId="3619927C" w14:textId="074A63AE">
      <w:pPr>
        <w:pStyle w:val="ArtBJStyL2"/>
      </w:pPr>
      <w:bookmarkStart w:name="_Ref40802079" w:id="733"/>
      <w:bookmarkStart w:name="_Toc161762396" w:id="734"/>
      <w:r>
        <w:t>Attribution</w:t>
      </w:r>
      <w:r w:rsidR="00C517ED">
        <w:t xml:space="preserve"> du </w:t>
      </w:r>
      <w:r w:rsidR="00964F59">
        <w:t>revenu</w:t>
      </w:r>
      <w:r w:rsidR="00C517ED">
        <w:t xml:space="preserve"> net</w:t>
      </w:r>
      <w:r w:rsidR="00964F59">
        <w:t xml:space="preserve"> ou de la perte nette</w:t>
      </w:r>
      <w:r w:rsidR="00C517ED">
        <w:t>.</w:t>
      </w:r>
      <w:bookmarkEnd w:id="733"/>
      <w:bookmarkEnd w:id="734"/>
    </w:p>
    <w:p w:rsidR="0000160C" w:rsidRDefault="00C517ED" w14:paraId="0E1579CA" w14:textId="0ED72A47">
      <w:pPr>
        <w:pStyle w:val="ArtBJStyCont2"/>
      </w:pPr>
      <w:r>
        <w:t xml:space="preserve">Le revenu net ou la perte nette du Fonds pour chaque </w:t>
      </w:r>
      <w:r w:rsidR="00964F59">
        <w:t>E</w:t>
      </w:r>
      <w:r>
        <w:t>xercice</w:t>
      </w:r>
      <w:r w:rsidR="00964F59">
        <w:t xml:space="preserve"> financier</w:t>
      </w:r>
      <w:r>
        <w:t xml:space="preserve"> doit être </w:t>
      </w:r>
      <w:r w:rsidR="00964F59">
        <w:t>attribué</w:t>
      </w:r>
      <w:r>
        <w:t xml:space="preserve"> entre le </w:t>
      </w:r>
      <w:r w:rsidR="00964F59">
        <w:t>C</w:t>
      </w:r>
      <w:r>
        <w:t>ommandité à la fin de l</w:t>
      </w:r>
      <w:r w:rsidR="00E27310">
        <w:t>’</w:t>
      </w:r>
      <w:r w:rsidR="00964F59">
        <w:t>E</w:t>
      </w:r>
      <w:r>
        <w:t>xercice</w:t>
      </w:r>
      <w:r w:rsidR="00964F59">
        <w:t xml:space="preserve"> financier</w:t>
      </w:r>
      <w:r>
        <w:t xml:space="preserve">, les </w:t>
      </w:r>
      <w:r w:rsidR="00964F59">
        <w:t>C</w:t>
      </w:r>
      <w:r>
        <w:t>ommanditaires à la fin de l</w:t>
      </w:r>
      <w:r w:rsidR="00E27310">
        <w:t>’</w:t>
      </w:r>
      <w:r w:rsidR="00964F59">
        <w:t>E</w:t>
      </w:r>
      <w:r>
        <w:t>xercice</w:t>
      </w:r>
      <w:r w:rsidR="00964F59">
        <w:t xml:space="preserve"> financier</w:t>
      </w:r>
      <w:r>
        <w:t xml:space="preserve"> et les </w:t>
      </w:r>
      <w:r w:rsidR="00964F59">
        <w:t>P</w:t>
      </w:r>
      <w:r>
        <w:t>ersonnes qui ont cessé d</w:t>
      </w:r>
      <w:r w:rsidR="00E27310">
        <w:t>’</w:t>
      </w:r>
      <w:r>
        <w:t xml:space="preserve">être </w:t>
      </w:r>
      <w:r w:rsidR="00964F59">
        <w:t>C</w:t>
      </w:r>
      <w:r>
        <w:t>ommanditaires au cours de l</w:t>
      </w:r>
      <w:r w:rsidR="00E27310">
        <w:t>’</w:t>
      </w:r>
      <w:r w:rsidR="00964F59">
        <w:t>E</w:t>
      </w:r>
      <w:r>
        <w:t>xercice</w:t>
      </w:r>
      <w:r w:rsidR="00964F59">
        <w:t xml:space="preserve"> financier</w:t>
      </w:r>
      <w:r>
        <w:t xml:space="preserve"> conformément </w:t>
      </w:r>
      <w:r w:rsidR="00964F59">
        <w:t>à la présente Convention</w:t>
      </w:r>
      <w:r>
        <w:t xml:space="preserve">, par le </w:t>
      </w:r>
      <w:r w:rsidR="00964F59">
        <w:t>C</w:t>
      </w:r>
      <w:r>
        <w:t>ommandité d</w:t>
      </w:r>
      <w:r w:rsidR="00E27310">
        <w:t>’</w:t>
      </w:r>
      <w:r>
        <w:t xml:space="preserve">une manière compatible avec les dispositions </w:t>
      </w:r>
      <w:r w:rsidR="00964F59">
        <w:t>relative</w:t>
      </w:r>
      <w:r w:rsidR="00B85A5A">
        <w:t>s</w:t>
      </w:r>
      <w:r w:rsidR="00964F59">
        <w:t xml:space="preserve"> à la distribution</w:t>
      </w:r>
      <w:r>
        <w:t xml:space="preserve"> énoncées dans </w:t>
      </w:r>
      <w:r w:rsidR="00BA232E">
        <w:t>le présent</w:t>
      </w:r>
      <w:r>
        <w:t xml:space="preserve"> </w:t>
      </w:r>
      <w:r w:rsidRPr="00D52949">
        <w:fldChar w:fldCharType="begin"/>
      </w:r>
      <w:r w:rsidRPr="00D52949">
        <w:instrText xml:space="preserve"> REF _Ref40807042 \r \h  \* MERGEFORMAT </w:instrText>
      </w:r>
      <w:r w:rsidRPr="00D52949">
        <w:fldChar w:fldCharType="separate"/>
      </w:r>
      <w:r w:rsidR="00B50BE2">
        <w:t>Article 14</w:t>
      </w:r>
      <w:r w:rsidRPr="00D52949">
        <w:fldChar w:fldCharType="end"/>
      </w:r>
      <w:r>
        <w:t xml:space="preserve"> (</w:t>
      </w:r>
      <w:r w:rsidRPr="00992703" w:rsidR="00992703">
        <w:rPr>
          <w:i/>
        </w:rPr>
        <w:fldChar w:fldCharType="begin"/>
      </w:r>
      <w:r w:rsidRPr="00992703" w:rsidR="00992703">
        <w:rPr>
          <w:i/>
        </w:rPr>
        <w:instrText xml:space="preserve"> REF _Ref40807042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 xml:space="preserve">DISTRIBUTIONS; </w:t>
      </w:r>
      <w:r w:rsidRPr="00992703" w:rsidR="00992703">
        <w:rPr>
          <w:i/>
        </w:rPr>
        <w:fldChar w:fldCharType="end"/>
      </w:r>
      <w:r>
        <w:t xml:space="preserve">). En attribuant ainsi le revenu net ou la perte nette, le </w:t>
      </w:r>
      <w:r w:rsidR="00964F59">
        <w:t>Co</w:t>
      </w:r>
      <w:r>
        <w:t xml:space="preserve">mmandité doit agir de façon raisonnable et équitable, en tenant compte du montant et du calendrier des distributions </w:t>
      </w:r>
      <w:r w:rsidR="00964F59">
        <w:t>actuelles</w:t>
      </w:r>
      <w:r>
        <w:t xml:space="preserve"> et prévues à chacun des </w:t>
      </w:r>
      <w:r w:rsidR="00964F59">
        <w:t>Associés</w:t>
      </w:r>
      <w:r>
        <w:t xml:space="preserve"> (y compris le </w:t>
      </w:r>
      <w:r w:rsidR="00964F59">
        <w:t>C</w:t>
      </w:r>
      <w:r>
        <w:t xml:space="preserve">ommandité) et </w:t>
      </w:r>
      <w:r w:rsidR="00964F59">
        <w:t xml:space="preserve">des </w:t>
      </w:r>
      <w:r>
        <w:t xml:space="preserve">anciens </w:t>
      </w:r>
      <w:r w:rsidR="00964F59">
        <w:t>Associés</w:t>
      </w:r>
      <w:r>
        <w:t>, en vue de s</w:t>
      </w:r>
      <w:r w:rsidR="00E27310">
        <w:t>’</w:t>
      </w:r>
      <w:r>
        <w:t xml:space="preserve">assurer que, pendant la durée du Fonds, chaque </w:t>
      </w:r>
      <w:r w:rsidR="001476F1">
        <w:t>Associé</w:t>
      </w:r>
      <w:r>
        <w:t xml:space="preserve"> (ou ancien </w:t>
      </w:r>
      <w:r w:rsidR="001476F1">
        <w:t>Associé</w:t>
      </w:r>
      <w:r>
        <w:t xml:space="preserve">) se voit </w:t>
      </w:r>
      <w:r>
        <w:lastRenderedPageBreak/>
        <w:t xml:space="preserve">attribuer une </w:t>
      </w:r>
      <w:r w:rsidR="00964F59">
        <w:t>portion</w:t>
      </w:r>
      <w:r>
        <w:t xml:space="preserve"> du revenu net du Fonds qui correspond </w:t>
      </w:r>
      <w:r w:rsidR="00964F59">
        <w:t>substantiellement</w:t>
      </w:r>
      <w:r>
        <w:t xml:space="preserve"> au revenu qui est distribué à ce</w:t>
      </w:r>
      <w:r w:rsidR="001476F1">
        <w:t>t Associé</w:t>
      </w:r>
      <w:r>
        <w:t xml:space="preserve"> (ou ancien </w:t>
      </w:r>
      <w:r w:rsidR="001476F1">
        <w:t>Associé</w:t>
      </w:r>
      <w:r>
        <w:t>).</w:t>
      </w:r>
    </w:p>
    <w:p w:rsidR="0000160C" w:rsidRDefault="00C517ED" w14:paraId="68EDEC95" w14:textId="77777777">
      <w:pPr>
        <w:pStyle w:val="ArtBJStyL2"/>
      </w:pPr>
      <w:bookmarkStart w:name="_Ref113892612" w:id="735"/>
      <w:bookmarkStart w:name="_Toc161762397" w:id="736"/>
      <w:r>
        <w:t>Calcul du revenu ou de la perte à des fins fiscales.</w:t>
      </w:r>
      <w:bookmarkEnd w:id="735"/>
      <w:bookmarkEnd w:id="736"/>
      <w:r>
        <w:rPr>
          <w:rFonts w:ascii="Times New Roman" w:hAnsi="Times New Roman"/>
          <w:b w:val="0"/>
          <w:sz w:val="16"/>
          <w:szCs w:val="24"/>
          <w:vertAlign w:val="superscript"/>
        </w:rPr>
        <w:t xml:space="preserve"> </w:t>
      </w:r>
    </w:p>
    <w:p w:rsidR="0000160C" w:rsidRDefault="00C517ED" w14:paraId="0A9A04CC" w14:textId="6DAF77F8">
      <w:pPr>
        <w:pStyle w:val="ArtBJStyCont2"/>
      </w:pPr>
      <w:r>
        <w:t xml:space="preserve">Le </w:t>
      </w:r>
      <w:r w:rsidR="001476F1">
        <w:t>Co</w:t>
      </w:r>
      <w:r>
        <w:t xml:space="preserve">mmandité peut, dans le calcul du revenu ou de la perte du Fonds </w:t>
      </w:r>
      <w:r w:rsidR="001476F1">
        <w:t>à des fins fiscales</w:t>
      </w:r>
      <w:r>
        <w:t xml:space="preserve">, adopter une méthode </w:t>
      </w:r>
      <w:r w:rsidR="001476F1">
        <w:t xml:space="preserve">comptable </w:t>
      </w:r>
      <w:r>
        <w:t>différente de celle exigée par l</w:t>
      </w:r>
      <w:r w:rsidR="001476F1">
        <w:t xml:space="preserve">’article </w:t>
      </w:r>
      <w:r w:rsidR="00607930">
        <w:fldChar w:fldCharType="begin"/>
      </w:r>
      <w:r w:rsidR="00607930">
        <w:instrText xml:space="preserve"> REF _Ref72504350 \w \h </w:instrText>
      </w:r>
      <w:r w:rsidR="00607930">
        <w:fldChar w:fldCharType="separate"/>
      </w:r>
      <w:r w:rsidR="00B50BE2">
        <w:t>14.9</w:t>
      </w:r>
      <w:r w:rsidR="00607930">
        <w:fldChar w:fldCharType="end"/>
      </w:r>
      <w:r>
        <w:t xml:space="preserve"> (</w:t>
      </w:r>
      <w:r w:rsidRPr="00992703" w:rsidR="00992703">
        <w:rPr>
          <w:i/>
        </w:rPr>
        <w:fldChar w:fldCharType="begin"/>
      </w:r>
      <w:r w:rsidRPr="00992703" w:rsidR="00992703">
        <w:rPr>
          <w:i/>
        </w:rPr>
        <w:instrText xml:space="preserve"> REF _Ref72504350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Détermination du résultat net.</w:t>
      </w:r>
      <w:r w:rsidRPr="00992703" w:rsidR="00992703">
        <w:rPr>
          <w:i/>
        </w:rPr>
        <w:fldChar w:fldCharType="end"/>
      </w:r>
      <w:r>
        <w:t xml:space="preserve">), adopter </w:t>
      </w:r>
      <w:r w:rsidR="001476F1">
        <w:t>différents traitements</w:t>
      </w:r>
      <w:r>
        <w:t xml:space="preserve"> pour des éléments particuliers, et faire et révoquer</w:t>
      </w:r>
      <w:r w:rsidR="001476F1">
        <w:t xml:space="preserve"> de tels choix</w:t>
      </w:r>
      <w:r>
        <w:t xml:space="preserve"> au nom du Fonds</w:t>
      </w:r>
      <w:r w:rsidR="001476F1">
        <w:t xml:space="preserve"> </w:t>
      </w:r>
      <w:r>
        <w:t xml:space="preserve">et des </w:t>
      </w:r>
      <w:r w:rsidR="001476F1">
        <w:t>Associés tel</w:t>
      </w:r>
      <w:r>
        <w:t xml:space="preserve"> que le </w:t>
      </w:r>
      <w:r w:rsidR="001476F1">
        <w:t>Commandité</w:t>
      </w:r>
      <w:r>
        <w:t xml:space="preserve"> juge approprié</w:t>
      </w:r>
      <w:r w:rsidR="001476F1">
        <w:t>s</w:t>
      </w:r>
      <w:r>
        <w:t xml:space="preserve"> afin de refléter les </w:t>
      </w:r>
      <w:r w:rsidR="001476F1">
        <w:t>modalités</w:t>
      </w:r>
      <w:r>
        <w:t xml:space="preserve"> </w:t>
      </w:r>
      <w:r w:rsidR="00E536D5">
        <w:t>de la présente Convention</w:t>
      </w:r>
      <w:r>
        <w:t xml:space="preserve">, à condition que la même méthode ou le même traitement soit adopté et que les mêmes choix soient faits et révoqués pour tous les </w:t>
      </w:r>
      <w:r w:rsidR="00D91D64">
        <w:t>Commanditaires</w:t>
      </w:r>
      <w:r>
        <w:t>.</w:t>
      </w:r>
    </w:p>
    <w:p w:rsidR="0000160C" w:rsidRDefault="00D91D64" w14:paraId="51B6B277" w14:textId="6656AC3E">
      <w:pPr>
        <w:pStyle w:val="ArtBJStyL2"/>
      </w:pPr>
      <w:bookmarkStart w:name="_Ref40805373" w:id="737"/>
      <w:bookmarkStart w:name="_Toc161762398" w:id="738"/>
      <w:r>
        <w:t>Attribution</w:t>
      </w:r>
      <w:r w:rsidR="00C517ED">
        <w:t xml:space="preserve"> du revenu ou de la perte</w:t>
      </w:r>
      <w:r>
        <w:t> à des fins fiscales</w:t>
      </w:r>
      <w:r w:rsidR="00C517ED">
        <w:t>.</w:t>
      </w:r>
      <w:bookmarkEnd w:id="737"/>
      <w:bookmarkEnd w:id="738"/>
    </w:p>
    <w:p w:rsidR="0000160C" w:rsidRDefault="00C517ED" w14:paraId="68E96D73" w14:textId="60AFA38C">
      <w:pPr>
        <w:pStyle w:val="ArtBJStyCont2"/>
      </w:pPr>
      <w:r>
        <w:t xml:space="preserve">Le revenu ou la perte du Fonds </w:t>
      </w:r>
      <w:r w:rsidR="00CA6599">
        <w:t>à des fins fiscales</w:t>
      </w:r>
      <w:r>
        <w:t xml:space="preserve"> pour un </w:t>
      </w:r>
      <w:r w:rsidR="00CA6599">
        <w:t>E</w:t>
      </w:r>
      <w:r>
        <w:t>xercice</w:t>
      </w:r>
      <w:r w:rsidR="00CA6599">
        <w:t xml:space="preserve"> financier</w:t>
      </w:r>
      <w:r>
        <w:t>, son revenu ou sa perte provenant d</w:t>
      </w:r>
      <w:r w:rsidR="00E27310">
        <w:t>’</w:t>
      </w:r>
      <w:r>
        <w:t>une source particulière ou d</w:t>
      </w:r>
      <w:r w:rsidR="00E27310">
        <w:t>’</w:t>
      </w:r>
      <w:r>
        <w:t xml:space="preserve">une source dans un endroit particulier, ainsi que ses gains en capital et ses pertes en capital, doivent être attribués aux </w:t>
      </w:r>
      <w:r w:rsidR="00CA6599">
        <w:t>Associés</w:t>
      </w:r>
      <w:r>
        <w:t xml:space="preserve"> dans les mêmes proportions que les montants sont attribués aux </w:t>
      </w:r>
      <w:r w:rsidR="00CA6599">
        <w:t>A</w:t>
      </w:r>
      <w:r>
        <w:t>ssociés conformément à l</w:t>
      </w:r>
      <w:r w:rsidR="00E27310">
        <w:t>’</w:t>
      </w:r>
      <w:r>
        <w:t>article </w:t>
      </w:r>
      <w:r w:rsidRPr="00D52949" w:rsidR="0044140B">
        <w:fldChar w:fldCharType="begin"/>
      </w:r>
      <w:r w:rsidRPr="00D52949" w:rsidR="0044140B">
        <w:instrText xml:space="preserve"> REF _Ref40802079 \r \h </w:instrText>
      </w:r>
      <w:r w:rsidRPr="00D52949" w:rsidR="00791303">
        <w:instrText xml:space="preserve"> \* MERGEFORMAT </w:instrText>
      </w:r>
      <w:r w:rsidRPr="00D52949" w:rsidR="0044140B">
        <w:fldChar w:fldCharType="separate"/>
      </w:r>
      <w:r w:rsidR="00B50BE2">
        <w:t>14.10</w:t>
      </w:r>
      <w:r w:rsidRPr="00D52949" w:rsidR="0044140B">
        <w:fldChar w:fldCharType="end"/>
      </w:r>
      <w:r>
        <w:t xml:space="preserve"> (</w:t>
      </w:r>
      <w:r w:rsidRPr="00992703" w:rsidR="00992703">
        <w:rPr>
          <w:i/>
        </w:rPr>
        <w:fldChar w:fldCharType="begin"/>
      </w:r>
      <w:r w:rsidRPr="00992703" w:rsidR="00992703">
        <w:rPr>
          <w:i/>
        </w:rPr>
        <w:instrText xml:space="preserve"> REF _Ref40802079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Attribution du revenu net ou de la perte nette.</w:t>
      </w:r>
      <w:r w:rsidRPr="00992703" w:rsidR="00992703">
        <w:rPr>
          <w:i/>
        </w:rPr>
        <w:fldChar w:fldCharType="end"/>
      </w:r>
      <w:r>
        <w:t xml:space="preserve">). </w:t>
      </w:r>
    </w:p>
    <w:p w:rsidR="0000160C" w:rsidRDefault="00C517ED" w14:paraId="5E18B608" w14:textId="77777777">
      <w:pPr>
        <w:pStyle w:val="ArtBJStyL2"/>
      </w:pPr>
      <w:bookmarkStart w:name="_Ref113892613" w:id="739"/>
      <w:bookmarkStart w:name="_Toc161762399" w:id="740"/>
      <w:r>
        <w:rPr>
          <w:highlight w:val="yellow"/>
        </w:rPr>
        <w:t>[Déclarations de revenus.]</w:t>
      </w:r>
      <w:bookmarkStart w:name="_Ref113892890" w:id="741"/>
      <w:r>
        <w:rPr>
          <w:rStyle w:val="FootnoteReference"/>
        </w:rPr>
        <w:footnoteReference w:id="143"/>
      </w:r>
      <w:bookmarkEnd w:id="739"/>
      <w:bookmarkEnd w:id="740"/>
      <w:bookmarkEnd w:id="741"/>
    </w:p>
    <w:p w:rsidR="0000160C" w:rsidRDefault="00C517ED" w14:paraId="750C4844" w14:textId="6DF44F59">
      <w:pPr>
        <w:pStyle w:val="ArtBJStyCont2"/>
        <w:rPr>
          <w:b/>
        </w:rPr>
      </w:pPr>
      <w:r>
        <w:rPr>
          <w:b/>
          <w:highlight w:val="yellow"/>
        </w:rPr>
        <w:t>[Chaque Associé doit, lorsqu</w:t>
      </w:r>
      <w:r w:rsidR="00E27310">
        <w:rPr>
          <w:b/>
          <w:highlight w:val="yellow"/>
        </w:rPr>
        <w:t>’</w:t>
      </w:r>
      <w:r>
        <w:rPr>
          <w:b/>
          <w:highlight w:val="yellow"/>
        </w:rPr>
        <w:t>il prépare et produit les documents qu</w:t>
      </w:r>
      <w:r w:rsidR="00E27310">
        <w:rPr>
          <w:b/>
          <w:highlight w:val="yellow"/>
        </w:rPr>
        <w:t>’</w:t>
      </w:r>
      <w:r>
        <w:rPr>
          <w:b/>
          <w:highlight w:val="yellow"/>
        </w:rPr>
        <w:t>il peut être tenu de préparer et de produire en vertu de la Loi de l</w:t>
      </w:r>
      <w:r w:rsidR="00E27310">
        <w:rPr>
          <w:b/>
          <w:highlight w:val="yellow"/>
        </w:rPr>
        <w:t>’</w:t>
      </w:r>
      <w:r>
        <w:rPr>
          <w:b/>
          <w:highlight w:val="yellow"/>
        </w:rPr>
        <w:t>impôt et d</w:t>
      </w:r>
      <w:r w:rsidR="00E27310">
        <w:rPr>
          <w:b/>
          <w:highlight w:val="yellow"/>
        </w:rPr>
        <w:t>’</w:t>
      </w:r>
      <w:r>
        <w:rPr>
          <w:b/>
          <w:highlight w:val="yellow"/>
        </w:rPr>
        <w:t xml:space="preserve">autres lois </w:t>
      </w:r>
      <w:r w:rsidR="00CA6599">
        <w:rPr>
          <w:b/>
          <w:highlight w:val="yellow"/>
        </w:rPr>
        <w:t>similaires</w:t>
      </w:r>
      <w:r>
        <w:rPr>
          <w:b/>
          <w:highlight w:val="yellow"/>
        </w:rPr>
        <w:t xml:space="preserve"> auxquelles il peut être assujetti, inclure</w:t>
      </w:r>
      <w:r w:rsidR="00CA6599">
        <w:rPr>
          <w:b/>
          <w:highlight w:val="yellow"/>
        </w:rPr>
        <w:t>,</w:t>
      </w:r>
      <w:r>
        <w:rPr>
          <w:b/>
          <w:highlight w:val="yellow"/>
        </w:rPr>
        <w:t xml:space="preserve"> dans son calcul du revenu</w:t>
      </w:r>
      <w:r w:rsidR="00CA6599">
        <w:rPr>
          <w:b/>
          <w:highlight w:val="yellow"/>
        </w:rPr>
        <w:t>,</w:t>
      </w:r>
      <w:r>
        <w:rPr>
          <w:b/>
          <w:highlight w:val="yellow"/>
        </w:rPr>
        <w:t xml:space="preserve"> le revenu ou la perte du Fonds </w:t>
      </w:r>
      <w:r w:rsidR="00CA6599">
        <w:rPr>
          <w:b/>
          <w:highlight w:val="yellow"/>
        </w:rPr>
        <w:t>à des fins fiscales, tel</w:t>
      </w:r>
      <w:r>
        <w:rPr>
          <w:b/>
          <w:highlight w:val="yellow"/>
        </w:rPr>
        <w:t xml:space="preserve"> qu</w:t>
      </w:r>
      <w:r w:rsidR="00CA6599">
        <w:rPr>
          <w:b/>
          <w:highlight w:val="yellow"/>
        </w:rPr>
        <w:t>’il</w:t>
      </w:r>
      <w:r>
        <w:rPr>
          <w:b/>
          <w:highlight w:val="yellow"/>
        </w:rPr>
        <w:t xml:space="preserve"> peut lui être déterminé et attribué en vertu </w:t>
      </w:r>
      <w:r w:rsidR="00BA232E">
        <w:rPr>
          <w:b/>
          <w:highlight w:val="yellow"/>
        </w:rPr>
        <w:t>du présent</w:t>
      </w:r>
      <w:r>
        <w:rPr>
          <w:b/>
          <w:highlight w:val="yellow"/>
        </w:rPr>
        <w:t xml:space="preserve"> </w:t>
      </w:r>
      <w:r w:rsidRPr="008A5873" w:rsidR="0044140B">
        <w:rPr>
          <w:b/>
          <w:highlight w:val="yellow"/>
        </w:rPr>
        <w:fldChar w:fldCharType="begin"/>
      </w:r>
      <w:r w:rsidRPr="008A5873" w:rsidR="0044140B">
        <w:rPr>
          <w:b/>
          <w:highlight w:val="yellow"/>
        </w:rPr>
        <w:instrText xml:space="preserve"> REF _Ref40807042 \r \h </w:instrText>
      </w:r>
      <w:r w:rsidRPr="008A5873" w:rsidR="00791303">
        <w:rPr>
          <w:b/>
          <w:highlight w:val="yellow"/>
        </w:rPr>
        <w:instrText xml:space="preserve"> \* MERGEFORMAT </w:instrText>
      </w:r>
      <w:r w:rsidRPr="008A5873" w:rsidR="0044140B">
        <w:rPr>
          <w:b/>
          <w:highlight w:val="yellow"/>
        </w:rPr>
      </w:r>
      <w:r w:rsidRPr="008A5873" w:rsidR="0044140B">
        <w:rPr>
          <w:b/>
          <w:highlight w:val="yellow"/>
        </w:rPr>
        <w:fldChar w:fldCharType="separate"/>
      </w:r>
      <w:r w:rsidR="00B50BE2">
        <w:rPr>
          <w:b/>
          <w:highlight w:val="yellow"/>
        </w:rPr>
        <w:t>Article 14</w:t>
      </w:r>
      <w:r w:rsidRPr="008A5873" w:rsidR="0044140B">
        <w:rPr>
          <w:b/>
          <w:highlight w:val="yellow"/>
        </w:rPr>
        <w:fldChar w:fldCharType="end"/>
      </w:r>
      <w:r>
        <w:rPr>
          <w:b/>
          <w:highlight w:val="yellow"/>
        </w:rPr>
        <w:t xml:space="preserve"> (</w:t>
      </w:r>
      <w:r w:rsidRPr="008A5873" w:rsidR="00992703">
        <w:rPr>
          <w:b/>
          <w:i/>
          <w:highlight w:val="yellow"/>
        </w:rPr>
        <w:fldChar w:fldCharType="begin"/>
      </w:r>
      <w:r w:rsidRPr="008A5873" w:rsidR="00992703">
        <w:rPr>
          <w:b/>
          <w:i/>
          <w:highlight w:val="yellow"/>
        </w:rPr>
        <w:instrText xml:space="preserve"> REF _Ref40807042 \h  \* MERGEFORMAT </w:instrText>
      </w:r>
      <w:r w:rsidRPr="008A5873" w:rsidR="00992703">
        <w:rPr>
          <w:b/>
          <w:i/>
          <w:highlight w:val="yellow"/>
        </w:rPr>
      </w:r>
      <w:r w:rsidRPr="008A5873" w:rsidR="00992703">
        <w:rPr>
          <w:b/>
          <w:i/>
          <w:highlight w:val="yellow"/>
        </w:rPr>
        <w:fldChar w:fldCharType="separate"/>
      </w:r>
      <w:proofErr w:type="gramStart"/>
      <w:r w:rsidRPr="00B50BE2" w:rsidR="00B50BE2">
        <w:rPr>
          <w:b/>
          <w:i/>
          <w:highlight w:val="yellow"/>
        </w:rPr>
        <w:t>DISTRIBUTIONS;</w:t>
      </w:r>
      <w:proofErr w:type="gramEnd"/>
      <w:r w:rsidRPr="00B50BE2" w:rsidR="00B50BE2">
        <w:rPr>
          <w:b/>
          <w:i/>
          <w:highlight w:val="yellow"/>
        </w:rPr>
        <w:t xml:space="preserve"> </w:t>
      </w:r>
      <w:r w:rsidRPr="008A5873" w:rsidR="00992703">
        <w:rPr>
          <w:b/>
          <w:i/>
          <w:highlight w:val="yellow"/>
        </w:rPr>
        <w:fldChar w:fldCharType="end"/>
      </w:r>
      <w:r>
        <w:rPr>
          <w:b/>
          <w:highlight w:val="yellow"/>
        </w:rPr>
        <w:t>).]</w:t>
      </w:r>
    </w:p>
    <w:p w:rsidR="0000160C" w:rsidRDefault="00C517ED" w14:paraId="733D401A" w14:textId="77777777">
      <w:pPr>
        <w:pStyle w:val="ArtBJStyL2"/>
      </w:pPr>
      <w:bookmarkStart w:name="_Toc63334150" w:id="742"/>
      <w:bookmarkStart w:name="_Ref113892614" w:id="743"/>
      <w:bookmarkStart w:name="_Toc161762400" w:id="744"/>
      <w:r>
        <w:t>Considérations</w:t>
      </w:r>
      <w:bookmarkEnd w:id="742"/>
      <w:r>
        <w:t xml:space="preserve"> fiscales.</w:t>
      </w:r>
      <w:bookmarkEnd w:id="743"/>
      <w:bookmarkEnd w:id="744"/>
    </w:p>
    <w:p w:rsidR="0000160C" w:rsidRDefault="00C517ED" w14:paraId="0FD118C3" w14:textId="2DD73EBA">
      <w:pPr>
        <w:pStyle w:val="ArtBJStyCont2"/>
      </w:pPr>
      <w:r>
        <w:t xml:space="preserve">En ce qui concerne les investissements </w:t>
      </w:r>
      <w:r w:rsidR="00CA6599">
        <w:t xml:space="preserve">non canadiens </w:t>
      </w:r>
      <w:r>
        <w:t xml:space="preserve">directs ou indirects par le Fonds, le </w:t>
      </w:r>
      <w:r w:rsidR="00CA6599">
        <w:t>C</w:t>
      </w:r>
      <w:r>
        <w:t xml:space="preserve">ommandité doit </w:t>
      </w:r>
      <w:r w:rsidR="00CA6599">
        <w:t>faire</w:t>
      </w:r>
      <w:r>
        <w:t xml:space="preserve"> des efforts raisonnables</w:t>
      </w:r>
      <w:r w:rsidR="00CA6599">
        <w:t xml:space="preserve"> sur le plan commercial</w:t>
      </w:r>
      <w:r>
        <w:t xml:space="preserve"> pour </w:t>
      </w:r>
      <w:r w:rsidR="00BB79AD">
        <w:t>faire en sorte que</w:t>
      </w:r>
      <w:r>
        <w:t xml:space="preserve"> le Fonds exerce ses activités d</w:t>
      </w:r>
      <w:r w:rsidR="00E27310">
        <w:t>’</w:t>
      </w:r>
      <w:r>
        <w:t xml:space="preserve">une manière qui ne serait pas raisonnablement susceptible de </w:t>
      </w:r>
      <w:r w:rsidR="00BB79AD">
        <w:t>faire en sorte</w:t>
      </w:r>
      <w:r>
        <w:t xml:space="preserve"> </w:t>
      </w:r>
      <w:r w:rsidR="00BB79AD">
        <w:t>qu’</w:t>
      </w:r>
      <w:r>
        <w:t xml:space="preserve">un </w:t>
      </w:r>
      <w:r w:rsidR="00BB79AD">
        <w:t>Commanditaire</w:t>
      </w:r>
      <w:r>
        <w:t xml:space="preserve"> </w:t>
      </w:r>
      <w:r w:rsidR="00BB79AD">
        <w:t>soit tenu</w:t>
      </w:r>
      <w:r>
        <w:t>, du seul fait qu</w:t>
      </w:r>
      <w:r w:rsidR="00E27310">
        <w:t>’</w:t>
      </w:r>
      <w:r>
        <w:t xml:space="preserve">il est </w:t>
      </w:r>
      <w:r w:rsidR="00BB79AD">
        <w:t>Commanditaire</w:t>
      </w:r>
      <w:r>
        <w:t xml:space="preserve"> du Fonds, soit </w:t>
      </w:r>
      <w:bookmarkStart w:name="DocXTextRef139" w:id="745"/>
      <w:r>
        <w:t>(i)</w:t>
      </w:r>
      <w:bookmarkEnd w:id="745"/>
      <w:r>
        <w:t xml:space="preserve"> de produire une déclaration de revenus dans cette juridiction non canadienne (sauf dans le cadre d</w:t>
      </w:r>
      <w:r w:rsidR="00E27310">
        <w:t>’</w:t>
      </w:r>
      <w:r>
        <w:t>une demande de remboursement</w:t>
      </w:r>
      <w:r w:rsidR="00BB79AD">
        <w:t xml:space="preserve">, </w:t>
      </w:r>
      <w:r>
        <w:t>de réduction ou d</w:t>
      </w:r>
      <w:r w:rsidR="00E27310">
        <w:t>’</w:t>
      </w:r>
      <w:r>
        <w:t>exonération de retenue</w:t>
      </w:r>
      <w:r w:rsidR="00BB79AD">
        <w:t xml:space="preserve"> </w:t>
      </w:r>
      <w:r>
        <w:t xml:space="preserve"> </w:t>
      </w:r>
      <w:r w:rsidR="00BB79AD">
        <w:t xml:space="preserve">à l’égard </w:t>
      </w:r>
      <w:r w:rsidR="0082726A">
        <w:t>de dettes</w:t>
      </w:r>
      <w:r w:rsidR="00BB79AD">
        <w:t xml:space="preserve"> fiscales</w:t>
      </w:r>
      <w:r>
        <w:t xml:space="preserve">), </w:t>
      </w:r>
      <w:r w:rsidR="00BB79AD">
        <w:t>ou</w:t>
      </w:r>
      <w:r>
        <w:t xml:space="preserve"> </w:t>
      </w:r>
      <w:bookmarkStart w:name="DocXTextRef140" w:id="746"/>
      <w:r>
        <w:t>(ii)</w:t>
      </w:r>
      <w:bookmarkEnd w:id="746"/>
      <w:r>
        <w:t xml:space="preserve"> de payer de l</w:t>
      </w:r>
      <w:r w:rsidR="00E27310">
        <w:t>’</w:t>
      </w:r>
      <w:r>
        <w:t>impôt sur le revenu dans cette juridiction non canadienne.</w:t>
      </w:r>
      <w:bookmarkStart w:name="_Ref113892891" w:id="747"/>
      <w:r>
        <w:rPr>
          <w:rStyle w:val="FootnoteReference"/>
        </w:rPr>
        <w:footnoteReference w:id="144"/>
      </w:r>
      <w:bookmarkEnd w:id="747"/>
    </w:p>
    <w:p w:rsidR="0000160C" w:rsidRDefault="00C517ED" w14:paraId="63AFB94B" w14:textId="4172F150">
      <w:pPr>
        <w:pStyle w:val="ArtBJStyL2"/>
      </w:pPr>
      <w:bookmarkStart w:name="_Ref113892615" w:id="748"/>
      <w:bookmarkStart w:name="_Toc161762401" w:id="749"/>
      <w:r>
        <w:t xml:space="preserve">Pas </w:t>
      </w:r>
      <w:r w:rsidR="00424072">
        <w:t>d’intérêts</w:t>
      </w:r>
      <w:r>
        <w:t>.</w:t>
      </w:r>
      <w:bookmarkEnd w:id="748"/>
      <w:bookmarkEnd w:id="749"/>
    </w:p>
    <w:p w:rsidR="0000160C" w:rsidRDefault="00C517ED" w14:paraId="676464E2" w14:textId="067465FF">
      <w:pPr>
        <w:pStyle w:val="ArtBJStyCont2"/>
      </w:pPr>
      <w:r>
        <w:t xml:space="preserve">Aucun Associé ne </w:t>
      </w:r>
      <w:r w:rsidR="00424072">
        <w:t>reçoit</w:t>
      </w:r>
      <w:r>
        <w:t xml:space="preserve"> d</w:t>
      </w:r>
      <w:r w:rsidR="00E27310">
        <w:t>’</w:t>
      </w:r>
      <w:r>
        <w:t xml:space="preserve">intérêts sur ses Apports </w:t>
      </w:r>
      <w:r w:rsidR="00424072">
        <w:t>de</w:t>
      </w:r>
      <w:r>
        <w:t xml:space="preserve"> </w:t>
      </w:r>
      <w:r w:rsidR="00424072">
        <w:t>c</w:t>
      </w:r>
      <w:r>
        <w:t xml:space="preserve">apital ou sur le solde de son Compte de </w:t>
      </w:r>
      <w:r w:rsidR="00424072">
        <w:t>c</w:t>
      </w:r>
      <w:r>
        <w:t>apital.</w:t>
      </w:r>
    </w:p>
    <w:p w:rsidR="0000160C" w:rsidRDefault="00C517ED" w14:paraId="117F2EDC" w14:textId="28E67A64">
      <w:pPr>
        <w:pStyle w:val="ArtBJStyL2"/>
      </w:pPr>
      <w:bookmarkStart w:name="_Ref45626879" w:id="750"/>
      <w:bookmarkStart w:name="_Ref120787469" w:id="751"/>
      <w:bookmarkStart w:name="_Toc161762402" w:id="752"/>
      <w:r>
        <w:lastRenderedPageBreak/>
        <w:t xml:space="preserve">Droit de </w:t>
      </w:r>
      <w:bookmarkEnd w:id="750"/>
      <w:bookmarkEnd w:id="751"/>
      <w:r w:rsidR="00424072">
        <w:t>compensation</w:t>
      </w:r>
      <w:bookmarkEnd w:id="752"/>
    </w:p>
    <w:p w:rsidR="0000160C" w:rsidRDefault="00C517ED" w14:paraId="573571F5" w14:textId="0EBD9F1B">
      <w:pPr>
        <w:pStyle w:val="ArtBJStyCont2"/>
      </w:pPr>
      <w:r>
        <w:t>Lorsqu</w:t>
      </w:r>
      <w:r w:rsidR="00E27310">
        <w:t>’</w:t>
      </w:r>
      <w:r>
        <w:t xml:space="preserve">un </w:t>
      </w:r>
      <w:r w:rsidR="00424072">
        <w:t>Commanditaire</w:t>
      </w:r>
      <w:r>
        <w:t xml:space="preserve"> doit un montant ou a </w:t>
      </w:r>
      <w:r w:rsidR="00424072">
        <w:t>encouru</w:t>
      </w:r>
      <w:r>
        <w:t xml:space="preserve"> une </w:t>
      </w:r>
      <w:r w:rsidR="0082726A">
        <w:t>dette</w:t>
      </w:r>
      <w:r>
        <w:t xml:space="preserve"> envers le Fonds en vertu </w:t>
      </w:r>
      <w:r w:rsidR="00E536D5">
        <w:t>de la présente Convention</w:t>
      </w:r>
      <w:r>
        <w:t xml:space="preserve">, le </w:t>
      </w:r>
      <w:r w:rsidR="000B3C5F">
        <w:t>C</w:t>
      </w:r>
      <w:r>
        <w:t xml:space="preserve">ommandité peut </w:t>
      </w:r>
      <w:r w:rsidRPr="00C02184">
        <w:t>compenser</w:t>
      </w:r>
      <w:r>
        <w:t xml:space="preserve"> le montant de cette </w:t>
      </w:r>
      <w:r w:rsidR="0082726A">
        <w:t>dette</w:t>
      </w:r>
      <w:r>
        <w:t xml:space="preserve"> par rapport à toute somme qui serait autrement due à ce </w:t>
      </w:r>
      <w:r w:rsidR="000B3C5F">
        <w:t>Commanditaire</w:t>
      </w:r>
      <w:r>
        <w:t xml:space="preserve"> en vertu </w:t>
      </w:r>
      <w:r w:rsidR="00E536D5">
        <w:t>de la présente Convention</w:t>
      </w:r>
      <w:r>
        <w:t xml:space="preserve">. Tout exercice par le </w:t>
      </w:r>
      <w:r w:rsidR="000B3C5F">
        <w:t>C</w:t>
      </w:r>
      <w:r>
        <w:t xml:space="preserve">ommandité du droit de </w:t>
      </w:r>
      <w:r w:rsidRPr="00C02184">
        <w:t>compensation</w:t>
      </w:r>
      <w:r w:rsidR="00C02184">
        <w:rPr>
          <w:b/>
          <w:bCs/>
        </w:rPr>
        <w:t xml:space="preserve"> </w:t>
      </w:r>
      <w:r>
        <w:t xml:space="preserve">en vertu </w:t>
      </w:r>
      <w:r w:rsidR="000B3C5F">
        <w:t>du présent article</w:t>
      </w:r>
      <w:r>
        <w:t> </w:t>
      </w:r>
      <w:r w:rsidRPr="00D52949">
        <w:fldChar w:fldCharType="begin"/>
      </w:r>
      <w:r w:rsidRPr="00D52949">
        <w:instrText xml:space="preserve"> REF _Ref45626879 \r \h </w:instrText>
      </w:r>
      <w:r w:rsidRPr="00D52949" w:rsidR="00791303">
        <w:instrText xml:space="preserve"> \* MERGEFORMAT </w:instrText>
      </w:r>
      <w:r w:rsidRPr="00D52949">
        <w:fldChar w:fldCharType="separate"/>
      </w:r>
      <w:r w:rsidR="00B50BE2">
        <w:t>14.16</w:t>
      </w:r>
      <w:r w:rsidRPr="00D52949">
        <w:fldChar w:fldCharType="end"/>
      </w:r>
      <w:r>
        <w:t xml:space="preserve"> (</w:t>
      </w:r>
      <w:r w:rsidRPr="00BD2FE6" w:rsidR="00BD2FE6">
        <w:rPr>
          <w:i/>
        </w:rPr>
        <w:fldChar w:fldCharType="begin"/>
      </w:r>
      <w:r w:rsidRPr="00BD2FE6" w:rsidR="00BD2FE6">
        <w:rPr>
          <w:i/>
        </w:rPr>
        <w:instrText xml:space="preserve"> REF _Ref120787469 \h  \* MERGEFORMAT </w:instrText>
      </w:r>
      <w:r w:rsidRPr="00BD2FE6" w:rsidR="00BD2FE6">
        <w:rPr>
          <w:i/>
        </w:rPr>
      </w:r>
      <w:r w:rsidRPr="00BD2FE6" w:rsidR="00BD2FE6">
        <w:rPr>
          <w:i/>
        </w:rPr>
        <w:fldChar w:fldCharType="separate"/>
      </w:r>
      <w:r w:rsidRPr="00B50BE2" w:rsidR="00B50BE2">
        <w:rPr>
          <w:i/>
        </w:rPr>
        <w:t xml:space="preserve">Droit de </w:t>
      </w:r>
      <w:r w:rsidRPr="00BD2FE6" w:rsidR="00BD2FE6">
        <w:rPr>
          <w:i/>
        </w:rPr>
        <w:fldChar w:fldCharType="end"/>
      </w:r>
      <w:r>
        <w:t xml:space="preserve">) </w:t>
      </w:r>
      <w:r w:rsidR="000B3C5F">
        <w:t xml:space="preserve">ne portera pas atteinte aux </w:t>
      </w:r>
      <w:r>
        <w:t>autre</w:t>
      </w:r>
      <w:r w:rsidR="000B3C5F">
        <w:t>s</w:t>
      </w:r>
      <w:r>
        <w:t xml:space="preserve"> droit</w:t>
      </w:r>
      <w:r w:rsidR="000B3C5F">
        <w:t>s</w:t>
      </w:r>
      <w:r>
        <w:t xml:space="preserve"> ou recours dont dispose le Fonds en vertu </w:t>
      </w:r>
      <w:r w:rsidR="00E536D5">
        <w:t>de la présente Convention</w:t>
      </w:r>
      <w:r>
        <w:t xml:space="preserve"> ou autrement.</w:t>
      </w:r>
    </w:p>
    <w:p w:rsidR="0000160C" w:rsidRDefault="00C517ED" w14:paraId="38619B25" w14:textId="5B2951A0">
      <w:pPr>
        <w:pStyle w:val="ArtBJStyL2"/>
      </w:pPr>
      <w:bookmarkStart w:name="_Ref53086368" w:id="753"/>
      <w:bookmarkStart w:name="_Ref47563377" w:id="754"/>
      <w:bookmarkStart w:name="_Toc161762403" w:id="755"/>
      <w:r>
        <w:t>Choix en matière d</w:t>
      </w:r>
      <w:r w:rsidR="00E27310">
        <w:t>’</w:t>
      </w:r>
      <w:r>
        <w:t>impôt sur le revenu et déclarations de renseignements.</w:t>
      </w:r>
      <w:bookmarkEnd w:id="753"/>
      <w:bookmarkEnd w:id="754"/>
      <w:bookmarkEnd w:id="755"/>
    </w:p>
    <w:p w:rsidR="0000160C" w:rsidRDefault="00C517ED" w14:paraId="1389BDCD" w14:textId="0CA3D912">
      <w:pPr>
        <w:pStyle w:val="ArtBJStyL3"/>
      </w:pPr>
      <w:bookmarkStart w:name="_Ref47563369" w:id="756"/>
      <w:r>
        <w:t xml:space="preserve">Le </w:t>
      </w:r>
      <w:r w:rsidR="000B3C5F">
        <w:t>C</w:t>
      </w:r>
      <w:r>
        <w:t xml:space="preserve">ommandité peut faire, au nom du Fonds et au nom de chaque </w:t>
      </w:r>
      <w:r w:rsidR="000B3C5F">
        <w:t>Commanditaire</w:t>
      </w:r>
      <w:r>
        <w:t>, à l</w:t>
      </w:r>
      <w:r w:rsidR="00E27310">
        <w:t>’</w:t>
      </w:r>
      <w:r>
        <w:t xml:space="preserve">égard de </w:t>
      </w:r>
      <w:r w:rsidR="000B3C5F">
        <w:t>la Participation de tout Associé</w:t>
      </w:r>
      <w:r>
        <w:t xml:space="preserve"> dans le Fonds</w:t>
      </w:r>
      <w:r w:rsidR="00F7025C">
        <w:t>,</w:t>
      </w:r>
      <w:r>
        <w:t xml:space="preserve"> et au nom de toute autre </w:t>
      </w:r>
      <w:r w:rsidR="00F7025C">
        <w:t>P</w:t>
      </w:r>
      <w:r>
        <w:t xml:space="preserve">ersonne qui a délégué ce pouvoir au </w:t>
      </w:r>
      <w:r w:rsidR="00F7025C">
        <w:t>C</w:t>
      </w:r>
      <w:r>
        <w:t>ommandité, des choix, déterminations ou désignations en vertu de la Loi de l</w:t>
      </w:r>
      <w:r w:rsidR="00E27310">
        <w:t>’</w:t>
      </w:r>
      <w:r>
        <w:t>impôt ou de toute disposition d</w:t>
      </w:r>
      <w:r w:rsidR="00E27310">
        <w:t>’</w:t>
      </w:r>
      <w:r>
        <w:t xml:space="preserve">une </w:t>
      </w:r>
      <w:r w:rsidRPr="00F7025C">
        <w:rPr>
          <w:bCs/>
        </w:rPr>
        <w:t xml:space="preserve">loi provinciale, </w:t>
      </w:r>
      <w:r w:rsidR="00F7025C">
        <w:rPr>
          <w:bCs/>
        </w:rPr>
        <w:t>étatique</w:t>
      </w:r>
      <w:r w:rsidRPr="00F7025C">
        <w:rPr>
          <w:bCs/>
        </w:rPr>
        <w:t xml:space="preserve">, locale ou étrangère, et il doit donner à un </w:t>
      </w:r>
      <w:r w:rsidR="00F7025C">
        <w:rPr>
          <w:bCs/>
        </w:rPr>
        <w:t>Commanditaire un préavis</w:t>
      </w:r>
      <w:r w:rsidRPr="00F7025C">
        <w:rPr>
          <w:b/>
        </w:rPr>
        <w:t xml:space="preserve"> </w:t>
      </w:r>
      <w:r>
        <w:rPr>
          <w:b/>
          <w:highlight w:val="yellow"/>
        </w:rPr>
        <w:t>[</w:t>
      </w:r>
      <w:r w:rsidR="00040C15">
        <w:rPr>
          <w:b/>
          <w:highlight w:val="yellow"/>
        </w:rPr>
        <w:t>5</w:t>
      </w:r>
      <w:r>
        <w:rPr>
          <w:b/>
          <w:highlight w:val="yellow"/>
        </w:rPr>
        <w:t xml:space="preserve"> </w:t>
      </w:r>
      <w:r w:rsidR="00F7025C">
        <w:rPr>
          <w:b/>
          <w:highlight w:val="yellow"/>
        </w:rPr>
        <w:t>J</w:t>
      </w:r>
      <w:r>
        <w:rPr>
          <w:b/>
          <w:highlight w:val="yellow"/>
        </w:rPr>
        <w:t>ours ouvrables]</w:t>
      </w:r>
      <w:r>
        <w:t xml:space="preserve"> de son intention de faire, au nom de ce </w:t>
      </w:r>
      <w:r w:rsidR="00F7025C">
        <w:t>Commanditaire</w:t>
      </w:r>
      <w:r>
        <w:t xml:space="preserve">, un tel choix, détermination ou désignation. Le </w:t>
      </w:r>
      <w:r w:rsidR="00F7025C">
        <w:t>C</w:t>
      </w:r>
      <w:r>
        <w:t xml:space="preserve">ommandité doit produire, au nom du </w:t>
      </w:r>
      <w:r w:rsidR="00F7025C">
        <w:t>C</w:t>
      </w:r>
      <w:r>
        <w:t xml:space="preserve">ommandité et des </w:t>
      </w:r>
      <w:r w:rsidR="00F7025C">
        <w:t>Commanditaire</w:t>
      </w:r>
      <w:r w:rsidR="00B85A5A">
        <w:t>s</w:t>
      </w:r>
      <w:r>
        <w:t>, toute déclaration de renseignements exigée relativement aux activités du Fonds en vertu de la Loi de l</w:t>
      </w:r>
      <w:r w:rsidR="00E27310">
        <w:t>’</w:t>
      </w:r>
      <w:r>
        <w:t xml:space="preserve">impôt ou de toute autre loi fiscale ou autre loi </w:t>
      </w:r>
      <w:r w:rsidR="00225C59">
        <w:t>similaire</w:t>
      </w:r>
      <w:r>
        <w:t xml:space="preserve"> du Canada</w:t>
      </w:r>
      <w:r w:rsidR="00225C59">
        <w:t xml:space="preserve">, </w:t>
      </w:r>
      <w:r>
        <w:t xml:space="preserve">de toute province ou </w:t>
      </w:r>
      <w:r w:rsidR="00225C59">
        <w:t>d’une autre</w:t>
      </w:r>
      <w:r>
        <w:t xml:space="preserve"> juridiction. Nonobstant ce qui précède, le </w:t>
      </w:r>
      <w:r w:rsidR="00225C59">
        <w:t>C</w:t>
      </w:r>
      <w:r>
        <w:t xml:space="preserve">ommandité ne doit pas, sans le consentement écrit préalable du </w:t>
      </w:r>
      <w:r w:rsidR="00225C59">
        <w:t>C</w:t>
      </w:r>
      <w:r>
        <w:t xml:space="preserve">ommanditaire concerné, produire des déclarations fiscales au nom de ce </w:t>
      </w:r>
      <w:r w:rsidR="00225C59">
        <w:t>C</w:t>
      </w:r>
      <w:r>
        <w:t xml:space="preserve">ommanditaire qui font des </w:t>
      </w:r>
      <w:r w:rsidR="00225C59">
        <w:t>déclarations</w:t>
      </w:r>
      <w:r>
        <w:t xml:space="preserve"> au nom de ce </w:t>
      </w:r>
      <w:r w:rsidR="00225C59">
        <w:t>C</w:t>
      </w:r>
      <w:r>
        <w:t xml:space="preserve">ommanditaire ou qui affectent les obligations </w:t>
      </w:r>
      <w:r w:rsidR="00225C59">
        <w:t xml:space="preserve">directes de ce Commanditaire en matière </w:t>
      </w:r>
      <w:r>
        <w:t>de paiement</w:t>
      </w:r>
      <w:r w:rsidR="00225C59">
        <w:t xml:space="preserve"> d’impôts</w:t>
      </w:r>
      <w:r>
        <w:t xml:space="preserve"> ou de </w:t>
      </w:r>
      <w:r w:rsidR="008A5234">
        <w:t>déclarations fiscales</w:t>
      </w:r>
      <w:r>
        <w:t>. Cela n</w:t>
      </w:r>
      <w:r w:rsidR="00E27310">
        <w:t>’</w:t>
      </w:r>
      <w:r>
        <w:t xml:space="preserve">a aucune incidence sur la capacité du </w:t>
      </w:r>
      <w:r w:rsidR="008A5234">
        <w:t>C</w:t>
      </w:r>
      <w:r>
        <w:t xml:space="preserve">ommandité de produire des déclarations </w:t>
      </w:r>
      <w:r w:rsidR="008A5234">
        <w:t>fiscales</w:t>
      </w:r>
      <w:r>
        <w:t xml:space="preserve"> au nom du Fonds, y compris des déclarations qui font référence à un </w:t>
      </w:r>
      <w:r w:rsidR="008A5234">
        <w:t>C</w:t>
      </w:r>
      <w:r>
        <w:t>ommanditaire.</w:t>
      </w:r>
      <w:bookmarkEnd w:id="756"/>
    </w:p>
    <w:p w:rsidR="0000160C" w:rsidRDefault="00C517ED" w14:paraId="26430F68" w14:textId="4FE8DC42">
      <w:pPr>
        <w:pStyle w:val="ArtBJStyL3"/>
      </w:pPr>
      <w:bookmarkStart w:name="_Ref113892616" w:id="757"/>
      <w:r>
        <w:t xml:space="preserve">Sauf en ce qui concerne toute déclaration </w:t>
      </w:r>
      <w:r w:rsidR="008A5234">
        <w:t>fiscale</w:t>
      </w:r>
      <w:r>
        <w:t xml:space="preserve"> qui est l</w:t>
      </w:r>
      <w:r w:rsidR="00E27310">
        <w:t>’</w:t>
      </w:r>
      <w:r>
        <w:t xml:space="preserve">obligation du </w:t>
      </w:r>
      <w:r w:rsidR="008A5234">
        <w:t>C</w:t>
      </w:r>
      <w:r>
        <w:t xml:space="preserve">ommandité </w:t>
      </w:r>
      <w:r w:rsidR="008A5234">
        <w:t>au nom des Associés</w:t>
      </w:r>
      <w:r>
        <w:t xml:space="preserve"> en vertu du présent article </w:t>
      </w:r>
      <w:r w:rsidRPr="00D52949">
        <w:fldChar w:fldCharType="begin"/>
      </w:r>
      <w:r w:rsidRPr="00D52949">
        <w:instrText xml:space="preserve"> REF _Ref53086368 \w \h </w:instrText>
      </w:r>
      <w:r w:rsidRPr="00D52949" w:rsidR="00791303">
        <w:instrText xml:space="preserve"> \* MERGEFORMAT </w:instrText>
      </w:r>
      <w:r w:rsidRPr="00D52949">
        <w:fldChar w:fldCharType="separate"/>
      </w:r>
      <w:r w:rsidR="00B50BE2">
        <w:t>14.17</w:t>
      </w:r>
      <w:r w:rsidRPr="00D52949">
        <w:fldChar w:fldCharType="end"/>
      </w:r>
      <w:r>
        <w:t xml:space="preserve"> (</w:t>
      </w:r>
      <w:r w:rsidRPr="00992703" w:rsidR="00992703">
        <w:rPr>
          <w:i/>
        </w:rPr>
        <w:fldChar w:fldCharType="begin"/>
      </w:r>
      <w:r w:rsidRPr="00992703" w:rsidR="00992703">
        <w:rPr>
          <w:i/>
        </w:rPr>
        <w:instrText xml:space="preserve"> REF _Ref53086368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Choix en matière d’impôt sur le revenu et déclarations de renseignements.</w:t>
      </w:r>
      <w:r w:rsidRPr="00992703" w:rsidR="00992703">
        <w:rPr>
          <w:i/>
        </w:rPr>
        <w:fldChar w:fldCharType="end"/>
      </w:r>
      <w:r>
        <w:t xml:space="preserve">), chaque </w:t>
      </w:r>
      <w:r w:rsidR="008A5234">
        <w:t>Associé</w:t>
      </w:r>
      <w:r>
        <w:t xml:space="preserve"> doit préparer et </w:t>
      </w:r>
      <w:r w:rsidR="008A5234">
        <w:t>produire</w:t>
      </w:r>
      <w:r>
        <w:t xml:space="preserve"> les documents qui peuvent être exigés </w:t>
      </w:r>
      <w:r w:rsidR="008A5234">
        <w:t>d’</w:t>
      </w:r>
      <w:r>
        <w:t xml:space="preserve">être préparés et </w:t>
      </w:r>
      <w:r w:rsidR="008A5234">
        <w:t>produits</w:t>
      </w:r>
      <w:r>
        <w:t xml:space="preserve"> en vertu de la Loi de l</w:t>
      </w:r>
      <w:r w:rsidR="00E27310">
        <w:t>’</w:t>
      </w:r>
      <w:r>
        <w:t>impôt et d</w:t>
      </w:r>
      <w:r w:rsidR="00E27310">
        <w:t>’</w:t>
      </w:r>
      <w:r>
        <w:t>autres lois similaires auxquelles l</w:t>
      </w:r>
      <w:r w:rsidR="008A5234">
        <w:t xml:space="preserve">’Associé </w:t>
      </w:r>
      <w:r>
        <w:t>peut être assujetti, reflétant dans son calcul du revenu, le</w:t>
      </w:r>
      <w:r w:rsidR="00B85A5A">
        <w:t>s</w:t>
      </w:r>
      <w:r>
        <w:t xml:space="preserve"> revenu</w:t>
      </w:r>
      <w:r w:rsidR="00B85A5A">
        <w:t>s</w:t>
      </w:r>
      <w:r>
        <w:t xml:space="preserve"> ou l</w:t>
      </w:r>
      <w:r w:rsidR="00B85A5A">
        <w:t>es</w:t>
      </w:r>
      <w:r>
        <w:t xml:space="preserve"> perte</w:t>
      </w:r>
      <w:r w:rsidR="00B85A5A">
        <w:t>s</w:t>
      </w:r>
      <w:r>
        <w:t xml:space="preserve"> du Fonds à des fins fiscales qui peuvent être déterminés et attribués conformément à </w:t>
      </w:r>
      <w:r w:rsidR="008A5234">
        <w:t>l’</w:t>
      </w:r>
      <w:r w:rsidRPr="006400F9">
        <w:fldChar w:fldCharType="begin"/>
      </w:r>
      <w:r w:rsidRPr="006400F9">
        <w:instrText xml:space="preserve"> REF _Ref40807042 \r \h  \* MERGEFORMAT </w:instrText>
      </w:r>
      <w:r w:rsidRPr="006400F9">
        <w:fldChar w:fldCharType="separate"/>
      </w:r>
      <w:r w:rsidR="00B50BE2">
        <w:t>Article 14</w:t>
      </w:r>
      <w:r w:rsidRPr="006400F9">
        <w:fldChar w:fldCharType="end"/>
      </w:r>
      <w:r>
        <w:t xml:space="preserve"> (</w:t>
      </w:r>
      <w:r w:rsidRPr="00992703" w:rsidR="00992703">
        <w:rPr>
          <w:i/>
        </w:rPr>
        <w:fldChar w:fldCharType="begin"/>
      </w:r>
      <w:r w:rsidRPr="00992703" w:rsidR="00992703">
        <w:rPr>
          <w:i/>
        </w:rPr>
        <w:instrText xml:space="preserve"> REF _Ref40807042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 xml:space="preserve">DISTRIBUTIONS; </w:t>
      </w:r>
      <w:r w:rsidRPr="00992703" w:rsidR="00992703">
        <w:rPr>
          <w:i/>
        </w:rPr>
        <w:fldChar w:fldCharType="end"/>
      </w:r>
      <w:r>
        <w:t>).</w:t>
      </w:r>
      <w:bookmarkEnd w:id="757"/>
    </w:p>
    <w:p w:rsidR="0000160C" w:rsidRDefault="00C517ED" w14:paraId="75B2C984" w14:textId="2EF6566A">
      <w:pPr>
        <w:pStyle w:val="ArtBJStyL1"/>
      </w:pPr>
      <w:r>
        <w:br/>
      </w:r>
      <w:bookmarkStart w:name="_Ref40807501" w:id="758"/>
      <w:bookmarkStart w:name="_Toc161762404" w:id="759"/>
      <w:r>
        <w:t xml:space="preserve">Livres et </w:t>
      </w:r>
      <w:proofErr w:type="gramStart"/>
      <w:r w:rsidR="008A5234">
        <w:t>Registres</w:t>
      </w:r>
      <w:r>
        <w:t>;</w:t>
      </w:r>
      <w:proofErr w:type="gramEnd"/>
      <w:r>
        <w:t xml:space="preserve"> rapports aux commanditaires</w:t>
      </w:r>
      <w:bookmarkEnd w:id="758"/>
      <w:bookmarkEnd w:id="759"/>
    </w:p>
    <w:p w:rsidR="0000160C" w:rsidRDefault="00C517ED" w14:paraId="66E9CAC1" w14:textId="77777777">
      <w:pPr>
        <w:pStyle w:val="ArtBJStyL2"/>
      </w:pPr>
      <w:bookmarkStart w:name="_Ref47459220" w:id="760"/>
      <w:bookmarkStart w:name="_Ref47459348" w:id="761"/>
      <w:bookmarkStart w:name="_Toc161762405" w:id="762"/>
      <w:r>
        <w:t>Tenue des livres et registres.</w:t>
      </w:r>
      <w:bookmarkEnd w:id="760"/>
      <w:bookmarkEnd w:id="761"/>
      <w:bookmarkEnd w:id="762"/>
    </w:p>
    <w:p w:rsidR="0000160C" w:rsidRDefault="00C517ED" w14:paraId="32144D6B" w14:textId="12B70889">
      <w:pPr>
        <w:pStyle w:val="ArtBJStyCont2"/>
      </w:pPr>
      <w:r>
        <w:t xml:space="preserve">Le </w:t>
      </w:r>
      <w:r w:rsidR="008A5234">
        <w:t>C</w:t>
      </w:r>
      <w:r>
        <w:t xml:space="preserve">ommandité doit </w:t>
      </w:r>
      <w:r w:rsidR="008A5234">
        <w:t>conserver</w:t>
      </w:r>
      <w:r>
        <w:t xml:space="preserve">, pendant la durée du Fonds et pendant une période de </w:t>
      </w:r>
      <w:r>
        <w:rPr>
          <w:b/>
          <w:highlight w:val="yellow"/>
        </w:rPr>
        <w:t>[</w:t>
      </w:r>
      <w:r w:rsidR="00040C15">
        <w:rPr>
          <w:b/>
          <w:highlight w:val="yellow"/>
        </w:rPr>
        <w:t>6</w:t>
      </w:r>
      <w:r>
        <w:rPr>
          <w:b/>
          <w:highlight w:val="yellow"/>
        </w:rPr>
        <w:t>]</w:t>
      </w:r>
      <w:r>
        <w:t xml:space="preserve"> ans par la suite, à </w:t>
      </w:r>
      <w:r w:rsidR="00D43995">
        <w:t>l’</w:t>
      </w:r>
      <w:r>
        <w:t xml:space="preserve">adresse </w:t>
      </w:r>
      <w:r w:rsidR="00D43995">
        <w:t>de son établissement principal</w:t>
      </w:r>
      <w:r>
        <w:t xml:space="preserve">, des registres et des livres </w:t>
      </w:r>
      <w:r w:rsidR="00D43995">
        <w:t>comptables</w:t>
      </w:r>
      <w:r>
        <w:t xml:space="preserve"> appropriés et complets reflétant l</w:t>
      </w:r>
      <w:r w:rsidR="00E27310">
        <w:t>’</w:t>
      </w:r>
      <w:r>
        <w:t>actif, le passif, les revenus et les dépenses du Fonds, ainsi qu</w:t>
      </w:r>
      <w:r w:rsidR="00E27310">
        <w:t>’</w:t>
      </w:r>
      <w:r>
        <w:t xml:space="preserve">un registre, </w:t>
      </w:r>
      <w:r w:rsidR="00D43995">
        <w:t>comprenant</w:t>
      </w:r>
      <w:r>
        <w:t xml:space="preserve">, entre autres, une liste des noms et adresses de tous les </w:t>
      </w:r>
      <w:r w:rsidR="00D43995">
        <w:t>C</w:t>
      </w:r>
      <w:r>
        <w:t xml:space="preserve">ommanditaires et des </w:t>
      </w:r>
      <w:r w:rsidR="00D43995">
        <w:t>Participations</w:t>
      </w:r>
      <w:r>
        <w:t xml:space="preserve"> détenu</w:t>
      </w:r>
      <w:r w:rsidR="00D43995">
        <w:t>e</w:t>
      </w:r>
      <w:r>
        <w:t>s par chacun d</w:t>
      </w:r>
      <w:r w:rsidR="00E27310">
        <w:t>’</w:t>
      </w:r>
      <w:r>
        <w:t xml:space="preserve">eux (le « </w:t>
      </w:r>
      <w:r w:rsidR="00D543FF">
        <w:rPr>
          <w:b/>
        </w:rPr>
        <w:t>R</w:t>
      </w:r>
      <w:r>
        <w:rPr>
          <w:b/>
        </w:rPr>
        <w:t>egistre</w:t>
      </w:r>
      <w:r>
        <w:t xml:space="preserve"> »), conformément aux dispositions de la Loi</w:t>
      </w:r>
      <w:bookmarkStart w:name="_Ref113892893" w:id="763"/>
      <w:r>
        <w:rPr>
          <w:szCs w:val="22"/>
          <w:vertAlign w:val="superscript"/>
        </w:rPr>
        <w:footnoteReference w:id="145"/>
      </w:r>
      <w:bookmarkEnd w:id="763"/>
      <w:r>
        <w:t xml:space="preserve"> et de ses règlements d</w:t>
      </w:r>
      <w:r w:rsidR="00E27310">
        <w:t>’</w:t>
      </w:r>
      <w:r>
        <w:t>application. Sous réserve de l</w:t>
      </w:r>
      <w:r w:rsidR="00D43995">
        <w:t xml:space="preserve">’article </w:t>
      </w:r>
      <w:r w:rsidRPr="006400F9">
        <w:fldChar w:fldCharType="begin"/>
      </w:r>
      <w:r w:rsidRPr="006400F9">
        <w:instrText xml:space="preserve"> REF _Ref40806638 \r \h </w:instrText>
      </w:r>
      <w:r w:rsidRPr="006400F9" w:rsidR="00791303">
        <w:instrText xml:space="preserve"> \* MERGEFORMAT </w:instrText>
      </w:r>
      <w:r w:rsidRPr="006400F9">
        <w:fldChar w:fldCharType="separate"/>
      </w:r>
      <w:r w:rsidR="00B50BE2">
        <w:t>20.1</w:t>
      </w:r>
      <w:r w:rsidRPr="006400F9">
        <w:fldChar w:fldCharType="end"/>
      </w:r>
      <w:r>
        <w:t xml:space="preserve"> (</w:t>
      </w:r>
      <w:r w:rsidRPr="00992703" w:rsidR="00992703">
        <w:rPr>
          <w:i/>
        </w:rPr>
        <w:fldChar w:fldCharType="begin"/>
      </w:r>
      <w:r w:rsidRPr="00992703" w:rsidR="00992703">
        <w:rPr>
          <w:i/>
        </w:rPr>
        <w:instrText xml:space="preserve"> REF _Ref113892699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Confidentialité.</w:t>
      </w:r>
      <w:r w:rsidRPr="00992703" w:rsidR="00992703">
        <w:rPr>
          <w:i/>
        </w:rPr>
        <w:fldChar w:fldCharType="end"/>
      </w:r>
      <w:r>
        <w:t>), ces livres</w:t>
      </w:r>
      <w:r w:rsidR="00D43995">
        <w:t xml:space="preserve"> et</w:t>
      </w:r>
      <w:r>
        <w:t xml:space="preserve"> registres seront </w:t>
      </w:r>
      <w:r w:rsidR="00D43995">
        <w:t>tenus</w:t>
      </w:r>
      <w:r>
        <w:t xml:space="preserve"> à la disposition de tout </w:t>
      </w:r>
      <w:r w:rsidR="00D43995">
        <w:t>C</w:t>
      </w:r>
      <w:r>
        <w:t>ommanditaire ou de ses représentants dûment autorisés</w:t>
      </w:r>
      <w:r w:rsidR="00D43995">
        <w:t xml:space="preserve"> pour </w:t>
      </w:r>
      <w:r w:rsidR="00425BB8">
        <w:t>consultation</w:t>
      </w:r>
      <w:r w:rsidR="00D43995">
        <w:t>, à ses</w:t>
      </w:r>
      <w:r w:rsidR="00425BB8">
        <w:t xml:space="preserve"> propres</w:t>
      </w:r>
      <w:r w:rsidR="00D43995">
        <w:t xml:space="preserve"> frais,</w:t>
      </w:r>
      <w:r>
        <w:t xml:space="preserve"> pendant les heures normales d</w:t>
      </w:r>
      <w:r w:rsidR="00E27310">
        <w:t>’</w:t>
      </w:r>
      <w:r>
        <w:t xml:space="preserve">ouverture au bureau du </w:t>
      </w:r>
      <w:r w:rsidR="00D43995">
        <w:t>C</w:t>
      </w:r>
      <w:r>
        <w:t xml:space="preserve">ommandité, à </w:t>
      </w:r>
      <w:r w:rsidR="00D43995">
        <w:t>toute fin liée</w:t>
      </w:r>
      <w:r>
        <w:t xml:space="preserve"> </w:t>
      </w:r>
      <w:r w:rsidR="00D43995">
        <w:t>à la Participation</w:t>
      </w:r>
      <w:r>
        <w:t xml:space="preserve"> de ce </w:t>
      </w:r>
      <w:r w:rsidR="00D43995">
        <w:lastRenderedPageBreak/>
        <w:t>C</w:t>
      </w:r>
      <w:r>
        <w:t xml:space="preserve">ommanditaire. Les </w:t>
      </w:r>
      <w:r w:rsidR="00D43995">
        <w:t>C</w:t>
      </w:r>
      <w:r>
        <w:t xml:space="preserve">ommanditaires </w:t>
      </w:r>
      <w:r w:rsidR="00D43995">
        <w:t>n’ont</w:t>
      </w:r>
      <w:r>
        <w:t xml:space="preserve"> pas accès </w:t>
      </w:r>
      <w:r w:rsidR="00D43995">
        <w:t>à l’information</w:t>
      </w:r>
      <w:r>
        <w:t xml:space="preserve"> du Fonds contenu</w:t>
      </w:r>
      <w:r w:rsidR="00B85A5A">
        <w:t>e</w:t>
      </w:r>
      <w:r>
        <w:t xml:space="preserve"> dans </w:t>
      </w:r>
      <w:r w:rsidR="00B85A5A">
        <w:t>ses</w:t>
      </w:r>
      <w:r>
        <w:t xml:space="preserve"> livres et registres (autres que le Registre) que le </w:t>
      </w:r>
      <w:r w:rsidR="00425BB8">
        <w:t>Commandité</w:t>
      </w:r>
      <w:r>
        <w:t xml:space="preserve"> est tenu</w:t>
      </w:r>
      <w:r w:rsidR="00425BB8">
        <w:t>, en vertu</w:t>
      </w:r>
      <w:r>
        <w:t xml:space="preserve"> </w:t>
      </w:r>
      <w:r w:rsidR="00425BB8">
        <w:t>d’</w:t>
      </w:r>
      <w:r>
        <w:t>une restriction légale ou contractuelle</w:t>
      </w:r>
      <w:r w:rsidR="00425BB8">
        <w:t>,</w:t>
      </w:r>
      <w:r>
        <w:t xml:space="preserve"> de garder confidentiel</w:t>
      </w:r>
      <w:r w:rsidR="00425BB8">
        <w:t>le</w:t>
      </w:r>
      <w:r>
        <w:t xml:space="preserve"> ou qui, de l</w:t>
      </w:r>
      <w:r w:rsidR="00E27310">
        <w:t>’</w:t>
      </w:r>
      <w:r>
        <w:t xml:space="preserve">avis du </w:t>
      </w:r>
      <w:r w:rsidR="00425BB8">
        <w:t>Commandité</w:t>
      </w:r>
      <w:r>
        <w:t>, agissant raisonnablement, devrait être gardé</w:t>
      </w:r>
      <w:r w:rsidR="00425BB8">
        <w:t>e</w:t>
      </w:r>
      <w:r>
        <w:t xml:space="preserve"> confidentiel</w:t>
      </w:r>
      <w:r w:rsidR="00425BB8">
        <w:t>le</w:t>
      </w:r>
      <w:r>
        <w:t xml:space="preserve"> dans l</w:t>
      </w:r>
      <w:r w:rsidR="00E27310">
        <w:t>’</w:t>
      </w:r>
      <w:r>
        <w:t xml:space="preserve">intérêt du Fonds ou </w:t>
      </w:r>
      <w:r w:rsidR="00425BB8">
        <w:t>peut</w:t>
      </w:r>
      <w:r>
        <w:t xml:space="preserve"> être gardé</w:t>
      </w:r>
      <w:r w:rsidR="00425BB8">
        <w:t>e</w:t>
      </w:r>
      <w:r>
        <w:t xml:space="preserve"> confidentiel</w:t>
      </w:r>
      <w:r w:rsidR="00425BB8">
        <w:t>le</w:t>
      </w:r>
      <w:r>
        <w:t xml:space="preserve"> </w:t>
      </w:r>
      <w:r w:rsidR="00425BB8">
        <w:t>tel que</w:t>
      </w:r>
      <w:r>
        <w:t xml:space="preserve"> prévu dans </w:t>
      </w:r>
      <w:r w:rsidR="003278C2">
        <w:t>la présente Convention</w:t>
      </w:r>
      <w:r>
        <w:t xml:space="preserve">, et chaque </w:t>
      </w:r>
      <w:r w:rsidR="00425BB8">
        <w:t>C</w:t>
      </w:r>
      <w:r>
        <w:t xml:space="preserve">ommanditaire renonce par les présentes à tout droit, légal ou autre, à un accès plus large aux livres et registres du Fonds que ce qui est permis dans </w:t>
      </w:r>
      <w:r w:rsidR="003278C2">
        <w:t>la présente Convention</w:t>
      </w:r>
      <w:r>
        <w:t xml:space="preserve">, dans la mesure permise par la loi. Dans le cadre du </w:t>
      </w:r>
      <w:r w:rsidR="00425BB8">
        <w:t>R</w:t>
      </w:r>
      <w:r>
        <w:t xml:space="preserve">egistre, le </w:t>
      </w:r>
      <w:r w:rsidR="00425BB8">
        <w:t>C</w:t>
      </w:r>
      <w:r>
        <w:t xml:space="preserve">ommandité doit </w:t>
      </w:r>
      <w:r w:rsidR="00425BB8">
        <w:t>conserver</w:t>
      </w:r>
      <w:r>
        <w:t xml:space="preserve"> une liste des noms et adresses des </w:t>
      </w:r>
      <w:r w:rsidR="00425BB8">
        <w:t>C</w:t>
      </w:r>
      <w:r>
        <w:t xml:space="preserve">ommanditaires participant à tout </w:t>
      </w:r>
      <w:r w:rsidR="00425BB8">
        <w:t>V</w:t>
      </w:r>
      <w:r>
        <w:t xml:space="preserve">éhicule alternatif, à condition toutefois que cette liste ne soit disponible pour </w:t>
      </w:r>
      <w:r w:rsidR="00425BB8">
        <w:t>consultation</w:t>
      </w:r>
      <w:r>
        <w:t xml:space="preserve"> sur demande conformément </w:t>
      </w:r>
      <w:r w:rsidR="00425BB8">
        <w:t>au présent article</w:t>
      </w:r>
      <w:r>
        <w:t> </w:t>
      </w:r>
      <w:r w:rsidRPr="006400F9">
        <w:fldChar w:fldCharType="begin"/>
      </w:r>
      <w:r w:rsidRPr="006400F9">
        <w:instrText xml:space="preserve"> REF _Ref47459348 \r \h </w:instrText>
      </w:r>
      <w:r w:rsidRPr="006400F9" w:rsidR="00791303">
        <w:instrText xml:space="preserve"> \* MERGEFORMAT </w:instrText>
      </w:r>
      <w:r w:rsidRPr="006400F9">
        <w:fldChar w:fldCharType="separate"/>
      </w:r>
      <w:r w:rsidR="00B50BE2">
        <w:t>15.1</w:t>
      </w:r>
      <w:r w:rsidRPr="006400F9">
        <w:fldChar w:fldCharType="end"/>
      </w:r>
      <w:r>
        <w:t xml:space="preserve"> (</w:t>
      </w:r>
      <w:r w:rsidRPr="00992703" w:rsidR="00992703">
        <w:rPr>
          <w:i/>
        </w:rPr>
        <w:fldChar w:fldCharType="begin"/>
      </w:r>
      <w:r w:rsidRPr="00992703" w:rsidR="00992703">
        <w:rPr>
          <w:i/>
        </w:rPr>
        <w:instrText xml:space="preserve"> REF _Ref47459220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Tenue des livres et registres.</w:t>
      </w:r>
      <w:r w:rsidRPr="00992703" w:rsidR="00992703">
        <w:rPr>
          <w:i/>
        </w:rPr>
        <w:fldChar w:fldCharType="end"/>
      </w:r>
      <w:r>
        <w:t xml:space="preserve">) </w:t>
      </w:r>
      <w:r w:rsidR="00425BB8">
        <w:t xml:space="preserve">que </w:t>
      </w:r>
      <w:r>
        <w:t xml:space="preserve">par un </w:t>
      </w:r>
      <w:r w:rsidR="00425BB8">
        <w:t>C</w:t>
      </w:r>
      <w:r>
        <w:t xml:space="preserve">ommanditaire participant à ce </w:t>
      </w:r>
      <w:r w:rsidR="00425BB8">
        <w:t>V</w:t>
      </w:r>
      <w:r>
        <w:t>éhicule alternatif.</w:t>
      </w:r>
      <w:bookmarkStart w:name="_Ref113892894" w:id="766"/>
      <w:r>
        <w:rPr>
          <w:szCs w:val="22"/>
          <w:vertAlign w:val="superscript"/>
        </w:rPr>
        <w:footnoteReference w:id="146"/>
      </w:r>
      <w:bookmarkEnd w:id="766"/>
    </w:p>
    <w:p w:rsidR="0000160C" w:rsidRDefault="00673BA3" w14:paraId="4FEACCA6" w14:textId="116971A8">
      <w:pPr>
        <w:pStyle w:val="ArtBJStyL2"/>
      </w:pPr>
      <w:bookmarkStart w:name="_Ref113892617" w:id="767"/>
      <w:bookmarkStart w:name="_Toc161762406" w:id="768"/>
      <w:r>
        <w:t>Vérifications</w:t>
      </w:r>
      <w:r w:rsidR="00C517ED">
        <w:t xml:space="preserve"> et rapports.</w:t>
      </w:r>
      <w:bookmarkEnd w:id="767"/>
      <w:bookmarkEnd w:id="768"/>
      <w:r w:rsidR="00C517ED">
        <w:t xml:space="preserve">  </w:t>
      </w:r>
    </w:p>
    <w:p w:rsidR="0000160C" w:rsidRDefault="00C517ED" w14:paraId="7DB9E0C8" w14:textId="1837B2E6">
      <w:pPr>
        <w:pStyle w:val="ArtBJStyL3"/>
        <w:keepNext/>
      </w:pPr>
      <w:bookmarkStart w:name="_Ref40805421" w:id="769"/>
      <w:r>
        <w:t xml:space="preserve">Les livres, comptes et registres </w:t>
      </w:r>
      <w:r w:rsidR="00673BA3">
        <w:t>du Fonds</w:t>
      </w:r>
      <w:r>
        <w:t xml:space="preserve"> sont vérifiés par le </w:t>
      </w:r>
      <w:r w:rsidR="00957E42">
        <w:t>V</w:t>
      </w:r>
      <w:r>
        <w:t>érificateur</w:t>
      </w:r>
      <w:r w:rsidR="00040C15">
        <w:t xml:space="preserve"> à la fin de chaque Exercice financier</w:t>
      </w:r>
      <w:r>
        <w:t>. Jusqu</w:t>
      </w:r>
      <w:r w:rsidR="00E27310">
        <w:t>’</w:t>
      </w:r>
      <w:r>
        <w:t xml:space="preserve">à la liquidation </w:t>
      </w:r>
      <w:r w:rsidR="00957E42">
        <w:t>finale</w:t>
      </w:r>
      <w:r>
        <w:t xml:space="preserve"> du Fonds, le </w:t>
      </w:r>
      <w:r w:rsidR="00957E42">
        <w:t>C</w:t>
      </w:r>
      <w:r>
        <w:t>ommandité doit faire en sorte que le Fonds prépare et fournisse à chaque</w:t>
      </w:r>
      <w:r w:rsidR="00957E42">
        <w:t xml:space="preserve"> C</w:t>
      </w:r>
      <w:r>
        <w:t>ommanditaire les documents suivants :</w:t>
      </w:r>
      <w:bookmarkEnd w:id="769"/>
    </w:p>
    <w:p w:rsidR="0000160C" w:rsidRDefault="00C517ED" w14:paraId="5EF148BF" w14:textId="6FF44CD8">
      <w:pPr>
        <w:pStyle w:val="ArtBJStyL4"/>
      </w:pPr>
      <w:bookmarkStart w:name="_Ref113892618" w:id="770"/>
      <w:r>
        <w:t xml:space="preserve">dans les </w:t>
      </w:r>
      <w:r>
        <w:rPr>
          <w:b/>
          <w:highlight w:val="yellow"/>
        </w:rPr>
        <w:t>[90]</w:t>
      </w:r>
      <w:r>
        <w:t xml:space="preserve"> jours suivant la fin de chaque </w:t>
      </w:r>
      <w:r w:rsidR="00957E42">
        <w:t>Exercice financier</w:t>
      </w:r>
      <w:r>
        <w:t xml:space="preserve"> (commençant après le 31 décembre de l</w:t>
      </w:r>
      <w:r w:rsidR="00E27310">
        <w:t>’</w:t>
      </w:r>
      <w:r w:rsidR="00957E42">
        <w:t>E</w:t>
      </w:r>
      <w:r>
        <w:t>xercice</w:t>
      </w:r>
      <w:r w:rsidR="00957E42">
        <w:t xml:space="preserve"> financier</w:t>
      </w:r>
      <w:r>
        <w:t xml:space="preserve"> de la </w:t>
      </w:r>
      <w:r w:rsidR="00957E42">
        <w:t>D</w:t>
      </w:r>
      <w:r>
        <w:t xml:space="preserve">ate de clôture initiale), un rapport financier vérifié par le </w:t>
      </w:r>
      <w:r w:rsidR="00957E42">
        <w:t>V</w:t>
      </w:r>
      <w:r>
        <w:t xml:space="preserve">érificateur à la fin de </w:t>
      </w:r>
      <w:r w:rsidR="00957E42">
        <w:t>l’Exercice financier</w:t>
      </w:r>
      <w:r>
        <w:t>, préparé conformément aux PCGR,</w:t>
      </w:r>
      <w:bookmarkStart w:name="_Ref113892895" w:id="771"/>
      <w:r>
        <w:rPr>
          <w:szCs w:val="22"/>
          <w:vertAlign w:val="superscript"/>
        </w:rPr>
        <w:footnoteReference w:id="147"/>
      </w:r>
      <w:bookmarkEnd w:id="771"/>
      <w:r>
        <w:t xml:space="preserve"> </w:t>
      </w:r>
      <w:r>
        <w:rPr>
          <w:iCs/>
        </w:rPr>
        <w:t>qui comprend, entre autres</w:t>
      </w:r>
      <w:r>
        <w:t xml:space="preserve">, </w:t>
      </w:r>
      <w:bookmarkStart w:name="DocXTextRef144" w:id="772"/>
      <w:r>
        <w:t>(i)</w:t>
      </w:r>
      <w:bookmarkEnd w:id="772"/>
      <w:r>
        <w:t xml:space="preserve"> les états financiers vérifiés du Fonds, </w:t>
      </w:r>
      <w:bookmarkStart w:name="DocXTextRef145" w:id="773"/>
      <w:r>
        <w:t>(ii)</w:t>
      </w:r>
      <w:bookmarkEnd w:id="773"/>
      <w:r>
        <w:t xml:space="preserve"> </w:t>
      </w:r>
      <w:bookmarkStart w:name="DocXTextRef146" w:id="774"/>
      <w:r>
        <w:t xml:space="preserve"> la confirmation de l</w:t>
      </w:r>
      <w:r w:rsidR="00E27310">
        <w:t>’</w:t>
      </w:r>
      <w:r>
        <w:t>exactitude (1)</w:t>
      </w:r>
      <w:bookmarkEnd w:id="774"/>
      <w:r>
        <w:t xml:space="preserve"> </w:t>
      </w:r>
      <w:r w:rsidR="00040C15">
        <w:t>d</w:t>
      </w:r>
      <w:r>
        <w:t xml:space="preserve">es montants des </w:t>
      </w:r>
      <w:r w:rsidR="00957E42">
        <w:t>F</w:t>
      </w:r>
      <w:r>
        <w:t xml:space="preserve">rais de gestion et des </w:t>
      </w:r>
      <w:r w:rsidR="00957E42">
        <w:t>Distributions spéciales</w:t>
      </w:r>
      <w:r>
        <w:t xml:space="preserve"> qui ont été distribués, </w:t>
      </w:r>
      <w:r>
        <w:rPr>
          <w:b/>
          <w:highlight w:val="yellow"/>
        </w:rPr>
        <w:t xml:space="preserve">[(2) </w:t>
      </w:r>
      <w:r w:rsidR="00040C15">
        <w:rPr>
          <w:b/>
          <w:highlight w:val="yellow"/>
        </w:rPr>
        <w:t>du</w:t>
      </w:r>
      <w:r>
        <w:rPr>
          <w:b/>
          <w:highlight w:val="yellow"/>
        </w:rPr>
        <w:t xml:space="preserve"> montant des </w:t>
      </w:r>
      <w:r w:rsidR="00957E42">
        <w:rPr>
          <w:b/>
          <w:highlight w:val="yellow"/>
        </w:rPr>
        <w:t>Distributions spéciales</w:t>
      </w:r>
      <w:r>
        <w:rPr>
          <w:b/>
          <w:highlight w:val="yellow"/>
        </w:rPr>
        <w:t xml:space="preserve"> conservé</w:t>
      </w:r>
      <w:r w:rsidR="00B85A5A">
        <w:rPr>
          <w:b/>
          <w:highlight w:val="yellow"/>
        </w:rPr>
        <w:t>e</w:t>
      </w:r>
      <w:r>
        <w:rPr>
          <w:b/>
          <w:highlight w:val="yellow"/>
        </w:rPr>
        <w:t xml:space="preserve">s dans le </w:t>
      </w:r>
      <w:r w:rsidR="00957E42">
        <w:rPr>
          <w:b/>
          <w:highlight w:val="yellow"/>
        </w:rPr>
        <w:t>Compte d’entiercement</w:t>
      </w:r>
      <w:r>
        <w:rPr>
          <w:b/>
          <w:highlight w:val="yellow"/>
        </w:rPr>
        <w:t xml:space="preserve"> conformément à l</w:t>
      </w:r>
      <w:r w:rsidR="00E27310">
        <w:rPr>
          <w:b/>
          <w:highlight w:val="yellow"/>
        </w:rPr>
        <w:t>’</w:t>
      </w:r>
      <w:r>
        <w:rPr>
          <w:b/>
          <w:highlight w:val="yellow"/>
        </w:rPr>
        <w:t>article </w:t>
      </w:r>
      <w:r w:rsidRPr="0004419C">
        <w:rPr>
          <w:b/>
          <w:highlight w:val="yellow"/>
        </w:rPr>
        <w:fldChar w:fldCharType="begin"/>
      </w:r>
      <w:r w:rsidRPr="0004419C">
        <w:rPr>
          <w:b/>
          <w:highlight w:val="yellow"/>
        </w:rPr>
        <w:instrText xml:space="preserve"> REF _Ref40801365 \w \h </w:instrText>
      </w:r>
      <w:r w:rsidRPr="0004419C" w:rsidR="00791303">
        <w:rPr>
          <w:b/>
          <w:highlight w:val="yellow"/>
        </w:rPr>
        <w:instrText xml:space="preserve"> \* MERGEFORMAT </w:instrText>
      </w:r>
      <w:r w:rsidRPr="0004419C">
        <w:rPr>
          <w:b/>
          <w:highlight w:val="yellow"/>
        </w:rPr>
      </w:r>
      <w:r w:rsidRPr="0004419C">
        <w:rPr>
          <w:b/>
          <w:highlight w:val="yellow"/>
        </w:rPr>
        <w:fldChar w:fldCharType="separate"/>
      </w:r>
      <w:r w:rsidR="00B50BE2">
        <w:rPr>
          <w:b/>
          <w:highlight w:val="yellow"/>
        </w:rPr>
        <w:t>14.7(b)</w:t>
      </w:r>
      <w:r w:rsidRPr="0004419C">
        <w:rPr>
          <w:b/>
          <w:highlight w:val="yellow"/>
        </w:rPr>
        <w:fldChar w:fldCharType="end"/>
      </w:r>
      <w:r>
        <w:rPr>
          <w:b/>
          <w:highlight w:val="yellow"/>
        </w:rPr>
        <w:t xml:space="preserve"> (</w:t>
      </w:r>
      <w:r w:rsidRPr="0004419C" w:rsidR="00992703">
        <w:rPr>
          <w:b/>
          <w:i/>
          <w:highlight w:val="yellow"/>
        </w:rPr>
        <w:fldChar w:fldCharType="begin"/>
      </w:r>
      <w:r w:rsidRPr="0004419C" w:rsidR="00992703">
        <w:rPr>
          <w:b/>
          <w:i/>
          <w:highlight w:val="yellow"/>
        </w:rPr>
        <w:instrText xml:space="preserve"> REF _Ref85271165 \h  \* MERGEFORMAT </w:instrText>
      </w:r>
      <w:r w:rsidRPr="0004419C" w:rsidR="00992703">
        <w:rPr>
          <w:b/>
          <w:i/>
          <w:highlight w:val="yellow"/>
        </w:rPr>
      </w:r>
      <w:r w:rsidRPr="0004419C" w:rsidR="00992703">
        <w:rPr>
          <w:b/>
          <w:i/>
          <w:highlight w:val="yellow"/>
        </w:rPr>
        <w:fldChar w:fldCharType="separate"/>
      </w:r>
      <w:r w:rsidRPr="00B50BE2" w:rsidR="00B50BE2">
        <w:rPr>
          <w:b/>
          <w:i/>
          <w:highlight w:val="yellow"/>
        </w:rPr>
        <w:t>Recouvrement.</w:t>
      </w:r>
      <w:r w:rsidRPr="0004419C" w:rsidR="00992703">
        <w:rPr>
          <w:b/>
          <w:i/>
          <w:highlight w:val="yellow"/>
        </w:rPr>
        <w:fldChar w:fldCharType="end"/>
      </w:r>
      <w:r>
        <w:rPr>
          <w:b/>
          <w:highlight w:val="yellow"/>
        </w:rPr>
        <w:t>)]</w:t>
      </w:r>
      <w:r>
        <w:t xml:space="preserve">, et </w:t>
      </w:r>
      <w:bookmarkStart w:name="DocXTextRef147" w:id="775"/>
      <w:r>
        <w:t>(3)</w:t>
      </w:r>
      <w:bookmarkEnd w:id="775"/>
      <w:r>
        <w:t xml:space="preserve"> </w:t>
      </w:r>
      <w:r w:rsidR="00040C15">
        <w:t>d</w:t>
      </w:r>
      <w:r>
        <w:t xml:space="preserve">es montants de tout </w:t>
      </w:r>
      <w:r w:rsidR="00957E42">
        <w:t>R</w:t>
      </w:r>
      <w:r>
        <w:t xml:space="preserve">evenu de frais appliqués pour réduire les </w:t>
      </w:r>
      <w:r w:rsidR="00957E42">
        <w:t>F</w:t>
      </w:r>
      <w:r>
        <w:t>rais de gestion conformément à l</w:t>
      </w:r>
      <w:r w:rsidR="00E27310">
        <w:t>’</w:t>
      </w:r>
      <w:r>
        <w:t>article </w:t>
      </w:r>
      <w:r w:rsidRPr="00D52949">
        <w:fldChar w:fldCharType="begin"/>
      </w:r>
      <w:r w:rsidRPr="00D52949">
        <w:instrText xml:space="preserve"> REF _Ref40803617 \w \h </w:instrText>
      </w:r>
      <w:r w:rsidRPr="00D52949" w:rsidR="00791303">
        <w:instrText xml:space="preserve"> \* MERGEFORMAT </w:instrText>
      </w:r>
      <w:r w:rsidRPr="00D52949">
        <w:fldChar w:fldCharType="separate"/>
      </w:r>
      <w:r w:rsidR="00B50BE2">
        <w:t>8.5</w:t>
      </w:r>
      <w:r w:rsidRPr="00D52949">
        <w:fldChar w:fldCharType="end"/>
      </w:r>
      <w:r>
        <w:t xml:space="preserve"> (</w:t>
      </w:r>
      <w:r w:rsidRPr="00992703" w:rsidR="00992703">
        <w:rPr>
          <w:i/>
        </w:rPr>
        <w:fldChar w:fldCharType="begin"/>
      </w:r>
      <w:r w:rsidRPr="00992703" w:rsidR="00992703">
        <w:rPr>
          <w:i/>
        </w:rPr>
        <w:instrText xml:space="preserve"> REF _Ref40803617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Réduction des Frais de gestion.</w:t>
      </w:r>
      <w:r w:rsidRPr="00992703" w:rsidR="00992703">
        <w:rPr>
          <w:i/>
        </w:rPr>
        <w:fldChar w:fldCharType="end"/>
      </w:r>
      <w:r>
        <w:t xml:space="preserve">), et </w:t>
      </w:r>
      <w:bookmarkStart w:name="DocXTextRef148" w:id="776"/>
      <w:r>
        <w:t>(iii)</w:t>
      </w:r>
      <w:bookmarkEnd w:id="776"/>
      <w:r>
        <w:t xml:space="preserve"> le solde de clôture du </w:t>
      </w:r>
      <w:r w:rsidR="003A0770">
        <w:t>C</w:t>
      </w:r>
      <w:r>
        <w:t xml:space="preserve">ompte de capital de chaque </w:t>
      </w:r>
      <w:r w:rsidR="003A0770">
        <w:t>C</w:t>
      </w:r>
      <w:r>
        <w:t xml:space="preserve">ommanditaire à la fin de </w:t>
      </w:r>
      <w:r w:rsidR="003A0770">
        <w:t>l’Exercice financier</w:t>
      </w:r>
      <w:bookmarkEnd w:id="770"/>
      <w:r w:rsidR="003A0770">
        <w:t>; et</w:t>
      </w:r>
    </w:p>
    <w:p w:rsidR="0000160C" w:rsidRDefault="00C517ED" w14:paraId="6980BD66" w14:textId="2DEAB62B">
      <w:pPr>
        <w:pStyle w:val="ArtBJStyL4"/>
      </w:pPr>
      <w:bookmarkStart w:name="_Ref113892619" w:id="777"/>
      <w:proofErr w:type="gramStart"/>
      <w:r>
        <w:t>dans</w:t>
      </w:r>
      <w:proofErr w:type="gramEnd"/>
      <w:r>
        <w:t xml:space="preserve"> les </w:t>
      </w:r>
      <w:r>
        <w:rPr>
          <w:b/>
          <w:highlight w:val="yellow"/>
        </w:rPr>
        <w:t>[45]</w:t>
      </w:r>
      <w:r>
        <w:t xml:space="preserve"> jours suivant la fin de chaque trimestre civil (à compter du premier trimestre civil complet suivant la date du premier </w:t>
      </w:r>
      <w:r w:rsidR="003A0770">
        <w:t>Versement</w:t>
      </w:r>
      <w:r>
        <w:t xml:space="preserve">), un rapport non </w:t>
      </w:r>
      <w:r w:rsidR="003A0770">
        <w:t>vérifié</w:t>
      </w:r>
      <w:r>
        <w:t xml:space="preserve"> à la fin du trimestre préparé conformément aux PCGR.</w:t>
      </w:r>
      <w:bookmarkStart w:name="_Ref113892896" w:id="778"/>
      <w:r>
        <w:rPr>
          <w:szCs w:val="22"/>
          <w:vertAlign w:val="superscript"/>
        </w:rPr>
        <w:footnoteReference w:id="148"/>
      </w:r>
      <w:bookmarkEnd w:id="777"/>
      <w:bookmarkEnd w:id="778"/>
    </w:p>
    <w:p w:rsidR="0000160C" w:rsidRDefault="00C517ED" w14:paraId="0AEECF1F" w14:textId="40AB7C51">
      <w:pPr>
        <w:pStyle w:val="ArtBJStyL3"/>
        <w:keepNext/>
      </w:pPr>
      <w:bookmarkStart w:name="_Ref113892620" w:id="779"/>
      <w:r>
        <w:t xml:space="preserve">Le </w:t>
      </w:r>
      <w:r w:rsidR="003A0770">
        <w:t>C</w:t>
      </w:r>
      <w:r>
        <w:t xml:space="preserve">ommandité doit fournir à chaque </w:t>
      </w:r>
      <w:r w:rsidR="003A0770">
        <w:t>Commanditaire, avec</w:t>
      </w:r>
      <w:r>
        <w:t xml:space="preserve"> les rapports financiers décrits à l</w:t>
      </w:r>
      <w:r w:rsidR="003A0770">
        <w:t xml:space="preserve">’article </w:t>
      </w:r>
      <w:r w:rsidRPr="006400F9">
        <w:fldChar w:fldCharType="begin"/>
      </w:r>
      <w:r w:rsidRPr="006400F9">
        <w:instrText xml:space="preserve"> REF _Ref40805421 \w \h </w:instrText>
      </w:r>
      <w:r w:rsidRPr="006400F9" w:rsidR="00791303">
        <w:instrText xml:space="preserve"> \* MERGEFORMAT </w:instrText>
      </w:r>
      <w:r w:rsidRPr="006400F9">
        <w:fldChar w:fldCharType="separate"/>
      </w:r>
      <w:r w:rsidR="00B50BE2">
        <w:t>15.2(a)</w:t>
      </w:r>
      <w:r w:rsidRPr="006400F9">
        <w:fldChar w:fldCharType="end"/>
      </w:r>
      <w:r>
        <w:t xml:space="preserve"> (</w:t>
      </w:r>
      <w:r w:rsidRPr="00992703" w:rsidR="00992703">
        <w:rPr>
          <w:i/>
        </w:rPr>
        <w:fldChar w:fldCharType="begin"/>
      </w:r>
      <w:r w:rsidRPr="00992703" w:rsidR="00992703">
        <w:rPr>
          <w:i/>
        </w:rPr>
        <w:instrText xml:space="preserve"> REF _Ref113892617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Vérifications et rapports.</w:t>
      </w:r>
      <w:r w:rsidRPr="00992703" w:rsidR="00992703">
        <w:rPr>
          <w:i/>
        </w:rPr>
        <w:fldChar w:fldCharType="end"/>
      </w:r>
      <w:r>
        <w:t>) :</w:t>
      </w:r>
      <w:bookmarkEnd w:id="779"/>
    </w:p>
    <w:p w:rsidR="0000160C" w:rsidRDefault="00C517ED" w14:paraId="068C7C4E" w14:textId="25DFFF00">
      <w:pPr>
        <w:pStyle w:val="ArtBJStyL4"/>
      </w:pPr>
      <w:bookmarkStart w:name="_Ref113892621" w:id="780"/>
      <w:proofErr w:type="gramStart"/>
      <w:r>
        <w:t>des</w:t>
      </w:r>
      <w:proofErr w:type="gramEnd"/>
      <w:r>
        <w:t xml:space="preserve"> </w:t>
      </w:r>
      <w:r w:rsidR="003A0770">
        <w:t>renseignements</w:t>
      </w:r>
      <w:r>
        <w:t xml:space="preserve"> descripti</w:t>
      </w:r>
      <w:r w:rsidR="003A0770">
        <w:t>f</w:t>
      </w:r>
      <w:r>
        <w:t xml:space="preserve">s sur les investissements </w:t>
      </w:r>
      <w:r w:rsidR="003A0770">
        <w:t>à l’égard de</w:t>
      </w:r>
      <w:r>
        <w:t xml:space="preserve"> chaque </w:t>
      </w:r>
      <w:r w:rsidR="003A0770">
        <w:t>S</w:t>
      </w:r>
      <w:r>
        <w:t>ociété d</w:t>
      </w:r>
      <w:r w:rsidR="00742027">
        <w:t>e</w:t>
      </w:r>
      <w:r>
        <w:t xml:space="preserve"> portefeuille;</w:t>
      </w:r>
      <w:bookmarkEnd w:id="780"/>
    </w:p>
    <w:p w:rsidR="0000160C" w:rsidRDefault="00C517ED" w14:paraId="56897DF9" w14:textId="262BF99B">
      <w:pPr>
        <w:pStyle w:val="ArtBJStyL4"/>
      </w:pPr>
      <w:bookmarkStart w:name="_Ref113892622" w:id="781"/>
      <w:proofErr w:type="gramStart"/>
      <w:r>
        <w:t>les</w:t>
      </w:r>
      <w:proofErr w:type="gramEnd"/>
      <w:r>
        <w:t xml:space="preserve"> résultats d</w:t>
      </w:r>
      <w:r w:rsidR="003A0770">
        <w:t xml:space="preserve">’exploitation </w:t>
      </w:r>
      <w:r>
        <w:t xml:space="preserve">de chaque </w:t>
      </w:r>
      <w:r w:rsidR="003A0770">
        <w:t>S</w:t>
      </w:r>
      <w:r>
        <w:t>ociété d</w:t>
      </w:r>
      <w:r w:rsidR="00F47AF9">
        <w:t>e</w:t>
      </w:r>
      <w:r>
        <w:t xml:space="preserve"> portefeuille;</w:t>
      </w:r>
      <w:bookmarkEnd w:id="781"/>
    </w:p>
    <w:p w:rsidR="0000160C" w:rsidRDefault="00C517ED" w14:paraId="73B297CA" w14:textId="03B40020">
      <w:pPr>
        <w:pStyle w:val="ArtBJStyL4"/>
      </w:pPr>
      <w:bookmarkStart w:name="_Ref113892623" w:id="782"/>
      <w:r>
        <w:rPr>
          <w:b/>
          <w:highlight w:val="yellow"/>
        </w:rPr>
        <w:t>[</w:t>
      </w:r>
      <w:proofErr w:type="gramStart"/>
      <w:r>
        <w:rPr>
          <w:b/>
          <w:highlight w:val="yellow"/>
        </w:rPr>
        <w:t>tout</w:t>
      </w:r>
      <w:proofErr w:type="gramEnd"/>
      <w:r>
        <w:rPr>
          <w:b/>
          <w:highlight w:val="yellow"/>
        </w:rPr>
        <w:t xml:space="preserve"> rapport sur les risques et </w:t>
      </w:r>
      <w:r w:rsidR="000128EC">
        <w:rPr>
          <w:b/>
          <w:highlight w:val="yellow"/>
        </w:rPr>
        <w:t>possibilité</w:t>
      </w:r>
      <w:r>
        <w:rPr>
          <w:b/>
          <w:highlight w:val="yellow"/>
        </w:rPr>
        <w:t xml:space="preserve">s environnementaux, sociaux et de gouvernance dans le Fonds, tel que jugé approprié par le </w:t>
      </w:r>
      <w:r w:rsidR="003A0770">
        <w:rPr>
          <w:b/>
          <w:highlight w:val="yellow"/>
        </w:rPr>
        <w:t>C</w:t>
      </w:r>
      <w:r>
        <w:rPr>
          <w:b/>
          <w:highlight w:val="yellow"/>
        </w:rPr>
        <w:t>ommandité]</w:t>
      </w:r>
      <w:r>
        <w:t>;</w:t>
      </w:r>
      <w:bookmarkStart w:name="_Ref113892897" w:id="783"/>
      <w:r>
        <w:rPr>
          <w:rStyle w:val="FootnoteReference"/>
        </w:rPr>
        <w:footnoteReference w:id="149"/>
      </w:r>
      <w:bookmarkEnd w:id="782"/>
      <w:bookmarkEnd w:id="783"/>
    </w:p>
    <w:p w:rsidR="0000160C" w:rsidRDefault="00C517ED" w14:paraId="25761486" w14:textId="15A13574">
      <w:pPr>
        <w:pStyle w:val="ArtBJStyL4"/>
      </w:pPr>
      <w:bookmarkStart w:name="_Ref113892624" w:id="784"/>
      <w:proofErr w:type="gramStart"/>
      <w:r>
        <w:lastRenderedPageBreak/>
        <w:t>un</w:t>
      </w:r>
      <w:proofErr w:type="gramEnd"/>
      <w:r>
        <w:t xml:space="preserve"> rapport sur l</w:t>
      </w:r>
      <w:r w:rsidR="00E27310">
        <w:t>’</w:t>
      </w:r>
      <w:r>
        <w:t>état et l</w:t>
      </w:r>
      <w:r w:rsidR="003A0770">
        <w:t xml:space="preserve">e rendement </w:t>
      </w:r>
      <w:r>
        <w:t xml:space="preserve">du Fonds et de chacun des </w:t>
      </w:r>
      <w:r w:rsidR="003A0770">
        <w:t>I</w:t>
      </w:r>
      <w:r>
        <w:t xml:space="preserve">nvestissements de portefeuille contenant une confirmation </w:t>
      </w:r>
      <w:bookmarkStart w:name="DocXTextRef150" w:id="785"/>
      <w:r>
        <w:t>(i)</w:t>
      </w:r>
      <w:bookmarkEnd w:id="785"/>
      <w:r>
        <w:t xml:space="preserve"> du montant total de l</w:t>
      </w:r>
      <w:r w:rsidR="003A0770">
        <w:t>’Apport de</w:t>
      </w:r>
      <w:r>
        <w:t xml:space="preserve"> capital non remboursé et </w:t>
      </w:r>
      <w:bookmarkStart w:name="DocXTextRef151" w:id="786"/>
      <w:r>
        <w:t>(ii)</w:t>
      </w:r>
      <w:bookmarkEnd w:id="786"/>
      <w:r>
        <w:t xml:space="preserve"> de l</w:t>
      </w:r>
      <w:r w:rsidR="00E27310">
        <w:t>’</w:t>
      </w:r>
      <w:r w:rsidR="003A0770">
        <w:t>E</w:t>
      </w:r>
      <w:r>
        <w:t xml:space="preserve">ngagement restant du </w:t>
      </w:r>
      <w:r w:rsidR="003A0770">
        <w:t>C</w:t>
      </w:r>
      <w:r>
        <w:t>ommanditaire;</w:t>
      </w:r>
      <w:bookmarkEnd w:id="784"/>
      <w:r w:rsidR="003A0770">
        <w:t xml:space="preserve"> et</w:t>
      </w:r>
    </w:p>
    <w:p w:rsidR="0000160C" w:rsidRDefault="00C517ED" w14:paraId="3DFE2123" w14:textId="53E70DF4">
      <w:pPr>
        <w:pStyle w:val="ArtBJStyL4"/>
        <w:keepNext/>
      </w:pPr>
      <w:bookmarkStart w:name="_Ref113892625" w:id="787"/>
      <w:proofErr w:type="gramStart"/>
      <w:r>
        <w:t>un</w:t>
      </w:r>
      <w:proofErr w:type="gramEnd"/>
      <w:r>
        <w:t xml:space="preserve"> rapport sur le montant total de la dette et du crédit utilisé par le Fonds, y compris en ce qui concerne toute </w:t>
      </w:r>
      <w:r w:rsidR="003A0770">
        <w:t>F</w:t>
      </w:r>
      <w:r>
        <w:t>acilité de crédit :</w:t>
      </w:r>
      <w:bookmarkEnd w:id="787"/>
    </w:p>
    <w:p w:rsidR="0000160C" w:rsidRDefault="00C517ED" w14:paraId="594A07FE" w14:textId="787BB97E">
      <w:pPr>
        <w:pStyle w:val="ArtBJStyL5"/>
      </w:pPr>
      <w:bookmarkStart w:name="_Ref113892626" w:id="788"/>
      <w:proofErr w:type="gramStart"/>
      <w:r>
        <w:t>le</w:t>
      </w:r>
      <w:proofErr w:type="gramEnd"/>
      <w:r>
        <w:t xml:space="preserve"> solde et le pourcentage </w:t>
      </w:r>
      <w:r w:rsidR="00320662">
        <w:t>de l’encours total</w:t>
      </w:r>
      <w:r>
        <w:t xml:space="preserve"> du capital non appelé;</w:t>
      </w:r>
      <w:bookmarkEnd w:id="788"/>
    </w:p>
    <w:p w:rsidR="0000160C" w:rsidRDefault="00C517ED" w14:paraId="082171AB" w14:textId="3D47F837">
      <w:pPr>
        <w:pStyle w:val="ArtBJStyL5"/>
      </w:pPr>
      <w:bookmarkStart w:name="_Ref113892627" w:id="789"/>
      <w:proofErr w:type="gramStart"/>
      <w:r>
        <w:t>le</w:t>
      </w:r>
      <w:proofErr w:type="gramEnd"/>
      <w:r>
        <w:t xml:space="preserve"> nombre de jours </w:t>
      </w:r>
      <w:r w:rsidR="00320662">
        <w:t>d’encours</w:t>
      </w:r>
      <w:r>
        <w:t xml:space="preserve"> de chaque </w:t>
      </w:r>
      <w:r w:rsidR="00785FEC">
        <w:t>Versement</w:t>
      </w:r>
      <w:r>
        <w:t>;</w:t>
      </w:r>
      <w:bookmarkEnd w:id="789"/>
    </w:p>
    <w:p w:rsidR="0000160C" w:rsidRDefault="00C517ED" w14:paraId="06127129" w14:textId="266F9676">
      <w:pPr>
        <w:pStyle w:val="ArtBJStyL5"/>
      </w:pPr>
      <w:bookmarkStart w:name="_Ref113892628" w:id="790"/>
      <w:proofErr w:type="gramStart"/>
      <w:r>
        <w:t>l</w:t>
      </w:r>
      <w:r w:rsidR="00E27310">
        <w:t>’</w:t>
      </w:r>
      <w:r>
        <w:t>utilisation</w:t>
      </w:r>
      <w:proofErr w:type="gramEnd"/>
      <w:r>
        <w:t xml:space="preserve"> actuelle </w:t>
      </w:r>
      <w:r w:rsidR="00320662">
        <w:t>des produits</w:t>
      </w:r>
      <w:r>
        <w:t xml:space="preserve"> de cette </w:t>
      </w:r>
      <w:r w:rsidR="00320662">
        <w:t>F</w:t>
      </w:r>
      <w:r>
        <w:t>acilité de crédit;</w:t>
      </w:r>
      <w:bookmarkEnd w:id="790"/>
    </w:p>
    <w:p w:rsidR="0000160C" w:rsidRDefault="00C517ED" w14:paraId="0C8BE2AD" w14:textId="73F2E024">
      <w:pPr>
        <w:pStyle w:val="ArtBJStyL5"/>
      </w:pPr>
      <w:bookmarkStart w:name="_Ref113892629" w:id="791"/>
      <w:proofErr w:type="gramStart"/>
      <w:r>
        <w:t>le</w:t>
      </w:r>
      <w:proofErr w:type="gramEnd"/>
      <w:r>
        <w:t xml:space="preserve"> taux de rendement interne net avec et sans utilisation de la </w:t>
      </w:r>
      <w:r w:rsidR="00320662">
        <w:t>F</w:t>
      </w:r>
      <w:r>
        <w:t>acilité de crédit;</w:t>
      </w:r>
      <w:bookmarkEnd w:id="791"/>
    </w:p>
    <w:p w:rsidR="0000160C" w:rsidRDefault="00C517ED" w14:paraId="6D83C3D6" w14:textId="0B5A131A">
      <w:pPr>
        <w:pStyle w:val="ArtBJStyL5"/>
      </w:pPr>
      <w:bookmarkStart w:name="_Ref113892630" w:id="792"/>
      <w:proofErr w:type="gramStart"/>
      <w:r>
        <w:t>les</w:t>
      </w:r>
      <w:proofErr w:type="gramEnd"/>
      <w:r>
        <w:t xml:space="preserve"> modalités de la </w:t>
      </w:r>
      <w:r w:rsidR="00320662">
        <w:t>F</w:t>
      </w:r>
      <w:r>
        <w:t xml:space="preserve">acilité de crédit (y compris les frais initiaux et les frais </w:t>
      </w:r>
      <w:r w:rsidR="00320662">
        <w:t>versés</w:t>
      </w:r>
      <w:r>
        <w:t xml:space="preserve"> et non </w:t>
      </w:r>
      <w:r w:rsidR="00320662">
        <w:t>versés</w:t>
      </w:r>
      <w:r>
        <w:t>);</w:t>
      </w:r>
      <w:bookmarkEnd w:id="792"/>
    </w:p>
    <w:p w:rsidR="0000160C" w:rsidRDefault="00C517ED" w14:paraId="72FCE366" w14:textId="4720F888">
      <w:pPr>
        <w:pStyle w:val="ArtBJStyL5"/>
      </w:pPr>
      <w:bookmarkStart w:name="_Ref113892631" w:id="793"/>
      <w:proofErr w:type="gramStart"/>
      <w:r>
        <w:t>les</w:t>
      </w:r>
      <w:proofErr w:type="gramEnd"/>
      <w:r>
        <w:t xml:space="preserve"> coûts pour le Fonds (y compris les intérêts et les frais);</w:t>
      </w:r>
      <w:bookmarkEnd w:id="793"/>
      <w:r w:rsidR="00320662">
        <w:t xml:space="preserve"> et</w:t>
      </w:r>
    </w:p>
    <w:p w:rsidR="0000160C" w:rsidRDefault="00C517ED" w14:paraId="6AACA73B" w14:textId="51D653F2">
      <w:pPr>
        <w:pStyle w:val="ArtBJStyL5"/>
      </w:pPr>
      <w:bookmarkStart w:name="_Ref113892632" w:id="794"/>
      <w:proofErr w:type="gramStart"/>
      <w:r>
        <w:t>toute</w:t>
      </w:r>
      <w:proofErr w:type="gramEnd"/>
      <w:r>
        <w:t xml:space="preserve"> autre information que le </w:t>
      </w:r>
      <w:r w:rsidR="00320662">
        <w:t>C</w:t>
      </w:r>
      <w:r>
        <w:t>ommandité juge appropriée.</w:t>
      </w:r>
      <w:bookmarkEnd w:id="794"/>
    </w:p>
    <w:p w:rsidR="0000160C" w:rsidRDefault="00320662" w14:paraId="7C9860EA" w14:textId="73E2476C">
      <w:pPr>
        <w:pStyle w:val="ArtBJStyL2"/>
      </w:pPr>
      <w:bookmarkStart w:name="_Ref40804806" w:id="795"/>
      <w:bookmarkStart w:name="_Toc161762407" w:id="796"/>
      <w:r>
        <w:t>Impôts</w:t>
      </w:r>
      <w:r w:rsidR="00C517ED">
        <w:t>.</w:t>
      </w:r>
      <w:bookmarkEnd w:id="795"/>
      <w:bookmarkEnd w:id="796"/>
    </w:p>
    <w:p w:rsidR="0000160C" w:rsidRDefault="00C517ED" w14:paraId="7CCAF314" w14:textId="70D4D632">
      <w:pPr>
        <w:pStyle w:val="ArtBJStyCont2"/>
      </w:pPr>
      <w:r>
        <w:t xml:space="preserve">Le </w:t>
      </w:r>
      <w:r w:rsidR="00320662">
        <w:t>C</w:t>
      </w:r>
      <w:r>
        <w:t xml:space="preserve">ommandité doit envoyer, en temps opportun et </w:t>
      </w:r>
      <w:r w:rsidR="00E1421C">
        <w:t>dans tous les cas</w:t>
      </w:r>
      <w:r>
        <w:t xml:space="preserve"> dans les </w:t>
      </w:r>
      <w:r>
        <w:rPr>
          <w:b/>
          <w:highlight w:val="yellow"/>
        </w:rPr>
        <w:t>[90]</w:t>
      </w:r>
      <w:r>
        <w:t xml:space="preserve"> jours de la fin de l</w:t>
      </w:r>
      <w:r w:rsidR="00E27310">
        <w:t>’</w:t>
      </w:r>
      <w:r w:rsidR="00E1421C">
        <w:t>E</w:t>
      </w:r>
      <w:r>
        <w:t>xercice</w:t>
      </w:r>
      <w:r w:rsidR="00E1421C">
        <w:t xml:space="preserve"> financier</w:t>
      </w:r>
      <w:r>
        <w:t xml:space="preserve">, à chaque personne qui était </w:t>
      </w:r>
      <w:r w:rsidR="00E1421C">
        <w:t>C</w:t>
      </w:r>
      <w:r>
        <w:t xml:space="preserve">ommanditaire à </w:t>
      </w:r>
      <w:r w:rsidR="00E1421C">
        <w:t>tout moment</w:t>
      </w:r>
      <w:r>
        <w:t xml:space="preserve"> au cours d</w:t>
      </w:r>
      <w:r w:rsidR="00E27310">
        <w:t>’</w:t>
      </w:r>
      <w:r>
        <w:t xml:space="preserve">un </w:t>
      </w:r>
      <w:r w:rsidR="00E1421C">
        <w:t>E</w:t>
      </w:r>
      <w:r>
        <w:t>xercice</w:t>
      </w:r>
      <w:r w:rsidR="00E1421C">
        <w:t xml:space="preserve"> financier</w:t>
      </w:r>
      <w:r>
        <w:t xml:space="preserve">, les renseignements et les documents </w:t>
      </w:r>
      <w:r w:rsidR="00E1421C">
        <w:t xml:space="preserve">qui sont </w:t>
      </w:r>
      <w:r>
        <w:t xml:space="preserve">nécessaires ou souhaitables pour que cette personne puisse faire les déclarations </w:t>
      </w:r>
      <w:r w:rsidR="00E1421C">
        <w:t>fiscales</w:t>
      </w:r>
      <w:r>
        <w:t xml:space="preserve"> appropriées en vertu de la Loi de l</w:t>
      </w:r>
      <w:r w:rsidR="00E27310">
        <w:t>’</w:t>
      </w:r>
      <w:r>
        <w:t xml:space="preserve">impôt ou de toute autre législation fiscale canadienne applicable relativement à cet </w:t>
      </w:r>
      <w:r w:rsidR="00E1421C">
        <w:t>Exercice financier</w:t>
      </w:r>
      <w:r>
        <w:t>. Sous réserve de l</w:t>
      </w:r>
      <w:r w:rsidR="00E1421C">
        <w:t xml:space="preserve">’article </w:t>
      </w:r>
      <w:r w:rsidRPr="006400F9">
        <w:rPr>
          <w:highlight w:val="yellow"/>
        </w:rPr>
        <w:fldChar w:fldCharType="begin"/>
      </w:r>
      <w:r w:rsidRPr="006400F9">
        <w:instrText xml:space="preserve"> REF _Ref47563377 \r \h </w:instrText>
      </w:r>
      <w:r w:rsidRPr="006400F9" w:rsidR="00791303">
        <w:rPr>
          <w:highlight w:val="yellow"/>
        </w:rPr>
        <w:instrText xml:space="preserve"> \* MERGEFORMAT </w:instrText>
      </w:r>
      <w:r w:rsidRPr="006400F9">
        <w:rPr>
          <w:highlight w:val="yellow"/>
        </w:rPr>
      </w:r>
      <w:r w:rsidRPr="006400F9">
        <w:rPr>
          <w:highlight w:val="yellow"/>
        </w:rPr>
        <w:fldChar w:fldCharType="separate"/>
      </w:r>
      <w:r w:rsidR="00B50BE2">
        <w:t>14.17</w:t>
      </w:r>
      <w:r w:rsidRPr="006400F9">
        <w:rPr>
          <w:highlight w:val="yellow"/>
        </w:rPr>
        <w:fldChar w:fldCharType="end"/>
      </w:r>
      <w:r>
        <w:t xml:space="preserve"> (</w:t>
      </w:r>
      <w:r w:rsidRPr="00992703" w:rsidR="00992703">
        <w:rPr>
          <w:i/>
          <w:highlight w:val="yellow"/>
        </w:rPr>
        <w:fldChar w:fldCharType="begin"/>
      </w:r>
      <w:r w:rsidRPr="00992703" w:rsidR="00992703">
        <w:rPr>
          <w:i/>
        </w:rPr>
        <w:instrText xml:space="preserve"> REF _Ref53086368 \h </w:instrText>
      </w:r>
      <w:r w:rsidR="00992703">
        <w:rPr>
          <w:i/>
          <w:highlight w:val="yellow"/>
        </w:rPr>
        <w:instrText xml:space="preserve"> \* MERGEFORMAT </w:instrText>
      </w:r>
      <w:r w:rsidRPr="00992703" w:rsidR="00992703">
        <w:rPr>
          <w:i/>
          <w:highlight w:val="yellow"/>
        </w:rPr>
      </w:r>
      <w:r w:rsidRPr="00992703" w:rsidR="00992703">
        <w:rPr>
          <w:i/>
          <w:highlight w:val="yellow"/>
        </w:rPr>
        <w:fldChar w:fldCharType="separate"/>
      </w:r>
      <w:r w:rsidRPr="00B50BE2" w:rsidR="00B50BE2">
        <w:rPr>
          <w:i/>
        </w:rPr>
        <w:t>Choix en matière d’impôt sur le revenu et déclarations de renseignements.</w:t>
      </w:r>
      <w:r w:rsidRPr="00992703" w:rsidR="00992703">
        <w:rPr>
          <w:i/>
          <w:highlight w:val="yellow"/>
        </w:rPr>
        <w:fldChar w:fldCharType="end"/>
      </w:r>
      <w:r>
        <w:t xml:space="preserve">), le </w:t>
      </w:r>
      <w:r w:rsidR="00E1421C">
        <w:t>C</w:t>
      </w:r>
      <w:r>
        <w:t xml:space="preserve">ommandité doit produire ou faire produire, en son nom et au nom des </w:t>
      </w:r>
      <w:r w:rsidR="00E1421C">
        <w:t>C</w:t>
      </w:r>
      <w:r>
        <w:t xml:space="preserve">ommanditaires, </w:t>
      </w:r>
      <w:r w:rsidR="00E1421C">
        <w:t>l</w:t>
      </w:r>
      <w:r>
        <w:t xml:space="preserve">es déclarations de renseignements annuelles sur le </w:t>
      </w:r>
      <w:r w:rsidR="00E1421C">
        <w:t>F</w:t>
      </w:r>
      <w:r>
        <w:t>onds et tout autre renseignement devant être produit en vertu de la Loi de l</w:t>
      </w:r>
      <w:r w:rsidR="00E27310">
        <w:t>’</w:t>
      </w:r>
      <w:r>
        <w:t xml:space="preserve">impôt et de toute autre législation fiscale canadienne applicable </w:t>
      </w:r>
      <w:r w:rsidR="00E1421C">
        <w:t>à l’égard des</w:t>
      </w:r>
      <w:r>
        <w:t xml:space="preserve"> questions relatives </w:t>
      </w:r>
      <w:r w:rsidR="00E1421C">
        <w:t>au Fonds</w:t>
      </w:r>
      <w:r>
        <w:t xml:space="preserve">. À la demande et aux frais de tout </w:t>
      </w:r>
      <w:r w:rsidR="00E1421C">
        <w:t>Commanditaire</w:t>
      </w:r>
      <w:r>
        <w:t xml:space="preserve">, le </w:t>
      </w:r>
      <w:r w:rsidR="00E1421C">
        <w:t>C</w:t>
      </w:r>
      <w:r>
        <w:t xml:space="preserve">ommandité doit </w:t>
      </w:r>
      <w:proofErr w:type="gramStart"/>
      <w:r w:rsidR="00E1421C">
        <w:t>faire</w:t>
      </w:r>
      <w:proofErr w:type="gramEnd"/>
      <w:r>
        <w:t xml:space="preserve"> des efforts raisonnables pour aider le </w:t>
      </w:r>
      <w:r w:rsidR="00E1421C">
        <w:t>C</w:t>
      </w:r>
      <w:r>
        <w:t xml:space="preserve">ommanditaire </w:t>
      </w:r>
      <w:r w:rsidR="000B5460">
        <w:t>qui en fait la demande</w:t>
      </w:r>
      <w:r>
        <w:t xml:space="preserve"> à </w:t>
      </w:r>
      <w:r w:rsidR="000B5460">
        <w:t>faire</w:t>
      </w:r>
      <w:r>
        <w:t xml:space="preserve">, ou à fournir des renseignements </w:t>
      </w:r>
      <w:r w:rsidR="000B5460">
        <w:t>pour que le Commanditaire qui en fait la demande</w:t>
      </w:r>
      <w:r>
        <w:t xml:space="preserve"> </w:t>
      </w:r>
      <w:r w:rsidR="000B5460">
        <w:t>puisse faire</w:t>
      </w:r>
      <w:r w:rsidR="00040C15">
        <w:t>,</w:t>
      </w:r>
      <w:r>
        <w:t xml:space="preserve"> les déclarations, les demandes ou les choix nécessaires </w:t>
      </w:r>
      <w:r w:rsidR="000B5460">
        <w:t>afin</w:t>
      </w:r>
      <w:r>
        <w:t xml:space="preserve"> </w:t>
      </w:r>
      <w:r w:rsidR="000B5460">
        <w:t>qu’il puisse obtenir</w:t>
      </w:r>
      <w:r>
        <w:t xml:space="preserve"> les exemptions</w:t>
      </w:r>
      <w:r w:rsidR="000B5460">
        <w:t xml:space="preserve"> ou les remboursements</w:t>
      </w:r>
      <w:r>
        <w:t xml:space="preserve"> de retenue d</w:t>
      </w:r>
      <w:r w:rsidR="00E27310">
        <w:t>’</w:t>
      </w:r>
      <w:r>
        <w:t xml:space="preserve">impôt disponibles liés aux revenus du Fonds attribuables à ce </w:t>
      </w:r>
      <w:r w:rsidR="000B5460">
        <w:t>C</w:t>
      </w:r>
      <w:r>
        <w:t>ommanditaire.</w:t>
      </w:r>
    </w:p>
    <w:p w:rsidR="0000160C" w:rsidRDefault="00C517ED" w14:paraId="10DC530F" w14:textId="3C70DECC">
      <w:pPr>
        <w:pStyle w:val="ArtBJStyL1"/>
      </w:pPr>
      <w:r>
        <w:br/>
      </w:r>
      <w:bookmarkStart w:name="_Ref40807235" w:id="797"/>
      <w:bookmarkStart w:name="_Toc161762408" w:id="798"/>
      <w:r>
        <w:t>Exon</w:t>
      </w:r>
      <w:r w:rsidR="00AF146D">
        <w:t>É</w:t>
      </w:r>
      <w:r>
        <w:t>ration et indemnisation</w:t>
      </w:r>
      <w:bookmarkEnd w:id="797"/>
      <w:bookmarkEnd w:id="798"/>
    </w:p>
    <w:p w:rsidR="0000160C" w:rsidRDefault="00AF146D" w14:paraId="6F6B259C" w14:textId="3E0A7C99">
      <w:pPr>
        <w:pStyle w:val="ArtBJStyL2"/>
      </w:pPr>
      <w:bookmarkStart w:name="_Ref40801087" w:id="799"/>
      <w:bookmarkStart w:name="_Toc161762409" w:id="800"/>
      <w:r>
        <w:t>Exonération</w:t>
      </w:r>
      <w:r w:rsidR="00C517ED">
        <w:t xml:space="preserve"> des </w:t>
      </w:r>
      <w:r>
        <w:t>P</w:t>
      </w:r>
      <w:r w:rsidR="00C517ED">
        <w:t>ersonnes couvertes.</w:t>
      </w:r>
      <w:bookmarkEnd w:id="799"/>
      <w:bookmarkEnd w:id="800"/>
    </w:p>
    <w:p w:rsidR="0000160C" w:rsidRDefault="00C517ED" w14:paraId="7C8ED697" w14:textId="24AA03C8">
      <w:pPr>
        <w:pStyle w:val="ArtBJStyCont2"/>
      </w:pPr>
      <w:r>
        <w:t xml:space="preserve">Aucune Personne </w:t>
      </w:r>
      <w:r w:rsidR="004B404C">
        <w:t>c</w:t>
      </w:r>
      <w:r>
        <w:t xml:space="preserve">ouverte par </w:t>
      </w:r>
      <w:r w:rsidR="004B404C">
        <w:t>le Commandité</w:t>
      </w:r>
      <w:r>
        <w:t xml:space="preserve"> ne sera responsable envers le Fonds ou tout </w:t>
      </w:r>
      <w:r w:rsidR="004B404C">
        <w:t>Associé</w:t>
      </w:r>
      <w:r>
        <w:t xml:space="preserve"> pour les pertes, réclamations, demandes, actions, jugements, décisions arbitrales, ordonnances, amendes, pénalités ou responsabilité</w:t>
      </w:r>
      <w:r w:rsidR="004B404C">
        <w:t>s</w:t>
      </w:r>
      <w:r>
        <w:t xml:space="preserve"> de quelque nature que ce soit, y compris les frais juridiques raisonnables, les </w:t>
      </w:r>
      <w:r w:rsidR="00EC13EB">
        <w:t>dépenses remboursables</w:t>
      </w:r>
      <w:r>
        <w:t xml:space="preserve"> et les frais de justice (« </w:t>
      </w:r>
      <w:r>
        <w:rPr>
          <w:b/>
        </w:rPr>
        <w:t>Dommages</w:t>
      </w:r>
      <w:r w:rsidR="00040C15">
        <w:rPr>
          <w:b/>
        </w:rPr>
        <w:t xml:space="preserve"> </w:t>
      </w:r>
      <w:r>
        <w:t xml:space="preserve">») subis ou encourus par le Fonds ou tout </w:t>
      </w:r>
      <w:r w:rsidR="00EC13EB">
        <w:t>Associé</w:t>
      </w:r>
      <w:r>
        <w:t xml:space="preserve">, sauf dans la mesure où ces </w:t>
      </w:r>
      <w:r w:rsidR="00C768BA">
        <w:t>Dommages</w:t>
      </w:r>
      <w:r>
        <w:t xml:space="preserve"> sont fondés sur, découlent ou sont </w:t>
      </w:r>
      <w:r w:rsidR="00EC13EB">
        <w:t>autrement liés</w:t>
      </w:r>
      <w:r>
        <w:t xml:space="preserve"> </w:t>
      </w:r>
      <w:r w:rsidR="00EC13EB">
        <w:t>à</w:t>
      </w:r>
      <w:r>
        <w:t xml:space="preserve"> un Événement </w:t>
      </w:r>
      <w:r w:rsidR="00EC13EB">
        <w:t>déclencheur</w:t>
      </w:r>
      <w:r>
        <w:t xml:space="preserve">. Aucune </w:t>
      </w:r>
      <w:r w:rsidR="00EC13EB">
        <w:t>P</w:t>
      </w:r>
      <w:r>
        <w:t xml:space="preserve">ersonne couverte par </w:t>
      </w:r>
      <w:r w:rsidR="00EC13EB">
        <w:t>le CCC</w:t>
      </w:r>
      <w:r>
        <w:t xml:space="preserve"> ne sera responsable envers quiconque des </w:t>
      </w:r>
      <w:r w:rsidR="00EC13EB">
        <w:lastRenderedPageBreak/>
        <w:t>Dommages</w:t>
      </w:r>
      <w:r>
        <w:t xml:space="preserve"> subis ou </w:t>
      </w:r>
      <w:r w:rsidR="00EC13EB">
        <w:t>encourus</w:t>
      </w:r>
      <w:r>
        <w:t xml:space="preserve"> par le Fonds, tout </w:t>
      </w:r>
      <w:r w:rsidR="00EC13EB">
        <w:t>C</w:t>
      </w:r>
      <w:r>
        <w:t xml:space="preserve">ommanditaire, le </w:t>
      </w:r>
      <w:r w:rsidR="00EC13EB">
        <w:t>C</w:t>
      </w:r>
      <w:r>
        <w:t xml:space="preserve">ommandité, toute </w:t>
      </w:r>
      <w:r w:rsidR="00EC13EB">
        <w:t>P</w:t>
      </w:r>
      <w:r>
        <w:t xml:space="preserve">ersonne intéressée ou </w:t>
      </w:r>
      <w:r w:rsidR="00EC13EB">
        <w:t>tout Membre du même groupe</w:t>
      </w:r>
      <w:r>
        <w:t xml:space="preserve"> </w:t>
      </w:r>
      <w:r w:rsidR="00335434">
        <w:t>que l’une des Personnes précédentes</w:t>
      </w:r>
      <w:r>
        <w:t xml:space="preserve">, sauf dans la mesure </w:t>
      </w:r>
      <w:r w:rsidR="00EC13EB">
        <w:t>où</w:t>
      </w:r>
      <w:r>
        <w:t xml:space="preserve"> un tribunal</w:t>
      </w:r>
      <w:r w:rsidR="00EC13EB">
        <w:t xml:space="preserve"> estime que ces Dommages</w:t>
      </w:r>
      <w:r>
        <w:t xml:space="preserve"> </w:t>
      </w:r>
      <w:r w:rsidR="00EC13EB">
        <w:t>sont</w:t>
      </w:r>
      <w:r>
        <w:t xml:space="preserve"> fondé</w:t>
      </w:r>
      <w:r w:rsidR="00EC13EB">
        <w:t>s</w:t>
      </w:r>
      <w:r>
        <w:t xml:space="preserve"> sur, découl</w:t>
      </w:r>
      <w:r w:rsidR="00EC13EB">
        <w:t>ent</w:t>
      </w:r>
      <w:r>
        <w:t xml:space="preserve"> de ou </w:t>
      </w:r>
      <w:r w:rsidR="00EC13EB">
        <w:t xml:space="preserve">sont </w:t>
      </w:r>
      <w:r>
        <w:t>autrement lié</w:t>
      </w:r>
      <w:r w:rsidR="00EC13EB">
        <w:t>s</w:t>
      </w:r>
      <w:r>
        <w:t xml:space="preserve"> à la fraude ou </w:t>
      </w:r>
      <w:r w:rsidR="00C768BA">
        <w:t xml:space="preserve">à </w:t>
      </w:r>
      <w:r>
        <w:t xml:space="preserve">la mauvaise foi du membre </w:t>
      </w:r>
      <w:r w:rsidR="00C768BA">
        <w:t>concerné</w:t>
      </w:r>
      <w:r>
        <w:t xml:space="preserve"> du </w:t>
      </w:r>
      <w:r w:rsidR="00C768BA">
        <w:t>C</w:t>
      </w:r>
      <w:r>
        <w:t xml:space="preserve">omité consultatif </w:t>
      </w:r>
      <w:r w:rsidR="00C768BA">
        <w:t>des Commanditaires</w:t>
      </w:r>
      <w:r>
        <w:t xml:space="preserve"> ou </w:t>
      </w:r>
      <w:r w:rsidR="00C768BA">
        <w:t xml:space="preserve">à </w:t>
      </w:r>
      <w:r>
        <w:t xml:space="preserve">un manquement aux obligations des membres énoncées </w:t>
      </w:r>
      <w:r w:rsidR="00C768BA">
        <w:t>à l’article</w:t>
      </w:r>
      <w:r>
        <w:t xml:space="preserve"> </w:t>
      </w:r>
      <w:bookmarkStart w:name="DocXTextRef152" w:id="801"/>
      <w:r w:rsidR="00856D2F">
        <w:fldChar w:fldCharType="begin"/>
      </w:r>
      <w:r w:rsidR="00856D2F">
        <w:instrText xml:space="preserve"> REF _Ref113892570 \w \h </w:instrText>
      </w:r>
      <w:r w:rsidR="00856D2F">
        <w:fldChar w:fldCharType="separate"/>
      </w:r>
      <w:r w:rsidR="00B50BE2">
        <w:t>13.2(b)</w:t>
      </w:r>
      <w:r w:rsidR="00856D2F">
        <w:fldChar w:fldCharType="end"/>
      </w:r>
      <w:r>
        <w:t xml:space="preserve"> (</w:t>
      </w:r>
      <w:r w:rsidRPr="00856D2F" w:rsidR="00856D2F">
        <w:rPr>
          <w:i/>
        </w:rPr>
        <w:fldChar w:fldCharType="begin"/>
      </w:r>
      <w:r w:rsidRPr="00856D2F" w:rsidR="00856D2F">
        <w:rPr>
          <w:i/>
        </w:rPr>
        <w:instrText xml:space="preserve"> REF _Ref113882794 \h </w:instrText>
      </w:r>
      <w:r w:rsidR="00856D2F">
        <w:rPr>
          <w:i/>
        </w:rPr>
        <w:instrText xml:space="preserve"> \* MERGEFORMAT </w:instrText>
      </w:r>
      <w:r w:rsidRPr="00856D2F" w:rsidR="00856D2F">
        <w:rPr>
          <w:i/>
        </w:rPr>
      </w:r>
      <w:r w:rsidRPr="00856D2F" w:rsidR="00856D2F">
        <w:rPr>
          <w:i/>
        </w:rPr>
        <w:fldChar w:fldCharType="separate"/>
      </w:r>
      <w:r w:rsidRPr="00B50BE2" w:rsidR="00B50BE2">
        <w:rPr>
          <w:i/>
        </w:rPr>
        <w:t>Étendue des pouvoirs.</w:t>
      </w:r>
      <w:r w:rsidRPr="00856D2F" w:rsidR="00856D2F">
        <w:rPr>
          <w:i/>
        </w:rPr>
        <w:fldChar w:fldCharType="end"/>
      </w:r>
      <w:r>
        <w:t>)</w:t>
      </w:r>
      <w:bookmarkEnd w:id="801"/>
      <w:r>
        <w:t xml:space="preserve">. </w:t>
      </w:r>
    </w:p>
    <w:p w:rsidR="0000160C" w:rsidRDefault="00C517ED" w14:paraId="0ECB680D" w14:textId="707194B2">
      <w:pPr>
        <w:pStyle w:val="ArtBJStyL2"/>
      </w:pPr>
      <w:bookmarkStart w:name="_Ref40803551" w:id="802"/>
      <w:bookmarkStart w:name="_Toc161762410" w:id="803"/>
      <w:r>
        <w:t xml:space="preserve">Indemnisation des </w:t>
      </w:r>
      <w:r w:rsidR="00643E5F">
        <w:t>P</w:t>
      </w:r>
      <w:r>
        <w:t>ersonnes couvertes.</w:t>
      </w:r>
      <w:bookmarkEnd w:id="802"/>
      <w:bookmarkEnd w:id="803"/>
    </w:p>
    <w:p w:rsidR="0000160C" w:rsidRDefault="00C517ED" w14:paraId="2C6384AE" w14:textId="3CC7EC79">
      <w:pPr>
        <w:pStyle w:val="ArtBJStyL3"/>
      </w:pPr>
      <w:bookmarkStart w:name="_Ref40806138" w:id="804"/>
      <w:r>
        <w:t xml:space="preserve">Chaque </w:t>
      </w:r>
      <w:r w:rsidR="00C768BA">
        <w:t>P</w:t>
      </w:r>
      <w:r>
        <w:t xml:space="preserve">ersonne couverte par </w:t>
      </w:r>
      <w:r w:rsidR="00C768BA">
        <w:t>le Commandité</w:t>
      </w:r>
      <w:r>
        <w:t xml:space="preserve"> </w:t>
      </w:r>
      <w:r w:rsidR="0071419D">
        <w:t>doit être</w:t>
      </w:r>
      <w:r>
        <w:t xml:space="preserve"> indemnisée et </w:t>
      </w:r>
      <w:r w:rsidR="00C768BA">
        <w:t>tenue à couvert</w:t>
      </w:r>
      <w:r>
        <w:t xml:space="preserve"> par le Fonds, de tou</w:t>
      </w:r>
      <w:r w:rsidR="00B85A5A">
        <w:t>t</w:t>
      </w:r>
      <w:r>
        <w:t xml:space="preserve"> Dommage qu</w:t>
      </w:r>
      <w:r w:rsidR="00E27310">
        <w:t>’</w:t>
      </w:r>
      <w:r>
        <w:t>elle subit ou encourt en raison d</w:t>
      </w:r>
      <w:r w:rsidR="00E27310">
        <w:t>’</w:t>
      </w:r>
      <w:r>
        <w:t>actes ou d</w:t>
      </w:r>
      <w:r w:rsidR="00E27310">
        <w:t>’</w:t>
      </w:r>
      <w:r>
        <w:t xml:space="preserve">omissions commis par elle au nom du Fonds ou de sa gestion des affaires du Fonds. Nonobstant ce qui précède, aucune </w:t>
      </w:r>
      <w:r w:rsidR="00C768BA">
        <w:t>P</w:t>
      </w:r>
      <w:r>
        <w:t xml:space="preserve">ersonne couverte par </w:t>
      </w:r>
      <w:r w:rsidR="00C768BA">
        <w:t>le Commandité</w:t>
      </w:r>
      <w:r>
        <w:t xml:space="preserve"> ne </w:t>
      </w:r>
      <w:r w:rsidR="0071419D">
        <w:t>doit être</w:t>
      </w:r>
      <w:r>
        <w:t xml:space="preserve"> indemnisée ou </w:t>
      </w:r>
      <w:r w:rsidR="00C768BA">
        <w:t>tenue à couvert</w:t>
      </w:r>
      <w:r>
        <w:t xml:space="preserve"> pour tout Dommage dans la mesure où ces Dommages sont fondés sur, découlent</w:t>
      </w:r>
      <w:r w:rsidR="00C768BA">
        <w:t xml:space="preserve"> de</w:t>
      </w:r>
      <w:r>
        <w:t xml:space="preserve"> ou sont autrement liés à un </w:t>
      </w:r>
      <w:r w:rsidR="00C768BA">
        <w:t>É</w:t>
      </w:r>
      <w:r>
        <w:t>vénement d</w:t>
      </w:r>
      <w:r w:rsidR="00E27310">
        <w:t>’</w:t>
      </w:r>
      <w:r>
        <w:t xml:space="preserve">exclusion </w:t>
      </w:r>
      <w:r w:rsidR="00C768BA">
        <w:t>de l’</w:t>
      </w:r>
      <w:r>
        <w:t xml:space="preserve">indemnisation. Dans tous les cas, aucune Personne </w:t>
      </w:r>
      <w:r w:rsidR="00C768BA">
        <w:t>c</w:t>
      </w:r>
      <w:r>
        <w:t xml:space="preserve">ouverte par </w:t>
      </w:r>
      <w:r w:rsidR="00C768BA">
        <w:t>le Commandité</w:t>
      </w:r>
      <w:r>
        <w:t xml:space="preserve"> </w:t>
      </w:r>
      <w:r w:rsidR="0071419D">
        <w:t>ne doit être</w:t>
      </w:r>
      <w:r>
        <w:t xml:space="preserve"> indemnisée ou </w:t>
      </w:r>
      <w:r w:rsidR="00C768BA">
        <w:t xml:space="preserve">tenue à couvert </w:t>
      </w:r>
      <w:r>
        <w:t xml:space="preserve">en vertu des présentes sans avoir au préalable fait des efforts raisonnables pour être indemnisée, </w:t>
      </w:r>
      <w:r w:rsidR="00C768BA">
        <w:t>tenue à couvert</w:t>
      </w:r>
      <w:r>
        <w:t xml:space="preserve"> ou autrement remboursée par d</w:t>
      </w:r>
      <w:r w:rsidR="00E27310">
        <w:t>’</w:t>
      </w:r>
      <w:r>
        <w:t xml:space="preserve">autres sources disponibles (y compris les Sociétés de </w:t>
      </w:r>
      <w:r w:rsidR="00C768BA">
        <w:t>p</w:t>
      </w:r>
      <w:r>
        <w:t>ortefeuille et la couverture d</w:t>
      </w:r>
      <w:r w:rsidR="00E27310">
        <w:t>’</w:t>
      </w:r>
      <w:r>
        <w:t>assurance d</w:t>
      </w:r>
      <w:r w:rsidR="00E27310">
        <w:t>’</w:t>
      </w:r>
      <w:r>
        <w:t xml:space="preserve">une Société de </w:t>
      </w:r>
      <w:r w:rsidR="00C768BA">
        <w:t>p</w:t>
      </w:r>
      <w:r>
        <w:t>ortefeuille ou conformément à l</w:t>
      </w:r>
      <w:r w:rsidR="00C768BA">
        <w:t xml:space="preserve">’article </w:t>
      </w:r>
      <w:r w:rsidRPr="006400F9">
        <w:fldChar w:fldCharType="begin"/>
      </w:r>
      <w:r w:rsidRPr="006400F9">
        <w:instrText xml:space="preserve"> REF _Ref40805853 \w \h </w:instrText>
      </w:r>
      <w:r w:rsidRPr="006400F9" w:rsidR="00791303">
        <w:instrText xml:space="preserve"> \* MERGEFORMAT </w:instrText>
      </w:r>
      <w:r w:rsidRPr="006400F9">
        <w:fldChar w:fldCharType="separate"/>
      </w:r>
      <w:r w:rsidR="00B50BE2">
        <w:t>13.6</w:t>
      </w:r>
      <w:r w:rsidRPr="006400F9">
        <w:fldChar w:fldCharType="end"/>
      </w:r>
      <w:r>
        <w:t xml:space="preserve"> (</w:t>
      </w:r>
      <w:r w:rsidRPr="00992703" w:rsidR="00992703">
        <w:rPr>
          <w:i/>
        </w:rPr>
        <w:fldChar w:fldCharType="begin"/>
      </w:r>
      <w:r w:rsidRPr="00992703" w:rsidR="00992703">
        <w:rPr>
          <w:i/>
        </w:rPr>
        <w:instrText xml:space="preserve"> REF _Ref40805853 \h </w:instrText>
      </w:r>
      <w:r w:rsidR="00992703">
        <w:rPr>
          <w:i/>
        </w:rPr>
        <w:instrText xml:space="preserve"> \* MERGEFORMAT </w:instrText>
      </w:r>
      <w:r w:rsidRPr="00992703" w:rsidR="00992703">
        <w:rPr>
          <w:i/>
        </w:rPr>
      </w:r>
      <w:r w:rsidRPr="00992703" w:rsidR="00992703">
        <w:rPr>
          <w:i/>
        </w:rPr>
        <w:fldChar w:fldCharType="separate"/>
      </w:r>
      <w:r w:rsidRPr="00B50BE2" w:rsidR="00B50BE2">
        <w:rPr>
          <w:i/>
        </w:rPr>
        <w:t>Assurance des administrateurs ou dirigeants.</w:t>
      </w:r>
      <w:r w:rsidRPr="00992703" w:rsidR="00992703">
        <w:rPr>
          <w:i/>
        </w:rPr>
        <w:fldChar w:fldCharType="end"/>
      </w:r>
      <w:r>
        <w:t xml:space="preserve">), dans toute la mesure permise par </w:t>
      </w:r>
      <w:r w:rsidR="007A757B">
        <w:t>le droit</w:t>
      </w:r>
      <w:r w:rsidR="00C768BA">
        <w:t xml:space="preserve"> applicable</w:t>
      </w:r>
      <w:r>
        <w:t>). Tout montant d</w:t>
      </w:r>
      <w:r w:rsidR="00E27310">
        <w:t>’</w:t>
      </w:r>
      <w:r>
        <w:t xml:space="preserve">indemnisation payé en vertu des présentes </w:t>
      </w:r>
      <w:r w:rsidR="0071419D">
        <w:t>doit être</w:t>
      </w:r>
      <w:r>
        <w:t xml:space="preserve"> réduit des montants reçus de ces autres sources et chaque </w:t>
      </w:r>
      <w:r w:rsidR="00C768BA">
        <w:t>P</w:t>
      </w:r>
      <w:r>
        <w:t xml:space="preserve">ersonne couverte par </w:t>
      </w:r>
      <w:r w:rsidR="00C768BA">
        <w:t>le Commandité</w:t>
      </w:r>
      <w:r>
        <w:t xml:space="preserve"> </w:t>
      </w:r>
      <w:r w:rsidR="0071419D">
        <w:t>doit rembourser</w:t>
      </w:r>
      <w:r>
        <w:t xml:space="preserve"> tout paiement d</w:t>
      </w:r>
      <w:r w:rsidR="00E27310">
        <w:t>’</w:t>
      </w:r>
      <w:r>
        <w:t>indemnisation jusqu</w:t>
      </w:r>
      <w:r w:rsidR="00E27310">
        <w:t>’</w:t>
      </w:r>
      <w:r>
        <w:t>à concurrence des montants reçus ultérieurement de ces autres sources.</w:t>
      </w:r>
      <w:bookmarkEnd w:id="804"/>
    </w:p>
    <w:p w:rsidR="0000160C" w:rsidRDefault="00C517ED" w14:paraId="00E5C568" w14:textId="3AA5648D">
      <w:pPr>
        <w:pStyle w:val="ArtBJStyL3"/>
      </w:pPr>
      <w:bookmarkStart w:name="_Ref113892633" w:id="805"/>
      <w:r>
        <w:t xml:space="preserve">Chaque </w:t>
      </w:r>
      <w:r w:rsidR="0071419D">
        <w:t>P</w:t>
      </w:r>
      <w:r>
        <w:t xml:space="preserve">ersonne couverte par le </w:t>
      </w:r>
      <w:r w:rsidR="00C768BA">
        <w:t>CCC</w:t>
      </w:r>
      <w:r>
        <w:t xml:space="preserve"> </w:t>
      </w:r>
      <w:r w:rsidR="0071419D">
        <w:t>doit être</w:t>
      </w:r>
      <w:r>
        <w:t xml:space="preserve"> indemnisée et </w:t>
      </w:r>
      <w:r w:rsidR="0071419D">
        <w:t>tenue à couvert</w:t>
      </w:r>
      <w:r>
        <w:t xml:space="preserve"> par le Fonds à l</w:t>
      </w:r>
      <w:r w:rsidR="00E27310">
        <w:t>’</w:t>
      </w:r>
      <w:r>
        <w:t xml:space="preserve">égard de tout Dommage subi ou </w:t>
      </w:r>
      <w:r w:rsidR="0071419D">
        <w:t>encouru</w:t>
      </w:r>
      <w:r>
        <w:t xml:space="preserve"> par l</w:t>
      </w:r>
      <w:r w:rsidR="00E27310">
        <w:t>’</w:t>
      </w:r>
      <w:r>
        <w:t>un</w:t>
      </w:r>
      <w:r w:rsidR="00D42829">
        <w:t>e</w:t>
      </w:r>
      <w:r>
        <w:t xml:space="preserve"> d</w:t>
      </w:r>
      <w:r w:rsidR="00E27310">
        <w:t>’</w:t>
      </w:r>
      <w:r>
        <w:t xml:space="preserve">entre </w:t>
      </w:r>
      <w:r w:rsidR="0071419D">
        <w:t>elles</w:t>
      </w:r>
      <w:r>
        <w:t xml:space="preserve"> en raison d</w:t>
      </w:r>
      <w:r w:rsidR="00E27310">
        <w:t>’</w:t>
      </w:r>
      <w:r>
        <w:t>actes ou d</w:t>
      </w:r>
      <w:r w:rsidR="00E27310">
        <w:t>’</w:t>
      </w:r>
      <w:r>
        <w:t>omissions du Comité consultatif d</w:t>
      </w:r>
      <w:r w:rsidR="00C768BA">
        <w:t xml:space="preserve">es Commanditaires </w:t>
      </w:r>
      <w:r>
        <w:t>ou de l</w:t>
      </w:r>
      <w:r w:rsidR="00E27310">
        <w:t>’</w:t>
      </w:r>
      <w:r>
        <w:t xml:space="preserve">un de ses membres. Nonobstant ce qui précède, aucune </w:t>
      </w:r>
      <w:r w:rsidR="00C768BA">
        <w:t>P</w:t>
      </w:r>
      <w:r>
        <w:t xml:space="preserve">ersonne couverte par le </w:t>
      </w:r>
      <w:r w:rsidR="00C768BA">
        <w:t>CCC</w:t>
      </w:r>
      <w:r>
        <w:t xml:space="preserve"> n</w:t>
      </w:r>
      <w:r w:rsidR="00E27310">
        <w:t>’</w:t>
      </w:r>
      <w:r>
        <w:t>a le droit d</w:t>
      </w:r>
      <w:r w:rsidR="00E27310">
        <w:t>’</w:t>
      </w:r>
      <w:r>
        <w:t>être indemnisée en vertu des présentes contre tout Dommage dans la mesure où un tribunal estime qu</w:t>
      </w:r>
      <w:r w:rsidR="00E27310">
        <w:t>’</w:t>
      </w:r>
      <w:r>
        <w:t xml:space="preserve">il est fondé sur la mauvaise foi du membre concerné du </w:t>
      </w:r>
      <w:r w:rsidR="00C768BA">
        <w:t>C</w:t>
      </w:r>
      <w:r>
        <w:t xml:space="preserve">omité consultatif </w:t>
      </w:r>
      <w:r w:rsidR="00C768BA">
        <w:t>des</w:t>
      </w:r>
      <w:r>
        <w:t xml:space="preserve"> </w:t>
      </w:r>
      <w:r w:rsidR="00C768BA">
        <w:t>Commanditaires</w:t>
      </w:r>
      <w:r>
        <w:t>, qu</w:t>
      </w:r>
      <w:r w:rsidR="00E27310">
        <w:t>’</w:t>
      </w:r>
      <w:r>
        <w:t>il découle de celle-ci ou qu</w:t>
      </w:r>
      <w:r w:rsidR="00E27310">
        <w:t>’</w:t>
      </w:r>
      <w:r>
        <w:t>il est autrement lié à celle-ci.</w:t>
      </w:r>
      <w:bookmarkEnd w:id="805"/>
      <w:r>
        <w:t xml:space="preserve"> </w:t>
      </w:r>
    </w:p>
    <w:p w:rsidR="0000160C" w:rsidRDefault="00C517ED" w14:paraId="09D2D11F" w14:textId="6570FCF6">
      <w:pPr>
        <w:pStyle w:val="ArtBJStyL3"/>
      </w:pPr>
      <w:bookmarkStart w:name="_Ref113892634" w:id="806"/>
      <w:r>
        <w:t xml:space="preserve">Les dépenses </w:t>
      </w:r>
      <w:r w:rsidR="0071419D">
        <w:t>encourues</w:t>
      </w:r>
      <w:r>
        <w:t xml:space="preserve"> par une </w:t>
      </w:r>
      <w:r w:rsidR="0071419D">
        <w:t>P</w:t>
      </w:r>
      <w:r>
        <w:t xml:space="preserve">ersonne couverte pour défendre une réclamation ou une procédure peuvent être payées par le Fonds avant la </w:t>
      </w:r>
      <w:r w:rsidR="0071419D">
        <w:t>décision</w:t>
      </w:r>
      <w:r>
        <w:t xml:space="preserve"> finale </w:t>
      </w:r>
      <w:r w:rsidR="0071419D">
        <w:t>à l’égard de</w:t>
      </w:r>
      <w:r>
        <w:t xml:space="preserve"> cette réclamation ou procédure</w:t>
      </w:r>
      <w:r w:rsidR="0071419D">
        <w:t>,</w:t>
      </w:r>
      <w:r>
        <w:t xml:space="preserve"> à condition que </w:t>
      </w:r>
      <w:bookmarkStart w:name="DocXTextRef153" w:id="807"/>
      <w:r>
        <w:t>(i)</w:t>
      </w:r>
      <w:bookmarkEnd w:id="807"/>
      <w:r>
        <w:t xml:space="preserve"> la </w:t>
      </w:r>
      <w:r w:rsidR="0071419D">
        <w:t>P</w:t>
      </w:r>
      <w:r>
        <w:t>ersonne couverte s</w:t>
      </w:r>
      <w:r w:rsidR="00E27310">
        <w:t>’</w:t>
      </w:r>
      <w:r>
        <w:t>engage à rembourser ce montant s</w:t>
      </w:r>
      <w:r w:rsidR="00E27310">
        <w:t>’</w:t>
      </w:r>
      <w:r>
        <w:t xml:space="preserve">il est finalement déterminé que cette </w:t>
      </w:r>
      <w:r w:rsidR="0071419D">
        <w:t>P</w:t>
      </w:r>
      <w:r>
        <w:t>ersonne n</w:t>
      </w:r>
      <w:r w:rsidR="00E27310">
        <w:t>’</w:t>
      </w:r>
      <w:r>
        <w:t xml:space="preserve">avait pas </w:t>
      </w:r>
      <w:r w:rsidR="00193FE8">
        <w:t xml:space="preserve">le </w:t>
      </w:r>
      <w:r>
        <w:t xml:space="preserve">droit </w:t>
      </w:r>
      <w:r w:rsidR="00193FE8">
        <w:t>d’être indemnisée</w:t>
      </w:r>
      <w:r>
        <w:t xml:space="preserve">, et </w:t>
      </w:r>
      <w:bookmarkStart w:name="DocXTextRef154" w:id="808"/>
      <w:r>
        <w:t>(ii)</w:t>
      </w:r>
      <w:bookmarkEnd w:id="808"/>
      <w:r>
        <w:t xml:space="preserve"> aucune dépense ne peut être avancée à une </w:t>
      </w:r>
      <w:r w:rsidR="00193FE8">
        <w:t>P</w:t>
      </w:r>
      <w:r>
        <w:t xml:space="preserve">ersonne couverte nommée en tant que partie dans toute action intentée par </w:t>
      </w:r>
      <w:bookmarkStart w:name="DocXTextRef155" w:id="809"/>
      <w:r>
        <w:t>(A)</w:t>
      </w:r>
      <w:bookmarkEnd w:id="809"/>
      <w:r>
        <w:t xml:space="preserve"> la </w:t>
      </w:r>
      <w:r w:rsidR="00193FE8">
        <w:t>P</w:t>
      </w:r>
      <w:r>
        <w:t xml:space="preserve">ersonne couverte, </w:t>
      </w:r>
      <w:bookmarkStart w:name="DocXTextRef156" w:id="810"/>
      <w:r>
        <w:t>(B)</w:t>
      </w:r>
      <w:bookmarkEnd w:id="810"/>
      <w:r>
        <w:t xml:space="preserve"> toute </w:t>
      </w:r>
      <w:r w:rsidR="00193FE8">
        <w:t>P</w:t>
      </w:r>
      <w:r>
        <w:t xml:space="preserve">ersonne ayant un lien de dépendance avec cette </w:t>
      </w:r>
      <w:r w:rsidR="00193FE8">
        <w:t>P</w:t>
      </w:r>
      <w:r>
        <w:t xml:space="preserve">ersonne couverte contre le Fonds, ou </w:t>
      </w:r>
      <w:bookmarkStart w:name="DocXTextRef157" w:id="811"/>
      <w:r>
        <w:t>(C)</w:t>
      </w:r>
      <w:bookmarkEnd w:id="811"/>
      <w:r>
        <w:t xml:space="preserve"> le Fonds contre la </w:t>
      </w:r>
      <w:r w:rsidR="00193FE8">
        <w:t>P</w:t>
      </w:r>
      <w:r>
        <w:t xml:space="preserve">ersonne couverte ou pour le compte de la </w:t>
      </w:r>
      <w:r w:rsidR="0072655F">
        <w:t>Majorité de Participations</w:t>
      </w:r>
      <w:r w:rsidR="00193FE8">
        <w:t xml:space="preserve"> des Commanditaires</w:t>
      </w:r>
      <w:r>
        <w:t xml:space="preserve"> .</w:t>
      </w:r>
      <w:bookmarkEnd w:id="806"/>
      <w:r>
        <w:t xml:space="preserve"> </w:t>
      </w:r>
    </w:p>
    <w:p w:rsidR="0000160C" w:rsidRDefault="00C517ED" w14:paraId="77AD376D" w14:textId="33DE2CAA">
      <w:pPr>
        <w:pStyle w:val="ArtBJStyL3"/>
      </w:pPr>
      <w:bookmarkStart w:name="_Ref113892635" w:id="812"/>
      <w:r>
        <w:t xml:space="preserve">Le </w:t>
      </w:r>
      <w:r w:rsidR="00193FE8">
        <w:t>C</w:t>
      </w:r>
      <w:r>
        <w:t>ommandité doit signaler</w:t>
      </w:r>
      <w:r w:rsidR="00193FE8">
        <w:t xml:space="preserve"> sans délai aux Commanditaires</w:t>
      </w:r>
      <w:r>
        <w:t xml:space="preserve"> </w:t>
      </w:r>
      <w:r w:rsidR="00193FE8">
        <w:t>le commencement</w:t>
      </w:r>
      <w:r>
        <w:t xml:space="preserve"> de toute </w:t>
      </w:r>
      <w:r w:rsidR="00193FE8">
        <w:t>P</w:t>
      </w:r>
      <w:r>
        <w:t>rocédure ou de toute demande d</w:t>
      </w:r>
      <w:r w:rsidR="00E27310">
        <w:t>’</w:t>
      </w:r>
      <w:r>
        <w:t xml:space="preserve">indemnisation en vertu </w:t>
      </w:r>
      <w:r w:rsidR="00193FE8">
        <w:t>du présent article</w:t>
      </w:r>
      <w:r>
        <w:t>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t>), ainsi que ses détails et développements</w:t>
      </w:r>
      <w:r w:rsidR="00193FE8">
        <w:t xml:space="preserve"> importants</w:t>
      </w:r>
      <w:r>
        <w:t>.</w:t>
      </w:r>
      <w:bookmarkEnd w:id="812"/>
    </w:p>
    <w:p w:rsidR="0000160C" w:rsidRDefault="00193FE8" w14:paraId="4B343989" w14:textId="488308C3">
      <w:pPr>
        <w:pStyle w:val="ArtBJStyL3"/>
      </w:pPr>
      <w:bookmarkStart w:name="_Ref113892636" w:id="813"/>
      <w:r>
        <w:t>Le présent article</w:t>
      </w:r>
      <w:r w:rsidR="00C517ED">
        <w:t> </w:t>
      </w:r>
      <w:r w:rsidRPr="00D52949" w:rsidR="0044140B">
        <w:fldChar w:fldCharType="begin"/>
      </w:r>
      <w:r w:rsidRPr="00D52949" w:rsidR="0044140B">
        <w:instrText xml:space="preserve"> REF _Ref40803551 \w \h </w:instrText>
      </w:r>
      <w:r w:rsidRPr="00D52949" w:rsidR="00791303">
        <w:instrText xml:space="preserve"> \* MERGEFORMAT </w:instrText>
      </w:r>
      <w:r w:rsidRPr="00D52949" w:rsidR="0044140B">
        <w:fldChar w:fldCharType="separate"/>
      </w:r>
      <w:r w:rsidR="00B50BE2">
        <w:t>16.2</w:t>
      </w:r>
      <w:r w:rsidRPr="00D52949" w:rsidR="0044140B">
        <w:fldChar w:fldCharType="end"/>
      </w:r>
      <w:r w:rsidR="00C517ED">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rsidR="00C517ED">
        <w:t xml:space="preserve">) continuera </w:t>
      </w:r>
      <w:r>
        <w:t>d’offrir</w:t>
      </w:r>
      <w:r w:rsidR="00C517ED">
        <w:t xml:space="preserve"> une protection à chaque </w:t>
      </w:r>
      <w:r>
        <w:t>P</w:t>
      </w:r>
      <w:r w:rsidR="00C517ED">
        <w:t xml:space="preserve">ersonne couverte, que celle-ci conserve ou non la position ou la capacité en vertu de laquelle la </w:t>
      </w:r>
      <w:r>
        <w:t>P</w:t>
      </w:r>
      <w:r w:rsidR="00C517ED">
        <w:t xml:space="preserve">ersonne couverte a eu droit à une indemnisation en vertu </w:t>
      </w:r>
      <w:r>
        <w:lastRenderedPageBreak/>
        <w:t>du présent article</w:t>
      </w:r>
      <w:r w:rsidR="00C517ED">
        <w:t> </w:t>
      </w:r>
      <w:r w:rsidRPr="006400F9" w:rsidR="0044140B">
        <w:fldChar w:fldCharType="begin"/>
      </w:r>
      <w:r w:rsidRPr="006400F9" w:rsidR="0044140B">
        <w:instrText xml:space="preserve"> REF _Ref40803551 \w \h </w:instrText>
      </w:r>
      <w:r w:rsidRPr="006400F9" w:rsidR="00791303">
        <w:instrText xml:space="preserve"> \* MERGEFORMAT </w:instrText>
      </w:r>
      <w:r w:rsidRPr="006400F9" w:rsidR="0044140B">
        <w:fldChar w:fldCharType="separate"/>
      </w:r>
      <w:r w:rsidR="00B50BE2">
        <w:t>16.2</w:t>
      </w:r>
      <w:r w:rsidRPr="006400F9" w:rsidR="0044140B">
        <w:fldChar w:fldCharType="end"/>
      </w:r>
      <w:r w:rsidR="00C517ED">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rsidR="00C517ED">
        <w:t xml:space="preserve">) et aucune modification </w:t>
      </w:r>
      <w:r w:rsidR="00E536D5">
        <w:t>de la présente Convention</w:t>
      </w:r>
      <w:r w:rsidR="00C517ED">
        <w:t xml:space="preserve"> sans le consentement de cette Personne </w:t>
      </w:r>
      <w:r>
        <w:t>c</w:t>
      </w:r>
      <w:r w:rsidR="00C517ED">
        <w:t>ouverte ne réduira ou ne restreindra l</w:t>
      </w:r>
      <w:r w:rsidR="00E27310">
        <w:t>’</w:t>
      </w:r>
      <w:r w:rsidR="00C517ED">
        <w:t xml:space="preserve">indemnisation en vertu </w:t>
      </w:r>
      <w:r>
        <w:t>du présent article</w:t>
      </w:r>
      <w:r w:rsidR="00C517ED">
        <w:t> </w:t>
      </w:r>
      <w:r w:rsidRPr="006400F9" w:rsidR="0044140B">
        <w:fldChar w:fldCharType="begin"/>
      </w:r>
      <w:r w:rsidRPr="006400F9" w:rsidR="0044140B">
        <w:instrText xml:space="preserve"> REF _Ref40803551 \w \h </w:instrText>
      </w:r>
      <w:r w:rsidRPr="006400F9" w:rsidR="00791303">
        <w:instrText xml:space="preserve"> \* MERGEFORMAT </w:instrText>
      </w:r>
      <w:r w:rsidRPr="006400F9" w:rsidR="0044140B">
        <w:fldChar w:fldCharType="separate"/>
      </w:r>
      <w:r w:rsidR="00B50BE2">
        <w:t>16.2</w:t>
      </w:r>
      <w:r w:rsidRPr="006400F9" w:rsidR="0044140B">
        <w:fldChar w:fldCharType="end"/>
      </w:r>
      <w:r w:rsidR="00C517ED">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rsidR="00C517ED">
        <w:t>).</w:t>
      </w:r>
      <w:bookmarkEnd w:id="813"/>
    </w:p>
    <w:p w:rsidR="0000160C" w:rsidRDefault="009679DC" w14:paraId="2D90126A" w14:textId="60126E9F">
      <w:pPr>
        <w:pStyle w:val="ArtBJStyL2"/>
      </w:pPr>
      <w:bookmarkStart w:name="_Ref40803097" w:id="814"/>
      <w:bookmarkStart w:name="_Toc161762411" w:id="815"/>
      <w:r>
        <w:t>Restitution par les Commanditaires</w:t>
      </w:r>
      <w:r w:rsidR="00C517ED">
        <w:t>.</w:t>
      </w:r>
      <w:bookmarkEnd w:id="814"/>
      <w:bookmarkEnd w:id="815"/>
    </w:p>
    <w:p w:rsidR="0000160C" w:rsidRDefault="00C517ED" w14:paraId="0B1F3797" w14:textId="51292393">
      <w:pPr>
        <w:pStyle w:val="ArtBJStyL3"/>
        <w:keepNext/>
      </w:pPr>
      <w:bookmarkStart w:name="_Ref113892637" w:id="816"/>
      <w:r>
        <w:t xml:space="preserve">Sous réserve de </w:t>
      </w:r>
      <w:r w:rsidR="00A65795">
        <w:t>l’article</w:t>
      </w:r>
      <w:r>
        <w:t> </w:t>
      </w:r>
      <w:r w:rsidRPr="006400F9">
        <w:fldChar w:fldCharType="begin"/>
      </w:r>
      <w:r w:rsidRPr="006400F9">
        <w:instrText xml:space="preserve"> REF _Ref40805943 \w \h </w:instrText>
      </w:r>
      <w:r w:rsidRPr="006400F9" w:rsidR="00791303">
        <w:instrText xml:space="preserve"> \* MERGEFORMAT </w:instrText>
      </w:r>
      <w:r w:rsidRPr="006400F9">
        <w:fldChar w:fldCharType="separate"/>
      </w:r>
      <w:r w:rsidR="00B50BE2">
        <w:t>16.3(b)</w:t>
      </w:r>
      <w:r w:rsidRPr="006400F9">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xml:space="preserve">) et </w:t>
      </w:r>
      <w:r w:rsidR="009E2C07">
        <w:t>de l’article</w:t>
      </w:r>
      <w:r>
        <w:t> </w:t>
      </w:r>
      <w:r w:rsidRPr="006400F9">
        <w:fldChar w:fldCharType="begin"/>
      </w:r>
      <w:r w:rsidRPr="006400F9">
        <w:instrText xml:space="preserve"> REF _Ref40805959 \w \h </w:instrText>
      </w:r>
      <w:r w:rsidRPr="006400F9" w:rsidR="00791303">
        <w:instrText xml:space="preserve"> \* MERGEFORMAT </w:instrText>
      </w:r>
      <w:r w:rsidRPr="006400F9">
        <w:fldChar w:fldCharType="separate"/>
      </w:r>
      <w:r w:rsidR="00B50BE2">
        <w:t>16.4</w:t>
      </w:r>
      <w:r w:rsidRPr="006400F9">
        <w:fldChar w:fldCharType="end"/>
      </w:r>
      <w:r>
        <w:t xml:space="preserve"> (</w:t>
      </w:r>
      <w:r w:rsidR="00913EFF">
        <w:fldChar w:fldCharType="begin"/>
      </w:r>
      <w:r w:rsidR="00913EFF">
        <w:instrText xml:space="preserve"> REF _Ref40805959 \h  \* MERGEFORMAT </w:instrText>
      </w:r>
      <w:r w:rsidR="00913EFF">
        <w:fldChar w:fldCharType="separate"/>
      </w:r>
      <w:r w:rsidRPr="00B50BE2" w:rsidR="00B50BE2">
        <w:rPr>
          <w:i/>
        </w:rPr>
        <w:t>Autres sources de recouvrement</w:t>
      </w:r>
      <w:r w:rsidR="00B50BE2">
        <w:t>.</w:t>
      </w:r>
      <w:r w:rsidR="00913EFF">
        <w:fldChar w:fldCharType="end"/>
      </w:r>
      <w:r>
        <w:t xml:space="preserve">), le Fonds peut exiger des </w:t>
      </w:r>
      <w:r w:rsidR="00F20E8E">
        <w:t>Associés</w:t>
      </w:r>
      <w:r>
        <w:t xml:space="preserve"> qu</w:t>
      </w:r>
      <w:r w:rsidR="00E27310">
        <w:t>’</w:t>
      </w:r>
      <w:r>
        <w:t xml:space="preserve">ils lui </w:t>
      </w:r>
      <w:r w:rsidR="00F20E8E">
        <w:t>remboursent</w:t>
      </w:r>
      <w:r>
        <w:t xml:space="preserve"> les distribu</w:t>
      </w:r>
      <w:r w:rsidR="00F20E8E">
        <w:t>tions</w:t>
      </w:r>
      <w:r>
        <w:t xml:space="preserve"> dans la mesure où elles n</w:t>
      </w:r>
      <w:r w:rsidR="00E27310">
        <w:t>’</w:t>
      </w:r>
      <w:r>
        <w:t xml:space="preserve">ont pas </w:t>
      </w:r>
      <w:r w:rsidR="00F20E8E">
        <w:t xml:space="preserve">déjà </w:t>
      </w:r>
      <w:r>
        <w:t xml:space="preserve">été </w:t>
      </w:r>
      <w:r w:rsidR="00F20E8E">
        <w:t>remboursé</w:t>
      </w:r>
      <w:r w:rsidR="00D42829">
        <w:t>e</w:t>
      </w:r>
      <w:r w:rsidR="00F20E8E">
        <w:t>s</w:t>
      </w:r>
      <w:r>
        <w:t>, d</w:t>
      </w:r>
      <w:r w:rsidR="00E27310">
        <w:t>’</w:t>
      </w:r>
      <w:r>
        <w:t xml:space="preserve">un montant suffisant pour satisfaire à </w:t>
      </w:r>
      <w:r w:rsidR="00F20E8E">
        <w:t>la totalité</w:t>
      </w:r>
      <w:r>
        <w:t xml:space="preserve"> ou </w:t>
      </w:r>
      <w:r w:rsidR="00F20E8E">
        <w:t xml:space="preserve">une </w:t>
      </w:r>
      <w:r>
        <w:t>partie de l</w:t>
      </w:r>
      <w:r w:rsidR="00E27310">
        <w:t>’</w:t>
      </w:r>
      <w:r>
        <w:t xml:space="preserve">indemnisation et des autres obligations du Fonds conformément à </w:t>
      </w:r>
      <w:r w:rsidR="00F20E8E">
        <w:t>l’article</w:t>
      </w:r>
      <w:r>
        <w:t>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t xml:space="preserve">), que ces obligations ou </w:t>
      </w:r>
      <w:r w:rsidR="0082726A">
        <w:t>dettes</w:t>
      </w:r>
      <w:r>
        <w:t xml:space="preserve"> surviennent avant ou après le dernier jour d</w:t>
      </w:r>
      <w:r w:rsidR="00F20E8E">
        <w:t xml:space="preserve">e la Durée </w:t>
      </w:r>
      <w:r>
        <w:t>ou, à l</w:t>
      </w:r>
      <w:r w:rsidR="00E27310">
        <w:t>’</w:t>
      </w:r>
      <w:r>
        <w:t>égard d</w:t>
      </w:r>
      <w:r w:rsidR="00E27310">
        <w:t>’</w:t>
      </w:r>
      <w:r>
        <w:t xml:space="preserve">un </w:t>
      </w:r>
      <w:r w:rsidR="00F20E8E">
        <w:t>Associé</w:t>
      </w:r>
      <w:r>
        <w:t>, avant ou après le retrait de ce</w:t>
      </w:r>
      <w:r w:rsidR="00F20E8E">
        <w:t xml:space="preserve">t Associé </w:t>
      </w:r>
      <w:r>
        <w:t xml:space="preserve">du Fonds, à condition que les </w:t>
      </w:r>
      <w:r w:rsidR="00F20E8E">
        <w:t>Associés</w:t>
      </w:r>
      <w:r>
        <w:t xml:space="preserve"> </w:t>
      </w:r>
      <w:r w:rsidR="00F20E8E">
        <w:t>remboursent</w:t>
      </w:r>
      <w:r>
        <w:t xml:space="preserve"> les distributions relatives à leur part de ces obligations</w:t>
      </w:r>
      <w:r w:rsidR="0082726A">
        <w:t xml:space="preserve"> d’indemnisation</w:t>
      </w:r>
      <w:r>
        <w:t xml:space="preserve"> ou </w:t>
      </w:r>
      <w:r w:rsidR="0082726A">
        <w:t>dettes</w:t>
      </w:r>
      <w:r>
        <w:t xml:space="preserve"> comme suit :</w:t>
      </w:r>
      <w:bookmarkEnd w:id="816"/>
    </w:p>
    <w:p w:rsidR="0000160C" w:rsidRDefault="00C517ED" w14:paraId="47A44F7B" w14:textId="52131200">
      <w:pPr>
        <w:pStyle w:val="ArtBJStyL4"/>
        <w:keepNext/>
      </w:pPr>
      <w:bookmarkStart w:name="_Ref113892638" w:id="817"/>
      <w:proofErr w:type="gramStart"/>
      <w:r>
        <w:t>si</w:t>
      </w:r>
      <w:proofErr w:type="gramEnd"/>
      <w:r>
        <w:t xml:space="preserve"> l</w:t>
      </w:r>
      <w:r w:rsidR="00E27310">
        <w:t>’</w:t>
      </w:r>
      <w:r>
        <w:t>obligation ou l</w:t>
      </w:r>
      <w:r w:rsidR="00F20E8E">
        <w:t xml:space="preserve">a </w:t>
      </w:r>
      <w:r w:rsidR="0082726A">
        <w:t>dette</w:t>
      </w:r>
      <w:r w:rsidR="00F20E8E">
        <w:t xml:space="preserve"> </w:t>
      </w:r>
      <w:r>
        <w:t>découle d</w:t>
      </w:r>
      <w:r w:rsidR="00E27310">
        <w:t>’</w:t>
      </w:r>
      <w:r>
        <w:t xml:space="preserve">un </w:t>
      </w:r>
      <w:r w:rsidR="00F20E8E">
        <w:t>I</w:t>
      </w:r>
      <w:r>
        <w:t>nvestissement de portefeuille :</w:t>
      </w:r>
      <w:bookmarkEnd w:id="817"/>
    </w:p>
    <w:p w:rsidR="0000160C" w:rsidRDefault="00C517ED" w14:paraId="058A014C" w14:textId="42F30D98">
      <w:pPr>
        <w:pStyle w:val="ArtBJStyL5"/>
      </w:pPr>
      <w:bookmarkStart w:name="_Ref113892639" w:id="818"/>
      <w:r>
        <w:t>d</w:t>
      </w:r>
      <w:r w:rsidR="00E27310">
        <w:t>’</w:t>
      </w:r>
      <w:r>
        <w:t xml:space="preserve">abord, par chaque </w:t>
      </w:r>
      <w:r w:rsidR="00F20E8E">
        <w:t>Associé</w:t>
      </w:r>
      <w:r>
        <w:t xml:space="preserve"> </w:t>
      </w:r>
      <w:r w:rsidR="00F20E8E">
        <w:t>remboursant</w:t>
      </w:r>
      <w:r>
        <w:t xml:space="preserve"> les montants distribués </w:t>
      </w:r>
      <w:r w:rsidR="00F20E8E">
        <w:t xml:space="preserve">à l’Associé </w:t>
      </w:r>
      <w:r>
        <w:t xml:space="preserve">dans le cadre de cet Investissement de </w:t>
      </w:r>
      <w:r w:rsidR="00F20E8E">
        <w:t>p</w:t>
      </w:r>
      <w:r>
        <w:t>ortefeuille dans l</w:t>
      </w:r>
      <w:r w:rsidR="00E27310">
        <w:t>’</w:t>
      </w:r>
      <w:r>
        <w:t>ordre inverse dans lequel ces montants ont été initialement distribués conformément à l</w:t>
      </w:r>
      <w:r w:rsidR="00F20E8E">
        <w:t xml:space="preserve">’article </w:t>
      </w:r>
      <w:r w:rsidRPr="00D52949">
        <w:fldChar w:fldCharType="begin"/>
      </w:r>
      <w:r w:rsidRPr="00D52949">
        <w:instrText xml:space="preserve"> REF _Ref40805000 \w \h </w:instrText>
      </w:r>
      <w:r w:rsidRPr="00D52949" w:rsidR="00791303">
        <w:instrText xml:space="preserve"> \* MERGEFORMAT </w:instrText>
      </w:r>
      <w:r w:rsidRPr="00D52949">
        <w:fldChar w:fldCharType="separate"/>
      </w:r>
      <w:r w:rsidR="00B50BE2">
        <w:t>14.1</w:t>
      </w:r>
      <w:r w:rsidRPr="00D52949">
        <w:fldChar w:fldCharType="end"/>
      </w:r>
      <w:r>
        <w:t xml:space="preserve"> </w:t>
      </w:r>
      <w:r>
        <w:rPr>
          <w:iCs/>
        </w:rPr>
        <w:t>(</w:t>
      </w:r>
      <w:r w:rsidRPr="00913EFF" w:rsidR="00913EFF">
        <w:rPr>
          <w:i/>
          <w:iCs/>
        </w:rPr>
        <w:fldChar w:fldCharType="begin"/>
      </w:r>
      <w:r w:rsidRPr="00913EFF" w:rsidR="00913EFF">
        <w:rPr>
          <w:i/>
          <w:iCs/>
        </w:rPr>
        <w:instrText xml:space="preserve"> REF _Ref40805000 \h </w:instrText>
      </w:r>
      <w:r w:rsidR="00913EFF">
        <w:rPr>
          <w:i/>
          <w:iCs/>
        </w:rPr>
        <w:instrText xml:space="preserve"> \* MERGEFORMAT </w:instrText>
      </w:r>
      <w:r w:rsidRPr="00913EFF" w:rsidR="00913EFF">
        <w:rPr>
          <w:i/>
          <w:iCs/>
        </w:rPr>
      </w:r>
      <w:r w:rsidRPr="00913EFF" w:rsidR="00913EFF">
        <w:rPr>
          <w:i/>
          <w:iCs/>
        </w:rPr>
        <w:fldChar w:fldCharType="separate"/>
      </w:r>
      <w:r w:rsidRPr="00B50BE2" w:rsidR="00B50BE2">
        <w:rPr>
          <w:i/>
        </w:rPr>
        <w:t>Dispositions générales.</w:t>
      </w:r>
      <w:r w:rsidRPr="00913EFF" w:rsidR="00913EFF">
        <w:rPr>
          <w:i/>
          <w:iCs/>
        </w:rPr>
        <w:fldChar w:fldCharType="end"/>
      </w:r>
      <w:r>
        <w:rPr>
          <w:iCs/>
        </w:rPr>
        <w:t xml:space="preserve">) </w:t>
      </w:r>
      <w:r>
        <w:t xml:space="preserve">afin que chaque </w:t>
      </w:r>
      <w:r w:rsidR="00F20E8E">
        <w:t>C</w:t>
      </w:r>
      <w:r>
        <w:t>ommanditaire conserve les distributions cumulatives du Fonds (</w:t>
      </w:r>
      <w:r w:rsidR="00F20E8E">
        <w:t>nettes</w:t>
      </w:r>
      <w:r>
        <w:t xml:space="preserve"> de tout </w:t>
      </w:r>
      <w:r w:rsidR="00F20E8E">
        <w:t>remboursement</w:t>
      </w:r>
      <w:r>
        <w:t xml:space="preserve"> des distributions en vertu du présent article </w:t>
      </w:r>
      <w:r w:rsidRPr="00D52949">
        <w:fldChar w:fldCharType="begin"/>
      </w:r>
      <w:r w:rsidRPr="00D52949">
        <w:instrText xml:space="preserve"> REF _Ref40803097 \w \h </w:instrText>
      </w:r>
      <w:r w:rsidRPr="00D52949" w:rsidR="00791303">
        <w:instrText xml:space="preserve"> \* MERGEFORMAT </w:instrText>
      </w:r>
      <w:r w:rsidRPr="00D52949">
        <w:fldChar w:fldCharType="separate"/>
      </w:r>
      <w:r w:rsidR="00B50BE2">
        <w:t>16.3</w:t>
      </w:r>
      <w:r w:rsidRPr="00D52949">
        <w:fldChar w:fldCharType="end"/>
      </w:r>
      <w:r>
        <w:t xml:space="preserve"> (</w:t>
      </w:r>
      <w:r w:rsidRPr="00F20E8E" w:rsidR="00913EFF">
        <w:rPr>
          <w:i/>
          <w:iCs/>
        </w:rPr>
        <w:fldChar w:fldCharType="begin"/>
      </w:r>
      <w:r w:rsidRPr="00F20E8E" w:rsidR="00913EFF">
        <w:rPr>
          <w:i/>
          <w:iCs/>
        </w:rPr>
        <w:instrText xml:space="preserve"> REF _Ref40803097 \h </w:instrText>
      </w:r>
      <w:r w:rsidR="00F20E8E">
        <w:rPr>
          <w:i/>
          <w:iCs/>
        </w:rPr>
        <w:instrText xml:space="preserve"> \* MERGEFORMAT </w:instrText>
      </w:r>
      <w:r w:rsidRPr="00F20E8E" w:rsidR="00913EFF">
        <w:rPr>
          <w:i/>
          <w:iCs/>
        </w:rPr>
      </w:r>
      <w:r w:rsidRPr="00F20E8E" w:rsidR="00913EFF">
        <w:rPr>
          <w:i/>
          <w:iCs/>
        </w:rPr>
        <w:fldChar w:fldCharType="separate"/>
      </w:r>
      <w:r w:rsidRPr="00B50BE2" w:rsidR="00B50BE2">
        <w:rPr>
          <w:i/>
          <w:iCs/>
        </w:rPr>
        <w:t>Restitution par les Commanditaires.</w:t>
      </w:r>
      <w:r w:rsidRPr="00F20E8E" w:rsidR="00913EFF">
        <w:rPr>
          <w:i/>
          <w:iCs/>
        </w:rPr>
        <w:fldChar w:fldCharType="end"/>
      </w:r>
      <w:r>
        <w:t xml:space="preserve">) et </w:t>
      </w:r>
      <w:r w:rsidR="00F20E8E">
        <w:t>de</w:t>
      </w:r>
      <w:r>
        <w:t xml:space="preserve"> l</w:t>
      </w:r>
      <w:r w:rsidR="00F20E8E">
        <w:t xml:space="preserve">’article </w:t>
      </w:r>
      <w:r w:rsidR="004B61CD">
        <w:fldChar w:fldCharType="begin"/>
      </w:r>
      <w:r w:rsidR="004B61CD">
        <w:instrText xml:space="preserve"> REF _Ref40805031 \w \h </w:instrText>
      </w:r>
      <w:r w:rsidR="004B61CD">
        <w:fldChar w:fldCharType="separate"/>
      </w:r>
      <w:r w:rsidR="00B50BE2">
        <w:t>14.7(a)</w:t>
      </w:r>
      <w:r w:rsidR="004B61CD">
        <w:fldChar w:fldCharType="end"/>
      </w:r>
      <w:r>
        <w:t xml:space="preserve"> (</w:t>
      </w:r>
      <w:r w:rsidRPr="00913EFF" w:rsidR="00913EFF">
        <w:rPr>
          <w:i/>
        </w:rPr>
        <w:fldChar w:fldCharType="begin"/>
      </w:r>
      <w:r w:rsidRPr="00913EFF" w:rsidR="00913EFF">
        <w:rPr>
          <w:i/>
        </w:rPr>
        <w:instrText xml:space="preserve"> REF _Ref85271165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Recouvrement.</w:t>
      </w:r>
      <w:r w:rsidRPr="00913EFF" w:rsidR="00913EFF">
        <w:rPr>
          <w:i/>
        </w:rPr>
        <w:fldChar w:fldCharType="end"/>
      </w:r>
      <w:r>
        <w:t>)) égal</w:t>
      </w:r>
      <w:r w:rsidR="00F20E8E">
        <w:t>es</w:t>
      </w:r>
      <w:r>
        <w:t xml:space="preserve"> au montant </w:t>
      </w:r>
      <w:r w:rsidR="00F20E8E">
        <w:t>cumulatif</w:t>
      </w:r>
      <w:r>
        <w:t xml:space="preserve"> qui aurait été distribué </w:t>
      </w:r>
      <w:r w:rsidR="00F20E8E">
        <w:t xml:space="preserve">à l’Associé </w:t>
      </w:r>
      <w:r>
        <w:t xml:space="preserve">et conservé par lui si le montant initialement distribué </w:t>
      </w:r>
      <w:r w:rsidR="00F20E8E">
        <w:t>à l’égard</w:t>
      </w:r>
      <w:r>
        <w:t xml:space="preserve"> de cet Investissement de portefeuille avait été, au moment de cette distribution, réduit du montant de cette obligation ou de c</w:t>
      </w:r>
      <w:r w:rsidR="00F20E8E">
        <w:t xml:space="preserve">ette </w:t>
      </w:r>
      <w:r w:rsidR="0082726A">
        <w:t>dette</w:t>
      </w:r>
      <w:r>
        <w:t>; et</w:t>
      </w:r>
      <w:bookmarkEnd w:id="818"/>
    </w:p>
    <w:p w:rsidR="0000160C" w:rsidRDefault="00C517ED" w14:paraId="1A606B65" w14:textId="5D29A95D">
      <w:pPr>
        <w:pStyle w:val="ArtBJStyL5"/>
      </w:pPr>
      <w:bookmarkStart w:name="_Ref113892640" w:id="819"/>
      <w:proofErr w:type="gramStart"/>
      <w:r>
        <w:t>par</w:t>
      </w:r>
      <w:proofErr w:type="gramEnd"/>
      <w:r>
        <w:t xml:space="preserve"> la suite, par les </w:t>
      </w:r>
      <w:r w:rsidR="00F20E8E">
        <w:t>Associés</w:t>
      </w:r>
      <w:r>
        <w:t xml:space="preserve"> </w:t>
      </w:r>
      <w:r w:rsidR="00F20E8E">
        <w:t>en proportion</w:t>
      </w:r>
      <w:r>
        <w:t xml:space="preserve"> de leur Pourcentage de </w:t>
      </w:r>
      <w:r w:rsidR="00F20E8E">
        <w:t>p</w:t>
      </w:r>
      <w:r>
        <w:t xml:space="preserve">artage </w:t>
      </w:r>
      <w:r w:rsidR="00F20E8E">
        <w:t>à l’égard de</w:t>
      </w:r>
      <w:r>
        <w:t xml:space="preserve"> cet Investissement de </w:t>
      </w:r>
      <w:r w:rsidR="00F20E8E">
        <w:t>p</w:t>
      </w:r>
      <w:r>
        <w:t>ortefeuille; ou</w:t>
      </w:r>
      <w:bookmarkEnd w:id="819"/>
    </w:p>
    <w:p w:rsidR="0000160C" w:rsidRDefault="00C517ED" w14:paraId="0004D0AC" w14:textId="3B07B9D5">
      <w:pPr>
        <w:pStyle w:val="ArtBJStyL4"/>
      </w:pPr>
      <w:bookmarkStart w:name="_Ref113892641" w:id="820"/>
      <w:r>
        <w:t>dans tous les autres cas, dans l</w:t>
      </w:r>
      <w:r w:rsidR="00E27310">
        <w:t>’</w:t>
      </w:r>
      <w:r>
        <w:t xml:space="preserve">ordre inverse de celui dans lequel les distributions ont été initialement </w:t>
      </w:r>
      <w:r w:rsidR="00F20E8E">
        <w:t>faites</w:t>
      </w:r>
      <w:r>
        <w:t xml:space="preserve"> conformément à l</w:t>
      </w:r>
      <w:r w:rsidR="00E27310">
        <w:t>’</w:t>
      </w:r>
      <w:r>
        <w:t>article </w:t>
      </w:r>
      <w:r w:rsidRPr="00D52949">
        <w:fldChar w:fldCharType="begin"/>
      </w:r>
      <w:r w:rsidRPr="00D52949">
        <w:instrText xml:space="preserve"> REF _Ref40805000 \w \h </w:instrText>
      </w:r>
      <w:r w:rsidRPr="00D52949" w:rsidR="00791303">
        <w:instrText xml:space="preserve"> \* MERGEFORMAT </w:instrText>
      </w:r>
      <w:r w:rsidRPr="00D52949">
        <w:fldChar w:fldCharType="separate"/>
      </w:r>
      <w:r w:rsidR="00B50BE2">
        <w:t>14.1</w:t>
      </w:r>
      <w:r w:rsidRPr="00D52949">
        <w:fldChar w:fldCharType="end"/>
      </w:r>
      <w:r>
        <w:t xml:space="preserve"> </w:t>
      </w:r>
      <w:r>
        <w:rPr>
          <w:iCs/>
        </w:rPr>
        <w:t>(</w:t>
      </w:r>
      <w:r w:rsidRPr="00913EFF" w:rsidR="00913EFF">
        <w:rPr>
          <w:i/>
          <w:iCs/>
        </w:rPr>
        <w:fldChar w:fldCharType="begin"/>
      </w:r>
      <w:r w:rsidRPr="00913EFF" w:rsidR="00913EFF">
        <w:rPr>
          <w:i/>
          <w:iCs/>
        </w:rPr>
        <w:instrText xml:space="preserve"> REF _Ref40805000 \h </w:instrText>
      </w:r>
      <w:r w:rsidR="00913EFF">
        <w:rPr>
          <w:i/>
          <w:iCs/>
        </w:rPr>
        <w:instrText xml:space="preserve"> \* MERGEFORMAT </w:instrText>
      </w:r>
      <w:r w:rsidRPr="00913EFF" w:rsidR="00913EFF">
        <w:rPr>
          <w:i/>
          <w:iCs/>
        </w:rPr>
      </w:r>
      <w:r w:rsidRPr="00913EFF" w:rsidR="00913EFF">
        <w:rPr>
          <w:i/>
          <w:iCs/>
        </w:rPr>
        <w:fldChar w:fldCharType="separate"/>
      </w:r>
      <w:r w:rsidRPr="00B50BE2" w:rsidR="00B50BE2">
        <w:rPr>
          <w:i/>
        </w:rPr>
        <w:t>Dispositions générales.</w:t>
      </w:r>
      <w:r w:rsidRPr="00913EFF" w:rsidR="00913EFF">
        <w:rPr>
          <w:i/>
          <w:iCs/>
        </w:rPr>
        <w:fldChar w:fldCharType="end"/>
      </w:r>
      <w:r>
        <w:rPr>
          <w:iCs/>
        </w:rPr>
        <w:t xml:space="preserve">) </w:t>
      </w:r>
      <w:r>
        <w:t xml:space="preserve">afin que chaque </w:t>
      </w:r>
      <w:r w:rsidR="00F20E8E">
        <w:t>C</w:t>
      </w:r>
      <w:r>
        <w:t>ommanditaire conserve les distributions cumulatives du Fonds (</w:t>
      </w:r>
      <w:r w:rsidR="00F20E8E">
        <w:t>nettes</w:t>
      </w:r>
      <w:r>
        <w:t xml:space="preserve"> de tout </w:t>
      </w:r>
      <w:r w:rsidR="00F20E8E">
        <w:t>remboursement</w:t>
      </w:r>
      <w:r>
        <w:t xml:space="preserve"> des distributions en vertu du présent article </w:t>
      </w:r>
      <w:r w:rsidRPr="00D52949">
        <w:fldChar w:fldCharType="begin"/>
      </w:r>
      <w:r w:rsidRPr="00D52949">
        <w:instrText xml:space="preserve"> REF _Ref40803097 \w \h </w:instrText>
      </w:r>
      <w:r w:rsidRPr="00D52949" w:rsidR="00791303">
        <w:instrText xml:space="preserve"> \* MERGEFORMAT </w:instrText>
      </w:r>
      <w:r w:rsidRPr="00D52949">
        <w:fldChar w:fldCharType="separate"/>
      </w:r>
      <w:r w:rsidR="00B50BE2">
        <w:t>16.3</w:t>
      </w:r>
      <w:r w:rsidRPr="00D52949">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xml:space="preserve">) et </w:t>
      </w:r>
      <w:r w:rsidR="00F20E8E">
        <w:t>de l’article</w:t>
      </w:r>
      <w:r>
        <w:t xml:space="preserve"> </w:t>
      </w:r>
      <w:r w:rsidR="00607930">
        <w:fldChar w:fldCharType="begin"/>
      </w:r>
      <w:r w:rsidR="00607930">
        <w:instrText xml:space="preserve"> REF _Ref40805031 \w \h </w:instrText>
      </w:r>
      <w:r w:rsidR="00607930">
        <w:fldChar w:fldCharType="separate"/>
      </w:r>
      <w:r w:rsidR="00B50BE2">
        <w:t>14.7(a)</w:t>
      </w:r>
      <w:r w:rsidR="00607930">
        <w:fldChar w:fldCharType="end"/>
      </w:r>
      <w:r>
        <w:t> (</w:t>
      </w:r>
      <w:r w:rsidRPr="00913EFF" w:rsidR="00913EFF">
        <w:rPr>
          <w:i/>
        </w:rPr>
        <w:fldChar w:fldCharType="begin"/>
      </w:r>
      <w:r w:rsidRPr="00913EFF" w:rsidR="00913EFF">
        <w:rPr>
          <w:i/>
        </w:rPr>
        <w:instrText xml:space="preserve"> REF _Ref85271165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Recouvrement.</w:t>
      </w:r>
      <w:r w:rsidRPr="00913EFF" w:rsidR="00913EFF">
        <w:rPr>
          <w:i/>
        </w:rPr>
        <w:fldChar w:fldCharType="end"/>
      </w:r>
      <w:r>
        <w:t xml:space="preserve">)) à la suite </w:t>
      </w:r>
      <w:r w:rsidR="002B15C0">
        <w:t>d’un remboursement</w:t>
      </w:r>
      <w:r>
        <w:t xml:space="preserve"> égal au montant cumulatif qui aurait été distribué </w:t>
      </w:r>
      <w:r w:rsidR="002B15C0">
        <w:t xml:space="preserve">à l’Associé </w:t>
      </w:r>
      <w:r>
        <w:t xml:space="preserve">et conservé par lui, compte tenu de </w:t>
      </w:r>
      <w:r w:rsidR="002B15C0">
        <w:t>tous les Apports de</w:t>
      </w:r>
      <w:r>
        <w:t xml:space="preserve"> capital et autres paiements </w:t>
      </w:r>
      <w:r w:rsidR="002B15C0">
        <w:t>faits</w:t>
      </w:r>
      <w:r>
        <w:t xml:space="preserve"> par chaque </w:t>
      </w:r>
      <w:r w:rsidR="002B15C0">
        <w:t>Associé</w:t>
      </w:r>
      <w:r>
        <w:t xml:space="preserve"> au Fonds et de toutes les distributions </w:t>
      </w:r>
      <w:r w:rsidR="002B15C0">
        <w:t>faites</w:t>
      </w:r>
      <w:r>
        <w:t xml:space="preserve"> à chaque </w:t>
      </w:r>
      <w:r w:rsidR="002B15C0">
        <w:t>Associé</w:t>
      </w:r>
      <w:r>
        <w:t xml:space="preserve"> par le Fonds à la date de détermination.</w:t>
      </w:r>
      <w:bookmarkEnd w:id="820"/>
    </w:p>
    <w:p w:rsidR="0000160C" w:rsidRDefault="00C517ED" w14:paraId="53C5F4D4" w14:textId="5AAE4D40">
      <w:pPr>
        <w:pStyle w:val="ArtBJStyL3"/>
      </w:pPr>
      <w:bookmarkStart w:name="_Ref113892642" w:id="821"/>
      <w:bookmarkStart w:name="_Ref40805943" w:id="822"/>
      <w:r>
        <w:t xml:space="preserve">Sous réserve </w:t>
      </w:r>
      <w:bookmarkStart w:name="_Ref113892898" w:id="823"/>
      <w:r w:rsidR="007A757B">
        <w:t>du droit applicable</w:t>
      </w:r>
      <w:r>
        <w:rPr>
          <w:rStyle w:val="FootnoteReference"/>
        </w:rPr>
        <w:footnoteReference w:id="150"/>
      </w:r>
      <w:bookmarkEnd w:id="823"/>
      <w:r>
        <w:t xml:space="preserve">, la </w:t>
      </w:r>
      <w:r w:rsidR="0082726A">
        <w:t>dette</w:t>
      </w:r>
      <w:r>
        <w:t xml:space="preserve"> globale d</w:t>
      </w:r>
      <w:r w:rsidR="00E27310">
        <w:t>’</w:t>
      </w:r>
      <w:r>
        <w:t xml:space="preserve">un </w:t>
      </w:r>
      <w:r w:rsidR="002B15C0">
        <w:t>C</w:t>
      </w:r>
      <w:r>
        <w:t xml:space="preserve">ommanditaire en vertu </w:t>
      </w:r>
      <w:r w:rsidR="002B15C0">
        <w:t>du présent article</w:t>
      </w:r>
      <w:r>
        <w:t>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B50BE2">
        <w:t>16.3</w:t>
      </w:r>
      <w:r w:rsidRPr="006400F9" w:rsidR="0044140B">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xml:space="preserve">) est limitée à un montant égal au moindre des montants suivants : </w:t>
      </w:r>
      <w:bookmarkStart w:name="DocXTextRef159" w:id="825"/>
      <w:r>
        <w:t>(i)</w:t>
      </w:r>
      <w:bookmarkEnd w:id="825"/>
      <w:r>
        <w:t xml:space="preserve"> </w:t>
      </w:r>
      <w:r>
        <w:rPr>
          <w:b/>
        </w:rPr>
        <w:t>[</w:t>
      </w:r>
      <w:proofErr w:type="gramStart"/>
      <w:r>
        <w:rPr>
          <w:b/>
          <w:highlight w:val="yellow"/>
        </w:rPr>
        <w:t>30</w:t>
      </w:r>
      <w:r>
        <w:rPr>
          <w:b/>
        </w:rPr>
        <w:t>]</w:t>
      </w:r>
      <w:r>
        <w:t>%</w:t>
      </w:r>
      <w:proofErr w:type="gramEnd"/>
      <w:r>
        <w:t xml:space="preserve"> de toutes les distributions reçues par le </w:t>
      </w:r>
      <w:r w:rsidR="002B15C0">
        <w:t>C</w:t>
      </w:r>
      <w:r>
        <w:t xml:space="preserve">ommanditaire du Fonds, et </w:t>
      </w:r>
      <w:bookmarkStart w:name="DocXTextRef160" w:id="826"/>
      <w:r>
        <w:t>(ii)</w:t>
      </w:r>
      <w:bookmarkEnd w:id="826"/>
      <w:r>
        <w:t xml:space="preserve"> </w:t>
      </w:r>
      <w:r>
        <w:rPr>
          <w:b/>
        </w:rPr>
        <w:t>[</w:t>
      </w:r>
      <w:r>
        <w:rPr>
          <w:b/>
          <w:highlight w:val="yellow"/>
        </w:rPr>
        <w:t>50]</w:t>
      </w:r>
      <w:r>
        <w:t>% de l</w:t>
      </w:r>
      <w:r w:rsidR="00E27310">
        <w:t>’</w:t>
      </w:r>
      <w:r w:rsidR="002B15C0">
        <w:t>E</w:t>
      </w:r>
      <w:r>
        <w:t xml:space="preserve">ngagement du </w:t>
      </w:r>
      <w:r w:rsidR="002B15C0">
        <w:t>C</w:t>
      </w:r>
      <w:r>
        <w:t xml:space="preserve">ommanditaire. Nonobstant </w:t>
      </w:r>
      <w:r>
        <w:lastRenderedPageBreak/>
        <w:t xml:space="preserve">ce qui précède, mais sous réserve </w:t>
      </w:r>
      <w:r w:rsidR="007A757B">
        <w:t>du droit applicable</w:t>
      </w:r>
      <w:r>
        <w:t xml:space="preserve">, aucun </w:t>
      </w:r>
      <w:r w:rsidR="002B15C0">
        <w:t>C</w:t>
      </w:r>
      <w:r>
        <w:t>ommanditaire n</w:t>
      </w:r>
      <w:r w:rsidR="00E27310">
        <w:t>’</w:t>
      </w:r>
      <w:r>
        <w:t xml:space="preserve">est tenu de </w:t>
      </w:r>
      <w:r w:rsidR="002B15C0">
        <w:t>rembourser</w:t>
      </w:r>
      <w:r>
        <w:t xml:space="preserve"> au Fonds tout montant distribué par le Fonds au </w:t>
      </w:r>
      <w:r w:rsidR="002B15C0">
        <w:t>C</w:t>
      </w:r>
      <w:r>
        <w:t xml:space="preserve">ommanditaire après </w:t>
      </w:r>
      <w:r w:rsidR="002B15C0">
        <w:t>la première des éventualités suivantes</w:t>
      </w:r>
      <w:r>
        <w:t xml:space="preserve"> </w:t>
      </w:r>
      <w:bookmarkStart w:name="DocXTextRef161" w:id="827"/>
      <w:r>
        <w:t>(A)</w:t>
      </w:r>
      <w:bookmarkEnd w:id="827"/>
      <w:r>
        <w:t xml:space="preserve"> </w:t>
      </w:r>
      <w:r w:rsidR="002B15C0">
        <w:t>le</w:t>
      </w:r>
      <w:r>
        <w:t xml:space="preserve"> </w:t>
      </w:r>
      <w:r>
        <w:rPr>
          <w:b/>
          <w:highlight w:val="yellow"/>
        </w:rPr>
        <w:t>[troisième anniversaire]</w:t>
      </w:r>
      <w:r>
        <w:t xml:space="preserve"> de cette distribution, à condition que, si, à la fin de cette période, il y a </w:t>
      </w:r>
      <w:r w:rsidR="00570E6C">
        <w:t>des</w:t>
      </w:r>
      <w:r>
        <w:t xml:space="preserve"> </w:t>
      </w:r>
      <w:r w:rsidR="002B15C0">
        <w:t>P</w:t>
      </w:r>
      <w:r>
        <w:t>rocédure</w:t>
      </w:r>
      <w:r w:rsidR="00570E6C">
        <w:t>s</w:t>
      </w:r>
      <w:r>
        <w:t xml:space="preserve"> en cours contre le Fonds </w:t>
      </w:r>
      <w:r w:rsidR="002B15C0">
        <w:t>qui, selon</w:t>
      </w:r>
      <w:r>
        <w:t xml:space="preserve"> le </w:t>
      </w:r>
      <w:r w:rsidR="002B15C0">
        <w:t>C</w:t>
      </w:r>
      <w:r>
        <w:t>ommandit</w:t>
      </w:r>
      <w:r w:rsidR="002B15C0">
        <w:t>é,</w:t>
      </w:r>
      <w:r>
        <w:t xml:space="preserve"> </w:t>
      </w:r>
      <w:r w:rsidR="00570E6C">
        <w:t>sont</w:t>
      </w:r>
      <w:r>
        <w:t xml:space="preserve"> susceptible</w:t>
      </w:r>
      <w:r w:rsidR="00570E6C">
        <w:t>s</w:t>
      </w:r>
      <w:r>
        <w:t xml:space="preserve"> d</w:t>
      </w:r>
      <w:r w:rsidR="00E27310">
        <w:t>’</w:t>
      </w:r>
      <w:r>
        <w:t xml:space="preserve">exiger le </w:t>
      </w:r>
      <w:r w:rsidR="002B15C0">
        <w:t>remboursement</w:t>
      </w:r>
      <w:r>
        <w:t xml:space="preserve"> d</w:t>
      </w:r>
      <w:r w:rsidR="00E27310">
        <w:t>’</w:t>
      </w:r>
      <w:r>
        <w:t>une telle distribution à l</w:t>
      </w:r>
      <w:r w:rsidR="00E27310">
        <w:t>’</w:t>
      </w:r>
      <w:r>
        <w:t xml:space="preserve">avenir, le </w:t>
      </w:r>
      <w:r w:rsidR="002B15C0">
        <w:t>C</w:t>
      </w:r>
      <w:r>
        <w:t>ommandit</w:t>
      </w:r>
      <w:r w:rsidR="002B15C0">
        <w:t>é</w:t>
      </w:r>
      <w:r>
        <w:t xml:space="preserve"> </w:t>
      </w:r>
      <w:r w:rsidR="002B15C0">
        <w:t>peut</w:t>
      </w:r>
      <w:r>
        <w:t xml:space="preserve"> aviser le </w:t>
      </w:r>
      <w:r w:rsidR="002B15C0">
        <w:t>C</w:t>
      </w:r>
      <w:r>
        <w:t xml:space="preserve">ommanditaire dans les </w:t>
      </w:r>
      <w:r>
        <w:rPr>
          <w:b/>
          <w:highlight w:val="yellow"/>
        </w:rPr>
        <w:t>[30]</w:t>
      </w:r>
      <w:r>
        <w:t xml:space="preserve"> jours suivant la fin de cette période que l</w:t>
      </w:r>
      <w:r w:rsidR="00E27310">
        <w:t>’</w:t>
      </w:r>
      <w:r>
        <w:t xml:space="preserve">obligation de </w:t>
      </w:r>
      <w:r w:rsidR="002B15C0">
        <w:t>rembourser</w:t>
      </w:r>
      <w:r>
        <w:t xml:space="preserve"> </w:t>
      </w:r>
      <w:r w:rsidR="002B15C0">
        <w:t>la totalité</w:t>
      </w:r>
      <w:r>
        <w:t xml:space="preserve"> ou </w:t>
      </w:r>
      <w:r w:rsidR="002B15C0">
        <w:t xml:space="preserve">une </w:t>
      </w:r>
      <w:r>
        <w:t xml:space="preserve">partie de cette distribution aux fins de </w:t>
      </w:r>
      <w:r w:rsidR="002B15C0">
        <w:t>satisfaire</w:t>
      </w:r>
      <w:r>
        <w:t xml:space="preserve"> les obligations du Fonds (sous réserve de la clause </w:t>
      </w:r>
      <w:bookmarkStart w:name="DocXTextRef158" w:id="828"/>
      <w:r>
        <w:t>(B)</w:t>
      </w:r>
      <w:bookmarkEnd w:id="828"/>
      <w:r>
        <w:t xml:space="preserve"> </w:t>
      </w:r>
      <w:r w:rsidR="00570E6C">
        <w:t>du présent article</w:t>
      </w:r>
      <w:r>
        <w:t> </w:t>
      </w:r>
      <w:r w:rsidRPr="00226F06" w:rsidR="0044140B">
        <w:fldChar w:fldCharType="begin"/>
      </w:r>
      <w:r w:rsidRPr="00226F06" w:rsidR="0044140B">
        <w:instrText xml:space="preserve"> REF _Ref40805943 \w \h </w:instrText>
      </w:r>
      <w:r w:rsidRPr="00226F06" w:rsidR="00791303">
        <w:instrText xml:space="preserve"> \* MERGEFORMAT </w:instrText>
      </w:r>
      <w:r w:rsidRPr="00226F06" w:rsidR="0044140B">
        <w:fldChar w:fldCharType="separate"/>
      </w:r>
      <w:r w:rsidR="00B50BE2">
        <w:t>16.3(b)</w:t>
      </w:r>
      <w:r w:rsidRPr="00226F06" w:rsidR="0044140B">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survivr</w:t>
      </w:r>
      <w:r w:rsidR="00570E6C">
        <w:t>a</w:t>
      </w:r>
      <w:r>
        <w:t xml:space="preserve"> jusqu</w:t>
      </w:r>
      <w:r w:rsidR="00E27310">
        <w:t>’</w:t>
      </w:r>
      <w:r>
        <w:t xml:space="preserve">à la date à laquelle chacune de ces </w:t>
      </w:r>
      <w:r w:rsidR="00570E6C">
        <w:t>Procédures</w:t>
      </w:r>
      <w:r>
        <w:t xml:space="preserve"> est finalement résolue et satisfaite, et </w:t>
      </w:r>
      <w:bookmarkStart w:name="DocXTextRef162" w:id="829"/>
      <w:r>
        <w:t>(B)</w:t>
      </w:r>
      <w:bookmarkEnd w:id="829"/>
      <w:r>
        <w:t xml:space="preserve"> </w:t>
      </w:r>
      <w:r w:rsidR="00570E6C">
        <w:t>le</w:t>
      </w:r>
      <w:r>
        <w:t xml:space="preserve"> </w:t>
      </w:r>
      <w:r>
        <w:rPr>
          <w:b/>
          <w:highlight w:val="yellow"/>
        </w:rPr>
        <w:t>[troisième anniversaire]</w:t>
      </w:r>
      <w:r>
        <w:t xml:space="preserve"> de la fin </w:t>
      </w:r>
      <w:r w:rsidR="00570E6C">
        <w:t>de la Durée</w:t>
      </w:r>
      <w:r>
        <w:t xml:space="preserve"> du Fonds. Tout montant </w:t>
      </w:r>
      <w:r w:rsidR="00570E6C">
        <w:t>remboursé</w:t>
      </w:r>
      <w:r>
        <w:t xml:space="preserve"> par un </w:t>
      </w:r>
      <w:r w:rsidR="00570E6C">
        <w:t>Associé</w:t>
      </w:r>
      <w:r>
        <w:t xml:space="preserve"> conformément </w:t>
      </w:r>
      <w:r w:rsidR="00570E6C">
        <w:t>au présent article</w:t>
      </w:r>
      <w:r>
        <w:t> </w:t>
      </w:r>
      <w:r w:rsidRPr="00226F06" w:rsidR="0044140B">
        <w:fldChar w:fldCharType="begin"/>
      </w:r>
      <w:r w:rsidRPr="00226F06" w:rsidR="0044140B">
        <w:instrText xml:space="preserve"> REF _Ref40803097 \w \h </w:instrText>
      </w:r>
      <w:r w:rsidRPr="00226F06" w:rsidR="00791303">
        <w:instrText xml:space="preserve"> \* MERGEFORMAT </w:instrText>
      </w:r>
      <w:r w:rsidRPr="00226F06" w:rsidR="0044140B">
        <w:fldChar w:fldCharType="separate"/>
      </w:r>
      <w:r w:rsidR="00B50BE2">
        <w:t>16.3</w:t>
      </w:r>
      <w:r w:rsidRPr="00226F06" w:rsidR="0044140B">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xml:space="preserve">) </w:t>
      </w:r>
      <w:r w:rsidR="00570E6C">
        <w:t>doit être</w:t>
      </w:r>
      <w:r>
        <w:t xml:space="preserve"> traité comme </w:t>
      </w:r>
      <w:r w:rsidR="00570E6C">
        <w:t>une réduction</w:t>
      </w:r>
      <w:r>
        <w:t xml:space="preserve"> des montants de distribution applicables reçus par ce</w:t>
      </w:r>
      <w:r w:rsidR="00570E6C">
        <w:t xml:space="preserve">t Associé </w:t>
      </w:r>
      <w:r>
        <w:t xml:space="preserve">et ne </w:t>
      </w:r>
      <w:r w:rsidR="00570E6C">
        <w:t>doit pas</w:t>
      </w:r>
      <w:r>
        <w:t xml:space="preserve"> </w:t>
      </w:r>
      <w:r w:rsidR="00570E6C">
        <w:t>être</w:t>
      </w:r>
      <w:r>
        <w:t xml:space="preserve"> traité comme </w:t>
      </w:r>
      <w:r w:rsidR="00570E6C">
        <w:t>un</w:t>
      </w:r>
      <w:r>
        <w:t xml:space="preserve"> </w:t>
      </w:r>
      <w:r w:rsidR="00570E6C">
        <w:t>A</w:t>
      </w:r>
      <w:r>
        <w:t>pport</w:t>
      </w:r>
      <w:r w:rsidR="00570E6C">
        <w:t xml:space="preserve"> de</w:t>
      </w:r>
      <w:r>
        <w:t xml:space="preserve"> capital</w:t>
      </w:r>
      <w:r w:rsidR="00570E6C">
        <w:t>,</w:t>
      </w:r>
      <w:r>
        <w:t xml:space="preserve"> à condition que, aux fins du calcul de l</w:t>
      </w:r>
      <w:r w:rsidR="00E27310">
        <w:t>’</w:t>
      </w:r>
      <w:r>
        <w:t xml:space="preserve">accumulation du </w:t>
      </w:r>
      <w:r w:rsidR="003D414B">
        <w:t>R</w:t>
      </w:r>
      <w:r>
        <w:t xml:space="preserve">endement privilégié </w:t>
      </w:r>
      <w:r w:rsidR="003D414B">
        <w:t>à l’égard de</w:t>
      </w:r>
      <w:r>
        <w:t xml:space="preserve"> chaque </w:t>
      </w:r>
      <w:r w:rsidR="003D414B">
        <w:t>C</w:t>
      </w:r>
      <w:r>
        <w:t xml:space="preserve">ommanditaire, ces montants soient traités comme ayant été reçus par le </w:t>
      </w:r>
      <w:r w:rsidR="003D414B">
        <w:t>C</w:t>
      </w:r>
      <w:r>
        <w:t xml:space="preserve">ommanditaire </w:t>
      </w:r>
      <w:r w:rsidR="003D414B">
        <w:t>à titre de</w:t>
      </w:r>
      <w:r>
        <w:t xml:space="preserve"> distributions lors de leur réception initiale et </w:t>
      </w:r>
      <w:r w:rsidR="003D414B">
        <w:t>remboursés</w:t>
      </w:r>
      <w:r>
        <w:t xml:space="preserve"> par le </w:t>
      </w:r>
      <w:r w:rsidR="003D414B">
        <w:t>C</w:t>
      </w:r>
      <w:r>
        <w:t xml:space="preserve">ommanditaire </w:t>
      </w:r>
      <w:r w:rsidR="003D414B">
        <w:t>au moment où ils sont effectivement remboursés</w:t>
      </w:r>
      <w:r>
        <w:t xml:space="preserve">. </w:t>
      </w:r>
      <w:r w:rsidR="003D414B">
        <w:t>Aucune disposition</w:t>
      </w:r>
      <w:r>
        <w:t xml:space="preserve"> </w:t>
      </w:r>
      <w:r w:rsidR="003D414B">
        <w:t>du présent article</w:t>
      </w:r>
      <w:r>
        <w:t>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B50BE2">
        <w:t>16.3</w:t>
      </w:r>
      <w:r w:rsidRPr="006400F9" w:rsidR="0044140B">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xml:space="preserve">), expresse ou implicite, </w:t>
      </w:r>
      <w:r w:rsidR="00D42829">
        <w:t xml:space="preserve">ne </w:t>
      </w:r>
      <w:r>
        <w:t xml:space="preserve">vise à donner à toute </w:t>
      </w:r>
      <w:r w:rsidR="003D414B">
        <w:t>P</w:t>
      </w:r>
      <w:r>
        <w:t xml:space="preserve">ersonne autre que le Fonds ou les </w:t>
      </w:r>
      <w:r w:rsidR="003D414B">
        <w:t>Associés</w:t>
      </w:r>
      <w:r>
        <w:t xml:space="preserve"> </w:t>
      </w:r>
      <w:r w:rsidR="003D414B">
        <w:t>un</w:t>
      </w:r>
      <w:r>
        <w:t xml:space="preserve"> droit, recours ou réclamation </w:t>
      </w:r>
      <w:r w:rsidR="003D414B">
        <w:t>en droit ou en équité</w:t>
      </w:r>
      <w:r>
        <w:t xml:space="preserve"> en vertu ou en relation avec </w:t>
      </w:r>
      <w:r w:rsidR="003D414B">
        <w:t>le présent article</w:t>
      </w:r>
      <w:r>
        <w:t> </w:t>
      </w:r>
      <w:r w:rsidRPr="006400F9" w:rsidR="0044140B">
        <w:fldChar w:fldCharType="begin"/>
      </w:r>
      <w:r w:rsidRPr="006400F9" w:rsidR="0044140B">
        <w:instrText xml:space="preserve"> REF _Ref40803097 \w \h </w:instrText>
      </w:r>
      <w:r w:rsidRPr="006400F9" w:rsidR="00791303">
        <w:instrText xml:space="preserve"> \* MERGEFORMAT </w:instrText>
      </w:r>
      <w:r w:rsidRPr="006400F9" w:rsidR="0044140B">
        <w:fldChar w:fldCharType="separate"/>
      </w:r>
      <w:r w:rsidR="00B50BE2">
        <w:t>16.3</w:t>
      </w:r>
      <w:r w:rsidRPr="006400F9" w:rsidR="0044140B">
        <w:fldChar w:fldCharType="end"/>
      </w:r>
      <w:r>
        <w:t xml:space="preserve"> (</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w:t>
      </w:r>
      <w:bookmarkEnd w:id="821"/>
      <w:bookmarkEnd w:id="822"/>
    </w:p>
    <w:p w:rsidR="0000160C" w:rsidRDefault="00C517ED" w14:paraId="6C4E5882" w14:textId="5B9F97A3">
      <w:pPr>
        <w:pStyle w:val="ArtBJStyL2"/>
      </w:pPr>
      <w:bookmarkStart w:name="_Ref40805959" w:id="830"/>
      <w:bookmarkStart w:name="_Toc161762412" w:id="831"/>
      <w:r>
        <w:t xml:space="preserve">Autres sources de </w:t>
      </w:r>
      <w:r w:rsidR="009E2C07">
        <w:t>recouvrement</w:t>
      </w:r>
      <w:r>
        <w:t>.</w:t>
      </w:r>
      <w:bookmarkEnd w:id="830"/>
      <w:bookmarkEnd w:id="831"/>
    </w:p>
    <w:p w:rsidR="0000160C" w:rsidRDefault="00C517ED" w14:paraId="14A665B8" w14:textId="2CACC15D">
      <w:pPr>
        <w:pStyle w:val="ArtBJStyCont2"/>
      </w:pPr>
      <w:r>
        <w:t xml:space="preserve">Sans limiter les obligations des </w:t>
      </w:r>
      <w:r w:rsidR="003D414B">
        <w:t>P</w:t>
      </w:r>
      <w:r>
        <w:t xml:space="preserve">ersonnes couvertes par le </w:t>
      </w:r>
      <w:r w:rsidR="003D414B">
        <w:t>Commandité</w:t>
      </w:r>
      <w:r>
        <w:t xml:space="preserve"> en vertu de la dernière phrase de </w:t>
      </w:r>
      <w:r w:rsidR="003D414B">
        <w:t>l’article</w:t>
      </w:r>
      <w:r>
        <w:t> </w:t>
      </w:r>
      <w:r w:rsidRPr="006400F9">
        <w:fldChar w:fldCharType="begin"/>
      </w:r>
      <w:r w:rsidRPr="006400F9">
        <w:instrText xml:space="preserve"> REF _Ref40806138 \w \h </w:instrText>
      </w:r>
      <w:r w:rsidRPr="006400F9" w:rsidR="00791303">
        <w:instrText xml:space="preserve"> \* MERGEFORMAT </w:instrText>
      </w:r>
      <w:r w:rsidRPr="006400F9">
        <w:fldChar w:fldCharType="separate"/>
      </w:r>
      <w:r w:rsidR="00B50BE2">
        <w:t>16.2(a)</w:t>
      </w:r>
      <w:r w:rsidRPr="006400F9">
        <w:fldChar w:fldCharType="end"/>
      </w:r>
      <w:r>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t xml:space="preserve">), le Fonds </w:t>
      </w:r>
      <w:r w:rsidR="003D414B">
        <w:t>doit obtenir</w:t>
      </w:r>
      <w:r>
        <w:t xml:space="preserve"> </w:t>
      </w:r>
      <w:r w:rsidR="003D414B">
        <w:t>le financement</w:t>
      </w:r>
      <w:r>
        <w:t xml:space="preserve"> nécessaire </w:t>
      </w:r>
      <w:r w:rsidR="003D414B">
        <w:t>pour satisfaire</w:t>
      </w:r>
      <w:r>
        <w:t xml:space="preserve"> ses obligations </w:t>
      </w:r>
      <w:r w:rsidR="003D414B">
        <w:t>en vertu de l’article</w:t>
      </w:r>
      <w:r>
        <w:t>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t>) dans toute la mesure du possible</w:t>
      </w:r>
      <w:r w:rsidR="003D414B">
        <w:t xml:space="preserve"> à partir</w:t>
      </w:r>
      <w:r>
        <w:t xml:space="preserve"> </w:t>
      </w:r>
      <w:bookmarkStart w:name="DocXTextRef164" w:id="832"/>
      <w:r>
        <w:t>(i)</w:t>
      </w:r>
      <w:bookmarkEnd w:id="832"/>
      <w:r>
        <w:t xml:space="preserve"> des polices d</w:t>
      </w:r>
      <w:r w:rsidR="00E27310">
        <w:t>’</w:t>
      </w:r>
      <w:r>
        <w:t>assurance applicables (y compris les polices d</w:t>
      </w:r>
      <w:r w:rsidR="00E27310">
        <w:t>’</w:t>
      </w:r>
      <w:r>
        <w:t xml:space="preserve">assurance </w:t>
      </w:r>
      <w:r w:rsidR="003D414B">
        <w:t>mentionnées</w:t>
      </w:r>
      <w:r>
        <w:t xml:space="preserve"> à l</w:t>
      </w:r>
      <w:r w:rsidR="003D414B">
        <w:t xml:space="preserve">’article </w:t>
      </w:r>
      <w:r w:rsidRPr="006400F9">
        <w:fldChar w:fldCharType="begin"/>
      </w:r>
      <w:r w:rsidRPr="006400F9">
        <w:instrText xml:space="preserve"> REF _Ref40805853 \w \h </w:instrText>
      </w:r>
      <w:r w:rsidRPr="006400F9" w:rsidR="00791303">
        <w:instrText xml:space="preserve"> \* MERGEFORMAT </w:instrText>
      </w:r>
      <w:r w:rsidRPr="006400F9">
        <w:fldChar w:fldCharType="separate"/>
      </w:r>
      <w:r w:rsidR="00B50BE2">
        <w:t>13.6</w:t>
      </w:r>
      <w:r w:rsidRPr="006400F9">
        <w:fldChar w:fldCharType="end"/>
      </w:r>
      <w:r>
        <w:t xml:space="preserve"> (</w:t>
      </w:r>
      <w:r w:rsidRPr="00913EFF" w:rsidR="00913EFF">
        <w:rPr>
          <w:i/>
        </w:rPr>
        <w:fldChar w:fldCharType="begin"/>
      </w:r>
      <w:r w:rsidRPr="00913EFF" w:rsidR="00913EFF">
        <w:rPr>
          <w:i/>
        </w:rPr>
        <w:instrText xml:space="preserve"> REF _Ref40805853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Assurance des administrateurs ou dirigeants.</w:t>
      </w:r>
      <w:r w:rsidRPr="00913EFF" w:rsidR="00913EFF">
        <w:rPr>
          <w:i/>
        </w:rPr>
        <w:fldChar w:fldCharType="end"/>
      </w:r>
      <w:r>
        <w:t xml:space="preserve">)), et </w:t>
      </w:r>
      <w:bookmarkStart w:name="DocXTextRef165" w:id="833"/>
      <w:r>
        <w:t>(ii)</w:t>
      </w:r>
      <w:bookmarkEnd w:id="833"/>
      <w:r>
        <w:t xml:space="preserve"> de Personnes autres que les </w:t>
      </w:r>
      <w:r w:rsidR="003D414B">
        <w:t>C</w:t>
      </w:r>
      <w:r>
        <w:t xml:space="preserve">ommanditaires (par exemple, à partir des actifs du Fonds ou des </w:t>
      </w:r>
      <w:r w:rsidR="003D414B">
        <w:t>S</w:t>
      </w:r>
      <w:r>
        <w:t xml:space="preserve">ociétés de portefeuille), puis </w:t>
      </w:r>
      <w:bookmarkStart w:name="DocXTextRef166" w:id="834"/>
      <w:r>
        <w:t>(iii)</w:t>
      </w:r>
      <w:bookmarkEnd w:id="834"/>
      <w:r>
        <w:t xml:space="preserve"> des </w:t>
      </w:r>
      <w:r w:rsidR="003D414B">
        <w:t>E</w:t>
      </w:r>
      <w:r>
        <w:t xml:space="preserve">ngagements restants, avant </w:t>
      </w:r>
      <w:r w:rsidR="003D414B">
        <w:t>d’obliger</w:t>
      </w:r>
      <w:r>
        <w:t xml:space="preserve"> le Fonds à </w:t>
      </w:r>
      <w:r w:rsidR="003D414B">
        <w:t>faire</w:t>
      </w:r>
      <w:r>
        <w:t xml:space="preserve"> des paiements conformément à </w:t>
      </w:r>
      <w:r w:rsidR="003D414B">
        <w:t>l’article</w:t>
      </w:r>
      <w:r>
        <w:t>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913EFF" w:rsidR="00913EFF">
        <w:rPr>
          <w:i/>
        </w:rPr>
        <w:fldChar w:fldCharType="begin"/>
      </w:r>
      <w:r w:rsidRPr="00913EFF" w:rsidR="00913EFF">
        <w:rPr>
          <w:i/>
        </w:rPr>
        <w:instrText xml:space="preserve"> REF _Ref40803551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Indemnisation des Personnes couvertes.</w:t>
      </w:r>
      <w:r w:rsidRPr="00913EFF" w:rsidR="00913EFF">
        <w:rPr>
          <w:i/>
        </w:rPr>
        <w:fldChar w:fldCharType="end"/>
      </w:r>
      <w:r>
        <w:t>) et avant d</w:t>
      </w:r>
      <w:r w:rsidR="00E27310">
        <w:t>’</w:t>
      </w:r>
      <w:r>
        <w:t xml:space="preserve">exiger des </w:t>
      </w:r>
      <w:r w:rsidR="003D414B">
        <w:t>C</w:t>
      </w:r>
      <w:r>
        <w:t>ommanditaires qu</w:t>
      </w:r>
      <w:r w:rsidR="00E27310">
        <w:t>’</w:t>
      </w:r>
      <w:r>
        <w:t xml:space="preserve">ils </w:t>
      </w:r>
      <w:r w:rsidR="003D414B">
        <w:t>remboursent</w:t>
      </w:r>
      <w:r>
        <w:t xml:space="preserve"> les distributions au Fonds conformément à </w:t>
      </w:r>
      <w:r w:rsidR="003D414B">
        <w:t>l’article</w:t>
      </w:r>
      <w:r>
        <w:t> </w:t>
      </w:r>
      <w:r w:rsidRPr="006400F9">
        <w:fldChar w:fldCharType="begin"/>
      </w:r>
      <w:r w:rsidRPr="006400F9">
        <w:instrText xml:space="preserve"> REF _Ref40803097 \w \h </w:instrText>
      </w:r>
      <w:r w:rsidRPr="006400F9" w:rsidR="00791303">
        <w:instrText xml:space="preserve"> \* MERGEFORMAT </w:instrText>
      </w:r>
      <w:r w:rsidRPr="006400F9">
        <w:fldChar w:fldCharType="separate"/>
      </w:r>
      <w:r w:rsidR="00B50BE2">
        <w:t>16.3</w:t>
      </w:r>
      <w:r w:rsidRPr="006400F9">
        <w:fldChar w:fldCharType="end"/>
      </w:r>
      <w:r>
        <w:t xml:space="preserve"> </w:t>
      </w:r>
      <w:r>
        <w:rPr>
          <w:i/>
        </w:rPr>
        <w:t>(</w:t>
      </w:r>
      <w:r w:rsidRPr="00913EFF" w:rsidR="00913EFF">
        <w:rPr>
          <w:i/>
        </w:rPr>
        <w:fldChar w:fldCharType="begin"/>
      </w:r>
      <w:r w:rsidRPr="00913EFF" w:rsidR="00913EFF">
        <w:rPr>
          <w:i/>
        </w:rPr>
        <w:instrText xml:space="preserve"> REF _Ref40803097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Restitution par les Commanditaires.</w:t>
      </w:r>
      <w:r w:rsidRPr="00913EFF" w:rsidR="00913EFF">
        <w:rPr>
          <w:i/>
        </w:rPr>
        <w:fldChar w:fldCharType="end"/>
      </w:r>
      <w:r>
        <w:t>) dans la mesure minimale nécessaire pour financer cette partie de toute obligation d</w:t>
      </w:r>
      <w:r w:rsidR="00E27310">
        <w:t>’</w:t>
      </w:r>
      <w:r>
        <w:t xml:space="preserve">indemnisation qui </w:t>
      </w:r>
      <w:r w:rsidR="003D414B">
        <w:t>n’a pas été</w:t>
      </w:r>
      <w:r>
        <w:t xml:space="preserve"> remplie à partir d</w:t>
      </w:r>
      <w:r w:rsidR="00E27310">
        <w:t>’</w:t>
      </w:r>
      <w:r>
        <w:t xml:space="preserve">autres sources. Le </w:t>
      </w:r>
      <w:r w:rsidR="003D414B">
        <w:t>C</w:t>
      </w:r>
      <w:r>
        <w:t xml:space="preserve">ommandité </w:t>
      </w:r>
      <w:r w:rsidR="003D414B">
        <w:t>doit obtenir</w:t>
      </w:r>
      <w:r>
        <w:t xml:space="preserve"> et </w:t>
      </w:r>
      <w:r w:rsidR="003D414B">
        <w:t>maintenir</w:t>
      </w:r>
      <w:r>
        <w:t xml:space="preserve"> des polices d</w:t>
      </w:r>
      <w:r w:rsidR="00E27310">
        <w:t>’</w:t>
      </w:r>
      <w:r>
        <w:t>assurance prudentes destinées à atténuer le risque pour le Fonds des obligations d</w:t>
      </w:r>
      <w:r w:rsidR="00E27310">
        <w:t>’</w:t>
      </w:r>
      <w:r>
        <w:t xml:space="preserve">indemnisation du Fonds décrites </w:t>
      </w:r>
      <w:r w:rsidR="003D414B">
        <w:t>au présent</w:t>
      </w:r>
      <w:r>
        <w:t xml:space="preserve"> </w:t>
      </w:r>
      <w:r w:rsidRPr="006400F9">
        <w:fldChar w:fldCharType="begin"/>
      </w:r>
      <w:r w:rsidRPr="006400F9">
        <w:instrText xml:space="preserve"> REF _Ref40807235 \w \h </w:instrText>
      </w:r>
      <w:r w:rsidRPr="006400F9" w:rsidR="00791303">
        <w:instrText xml:space="preserve"> \* MERGEFORMAT </w:instrText>
      </w:r>
      <w:r w:rsidRPr="006400F9">
        <w:fldChar w:fldCharType="separate"/>
      </w:r>
      <w:r w:rsidR="00B50BE2">
        <w:t>Article 16</w:t>
      </w:r>
      <w:r w:rsidRPr="006400F9">
        <w:fldChar w:fldCharType="end"/>
      </w:r>
      <w:r>
        <w:t xml:space="preserve"> (</w:t>
      </w:r>
      <w:proofErr w:type="spellStart"/>
      <w:r w:rsidRPr="00913EFF" w:rsidR="00913EFF">
        <w:rPr>
          <w:i/>
        </w:rPr>
        <w:fldChar w:fldCharType="begin"/>
      </w:r>
      <w:r w:rsidRPr="00913EFF" w:rsidR="00913EFF">
        <w:rPr>
          <w:i/>
        </w:rPr>
        <w:instrText xml:space="preserve"> REF _Ref40807235 \h </w:instrText>
      </w:r>
      <w:r w:rsidR="00913EFF">
        <w:rPr>
          <w:i/>
        </w:rPr>
        <w:instrText xml:space="preserve"> \* MERGEFORMAT </w:instrText>
      </w:r>
      <w:r w:rsidRPr="00913EFF" w:rsidR="00913EFF">
        <w:rPr>
          <w:i/>
        </w:rPr>
      </w:r>
      <w:r w:rsidRPr="00913EFF" w:rsidR="00913EFF">
        <w:rPr>
          <w:i/>
        </w:rPr>
        <w:fldChar w:fldCharType="separate"/>
      </w:r>
      <w:r w:rsidRPr="00B50BE2" w:rsidR="00B50BE2">
        <w:rPr>
          <w:i/>
        </w:rPr>
        <w:t>ExonÉration</w:t>
      </w:r>
      <w:proofErr w:type="spellEnd"/>
      <w:r w:rsidRPr="00B50BE2" w:rsidR="00B50BE2">
        <w:rPr>
          <w:i/>
        </w:rPr>
        <w:t xml:space="preserve"> et indemnisation</w:t>
      </w:r>
      <w:r w:rsidRPr="00913EFF" w:rsidR="00913EFF">
        <w:rPr>
          <w:i/>
        </w:rPr>
        <w:fldChar w:fldCharType="end"/>
      </w:r>
      <w:r>
        <w:t>).</w:t>
      </w:r>
    </w:p>
    <w:p w:rsidR="0000160C" w:rsidRDefault="00C517ED" w14:paraId="4E990C4D" w14:textId="4A8872D0">
      <w:pPr>
        <w:pStyle w:val="ArtBJStyL1"/>
      </w:pPr>
      <w:r>
        <w:br/>
      </w:r>
      <w:bookmarkStart w:name="_Ref40802840" w:id="835"/>
      <w:bookmarkStart w:name="_Toc161762413" w:id="836"/>
      <w:proofErr w:type="gramStart"/>
      <w:r>
        <w:t>Transferts;</w:t>
      </w:r>
      <w:proofErr w:type="gramEnd"/>
      <w:r>
        <w:t xml:space="preserve"> </w:t>
      </w:r>
      <w:r w:rsidR="00D8226E">
        <w:t>AssociÉs</w:t>
      </w:r>
      <w:r>
        <w:t xml:space="preserve"> de substitution</w:t>
      </w:r>
      <w:bookmarkEnd w:id="835"/>
      <w:bookmarkEnd w:id="836"/>
    </w:p>
    <w:p w:rsidR="0000160C" w:rsidRDefault="00B85702" w14:paraId="6079B23F" w14:textId="088AA102">
      <w:pPr>
        <w:pStyle w:val="ArtBJStyL2"/>
      </w:pPr>
      <w:bookmarkStart w:name="_Ref113892643" w:id="837"/>
      <w:bookmarkStart w:name="_Toc161762414" w:id="838"/>
      <w:r>
        <w:t>Transferts</w:t>
      </w:r>
      <w:r w:rsidR="00C517ED">
        <w:t xml:space="preserve"> par des </w:t>
      </w:r>
      <w:r>
        <w:t>C</w:t>
      </w:r>
      <w:r w:rsidR="00C517ED">
        <w:t>ommanditaires.</w:t>
      </w:r>
      <w:bookmarkEnd w:id="837"/>
      <w:bookmarkEnd w:id="838"/>
    </w:p>
    <w:p w:rsidR="0000160C" w:rsidRDefault="00B85702" w14:paraId="37B817A5" w14:textId="6E46F5B4">
      <w:pPr>
        <w:pStyle w:val="ArtBJStyCont2"/>
      </w:pPr>
      <w:r>
        <w:t>Sous réserver des dispositions du présent</w:t>
      </w:r>
      <w:r w:rsidR="00C517ED">
        <w:t xml:space="preserve"> </w:t>
      </w:r>
      <w:r w:rsidRPr="006400F9" w:rsidR="00C517ED">
        <w:fldChar w:fldCharType="begin"/>
      </w:r>
      <w:r w:rsidRPr="006400F9" w:rsidR="00C517ED">
        <w:instrText xml:space="preserve"> REF _Ref40802840 \w \h </w:instrText>
      </w:r>
      <w:r w:rsidRPr="006400F9" w:rsidR="00791303">
        <w:instrText xml:space="preserve"> \* MERGEFORMAT </w:instrText>
      </w:r>
      <w:r w:rsidRPr="006400F9" w:rsidR="00C517ED">
        <w:fldChar w:fldCharType="separate"/>
      </w:r>
      <w:r w:rsidR="00B50BE2">
        <w:t>Article 17</w:t>
      </w:r>
      <w:r w:rsidRPr="006400F9" w:rsidR="00C517ED">
        <w:fldChar w:fldCharType="end"/>
      </w:r>
      <w:r w:rsidR="00C517ED">
        <w:t xml:space="preserve"> (</w:t>
      </w:r>
      <w:r w:rsidRPr="00F40BE1" w:rsidR="00F40BE1">
        <w:rPr>
          <w:i/>
        </w:rPr>
        <w:fldChar w:fldCharType="begin"/>
      </w:r>
      <w:r w:rsidRPr="00F40BE1" w:rsidR="00F40BE1">
        <w:rPr>
          <w:i/>
        </w:rPr>
        <w:instrText xml:space="preserve"> REF _Ref40802840 \h </w:instrText>
      </w:r>
      <w:r w:rsidR="00F40BE1">
        <w:rPr>
          <w:i/>
        </w:rPr>
        <w:instrText xml:space="preserve"> \* MERGEFORMAT </w:instrText>
      </w:r>
      <w:r w:rsidRPr="00F40BE1" w:rsidR="00F40BE1">
        <w:rPr>
          <w:i/>
        </w:rPr>
      </w:r>
      <w:r w:rsidRPr="00F40BE1" w:rsidR="00F40BE1">
        <w:rPr>
          <w:i/>
        </w:rPr>
        <w:fldChar w:fldCharType="separate"/>
      </w:r>
      <w:proofErr w:type="gramStart"/>
      <w:r w:rsidRPr="00B50BE2" w:rsidR="00B50BE2">
        <w:rPr>
          <w:i/>
        </w:rPr>
        <w:t>Transferts;</w:t>
      </w:r>
      <w:proofErr w:type="gramEnd"/>
      <w:r w:rsidRPr="00B50BE2" w:rsidR="00B50BE2">
        <w:rPr>
          <w:i/>
        </w:rPr>
        <w:t xml:space="preserve"> </w:t>
      </w:r>
      <w:proofErr w:type="spellStart"/>
      <w:r w:rsidRPr="00B50BE2" w:rsidR="00B50BE2">
        <w:rPr>
          <w:i/>
        </w:rPr>
        <w:t>AssociÉs</w:t>
      </w:r>
      <w:proofErr w:type="spellEnd"/>
      <w:r w:rsidRPr="00B50BE2" w:rsidR="00B50BE2">
        <w:rPr>
          <w:i/>
        </w:rPr>
        <w:t xml:space="preserve"> de substitution</w:t>
      </w:r>
      <w:r w:rsidRPr="00F40BE1" w:rsidR="00F40BE1">
        <w:rPr>
          <w:i/>
        </w:rPr>
        <w:fldChar w:fldCharType="end"/>
      </w:r>
      <w:r w:rsidR="00C517ED">
        <w:t xml:space="preserve">), aucun </w:t>
      </w:r>
      <w:r>
        <w:t>Associé</w:t>
      </w:r>
      <w:r w:rsidR="00C517ED">
        <w:t xml:space="preserve"> ne peut </w:t>
      </w:r>
      <w:r>
        <w:t>T</w:t>
      </w:r>
      <w:r w:rsidR="00C517ED">
        <w:t xml:space="preserve">ransférer </w:t>
      </w:r>
      <w:r>
        <w:t>la totalité</w:t>
      </w:r>
      <w:r w:rsidR="00C517ED">
        <w:t xml:space="preserve"> ou </w:t>
      </w:r>
      <w:r>
        <w:t xml:space="preserve">une </w:t>
      </w:r>
      <w:r w:rsidR="00C517ED">
        <w:t xml:space="preserve">partie de </w:t>
      </w:r>
      <w:r>
        <w:t>sa Participation</w:t>
      </w:r>
      <w:r w:rsidR="00C517ED">
        <w:t>.</w:t>
      </w:r>
    </w:p>
    <w:p w:rsidR="0000160C" w:rsidRDefault="00C517ED" w14:paraId="2C6FD8FA" w14:textId="495971D2">
      <w:pPr>
        <w:pStyle w:val="ArtBJStyL2"/>
      </w:pPr>
      <w:bookmarkStart w:name="_Ref40806234" w:id="839"/>
      <w:bookmarkStart w:name="_Toc161762415" w:id="840"/>
      <w:r>
        <w:t xml:space="preserve">Conditions de </w:t>
      </w:r>
      <w:r w:rsidR="00ED0495">
        <w:t>T</w:t>
      </w:r>
      <w:r>
        <w:t>ransfert.</w:t>
      </w:r>
      <w:bookmarkEnd w:id="839"/>
      <w:bookmarkEnd w:id="840"/>
    </w:p>
    <w:p w:rsidR="0000160C" w:rsidRDefault="00C517ED" w14:paraId="59E3C5F6" w14:textId="1C65E9EF">
      <w:pPr>
        <w:pStyle w:val="ArtBJStyL3"/>
        <w:keepNext/>
      </w:pPr>
      <w:bookmarkStart w:name="_Ref40802506" w:id="841"/>
      <w:r>
        <w:t xml:space="preserve">Tout Transfert par un </w:t>
      </w:r>
      <w:r w:rsidR="00B85702">
        <w:t>C</w:t>
      </w:r>
      <w:r>
        <w:t xml:space="preserve">ommanditaire conformément aux </w:t>
      </w:r>
      <w:r w:rsidR="00B85702">
        <w:t>modalités</w:t>
      </w:r>
      <w:r>
        <w:t xml:space="preserve"> </w:t>
      </w:r>
      <w:r w:rsidR="00B85702">
        <w:t>du présent</w:t>
      </w:r>
      <w:r>
        <w:t xml:space="preserve"> </w:t>
      </w:r>
      <w:r w:rsidRPr="006400F9">
        <w:fldChar w:fldCharType="begin"/>
      </w:r>
      <w:r w:rsidRPr="006400F9">
        <w:instrText xml:space="preserve"> REF _Ref40802840 \w \h </w:instrText>
      </w:r>
      <w:r w:rsidRPr="006400F9" w:rsidR="00791303">
        <w:instrText xml:space="preserve"> \* MERGEFORMAT </w:instrText>
      </w:r>
      <w:r w:rsidRPr="006400F9">
        <w:fldChar w:fldCharType="separate"/>
      </w:r>
      <w:r w:rsidR="00B50BE2">
        <w:t>Article 17</w:t>
      </w:r>
      <w:r w:rsidRPr="006400F9">
        <w:fldChar w:fldCharType="end"/>
      </w:r>
      <w:r>
        <w:t xml:space="preserve"> (</w:t>
      </w:r>
      <w:r w:rsidRPr="00F40BE1" w:rsidR="00F40BE1">
        <w:rPr>
          <w:i/>
        </w:rPr>
        <w:fldChar w:fldCharType="begin"/>
      </w:r>
      <w:r w:rsidRPr="00F40BE1" w:rsidR="00F40BE1">
        <w:rPr>
          <w:i/>
        </w:rPr>
        <w:instrText xml:space="preserve"> REF _Ref40802840 \h </w:instrText>
      </w:r>
      <w:r w:rsidR="00F40BE1">
        <w:rPr>
          <w:i/>
        </w:rPr>
        <w:instrText xml:space="preserve"> \* MERGEFORMAT </w:instrText>
      </w:r>
      <w:r w:rsidRPr="00F40BE1" w:rsidR="00F40BE1">
        <w:rPr>
          <w:i/>
        </w:rPr>
      </w:r>
      <w:r w:rsidRPr="00F40BE1" w:rsidR="00F40BE1">
        <w:rPr>
          <w:i/>
        </w:rPr>
        <w:fldChar w:fldCharType="separate"/>
      </w:r>
      <w:r w:rsidRPr="00B50BE2" w:rsidR="00B50BE2">
        <w:rPr>
          <w:i/>
        </w:rPr>
        <w:t xml:space="preserve">Transferts; </w:t>
      </w:r>
      <w:proofErr w:type="spellStart"/>
      <w:r w:rsidRPr="00B50BE2" w:rsidR="00B50BE2">
        <w:rPr>
          <w:i/>
        </w:rPr>
        <w:t>AssociÉs</w:t>
      </w:r>
      <w:proofErr w:type="spellEnd"/>
      <w:r w:rsidRPr="00B50BE2" w:rsidR="00B50BE2">
        <w:rPr>
          <w:i/>
        </w:rPr>
        <w:t xml:space="preserve"> de substitution</w:t>
      </w:r>
      <w:r w:rsidRPr="00F40BE1" w:rsidR="00F40BE1">
        <w:rPr>
          <w:i/>
        </w:rPr>
        <w:fldChar w:fldCharType="end"/>
      </w:r>
      <w:r>
        <w:t>) (</w:t>
      </w:r>
      <w:r w:rsidR="00B85702">
        <w:t>à moins que le Commandité n’y renonce</w:t>
      </w:r>
      <w:r>
        <w:t xml:space="preserve">) </w:t>
      </w:r>
      <w:r w:rsidR="00B85702">
        <w:t>nécessite</w:t>
      </w:r>
      <w:r>
        <w:t xml:space="preserve"> le consentement écrit préalable du </w:t>
      </w:r>
      <w:r w:rsidR="00B85702">
        <w:t>C</w:t>
      </w:r>
      <w:r>
        <w:t xml:space="preserve">ommandité, qui </w:t>
      </w:r>
      <w:r w:rsidR="00B85702">
        <w:t>ne doit pas être</w:t>
      </w:r>
      <w:r>
        <w:t xml:space="preserve"> refusé ou retardé de </w:t>
      </w:r>
      <w:r>
        <w:lastRenderedPageBreak/>
        <w:t xml:space="preserve">façon déraisonnable si </w:t>
      </w:r>
      <w:bookmarkStart w:name="DocXTextRef167" w:id="842"/>
      <w:r>
        <w:t>(i)</w:t>
      </w:r>
      <w:bookmarkEnd w:id="842"/>
      <w:r>
        <w:t xml:space="preserve"> la </w:t>
      </w:r>
      <w:r w:rsidR="00B85702">
        <w:rPr>
          <w:shd w:val="clear" w:color="auto" w:fill="FFFFFF"/>
        </w:rPr>
        <w:t>P</w:t>
      </w:r>
      <w:r>
        <w:rPr>
          <w:shd w:val="clear" w:color="auto" w:fill="FFFFFF"/>
        </w:rPr>
        <w:t xml:space="preserve">ersonne à qui ce </w:t>
      </w:r>
      <w:r w:rsidR="00B85702">
        <w:rPr>
          <w:shd w:val="clear" w:color="auto" w:fill="FFFFFF"/>
        </w:rPr>
        <w:t>T</w:t>
      </w:r>
      <w:r>
        <w:rPr>
          <w:shd w:val="clear" w:color="auto" w:fill="FFFFFF"/>
        </w:rPr>
        <w:t xml:space="preserve">ransfert doit être </w:t>
      </w:r>
      <w:r w:rsidR="00B85702">
        <w:rPr>
          <w:shd w:val="clear" w:color="auto" w:fill="FFFFFF"/>
        </w:rPr>
        <w:t>fait</w:t>
      </w:r>
      <w:r>
        <w:rPr>
          <w:shd w:val="clear" w:color="auto" w:fill="FFFFFF"/>
        </w:rPr>
        <w:t xml:space="preserve"> (le </w:t>
      </w:r>
      <w:r w:rsidR="0056751D">
        <w:rPr>
          <w:shd w:val="clear" w:color="auto" w:fill="FFFFFF"/>
        </w:rPr>
        <w:t>« </w:t>
      </w:r>
      <w:r w:rsidR="0056751D">
        <w:rPr>
          <w:b/>
          <w:shd w:val="clear" w:color="auto" w:fill="FFFFFF"/>
        </w:rPr>
        <w:t>C</w:t>
      </w:r>
      <w:r>
        <w:rPr>
          <w:b/>
          <w:shd w:val="clear" w:color="auto" w:fill="FFFFFF"/>
        </w:rPr>
        <w:t>essionnaire</w:t>
      </w:r>
      <w:r w:rsidR="0056751D">
        <w:rPr>
          <w:bCs/>
          <w:shd w:val="clear" w:color="auto" w:fill="FFFFFF"/>
        </w:rPr>
        <w:t> »</w:t>
      </w:r>
      <w:r>
        <w:rPr>
          <w:shd w:val="clear" w:color="auto" w:fill="FFFFFF"/>
        </w:rPr>
        <w:t xml:space="preserve">) est </w:t>
      </w:r>
      <w:r w:rsidR="00E26C66">
        <w:rPr>
          <w:shd w:val="clear" w:color="auto" w:fill="FFFFFF"/>
        </w:rPr>
        <w:t>un Membre du même groupe</w:t>
      </w:r>
      <w:r w:rsidR="00B85702">
        <w:rPr>
          <w:shd w:val="clear" w:color="auto" w:fill="FFFFFF"/>
        </w:rPr>
        <w:t xml:space="preserve"> que le</w:t>
      </w:r>
      <w:r>
        <w:rPr>
          <w:shd w:val="clear" w:color="auto" w:fill="FFFFFF"/>
        </w:rPr>
        <w:t xml:space="preserve"> </w:t>
      </w:r>
      <w:r w:rsidR="00B85702">
        <w:rPr>
          <w:shd w:val="clear" w:color="auto" w:fill="FFFFFF"/>
        </w:rPr>
        <w:t>C</w:t>
      </w:r>
      <w:r>
        <w:rPr>
          <w:shd w:val="clear" w:color="auto" w:fill="FFFFFF"/>
        </w:rPr>
        <w:t xml:space="preserve">ommanditaire </w:t>
      </w:r>
      <w:r>
        <w:t xml:space="preserve">qui propose </w:t>
      </w:r>
      <w:r w:rsidR="00B85702">
        <w:t>de faire</w:t>
      </w:r>
      <w:r>
        <w:t xml:space="preserve"> </w:t>
      </w:r>
      <w:r>
        <w:rPr>
          <w:shd w:val="clear" w:color="auto" w:fill="FFFFFF"/>
        </w:rPr>
        <w:t xml:space="preserve">ce </w:t>
      </w:r>
      <w:r w:rsidR="00B85702">
        <w:rPr>
          <w:shd w:val="clear" w:color="auto" w:fill="FFFFFF"/>
        </w:rPr>
        <w:t>T</w:t>
      </w:r>
      <w:r>
        <w:rPr>
          <w:shd w:val="clear" w:color="auto" w:fill="FFFFFF"/>
        </w:rPr>
        <w:t xml:space="preserve">ransfert (le </w:t>
      </w:r>
      <w:r w:rsidR="0056751D">
        <w:rPr>
          <w:shd w:val="clear" w:color="auto" w:fill="FFFFFF"/>
        </w:rPr>
        <w:t>« </w:t>
      </w:r>
      <w:r w:rsidR="0056751D">
        <w:rPr>
          <w:b/>
          <w:bCs/>
          <w:shd w:val="clear" w:color="auto" w:fill="FFFFFF"/>
        </w:rPr>
        <w:t>C</w:t>
      </w:r>
      <w:r>
        <w:rPr>
          <w:b/>
          <w:bCs/>
          <w:shd w:val="clear" w:color="auto" w:fill="FFFFFF"/>
        </w:rPr>
        <w:t>édant</w:t>
      </w:r>
      <w:r>
        <w:rPr>
          <w:shd w:val="clear" w:color="auto" w:fill="FFFFFF"/>
        </w:rPr>
        <w:t xml:space="preserve"> »), </w:t>
      </w:r>
      <w:r>
        <w:t xml:space="preserve">ou </w:t>
      </w:r>
      <w:bookmarkStart w:name="DocXTextRef168" w:id="843"/>
      <w:r>
        <w:t>(ii)</w:t>
      </w:r>
      <w:bookmarkEnd w:id="843"/>
      <w:r>
        <w:t xml:space="preserve"> si ce </w:t>
      </w:r>
      <w:r w:rsidR="00B85702">
        <w:t>T</w:t>
      </w:r>
      <w:r>
        <w:t>ransfert répond aux critères suivants :</w:t>
      </w:r>
      <w:bookmarkEnd w:id="841"/>
    </w:p>
    <w:p w:rsidR="0000160C" w:rsidRDefault="00C517ED" w14:paraId="122E51BA" w14:textId="0425EE46">
      <w:pPr>
        <w:pStyle w:val="ArtBJStyL4"/>
        <w:rPr>
          <w:b/>
        </w:rPr>
      </w:pPr>
      <w:bookmarkStart w:name="_Ref113892644" w:id="844"/>
      <w:proofErr w:type="gramStart"/>
      <w:r>
        <w:t>le</w:t>
      </w:r>
      <w:proofErr w:type="gramEnd"/>
      <w:r>
        <w:t xml:space="preserve"> </w:t>
      </w:r>
      <w:r w:rsidR="00B85702">
        <w:rPr>
          <w:shd w:val="clear" w:color="auto" w:fill="FFFFFF"/>
        </w:rPr>
        <w:t>C</w:t>
      </w:r>
      <w:r>
        <w:rPr>
          <w:shd w:val="clear" w:color="auto" w:fill="FFFFFF"/>
        </w:rPr>
        <w:t xml:space="preserve">édant ou le </w:t>
      </w:r>
      <w:r w:rsidR="00B85702">
        <w:rPr>
          <w:shd w:val="clear" w:color="auto" w:fill="FFFFFF"/>
        </w:rPr>
        <w:t>C</w:t>
      </w:r>
      <w:r>
        <w:rPr>
          <w:shd w:val="clear" w:color="auto" w:fill="FFFFFF"/>
        </w:rPr>
        <w:t>essionnaire s</w:t>
      </w:r>
      <w:r w:rsidR="00E27310">
        <w:rPr>
          <w:shd w:val="clear" w:color="auto" w:fill="FFFFFF"/>
        </w:rPr>
        <w:t>’</w:t>
      </w:r>
      <w:r>
        <w:rPr>
          <w:shd w:val="clear" w:color="auto" w:fill="FFFFFF"/>
        </w:rPr>
        <w:t xml:space="preserve">est engagé à payer toutes les dépenses raisonnables </w:t>
      </w:r>
      <w:r w:rsidR="00B85702">
        <w:rPr>
          <w:shd w:val="clear" w:color="auto" w:fill="FFFFFF"/>
        </w:rPr>
        <w:t>encourues</w:t>
      </w:r>
      <w:r>
        <w:rPr>
          <w:shd w:val="clear" w:color="auto" w:fill="FFFFFF"/>
        </w:rPr>
        <w:t xml:space="preserve"> par le </w:t>
      </w:r>
      <w:r w:rsidR="00B85702">
        <w:rPr>
          <w:shd w:val="clear" w:color="auto" w:fill="FFFFFF"/>
        </w:rPr>
        <w:t>F</w:t>
      </w:r>
      <w:r>
        <w:rPr>
          <w:shd w:val="clear" w:color="auto" w:fill="FFFFFF"/>
        </w:rPr>
        <w:t>onds et (</w:t>
      </w:r>
      <w:r w:rsidR="00B85702">
        <w:t>à moins que le Commandité n’y renonce</w:t>
      </w:r>
      <w:r>
        <w:t xml:space="preserve">) le </w:t>
      </w:r>
      <w:r w:rsidR="00B85702">
        <w:t>C</w:t>
      </w:r>
      <w:r>
        <w:t xml:space="preserve">ommandité (que le </w:t>
      </w:r>
      <w:r w:rsidR="00B85702">
        <w:t>T</w:t>
      </w:r>
      <w:r>
        <w:t xml:space="preserve">ransfert proposé soit </w:t>
      </w:r>
      <w:r w:rsidR="00B85702">
        <w:t>complété</w:t>
      </w:r>
      <w:r>
        <w:t xml:space="preserve"> ou non), et ces montants payés ne seront pas considérés comme des </w:t>
      </w:r>
      <w:r w:rsidR="00B85702">
        <w:t>Apports</w:t>
      </w:r>
      <w:r>
        <w:t xml:space="preserve"> </w:t>
      </w:r>
      <w:r w:rsidR="00B85702">
        <w:t>de</w:t>
      </w:r>
      <w:r>
        <w:t xml:space="preserve"> capital et ne réduiront pas l</w:t>
      </w:r>
      <w:r w:rsidR="00E27310">
        <w:t>’</w:t>
      </w:r>
      <w:r w:rsidR="00B85702">
        <w:t>E</w:t>
      </w:r>
      <w:r>
        <w:t xml:space="preserve">ngagement restant du </w:t>
      </w:r>
      <w:r w:rsidR="00B85702">
        <w:t>C</w:t>
      </w:r>
      <w:r>
        <w:t xml:space="preserve">édant ou du </w:t>
      </w:r>
      <w:r w:rsidR="00B85702">
        <w:t>C</w:t>
      </w:r>
      <w:r>
        <w:t>essionnaire;</w:t>
      </w:r>
      <w:bookmarkEnd w:id="844"/>
      <w:r>
        <w:rPr>
          <w:b/>
        </w:rPr>
        <w:t xml:space="preserve">  </w:t>
      </w:r>
    </w:p>
    <w:p w:rsidR="0000160C" w:rsidRDefault="00C517ED" w14:paraId="1601FA81" w14:textId="5D31907B">
      <w:pPr>
        <w:pStyle w:val="ArtBJStyL4"/>
        <w:keepNext/>
      </w:pPr>
      <w:bookmarkStart w:name="_Ref113892645" w:id="845"/>
      <w:proofErr w:type="gramStart"/>
      <w:r>
        <w:t>le</w:t>
      </w:r>
      <w:proofErr w:type="gramEnd"/>
      <w:r>
        <w:t xml:space="preserve"> </w:t>
      </w:r>
      <w:r w:rsidR="00B85702">
        <w:t>C</w:t>
      </w:r>
      <w:r>
        <w:t xml:space="preserve">ommandité doit avoir reçu du </w:t>
      </w:r>
      <w:r w:rsidR="00B85702">
        <w:t>C</w:t>
      </w:r>
      <w:r>
        <w:t xml:space="preserve">essionnaire et du </w:t>
      </w:r>
      <w:r w:rsidR="00B85702">
        <w:t>C</w:t>
      </w:r>
      <w:r>
        <w:t>édant :</w:t>
      </w:r>
      <w:bookmarkEnd w:id="845"/>
    </w:p>
    <w:p w:rsidR="0000160C" w:rsidRDefault="00C517ED" w14:paraId="64F3E799" w14:textId="26BF41B2">
      <w:pPr>
        <w:pStyle w:val="ArtBJStyL5"/>
      </w:pPr>
      <w:bookmarkStart w:name="_Ref113892646" w:id="846"/>
      <w:proofErr w:type="gramStart"/>
      <w:r>
        <w:t>la</w:t>
      </w:r>
      <w:proofErr w:type="gramEnd"/>
      <w:r>
        <w:t xml:space="preserve"> confirmation de l</w:t>
      </w:r>
      <w:r w:rsidR="00E27310">
        <w:t>’</w:t>
      </w:r>
      <w:r>
        <w:t xml:space="preserve">identité du </w:t>
      </w:r>
      <w:r w:rsidR="00B85702">
        <w:t>C</w:t>
      </w:r>
      <w:r>
        <w:t>essionnair</w:t>
      </w:r>
      <w:r w:rsidR="00B85702">
        <w:t>e</w:t>
      </w:r>
      <w:r>
        <w:t>;</w:t>
      </w:r>
      <w:bookmarkEnd w:id="846"/>
    </w:p>
    <w:p w:rsidR="0000160C" w:rsidRDefault="00C517ED" w14:paraId="7C08D662" w14:textId="22FBBE5B">
      <w:pPr>
        <w:pStyle w:val="ArtBJStyL5"/>
      </w:pPr>
      <w:bookmarkStart w:name="_Ref113892647" w:id="847"/>
      <w:r>
        <w:t>un</w:t>
      </w:r>
      <w:r w:rsidR="00D42829">
        <w:t>e</w:t>
      </w:r>
      <w:r>
        <w:t xml:space="preserve"> </w:t>
      </w:r>
      <w:bookmarkStart w:name="_Ref113892899" w:id="848"/>
      <w:r w:rsidR="00040C15">
        <w:t>Convention</w:t>
      </w:r>
      <w:r w:rsidR="00B85702">
        <w:t xml:space="preserve"> de souscription</w:t>
      </w:r>
      <w:r>
        <w:rPr>
          <w:szCs w:val="22"/>
          <w:vertAlign w:val="superscript"/>
        </w:rPr>
        <w:footnoteReference w:id="151"/>
      </w:r>
      <w:bookmarkEnd w:id="848"/>
      <w:r>
        <w:t xml:space="preserve"> </w:t>
      </w:r>
      <w:r w:rsidR="00B85702">
        <w:t>complétée</w:t>
      </w:r>
      <w:r>
        <w:t xml:space="preserve"> </w:t>
      </w:r>
      <w:r w:rsidR="00A4761C">
        <w:t>à l’égard</w:t>
      </w:r>
      <w:r>
        <w:t xml:space="preserve"> </w:t>
      </w:r>
      <w:r w:rsidR="00A4761C">
        <w:t>de la Participation</w:t>
      </w:r>
      <w:r>
        <w:t xml:space="preserve"> faisant l</w:t>
      </w:r>
      <w:r w:rsidR="00E27310">
        <w:t>’</w:t>
      </w:r>
      <w:r>
        <w:t xml:space="preserve">objet du Transfert, et </w:t>
      </w:r>
      <w:r w:rsidR="00A4761C">
        <w:t>une entente</w:t>
      </w:r>
      <w:r>
        <w:t xml:space="preserve"> de cession attestant ce Transfert et d</w:t>
      </w:r>
      <w:r w:rsidR="00E27310">
        <w:t>’</w:t>
      </w:r>
      <w:r>
        <w:t xml:space="preserve">autres documents, instruments et certificats demandés par le </w:t>
      </w:r>
      <w:r w:rsidR="00A4761C">
        <w:t>Commandité</w:t>
      </w:r>
      <w:r>
        <w:t xml:space="preserve"> </w:t>
      </w:r>
      <w:r w:rsidR="00A4761C">
        <w:t>tel que nécessaire ou souhaitable</w:t>
      </w:r>
      <w:r>
        <w:t xml:space="preserve">, dûment </w:t>
      </w:r>
      <w:r w:rsidR="00A4761C">
        <w:t>complétés</w:t>
      </w:r>
      <w:r>
        <w:t xml:space="preserve"> et signé</w:t>
      </w:r>
      <w:r w:rsidR="00A4761C">
        <w:t>s</w:t>
      </w:r>
      <w:r>
        <w:t xml:space="preserve"> par les deux parties à ce Transfert, </w:t>
      </w:r>
      <w:r w:rsidR="00A4761C">
        <w:t>en vertu desquels</w:t>
      </w:r>
      <w:r>
        <w:t xml:space="preserve"> le Cessionnaire a accepté d</w:t>
      </w:r>
      <w:r w:rsidR="00E27310">
        <w:t>’</w:t>
      </w:r>
      <w:r>
        <w:t xml:space="preserve">être lié par </w:t>
      </w:r>
      <w:r w:rsidR="003278C2">
        <w:t>la présente Convention</w:t>
      </w:r>
      <w:r>
        <w:t>, y compris, sur demande, un</w:t>
      </w:r>
      <w:r w:rsidR="00A4761C">
        <w:t xml:space="preserve"> exemplaire </w:t>
      </w:r>
      <w:r w:rsidR="00E536D5">
        <w:t>de la présente Convention</w:t>
      </w:r>
      <w:r>
        <w:t xml:space="preserve"> signée par le Cessionnaire ou en son nom;</w:t>
      </w:r>
      <w:bookmarkEnd w:id="847"/>
    </w:p>
    <w:p w:rsidR="0000160C" w:rsidRDefault="00C517ED" w14:paraId="7A156CD4" w14:textId="358AA187">
      <w:pPr>
        <w:pStyle w:val="ArtBJStyL5"/>
      </w:pPr>
      <w:bookmarkStart w:name="_Ref113892648" w:id="849"/>
      <w:proofErr w:type="gramStart"/>
      <w:r>
        <w:t>un</w:t>
      </w:r>
      <w:proofErr w:type="gramEnd"/>
      <w:r>
        <w:t xml:space="preserve"> certificat ou une déclaration attestant que les </w:t>
      </w:r>
      <w:r w:rsidR="00A4761C">
        <w:t>déclarations</w:t>
      </w:r>
      <w:r>
        <w:t xml:space="preserve"> énoncées dans </w:t>
      </w:r>
      <w:r w:rsidR="00A4761C">
        <w:t>l</w:t>
      </w:r>
      <w:r w:rsidR="00040C15">
        <w:t xml:space="preserve">a Convention </w:t>
      </w:r>
      <w:r w:rsidR="00A4761C">
        <w:t>de souscription</w:t>
      </w:r>
      <w:r>
        <w:t xml:space="preserve"> du </w:t>
      </w:r>
      <w:r w:rsidR="00A4761C">
        <w:t>C</w:t>
      </w:r>
      <w:r>
        <w:t xml:space="preserve">édant sont (sauf </w:t>
      </w:r>
      <w:r w:rsidR="00A4761C">
        <w:t>indication</w:t>
      </w:r>
      <w:r>
        <w:t xml:space="preserve"> contraire et consentement du </w:t>
      </w:r>
      <w:r w:rsidR="00A4761C">
        <w:t>C</w:t>
      </w:r>
      <w:r>
        <w:t>ommandité) vraies et exactes à l</w:t>
      </w:r>
      <w:r w:rsidR="00E27310">
        <w:t>’</w:t>
      </w:r>
      <w:r>
        <w:t xml:space="preserve">égard du </w:t>
      </w:r>
      <w:r w:rsidR="00A4761C">
        <w:t>C</w:t>
      </w:r>
      <w:r>
        <w:t xml:space="preserve">essionnaire à la date </w:t>
      </w:r>
      <w:r w:rsidR="00A4761C">
        <w:t>de ce</w:t>
      </w:r>
      <w:r>
        <w:t xml:space="preserve"> </w:t>
      </w:r>
      <w:r w:rsidR="00A4761C">
        <w:t>T</w:t>
      </w:r>
      <w:r>
        <w:t>ransfert; et</w:t>
      </w:r>
      <w:bookmarkEnd w:id="849"/>
    </w:p>
    <w:p w:rsidR="0000160C" w:rsidRDefault="00C517ED" w14:paraId="22FCEB57" w14:textId="3D7AD7EC">
      <w:pPr>
        <w:pStyle w:val="ArtBJStyL5"/>
      </w:pPr>
      <w:bookmarkStart w:name="_Ref113892649" w:id="850"/>
      <w:proofErr w:type="gramStart"/>
      <w:r>
        <w:t>les</w:t>
      </w:r>
      <w:proofErr w:type="gramEnd"/>
      <w:r>
        <w:t xml:space="preserve"> autres documents, avis,</w:t>
      </w:r>
      <w:bookmarkStart w:name="_Ref113892900" w:id="851"/>
      <w:r>
        <w:rPr>
          <w:szCs w:val="22"/>
          <w:vertAlign w:val="superscript"/>
        </w:rPr>
        <w:footnoteReference w:id="152"/>
      </w:r>
      <w:bookmarkEnd w:id="851"/>
      <w:r>
        <w:t xml:space="preserve"> instruments et certificats </w:t>
      </w:r>
      <w:r w:rsidR="00040C15">
        <w:t xml:space="preserve">demandés par </w:t>
      </w:r>
      <w:r>
        <w:t xml:space="preserve">le </w:t>
      </w:r>
      <w:r w:rsidR="00A4761C">
        <w:t>C</w:t>
      </w:r>
      <w:r>
        <w:t xml:space="preserve">ommandité </w:t>
      </w:r>
      <w:r w:rsidR="00A4761C">
        <w:t xml:space="preserve">tel que </w:t>
      </w:r>
      <w:r>
        <w:t>nécessaire ou souhaitable.</w:t>
      </w:r>
      <w:bookmarkEnd w:id="850"/>
    </w:p>
    <w:p w:rsidR="0000160C" w:rsidRDefault="00C517ED" w14:paraId="5BDD38DA" w14:textId="0F8E8F6E">
      <w:pPr>
        <w:pStyle w:val="ArtBJStyL3"/>
        <w:keepNext/>
      </w:pPr>
      <w:bookmarkStart w:name="_Ref113892650" w:id="852"/>
      <w:bookmarkStart w:name="_Ref40802434" w:id="853"/>
      <w:r>
        <w:t>Dès l</w:t>
      </w:r>
      <w:r w:rsidR="00E27310">
        <w:t>’</w:t>
      </w:r>
      <w:r>
        <w:t xml:space="preserve">acceptation par le Fonds et le </w:t>
      </w:r>
      <w:r w:rsidR="00A4761C">
        <w:t>Commandité</w:t>
      </w:r>
      <w:r>
        <w:t xml:space="preserve"> de </w:t>
      </w:r>
      <w:r w:rsidR="00A4761C">
        <w:t>l</w:t>
      </w:r>
      <w:r w:rsidR="00040C15">
        <w:t xml:space="preserve">a Convention </w:t>
      </w:r>
      <w:r w:rsidR="00A4761C">
        <w:t>de souscription</w:t>
      </w:r>
      <w:r>
        <w:t xml:space="preserve"> fourni</w:t>
      </w:r>
      <w:r w:rsidR="00A4761C">
        <w:t>e</w:t>
      </w:r>
      <w:r>
        <w:t xml:space="preserve"> par un Cessionnaire relativement à </w:t>
      </w:r>
      <w:r w:rsidR="00A4761C">
        <w:t>la Participation</w:t>
      </w:r>
      <w:r>
        <w:t xml:space="preserve"> qui fait l</w:t>
      </w:r>
      <w:r w:rsidR="00E27310">
        <w:t>’</w:t>
      </w:r>
      <w:r>
        <w:t>objet d</w:t>
      </w:r>
      <w:r w:rsidR="00E27310">
        <w:t>’</w:t>
      </w:r>
      <w:r>
        <w:t xml:space="preserve">un Transfert, le Cessionnaire </w:t>
      </w:r>
      <w:r w:rsidR="00A4761C">
        <w:t>doit être</w:t>
      </w:r>
      <w:r>
        <w:t xml:space="preserve"> admis au Fonds en tant </w:t>
      </w:r>
      <w:r w:rsidR="00A4761C">
        <w:t>qu’associé</w:t>
      </w:r>
      <w:r>
        <w:t xml:space="preserve"> de substitution du Fonds (un </w:t>
      </w:r>
      <w:r w:rsidR="00A4761C">
        <w:t>« </w:t>
      </w:r>
      <w:r w:rsidR="00ED0495">
        <w:rPr>
          <w:b/>
        </w:rPr>
        <w:t>Associé</w:t>
      </w:r>
      <w:r>
        <w:rPr>
          <w:b/>
        </w:rPr>
        <w:t xml:space="preserve"> de substitution</w:t>
      </w:r>
      <w:r>
        <w:rPr>
          <w:bCs/>
        </w:rPr>
        <w:t xml:space="preserve"> »</w:t>
      </w:r>
      <w:r>
        <w:t xml:space="preserve">), et </w:t>
      </w:r>
      <w:r w:rsidR="00A4761C">
        <w:t>doit succéder</w:t>
      </w:r>
      <w:r>
        <w:t xml:space="preserve"> à tous les droits et obligations du Cédant, en ce qui concerne </w:t>
      </w:r>
      <w:r w:rsidR="00A4761C">
        <w:t>cette Participation</w:t>
      </w:r>
      <w:r>
        <w:t xml:space="preserve">, et sera réputé </w:t>
      </w:r>
      <w:r>
        <w:rPr>
          <w:szCs w:val="22"/>
        </w:rPr>
        <w:t xml:space="preserve">faire toutes les </w:t>
      </w:r>
      <w:r w:rsidR="00A4761C">
        <w:rPr>
          <w:szCs w:val="22"/>
        </w:rPr>
        <w:t>déclarations</w:t>
      </w:r>
      <w:r>
        <w:rPr>
          <w:szCs w:val="22"/>
        </w:rPr>
        <w:t xml:space="preserve"> et garanties, les engagements et les reconnaissances d</w:t>
      </w:r>
      <w:r w:rsidR="00E27310">
        <w:rPr>
          <w:szCs w:val="22"/>
        </w:rPr>
        <w:t>’</w:t>
      </w:r>
      <w:r>
        <w:rPr>
          <w:szCs w:val="22"/>
        </w:rPr>
        <w:t xml:space="preserve">un </w:t>
      </w:r>
      <w:r w:rsidR="00A4761C">
        <w:rPr>
          <w:szCs w:val="22"/>
        </w:rPr>
        <w:t>Commanditaire</w:t>
      </w:r>
      <w:r>
        <w:rPr>
          <w:szCs w:val="22"/>
        </w:rPr>
        <w:t xml:space="preserve"> en vertu </w:t>
      </w:r>
      <w:r w:rsidR="00E536D5">
        <w:rPr>
          <w:szCs w:val="22"/>
        </w:rPr>
        <w:t>de la présente Convention</w:t>
      </w:r>
      <w:r>
        <w:rPr>
          <w:szCs w:val="22"/>
        </w:rPr>
        <w:t xml:space="preserve"> et accorder la procuration prévue à </w:t>
      </w:r>
      <w:r w:rsidR="00A4761C">
        <w:rPr>
          <w:szCs w:val="22"/>
        </w:rPr>
        <w:t>l’</w:t>
      </w:r>
      <w:r w:rsidR="00C33573">
        <w:rPr>
          <w:szCs w:val="22"/>
        </w:rPr>
        <w:fldChar w:fldCharType="begin"/>
      </w:r>
      <w:r w:rsidR="00C33573">
        <w:rPr>
          <w:szCs w:val="22"/>
        </w:rPr>
        <w:instrText xml:space="preserve"> REF _Ref40807452 \r \h </w:instrText>
      </w:r>
      <w:r w:rsidR="00C33573">
        <w:rPr>
          <w:szCs w:val="22"/>
        </w:rPr>
      </w:r>
      <w:r w:rsidR="00C33573">
        <w:rPr>
          <w:szCs w:val="22"/>
        </w:rPr>
        <w:fldChar w:fldCharType="separate"/>
      </w:r>
      <w:r w:rsidR="00B50BE2">
        <w:rPr>
          <w:szCs w:val="22"/>
        </w:rPr>
        <w:t>Article 19</w:t>
      </w:r>
      <w:r w:rsidR="00C33573">
        <w:rPr>
          <w:szCs w:val="22"/>
        </w:rPr>
        <w:fldChar w:fldCharType="end"/>
      </w:r>
      <w:r>
        <w:rPr>
          <w:szCs w:val="22"/>
        </w:rPr>
        <w:t xml:space="preserve"> (</w:t>
      </w:r>
      <w:r w:rsidRPr="00C33573" w:rsidR="00C33573">
        <w:rPr>
          <w:i/>
          <w:szCs w:val="22"/>
        </w:rPr>
        <w:fldChar w:fldCharType="begin"/>
      </w:r>
      <w:r w:rsidRPr="00C33573" w:rsidR="00C33573">
        <w:rPr>
          <w:i/>
          <w:szCs w:val="22"/>
        </w:rPr>
        <w:instrText xml:space="preserve"> REF _Ref40807452 \h </w:instrText>
      </w:r>
      <w:r w:rsidR="00C33573">
        <w:rPr>
          <w:i/>
          <w:szCs w:val="22"/>
        </w:rPr>
        <w:instrText xml:space="preserve"> \* MERGEFORMAT </w:instrText>
      </w:r>
      <w:r w:rsidRPr="00C33573" w:rsidR="00C33573">
        <w:rPr>
          <w:i/>
          <w:szCs w:val="22"/>
        </w:rPr>
      </w:r>
      <w:r w:rsidRPr="00C33573" w:rsidR="00C33573">
        <w:rPr>
          <w:i/>
          <w:szCs w:val="22"/>
        </w:rPr>
        <w:fldChar w:fldCharType="separate"/>
      </w:r>
      <w:r w:rsidRPr="00B50BE2" w:rsidR="00B50BE2">
        <w:rPr>
          <w:i/>
        </w:rPr>
        <w:t>Modifications; procuration</w:t>
      </w:r>
      <w:r w:rsidRPr="00C33573" w:rsidR="00C33573">
        <w:rPr>
          <w:i/>
          <w:szCs w:val="22"/>
        </w:rPr>
        <w:fldChar w:fldCharType="end"/>
      </w:r>
      <w:r>
        <w:rPr>
          <w:szCs w:val="22"/>
        </w:rPr>
        <w:t>)</w:t>
      </w:r>
      <w:r>
        <w:t xml:space="preserve">, et le </w:t>
      </w:r>
      <w:r w:rsidR="00A4761C">
        <w:t>Commandité</w:t>
      </w:r>
      <w:r>
        <w:t xml:space="preserve"> </w:t>
      </w:r>
      <w:r w:rsidR="00A4761C">
        <w:t>doit inscrire</w:t>
      </w:r>
      <w:r>
        <w:t xml:space="preserve"> tout </w:t>
      </w:r>
      <w:r w:rsidR="00A4761C">
        <w:t>Associé de  substitution</w:t>
      </w:r>
      <w:r>
        <w:t xml:space="preserve"> en tant qu</w:t>
      </w:r>
      <w:r w:rsidR="00E27310">
        <w:t>’</w:t>
      </w:r>
      <w:r w:rsidR="00A4761C">
        <w:t>A</w:t>
      </w:r>
      <w:r>
        <w:t xml:space="preserve">ssocié du Fonds dans le Registre. Le </w:t>
      </w:r>
      <w:r w:rsidR="00A4761C">
        <w:t>C</w:t>
      </w:r>
      <w:r>
        <w:t>essionnaire d</w:t>
      </w:r>
      <w:r w:rsidR="00E27310">
        <w:t>’</w:t>
      </w:r>
      <w:r>
        <w:rPr>
          <w:rFonts w:hint="eastAsia"/>
        </w:rPr>
        <w:t xml:space="preserve">une </w:t>
      </w:r>
      <w:r w:rsidR="00A4761C">
        <w:t>P</w:t>
      </w:r>
      <w:r>
        <w:t>articipation d</w:t>
      </w:r>
      <w:r w:rsidR="00E27310">
        <w:t>’</w:t>
      </w:r>
      <w:r>
        <w:t xml:space="preserve">un </w:t>
      </w:r>
      <w:r w:rsidR="00A4761C">
        <w:t>C</w:t>
      </w:r>
      <w:r>
        <w:t xml:space="preserve">ommanditaire </w:t>
      </w:r>
      <w:r w:rsidR="00A4761C">
        <w:t>doit être traité</w:t>
      </w:r>
      <w:r>
        <w:t xml:space="preserve"> </w:t>
      </w:r>
      <w:r>
        <w:lastRenderedPageBreak/>
        <w:t xml:space="preserve">comme ayant </w:t>
      </w:r>
      <w:r w:rsidR="00A4761C">
        <w:t>versé</w:t>
      </w:r>
      <w:r>
        <w:t xml:space="preserve"> la totalité des </w:t>
      </w:r>
      <w:r w:rsidR="00A4761C">
        <w:t>A</w:t>
      </w:r>
      <w:r>
        <w:t xml:space="preserve">pports </w:t>
      </w:r>
      <w:r w:rsidR="00A4761C">
        <w:t>de</w:t>
      </w:r>
      <w:r>
        <w:t xml:space="preserve"> capital </w:t>
      </w:r>
      <w:r w:rsidR="00A4761C">
        <w:t>versés</w:t>
      </w:r>
      <w:r>
        <w:t xml:space="preserve"> par le </w:t>
      </w:r>
      <w:r w:rsidR="00A4761C">
        <w:t>C</w:t>
      </w:r>
      <w:r>
        <w:t xml:space="preserve">édant et reçu la totalité des </w:t>
      </w:r>
      <w:r w:rsidR="00A4761C">
        <w:t>attribution</w:t>
      </w:r>
      <w:r w:rsidR="00D42829">
        <w:t>s</w:t>
      </w:r>
      <w:r>
        <w:t xml:space="preserve"> et distributions reçues par le </w:t>
      </w:r>
      <w:r w:rsidR="00636178">
        <w:t>C</w:t>
      </w:r>
      <w:r>
        <w:t xml:space="preserve">édant de cette </w:t>
      </w:r>
      <w:r w:rsidR="00636178">
        <w:t>P</w:t>
      </w:r>
      <w:r>
        <w:t xml:space="preserve">articipation. </w:t>
      </w:r>
      <w:bookmarkEnd w:id="852"/>
      <w:bookmarkEnd w:id="853"/>
    </w:p>
    <w:p w:rsidR="0000160C" w:rsidRDefault="00C517ED" w14:paraId="50DAF1A4" w14:textId="77777777">
      <w:pPr>
        <w:pStyle w:val="ArtBJStyL2"/>
      </w:pPr>
      <w:bookmarkStart w:name="_Ref113892651" w:id="854"/>
      <w:bookmarkStart w:name="_Toc161762416" w:id="855"/>
      <w:r>
        <w:t>Transferts interdits.</w:t>
      </w:r>
      <w:bookmarkEnd w:id="854"/>
      <w:bookmarkEnd w:id="855"/>
    </w:p>
    <w:p w:rsidR="0000160C" w:rsidRDefault="00C517ED" w14:paraId="7A74F060" w14:textId="1F82DD3F">
      <w:pPr>
        <w:pStyle w:val="ArtBJStyCont2"/>
        <w:keepNext/>
      </w:pPr>
      <w:r>
        <w:t xml:space="preserve">Sans le consentement écrit préalable de </w:t>
      </w:r>
      <w:r>
        <w:rPr>
          <w:b/>
        </w:rPr>
        <w:t>[</w:t>
      </w:r>
      <w:proofErr w:type="gramStart"/>
      <w:r>
        <w:rPr>
          <w:b/>
          <w:highlight w:val="yellow"/>
        </w:rPr>
        <w:t>80</w:t>
      </w:r>
      <w:r>
        <w:rPr>
          <w:b/>
        </w:rPr>
        <w:t>]</w:t>
      </w:r>
      <w:r>
        <w:t>%</w:t>
      </w:r>
      <w:bookmarkStart w:name="_Ref113892901" w:id="856"/>
      <w:proofErr w:type="gramEnd"/>
      <w:r>
        <w:rPr>
          <w:szCs w:val="22"/>
          <w:vertAlign w:val="superscript"/>
        </w:rPr>
        <w:footnoteReference w:id="153"/>
      </w:r>
      <w:bookmarkEnd w:id="856"/>
      <w:r>
        <w:t xml:space="preserve"> </w:t>
      </w:r>
      <w:r w:rsidR="007F36A3">
        <w:t>des Participations</w:t>
      </w:r>
      <w:r>
        <w:t xml:space="preserve"> :</w:t>
      </w:r>
    </w:p>
    <w:p w:rsidR="0000160C" w:rsidRDefault="00C517ED" w14:paraId="73367DDF" w14:textId="183607DB">
      <w:pPr>
        <w:pStyle w:val="ArtBJStyL3"/>
      </w:pPr>
      <w:bookmarkStart w:name="_Ref113892652" w:id="857"/>
      <w:proofErr w:type="gramStart"/>
      <w:r>
        <w:t>le</w:t>
      </w:r>
      <w:proofErr w:type="gramEnd"/>
      <w:r>
        <w:t xml:space="preserve"> </w:t>
      </w:r>
      <w:r w:rsidR="007F36A3">
        <w:rPr>
          <w:iCs/>
        </w:rPr>
        <w:t>C</w:t>
      </w:r>
      <w:r>
        <w:rPr>
          <w:iCs/>
        </w:rPr>
        <w:t>ommandité</w:t>
      </w:r>
      <w:r>
        <w:t xml:space="preserve"> ne peut </w:t>
      </w:r>
      <w:r w:rsidR="007F36A3">
        <w:t>Transférer</w:t>
      </w:r>
      <w:r>
        <w:t xml:space="preserve"> </w:t>
      </w:r>
      <w:r w:rsidR="007F36A3">
        <w:t>aucune de ses Participations</w:t>
      </w:r>
      <w:r>
        <w:t>;</w:t>
      </w:r>
      <w:bookmarkEnd w:id="857"/>
    </w:p>
    <w:p w:rsidR="0000160C" w:rsidRDefault="00C517ED" w14:paraId="0C87BC8A" w14:textId="395D06A2">
      <w:pPr>
        <w:pStyle w:val="ArtBJStyL3"/>
      </w:pPr>
      <w:bookmarkStart w:name="_Ref113892653" w:id="858"/>
      <w:proofErr w:type="gramStart"/>
      <w:r>
        <w:t>aucun</w:t>
      </w:r>
      <w:proofErr w:type="gramEnd"/>
      <w:r>
        <w:t xml:space="preserve"> </w:t>
      </w:r>
      <w:r w:rsidR="007F36A3">
        <w:t>C</w:t>
      </w:r>
      <w:r>
        <w:t>hangement de contrôle ne doit se produire</w:t>
      </w:r>
      <w:bookmarkEnd w:id="858"/>
      <w:r>
        <w:t>;</w:t>
      </w:r>
    </w:p>
    <w:p w:rsidR="0000160C" w:rsidRDefault="00C517ED" w14:paraId="4E58BC98" w14:textId="5C273BF7">
      <w:pPr>
        <w:pStyle w:val="ArtBJStyL3"/>
      </w:pPr>
      <w:bookmarkStart w:name="_Ref113892654" w:id="859"/>
      <w:proofErr w:type="gramStart"/>
      <w:r>
        <w:t>aucun</w:t>
      </w:r>
      <w:proofErr w:type="gramEnd"/>
      <w:r>
        <w:t xml:space="preserve"> </w:t>
      </w:r>
      <w:r w:rsidR="007F36A3">
        <w:t>T</w:t>
      </w:r>
      <w:r>
        <w:t xml:space="preserve">ransfert </w:t>
      </w:r>
      <w:r w:rsidR="007F36A3">
        <w:t>de Participation</w:t>
      </w:r>
      <w:r>
        <w:t xml:space="preserve"> par un </w:t>
      </w:r>
      <w:r w:rsidR="007F36A3">
        <w:t>Commanditaire</w:t>
      </w:r>
      <w:r>
        <w:t xml:space="preserve"> ou le </w:t>
      </w:r>
      <w:r w:rsidR="007F36A3">
        <w:t>C</w:t>
      </w:r>
      <w:r>
        <w:t xml:space="preserve">ommandité ne peut être </w:t>
      </w:r>
      <w:r w:rsidR="007F36A3">
        <w:t>fait</w:t>
      </w:r>
      <w:r>
        <w:t xml:space="preserve"> à une </w:t>
      </w:r>
      <w:r w:rsidR="007F36A3">
        <w:t>P</w:t>
      </w:r>
      <w:r>
        <w:t>ersonne</w:t>
      </w:r>
      <w:bookmarkStart w:name="_Ref113892902" w:id="860"/>
      <w:r w:rsidR="007F36A3">
        <w:t xml:space="preserve"> </w:t>
      </w:r>
      <w:r w:rsidR="002D29D9">
        <w:t>inadmissible</w:t>
      </w:r>
      <w:r>
        <w:rPr>
          <w:rStyle w:val="FootnoteReference"/>
        </w:rPr>
        <w:footnoteReference w:id="154"/>
      </w:r>
      <w:bookmarkEnd w:id="860"/>
      <w:r>
        <w:t>; et</w:t>
      </w:r>
      <w:bookmarkEnd w:id="859"/>
    </w:p>
    <w:p w:rsidR="0000160C" w:rsidRDefault="007F36A3" w14:paraId="3D47F17B" w14:textId="2592DF5A">
      <w:pPr>
        <w:pStyle w:val="ArtBJStyL3"/>
      </w:pPr>
      <w:bookmarkStart w:name="_Ref113892655" w:id="861"/>
      <w:proofErr w:type="gramStart"/>
      <w:r>
        <w:t>sous</w:t>
      </w:r>
      <w:proofErr w:type="gramEnd"/>
      <w:r>
        <w:t xml:space="preserve"> réserve des dispositions de l’article</w:t>
      </w:r>
      <w:r w:rsidR="00C517ED">
        <w:t> </w:t>
      </w:r>
      <w:r w:rsidRPr="006400F9" w:rsidR="00C517ED">
        <w:fldChar w:fldCharType="begin"/>
      </w:r>
      <w:r w:rsidRPr="006400F9" w:rsidR="00C517ED">
        <w:instrText xml:space="preserve"> REF _Ref40804002 \w \h </w:instrText>
      </w:r>
      <w:r w:rsidRPr="006400F9" w:rsidR="00791303">
        <w:instrText xml:space="preserve"> \* MERGEFORMAT </w:instrText>
      </w:r>
      <w:r w:rsidRPr="006400F9" w:rsidR="00C517ED">
        <w:fldChar w:fldCharType="separate"/>
      </w:r>
      <w:r w:rsidR="00B50BE2">
        <w:t>10.2(c)(iii)</w:t>
      </w:r>
      <w:r w:rsidRPr="006400F9" w:rsidR="00C517ED">
        <w:fldChar w:fldCharType="end"/>
      </w:r>
      <w:r w:rsidR="00C517ED">
        <w:t xml:space="preserve"> (</w:t>
      </w:r>
      <w:r w:rsidRPr="00F40BE1" w:rsidR="00F40BE1">
        <w:rPr>
          <w:i/>
        </w:rPr>
        <w:fldChar w:fldCharType="begin"/>
      </w:r>
      <w:r w:rsidRPr="00F40BE1" w:rsidR="00F40BE1">
        <w:rPr>
          <w:i/>
        </w:rPr>
        <w:instrText xml:space="preserve"> REF _Ref40803862 \h </w:instrText>
      </w:r>
      <w:r w:rsidR="00F40BE1">
        <w:rPr>
          <w:i/>
        </w:rPr>
        <w:instrText xml:space="preserve"> \* MERGEFORMAT </w:instrText>
      </w:r>
      <w:r w:rsidRPr="00F40BE1" w:rsidR="00F40BE1">
        <w:rPr>
          <w:i/>
        </w:rPr>
      </w:r>
      <w:r w:rsidRPr="00F40BE1" w:rsidR="00F40BE1">
        <w:rPr>
          <w:i/>
        </w:rPr>
        <w:fldChar w:fldCharType="separate"/>
      </w:r>
      <w:r w:rsidRPr="00B50BE2" w:rsidR="00B50BE2">
        <w:rPr>
          <w:i/>
        </w:rPr>
        <w:t>Conséquences de l’avis de destitution.</w:t>
      </w:r>
      <w:r w:rsidRPr="00F40BE1" w:rsidR="00F40BE1">
        <w:rPr>
          <w:i/>
        </w:rPr>
        <w:fldChar w:fldCharType="end"/>
      </w:r>
      <w:r w:rsidR="00C517ED">
        <w:t xml:space="preserve">), le </w:t>
      </w:r>
      <w:r>
        <w:t>G</w:t>
      </w:r>
      <w:r w:rsidR="00C517ED">
        <w:t xml:space="preserve">estionnaire </w:t>
      </w:r>
      <w:r>
        <w:t>ne doit pas</w:t>
      </w:r>
      <w:r w:rsidR="00C517ED">
        <w:t xml:space="preserve"> cesse</w:t>
      </w:r>
      <w:r>
        <w:t>r</w:t>
      </w:r>
      <w:r w:rsidR="00C517ED">
        <w:t xml:space="preserve"> d</w:t>
      </w:r>
      <w:r w:rsidR="00E27310">
        <w:t>’</w:t>
      </w:r>
      <w:r w:rsidR="00C517ED">
        <w:t xml:space="preserve">être le gestionnaire </w:t>
      </w:r>
      <w:r>
        <w:t>de</w:t>
      </w:r>
      <w:r w:rsidR="00C517ED">
        <w:t xml:space="preserve"> fonds d</w:t>
      </w:r>
      <w:r w:rsidR="00E27310">
        <w:t>’</w:t>
      </w:r>
      <w:r w:rsidR="00C517ED">
        <w:t>investissement</w:t>
      </w:r>
      <w:r>
        <w:t xml:space="preserve"> du Fonds</w:t>
      </w:r>
      <w:r w:rsidR="00C517ED">
        <w:t>.</w:t>
      </w:r>
      <w:bookmarkEnd w:id="861"/>
    </w:p>
    <w:p w:rsidR="0000160C" w:rsidRDefault="007F36A3" w14:paraId="0C07C27F" w14:textId="68C3B443">
      <w:pPr>
        <w:pStyle w:val="ArtBJStyL2"/>
      </w:pPr>
      <w:bookmarkStart w:name="_Ref113892656" w:id="862"/>
      <w:bookmarkStart w:name="_Toc161762417" w:id="863"/>
      <w:r>
        <w:t>Transferts nuls</w:t>
      </w:r>
      <w:r w:rsidR="00C517ED">
        <w:t>.</w:t>
      </w:r>
      <w:bookmarkEnd w:id="862"/>
      <w:bookmarkEnd w:id="863"/>
    </w:p>
    <w:p w:rsidR="0000160C" w:rsidRDefault="00C517ED" w14:paraId="20BD2834" w14:textId="33123976">
      <w:pPr>
        <w:pStyle w:val="ArtBJStyCont2"/>
      </w:pPr>
      <w:r>
        <w:t>À moins qu</w:t>
      </w:r>
      <w:r w:rsidR="00E27310">
        <w:t>’</w:t>
      </w:r>
      <w:r>
        <w:t xml:space="preserve">il ne soit effectué conformément </w:t>
      </w:r>
      <w:r w:rsidR="007F36A3">
        <w:t>à la présente Convention</w:t>
      </w:r>
      <w:r>
        <w:t xml:space="preserve"> et tel que permis par </w:t>
      </w:r>
      <w:r w:rsidR="007F36A3">
        <w:t>celle</w:t>
      </w:r>
      <w:r>
        <w:t xml:space="preserve">-ci, tout Transfert prétendu non effectué conformément </w:t>
      </w:r>
      <w:r w:rsidR="007F36A3">
        <w:t>à la présente Convention</w:t>
      </w:r>
      <w:r>
        <w:t xml:space="preserve"> et tel que permis par </w:t>
      </w:r>
      <w:r w:rsidR="007F36A3">
        <w:t>celle</w:t>
      </w:r>
      <w:r>
        <w:t>-ci sera, dans</w:t>
      </w:r>
      <w:r w:rsidR="007F36A3">
        <w:t xml:space="preserve"> </w:t>
      </w:r>
      <w:r>
        <w:t xml:space="preserve">la mesure permise par </w:t>
      </w:r>
      <w:r w:rsidR="007A757B">
        <w:t>le droit</w:t>
      </w:r>
      <w:r>
        <w:t xml:space="preserve"> applicable, nul d</w:t>
      </w:r>
      <w:r w:rsidR="00E27310">
        <w:t>’</w:t>
      </w:r>
      <w:r>
        <w:t xml:space="preserve">emblée et le Fonds </w:t>
      </w:r>
      <w:r w:rsidR="007F36A3">
        <w:t>ne doit pas reconnaître</w:t>
      </w:r>
      <w:r>
        <w:t xml:space="preserve"> les droits du Cessionnaire prétendu, y compris le droit de recevoir des distributions (directement ou indirectement) du Fonds ou d</w:t>
      </w:r>
      <w:r w:rsidR="00E27310">
        <w:t>’</w:t>
      </w:r>
      <w:r>
        <w:t xml:space="preserve">acquérir </w:t>
      </w:r>
      <w:r w:rsidR="007F36A3">
        <w:t>une participation</w:t>
      </w:r>
      <w:r>
        <w:t xml:space="preserve"> dans le capital ou les bénéfices du Fonds.</w:t>
      </w:r>
    </w:p>
    <w:p w:rsidR="0000160C" w:rsidRDefault="00C517ED" w14:paraId="13BC10DC" w14:textId="6FA4F84F">
      <w:pPr>
        <w:pStyle w:val="ArtBJStyL1"/>
      </w:pPr>
      <w:r>
        <w:br/>
      </w:r>
      <w:bookmarkStart w:name="_Ref40807162" w:id="864"/>
      <w:bookmarkStart w:name="_Toc161762418" w:id="865"/>
      <w:r>
        <w:t>Dur</w:t>
      </w:r>
      <w:r w:rsidR="00287C65">
        <w:t>É</w:t>
      </w:r>
      <w:r>
        <w:t>e et dissolution du Fonds</w:t>
      </w:r>
      <w:bookmarkEnd w:id="864"/>
      <w:bookmarkEnd w:id="865"/>
    </w:p>
    <w:p w:rsidR="0000160C" w:rsidRDefault="00287C65" w14:paraId="30DF83B7" w14:textId="4E19623F">
      <w:pPr>
        <w:pStyle w:val="ArtBJStyL2"/>
      </w:pPr>
      <w:bookmarkStart w:name="_Ref113892657" w:id="866"/>
      <w:bookmarkStart w:name="_Ref40802491" w:id="867"/>
      <w:bookmarkStart w:name="_Toc161762419" w:id="868"/>
      <w:r>
        <w:t>Durée</w:t>
      </w:r>
      <w:r w:rsidR="00C517ED">
        <w:t>.</w:t>
      </w:r>
      <w:bookmarkEnd w:id="866"/>
      <w:bookmarkEnd w:id="867"/>
      <w:bookmarkEnd w:id="868"/>
    </w:p>
    <w:p w:rsidR="0000160C" w:rsidRDefault="00C517ED" w14:paraId="09CCDB60" w14:textId="5DD6D061">
      <w:pPr>
        <w:pStyle w:val="ArtBJStyCont2"/>
      </w:pPr>
      <w:r>
        <w:t>La durée du Fonds commenc</w:t>
      </w:r>
      <w:r w:rsidR="00040C15">
        <w:t>e</w:t>
      </w:r>
      <w:r>
        <w:t xml:space="preserve"> à la </w:t>
      </w:r>
      <w:r w:rsidR="007F36A3">
        <w:t>D</w:t>
      </w:r>
      <w:r>
        <w:t xml:space="preserve">ate de clôture initiale et le Fonds continuera, à moins que le Fonds ne soit dissous plus tôt conformément </w:t>
      </w:r>
      <w:r w:rsidR="007F36A3">
        <w:t>à la présente Convention</w:t>
      </w:r>
      <w:r>
        <w:t>, jusqu</w:t>
      </w:r>
      <w:r w:rsidR="00E27310">
        <w:t>’</w:t>
      </w:r>
      <w:r>
        <w:t xml:space="preserve">au </w:t>
      </w:r>
      <w:r w:rsidRPr="007F36A3">
        <w:rPr>
          <w:b/>
          <w:bCs/>
          <w:highlight w:val="yellow"/>
        </w:rPr>
        <w:t>[</w:t>
      </w:r>
      <w:r>
        <w:rPr>
          <w:b/>
          <w:highlight w:val="yellow"/>
        </w:rPr>
        <w:t>dixième]</w:t>
      </w:r>
      <w:bookmarkStart w:name="_Ref113892903" w:id="869"/>
      <w:r>
        <w:rPr>
          <w:szCs w:val="22"/>
          <w:vertAlign w:val="superscript"/>
        </w:rPr>
        <w:footnoteReference w:id="155"/>
      </w:r>
      <w:bookmarkEnd w:id="869"/>
      <w:r>
        <w:t xml:space="preserve"> anniversaire de la </w:t>
      </w:r>
      <w:r w:rsidR="007F36A3">
        <w:t>D</w:t>
      </w:r>
      <w:r>
        <w:t xml:space="preserve">ate de clôture initiale, à condition que, à moins que le Fonds ne soit dissous plus tôt conformément </w:t>
      </w:r>
      <w:r w:rsidR="00040C15">
        <w:t>à la présente Convention</w:t>
      </w:r>
      <w:r>
        <w:t xml:space="preserve">, la durée du Fonds puisse être prolongée par le </w:t>
      </w:r>
      <w:r w:rsidR="007F36A3">
        <w:t>C</w:t>
      </w:r>
      <w:r>
        <w:t>ommandité pour</w:t>
      </w:r>
      <w:r w:rsidR="007F36A3">
        <w:t xml:space="preserve"> un maximum</w:t>
      </w:r>
      <w:r>
        <w:t xml:space="preserve"> </w:t>
      </w:r>
      <w:r w:rsidR="00040C15">
        <w:t xml:space="preserve">de </w:t>
      </w:r>
      <w:r w:rsidRPr="007F36A3">
        <w:rPr>
          <w:b/>
          <w:bCs/>
          <w:highlight w:val="yellow"/>
        </w:rPr>
        <w:t>[deux]</w:t>
      </w:r>
      <w:r>
        <w:t xml:space="preserve"> périodes successives de </w:t>
      </w:r>
      <w:r w:rsidRPr="007F36A3">
        <w:rPr>
          <w:b/>
          <w:bCs/>
          <w:highlight w:val="yellow"/>
        </w:rPr>
        <w:t>[un]</w:t>
      </w:r>
      <w:r>
        <w:t xml:space="preserve"> an</w:t>
      </w:r>
      <w:r>
        <w:rPr>
          <w:b/>
          <w:highlight w:val="yellow"/>
        </w:rPr>
        <w:t xml:space="preserve">[, </w:t>
      </w:r>
      <w:bookmarkStart w:name="DocXTextRef169" w:id="870"/>
      <w:r w:rsidR="00040C15">
        <w:rPr>
          <w:b/>
          <w:highlight w:val="yellow"/>
        </w:rPr>
        <w:t xml:space="preserve">sous réserve que </w:t>
      </w:r>
      <w:r>
        <w:rPr>
          <w:b/>
          <w:highlight w:val="yellow"/>
        </w:rPr>
        <w:t>(i)</w:t>
      </w:r>
      <w:bookmarkEnd w:id="870"/>
      <w:r>
        <w:rPr>
          <w:b/>
          <w:highlight w:val="yellow"/>
        </w:rPr>
        <w:t xml:space="preserve"> la première prolongation nécessit</w:t>
      </w:r>
      <w:r w:rsidR="00040C15">
        <w:rPr>
          <w:b/>
          <w:highlight w:val="yellow"/>
        </w:rPr>
        <w:t>e</w:t>
      </w:r>
      <w:r>
        <w:rPr>
          <w:b/>
          <w:highlight w:val="yellow"/>
        </w:rPr>
        <w:t xml:space="preserve"> le consentement écrit préalable du Comité consultatif </w:t>
      </w:r>
      <w:r w:rsidR="007F36A3">
        <w:rPr>
          <w:b/>
          <w:highlight w:val="yellow"/>
        </w:rPr>
        <w:t>des Commanditaires</w:t>
      </w:r>
      <w:r>
        <w:rPr>
          <w:b/>
          <w:highlight w:val="yellow"/>
        </w:rPr>
        <w:t xml:space="preserve">, et </w:t>
      </w:r>
      <w:bookmarkStart w:name="DocXTextRef170" w:id="871"/>
      <w:r>
        <w:rPr>
          <w:b/>
          <w:highlight w:val="yellow"/>
        </w:rPr>
        <w:t>(ii)</w:t>
      </w:r>
      <w:bookmarkEnd w:id="871"/>
      <w:r>
        <w:rPr>
          <w:b/>
          <w:highlight w:val="yellow"/>
        </w:rPr>
        <w:t xml:space="preserve"> la deuxième prolongation nécessit</w:t>
      </w:r>
      <w:r w:rsidR="00040C15">
        <w:rPr>
          <w:b/>
          <w:highlight w:val="yellow"/>
        </w:rPr>
        <w:t>e</w:t>
      </w:r>
      <w:r>
        <w:rPr>
          <w:b/>
          <w:highlight w:val="yellow"/>
        </w:rPr>
        <w:t xml:space="preserve"> le consentement écrit préalable d</w:t>
      </w:r>
      <w:r w:rsidR="00E27310">
        <w:rPr>
          <w:b/>
          <w:highlight w:val="yellow"/>
        </w:rPr>
        <w:t>’</w:t>
      </w:r>
      <w:r>
        <w:rPr>
          <w:b/>
          <w:highlight w:val="yellow"/>
        </w:rPr>
        <w:t xml:space="preserve">une </w:t>
      </w:r>
      <w:r w:rsidR="0072655F">
        <w:rPr>
          <w:b/>
          <w:highlight w:val="yellow"/>
        </w:rPr>
        <w:t>Majorité de Participations</w:t>
      </w:r>
      <w:r>
        <w:rPr>
          <w:b/>
          <w:highlight w:val="yellow"/>
        </w:rPr>
        <w:t>]</w:t>
      </w:r>
      <w:r>
        <w:t xml:space="preserve"> (cette durée, y compris ces </w:t>
      </w:r>
      <w:r w:rsidR="007F36A3">
        <w:t>prolongations</w:t>
      </w:r>
      <w:r>
        <w:t xml:space="preserve">, </w:t>
      </w:r>
      <w:r w:rsidR="007F36A3">
        <w:t>étant désignée comme la</w:t>
      </w:r>
      <w:r>
        <w:t xml:space="preserve"> « </w:t>
      </w:r>
      <w:r>
        <w:rPr>
          <w:b/>
        </w:rPr>
        <w:t>Durée</w:t>
      </w:r>
      <w:r>
        <w:rPr>
          <w:bCs/>
        </w:rPr>
        <w:t xml:space="preserve"> »</w:t>
      </w:r>
      <w:r>
        <w:t>).</w:t>
      </w:r>
    </w:p>
    <w:p w:rsidR="0000160C" w:rsidRDefault="00C517ED" w14:paraId="1308A7D4" w14:textId="77777777">
      <w:pPr>
        <w:pStyle w:val="ArtBJStyL2"/>
      </w:pPr>
      <w:bookmarkStart w:name="_Ref113892658" w:id="872"/>
      <w:bookmarkStart w:name="_Ref40804233" w:id="873"/>
      <w:bookmarkStart w:name="_Toc161762420" w:id="874"/>
      <w:r>
        <w:lastRenderedPageBreak/>
        <w:t>Dissolution.</w:t>
      </w:r>
      <w:bookmarkStart w:name="_Ref113892904" w:id="875"/>
      <w:r>
        <w:rPr>
          <w:rFonts w:ascii="Times New Roman" w:hAnsi="Times New Roman"/>
          <w:b w:val="0"/>
          <w:szCs w:val="22"/>
          <w:vertAlign w:val="superscript"/>
        </w:rPr>
        <w:footnoteReference w:id="156"/>
      </w:r>
      <w:bookmarkEnd w:id="872"/>
      <w:bookmarkEnd w:id="873"/>
      <w:bookmarkEnd w:id="874"/>
      <w:bookmarkEnd w:id="875"/>
    </w:p>
    <w:p w:rsidR="0000160C" w:rsidRDefault="00C517ED" w14:paraId="4E1B1B19" w14:textId="1B832A1B">
      <w:pPr>
        <w:pStyle w:val="ArtBJStyL3"/>
        <w:keepNext/>
      </w:pPr>
      <w:bookmarkStart w:name="_Ref113892659" w:id="876"/>
      <w:r>
        <w:t xml:space="preserve">Le Fonds sera dissous et ses affaires seront liquidées </w:t>
      </w:r>
      <w:r w:rsidR="00DC36D9">
        <w:t>dès le premier des événements suivants</w:t>
      </w:r>
      <w:r>
        <w:t xml:space="preserve"> :</w:t>
      </w:r>
      <w:bookmarkEnd w:id="876"/>
    </w:p>
    <w:p w:rsidR="0000160C" w:rsidRDefault="00C517ED" w14:paraId="00EB78EF" w14:textId="3338E323">
      <w:pPr>
        <w:pStyle w:val="ArtBJStyL4"/>
      </w:pPr>
      <w:bookmarkStart w:name="_Ref40806279" w:id="877"/>
      <w:r>
        <w:t xml:space="preserve">la dissolution du </w:t>
      </w:r>
      <w:r w:rsidR="00B103A3">
        <w:t>C</w:t>
      </w:r>
      <w:r>
        <w:t xml:space="preserve">ommandité ou le retrait du </w:t>
      </w:r>
      <w:r w:rsidR="00B103A3">
        <w:t>C</w:t>
      </w:r>
      <w:r>
        <w:t xml:space="preserve">ommandité en tant que </w:t>
      </w:r>
      <w:r w:rsidR="00B103A3">
        <w:t>C</w:t>
      </w:r>
      <w:r>
        <w:t>ommandité du Fonds</w:t>
      </w:r>
      <w:r w:rsidR="00B103A3">
        <w:t>,</w:t>
      </w:r>
      <w:r>
        <w:t xml:space="preserve"> à condition que le Fonds ne soit pas dissous et ne soit pas liquidé dans le cadre des événements spécifiés dans </w:t>
      </w:r>
      <w:r w:rsidR="00B103A3">
        <w:t>le présent</w:t>
      </w:r>
      <w:r w:rsidR="00D8778F">
        <w:t xml:space="preserve"> article</w:t>
      </w:r>
      <w:r>
        <w:t> </w:t>
      </w:r>
      <w:r w:rsidRPr="00226F06">
        <w:fldChar w:fldCharType="begin"/>
      </w:r>
      <w:r w:rsidRPr="00226F06">
        <w:instrText xml:space="preserve"> REF _Ref40806279 \w \h </w:instrText>
      </w:r>
      <w:r w:rsidRPr="00226F06" w:rsidR="00791303">
        <w:instrText xml:space="preserve"> \* MERGEFORMAT </w:instrText>
      </w:r>
      <w:r w:rsidRPr="00226F06">
        <w:fldChar w:fldCharType="separate"/>
      </w:r>
      <w:r w:rsidR="00B50BE2">
        <w:t>18.2(a)(i)</w:t>
      </w:r>
      <w:r w:rsidRPr="00226F06">
        <w:fldChar w:fldCharType="end"/>
      </w:r>
      <w:r>
        <w:t xml:space="preserve"> (</w:t>
      </w:r>
      <w:r w:rsidRPr="001B27C4" w:rsidR="001B27C4">
        <w:rPr>
          <w:i/>
        </w:rPr>
        <w:fldChar w:fldCharType="begin"/>
      </w:r>
      <w:r w:rsidRPr="001B27C4" w:rsidR="001B27C4">
        <w:rPr>
          <w:i/>
        </w:rPr>
        <w:instrText xml:space="preserve"> REF _Ref113892658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Dissolution.</w:t>
      </w:r>
      <w:r w:rsidRPr="001B27C4" w:rsidR="001B27C4">
        <w:rPr>
          <w:i/>
        </w:rPr>
        <w:fldChar w:fldCharType="end"/>
      </w:r>
      <w:r>
        <w:t xml:space="preserve">) si </w:t>
      </w:r>
      <w:bookmarkStart w:name="DocXTextRef171" w:id="878"/>
      <w:r>
        <w:t>(i)</w:t>
      </w:r>
      <w:bookmarkEnd w:id="878"/>
      <w:r>
        <w:t xml:space="preserve"> au moment </w:t>
      </w:r>
      <w:r w:rsidR="00B103A3">
        <w:t>que survient un tel événement</w:t>
      </w:r>
      <w:r>
        <w:t xml:space="preserve">, il reste au moins un </w:t>
      </w:r>
      <w:r w:rsidR="00B103A3">
        <w:t>C</w:t>
      </w:r>
      <w:r>
        <w:t xml:space="preserve">ommandité du Fonds qui est autorisé par les présentes à </w:t>
      </w:r>
      <w:r w:rsidR="00B103A3">
        <w:t>exercer</w:t>
      </w:r>
      <w:r>
        <w:t xml:space="preserve"> les activités du Fonds, ou </w:t>
      </w:r>
      <w:bookmarkStart w:name="DocXTextRef172" w:id="879"/>
      <w:r>
        <w:t>(ii)</w:t>
      </w:r>
      <w:bookmarkEnd w:id="879"/>
      <w:r>
        <w:t xml:space="preserve"> à ce moment-là, il n</w:t>
      </w:r>
      <w:r w:rsidR="00E27310">
        <w:t>’</w:t>
      </w:r>
      <w:r>
        <w:t xml:space="preserve">y a </w:t>
      </w:r>
      <w:r w:rsidR="00B103A3">
        <w:t>aucun</w:t>
      </w:r>
      <w:r>
        <w:t xml:space="preserve"> </w:t>
      </w:r>
      <w:r w:rsidR="00504E6B">
        <w:t>C</w:t>
      </w:r>
      <w:r>
        <w:t xml:space="preserve">ommandité, si dans les </w:t>
      </w:r>
      <w:r>
        <w:rPr>
          <w:b/>
          <w:highlight w:val="yellow"/>
        </w:rPr>
        <w:t>[120]</w:t>
      </w:r>
      <w:r>
        <w:t xml:space="preserve"> jours suivant la dissolution ou le retrait du </w:t>
      </w:r>
      <w:r w:rsidR="00B103A3">
        <w:t>C</w:t>
      </w:r>
      <w:r>
        <w:t xml:space="preserve">ommandité, les </w:t>
      </w:r>
      <w:r w:rsidR="00B103A3">
        <w:t>Commanditaires</w:t>
      </w:r>
      <w:r>
        <w:t xml:space="preserve"> conviennent par écrit ou par vote de poursuivre les activités du Fonds et de nommer, à compter du jour du retrait, un ou plusieurs </w:t>
      </w:r>
      <w:r w:rsidR="00B103A3">
        <w:t>C</w:t>
      </w:r>
      <w:r>
        <w:t xml:space="preserve">ommandités supplémentaires, ou </w:t>
      </w:r>
      <w:bookmarkStart w:name="DocXTextRef173" w:id="880"/>
      <w:r>
        <w:t>(iii)</w:t>
      </w:r>
      <w:bookmarkEnd w:id="880"/>
      <w:r>
        <w:t xml:space="preserve"> le Fonds est </w:t>
      </w:r>
      <w:r w:rsidR="00B103A3">
        <w:t>poursuivi</w:t>
      </w:r>
      <w:r>
        <w:t xml:space="preserve"> sans dissolution d</w:t>
      </w:r>
      <w:r w:rsidR="00E27310">
        <w:t>’</w:t>
      </w:r>
      <w:r>
        <w:t xml:space="preserve">une manière permise par la Loi ou </w:t>
      </w:r>
      <w:r w:rsidR="00B103A3">
        <w:t>la présente Convention</w:t>
      </w:r>
      <w:r>
        <w:t>;</w:t>
      </w:r>
      <w:bookmarkEnd w:id="877"/>
    </w:p>
    <w:p w:rsidR="0000160C" w:rsidRDefault="00C517ED" w14:paraId="648B1D0C" w14:textId="1EBA6268">
      <w:pPr>
        <w:pStyle w:val="ArtBJStyL4"/>
      </w:pPr>
      <w:bookmarkStart w:name="_Ref113892660" w:id="881"/>
      <w:proofErr w:type="gramStart"/>
      <w:r>
        <w:t>il</w:t>
      </w:r>
      <w:proofErr w:type="gramEnd"/>
      <w:r>
        <w:t xml:space="preserve"> n</w:t>
      </w:r>
      <w:r w:rsidR="00E27310">
        <w:t>’</w:t>
      </w:r>
      <w:r>
        <w:t xml:space="preserve">y a pas </w:t>
      </w:r>
      <w:r w:rsidR="00504E6B">
        <w:t>de C</w:t>
      </w:r>
      <w:r>
        <w:t xml:space="preserve">ommanditaires du Fonds, à moins que les activités du Fonds ne soient poursuivies conformément à la Loi et </w:t>
      </w:r>
      <w:r w:rsidR="00504E6B">
        <w:t>à la présente Convention</w:t>
      </w:r>
      <w:r>
        <w:t>;</w:t>
      </w:r>
      <w:bookmarkEnd w:id="881"/>
    </w:p>
    <w:p w:rsidR="0000160C" w:rsidRDefault="00C517ED" w14:paraId="47E6465A" w14:textId="3333B4AC">
      <w:pPr>
        <w:pStyle w:val="ArtBJStyL4"/>
      </w:pPr>
      <w:bookmarkStart w:name="_Ref113892661" w:id="882"/>
      <w:proofErr w:type="gramStart"/>
      <w:r>
        <w:t>l</w:t>
      </w:r>
      <w:r w:rsidR="00E27310">
        <w:t>’</w:t>
      </w:r>
      <w:r>
        <w:t>expiration</w:t>
      </w:r>
      <w:proofErr w:type="gramEnd"/>
      <w:r>
        <w:t xml:space="preserve"> </w:t>
      </w:r>
      <w:r w:rsidR="00504E6B">
        <w:t>de la Durée</w:t>
      </w:r>
      <w:r>
        <w:t xml:space="preserve">, </w:t>
      </w:r>
      <w:r w:rsidR="00504E6B">
        <w:t>tel que prévue</w:t>
      </w:r>
      <w:r>
        <w:t xml:space="preserve"> à l</w:t>
      </w:r>
      <w:r w:rsidR="00504E6B">
        <w:t xml:space="preserve">’article </w:t>
      </w:r>
      <w:r w:rsidRPr="006400F9">
        <w:fldChar w:fldCharType="begin"/>
      </w:r>
      <w:r w:rsidRPr="006400F9">
        <w:instrText xml:space="preserve"> REF _Ref40802491 \w \h </w:instrText>
      </w:r>
      <w:r w:rsidRPr="006400F9" w:rsidR="00791303">
        <w:instrText xml:space="preserve"> \* MERGEFORMAT </w:instrText>
      </w:r>
      <w:r w:rsidRPr="006400F9">
        <w:fldChar w:fldCharType="separate"/>
      </w:r>
      <w:r w:rsidR="00B50BE2">
        <w:t>18.1</w:t>
      </w:r>
      <w:r w:rsidRPr="006400F9">
        <w:fldChar w:fldCharType="end"/>
      </w:r>
      <w:r>
        <w:t xml:space="preserve"> (</w:t>
      </w:r>
      <w:r w:rsidRPr="001B27C4" w:rsidR="001B27C4">
        <w:rPr>
          <w:i/>
        </w:rPr>
        <w:fldChar w:fldCharType="begin"/>
      </w:r>
      <w:r w:rsidRPr="001B27C4" w:rsidR="001B27C4">
        <w:rPr>
          <w:i/>
        </w:rPr>
        <w:instrText xml:space="preserve"> REF _Ref113892657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Durée.</w:t>
      </w:r>
      <w:r w:rsidRPr="001B27C4" w:rsidR="001B27C4">
        <w:rPr>
          <w:i/>
        </w:rPr>
        <w:fldChar w:fldCharType="end"/>
      </w:r>
      <w:r>
        <w:t>);</w:t>
      </w:r>
      <w:bookmarkEnd w:id="882"/>
    </w:p>
    <w:p w:rsidR="0000160C" w:rsidRDefault="00C517ED" w14:paraId="6825CCB3" w14:textId="213B98B3">
      <w:pPr>
        <w:pStyle w:val="ArtBJStyL4"/>
      </w:pPr>
      <w:bookmarkStart w:name="_Ref113892662" w:id="883"/>
      <w:proofErr w:type="gramStart"/>
      <w:r>
        <w:t>la</w:t>
      </w:r>
      <w:proofErr w:type="gramEnd"/>
      <w:r>
        <w:t xml:space="preserve"> </w:t>
      </w:r>
      <w:r w:rsidR="00504E6B">
        <w:t>résiliation</w:t>
      </w:r>
      <w:r>
        <w:t xml:space="preserve"> du Fonds conformément à l</w:t>
      </w:r>
      <w:r w:rsidR="00504E6B">
        <w:t xml:space="preserve">’article </w:t>
      </w:r>
      <w:r w:rsidRPr="006400F9">
        <w:fldChar w:fldCharType="begin"/>
      </w:r>
      <w:r w:rsidRPr="006400F9">
        <w:instrText xml:space="preserve"> REF _Ref40806315 \w \h </w:instrText>
      </w:r>
      <w:r w:rsidRPr="006400F9" w:rsidR="00791303">
        <w:instrText xml:space="preserve"> \* MERGEFORMAT </w:instrText>
      </w:r>
      <w:r w:rsidRPr="006400F9">
        <w:fldChar w:fldCharType="separate"/>
      </w:r>
      <w:r w:rsidR="00B50BE2">
        <w:t>10.4</w:t>
      </w:r>
      <w:r w:rsidRPr="006400F9">
        <w:fldChar w:fldCharType="end"/>
      </w:r>
      <w:r>
        <w:t xml:space="preserve"> (</w:t>
      </w:r>
      <w:r w:rsidRPr="001B27C4" w:rsidR="001B27C4">
        <w:rPr>
          <w:i/>
        </w:rPr>
        <w:fldChar w:fldCharType="begin"/>
      </w:r>
      <w:r w:rsidRPr="001B27C4" w:rsidR="001B27C4">
        <w:rPr>
          <w:i/>
        </w:rPr>
        <w:instrText xml:space="preserve"> REF _Ref40806315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Conséquences de l’avis de résiliation.</w:t>
      </w:r>
      <w:r w:rsidRPr="001B27C4" w:rsidR="001B27C4">
        <w:rPr>
          <w:i/>
        </w:rPr>
        <w:fldChar w:fldCharType="end"/>
      </w:r>
      <w:r>
        <w:t>); ou</w:t>
      </w:r>
      <w:bookmarkEnd w:id="883"/>
    </w:p>
    <w:p w:rsidR="0000160C" w:rsidRDefault="00C517ED" w14:paraId="0D2ADF59" w14:textId="0F9529B7">
      <w:pPr>
        <w:pStyle w:val="ArtBJStyL4"/>
      </w:pPr>
      <w:bookmarkStart w:name="_Ref113892663" w:id="884"/>
      <w:proofErr w:type="gramStart"/>
      <w:r>
        <w:t>tout</w:t>
      </w:r>
      <w:proofErr w:type="gramEnd"/>
      <w:r>
        <w:t xml:space="preserve"> événement qui, en vertu des lois de la province </w:t>
      </w:r>
      <w:r>
        <w:rPr>
          <w:b/>
          <w:bCs/>
          <w:highlight w:val="yellow"/>
        </w:rPr>
        <w:t>[</w:t>
      </w:r>
      <w:r w:rsidR="001F2796">
        <w:rPr>
          <w:b/>
          <w:bCs/>
          <w:highlight w:val="yellow"/>
        </w:rPr>
        <w:t>de l’</w:t>
      </w:r>
      <w:r>
        <w:rPr>
          <w:b/>
          <w:bCs/>
          <w:highlight w:val="yellow"/>
        </w:rPr>
        <w:t>Ontario/</w:t>
      </w:r>
      <w:r w:rsidR="001F2796">
        <w:rPr>
          <w:b/>
          <w:bCs/>
          <w:highlight w:val="yellow"/>
        </w:rPr>
        <w:t xml:space="preserve">du </w:t>
      </w:r>
      <w:r>
        <w:rPr>
          <w:b/>
          <w:bCs/>
          <w:highlight w:val="yellow"/>
        </w:rPr>
        <w:t>Québec]</w:t>
      </w:r>
      <w:r>
        <w:t xml:space="preserve"> entraîne la dissolution du Fonds.</w:t>
      </w:r>
      <w:bookmarkEnd w:id="884"/>
    </w:p>
    <w:p w:rsidR="0000160C" w:rsidRDefault="00C517ED" w14:paraId="40C71786" w14:textId="10FB938C">
      <w:pPr>
        <w:pStyle w:val="ArtBJStyL3"/>
      </w:pPr>
      <w:bookmarkStart w:name="_Ref113892664" w:id="885"/>
      <w:r>
        <w:t>Toute dissolution du Fonds prendra effet à la date à laquelle</w:t>
      </w:r>
      <w:r w:rsidR="00504E6B">
        <w:t xml:space="preserve"> survient</w:t>
      </w:r>
      <w:r>
        <w:t xml:space="preserve"> </w:t>
      </w:r>
      <w:r w:rsidR="00504E6B">
        <w:t>l’événement qui y donne lieu</w:t>
      </w:r>
      <w:r>
        <w:t>,</w:t>
      </w:r>
      <w:r w:rsidR="00504E6B">
        <w:t xml:space="preserve"> mais</w:t>
      </w:r>
      <w:r>
        <w:t xml:space="preserve"> dans</w:t>
      </w:r>
      <w:r w:rsidR="00504E6B">
        <w:t xml:space="preserve"> toute</w:t>
      </w:r>
      <w:r>
        <w:t xml:space="preserve"> la mesure permise par la loi, l</w:t>
      </w:r>
      <w:r w:rsidR="00E27310">
        <w:t>’</w:t>
      </w:r>
      <w:r>
        <w:t xml:space="preserve">existence du Fonds </w:t>
      </w:r>
      <w:r w:rsidR="00504E6B">
        <w:t>ne doit pas être résiliée</w:t>
      </w:r>
      <w:r>
        <w:t xml:space="preserve"> </w:t>
      </w:r>
      <w:r w:rsidR="00504E6B">
        <w:t xml:space="preserve">tant </w:t>
      </w:r>
      <w:r>
        <w:t xml:space="preserve">que toutes ses affaires </w:t>
      </w:r>
      <w:r w:rsidR="00504E6B">
        <w:t>n’ont pas</w:t>
      </w:r>
      <w:r>
        <w:t xml:space="preserve"> été liquidées conformément aux dispositions </w:t>
      </w:r>
      <w:r w:rsidR="00E70B9D">
        <w:t>du présent</w:t>
      </w:r>
      <w:r>
        <w:t xml:space="preserve"> </w:t>
      </w:r>
      <w:r w:rsidRPr="00226F06">
        <w:fldChar w:fldCharType="begin"/>
      </w:r>
      <w:r w:rsidRPr="00226F06">
        <w:instrText xml:space="preserve"> REF _Ref40807162 \w \h </w:instrText>
      </w:r>
      <w:r w:rsidRPr="00226F06" w:rsidR="00791303">
        <w:instrText xml:space="preserve"> \* MERGEFORMAT </w:instrText>
      </w:r>
      <w:r w:rsidRPr="00226F06">
        <w:fldChar w:fldCharType="separate"/>
      </w:r>
      <w:r w:rsidR="00B50BE2">
        <w:t>Article 18</w:t>
      </w:r>
      <w:r w:rsidRPr="00226F06">
        <w:fldChar w:fldCharType="end"/>
      </w:r>
      <w:r>
        <w:t xml:space="preserve"> (</w:t>
      </w:r>
      <w:proofErr w:type="spellStart"/>
      <w:r w:rsidRPr="001B27C4" w:rsidR="001B27C4">
        <w:rPr>
          <w:i/>
        </w:rPr>
        <w:fldChar w:fldCharType="begin"/>
      </w:r>
      <w:r w:rsidRPr="001B27C4" w:rsidR="001B27C4">
        <w:rPr>
          <w:i/>
        </w:rPr>
        <w:instrText xml:space="preserve"> REF _Ref40807162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DurÉe</w:t>
      </w:r>
      <w:proofErr w:type="spellEnd"/>
      <w:r w:rsidRPr="00B50BE2" w:rsidR="00B50BE2">
        <w:rPr>
          <w:i/>
        </w:rPr>
        <w:t xml:space="preserve"> et dissolution du Fonds</w:t>
      </w:r>
      <w:r w:rsidRPr="001B27C4" w:rsidR="001B27C4">
        <w:rPr>
          <w:i/>
        </w:rPr>
        <w:fldChar w:fldCharType="end"/>
      </w:r>
      <w:r>
        <w:t>).</w:t>
      </w:r>
      <w:bookmarkEnd w:id="885"/>
      <w:r>
        <w:t xml:space="preserve"> </w:t>
      </w:r>
    </w:p>
    <w:p w:rsidR="0000160C" w:rsidRDefault="00C517ED" w14:paraId="30DE4061" w14:textId="0FF9161C">
      <w:pPr>
        <w:pStyle w:val="ArtBJStyL3"/>
      </w:pPr>
      <w:bookmarkStart w:name="_Ref113892665" w:id="886"/>
      <w:r>
        <w:t>Le Fonds ne sera pas dissous ou résilié par la démission, l</w:t>
      </w:r>
      <w:r w:rsidR="00E70B9D">
        <w:t>a destitution</w:t>
      </w:r>
      <w:r>
        <w:t>, le décès, l</w:t>
      </w:r>
      <w:r w:rsidR="00E27310">
        <w:t>’</w:t>
      </w:r>
      <w:r>
        <w:t>incompétence, la faillite, l</w:t>
      </w:r>
      <w:r w:rsidR="00E27310">
        <w:t>’</w:t>
      </w:r>
      <w:r>
        <w:t>insolvabilité, la dissolution, la liquidation</w:t>
      </w:r>
      <w:r w:rsidR="00E70B9D">
        <w:t xml:space="preserve"> </w:t>
      </w:r>
      <w:r>
        <w:t>ou la mise sous séquestre, ou l</w:t>
      </w:r>
      <w:r w:rsidR="00E27310">
        <w:t>’</w:t>
      </w:r>
      <w:r>
        <w:t>admission ou le retrait</w:t>
      </w:r>
      <w:r w:rsidR="00E70B9D">
        <w:t>,</w:t>
      </w:r>
      <w:r>
        <w:t xml:space="preserve"> du </w:t>
      </w:r>
      <w:r w:rsidR="00E70B9D">
        <w:t>C</w:t>
      </w:r>
      <w:r>
        <w:t xml:space="preserve">ommandité ou de tout </w:t>
      </w:r>
      <w:r w:rsidR="00E70B9D">
        <w:t>C</w:t>
      </w:r>
      <w:r>
        <w:t>ommanditaire ou lors du transfert de tou</w:t>
      </w:r>
      <w:r w:rsidR="00E70B9D">
        <w:t>te Participation</w:t>
      </w:r>
      <w:r>
        <w:t xml:space="preserve">, sauf disposition contraire </w:t>
      </w:r>
      <w:r w:rsidR="00E536D5">
        <w:t>de la présente Convention</w:t>
      </w:r>
      <w:r>
        <w:t>.</w:t>
      </w:r>
      <w:bookmarkEnd w:id="886"/>
    </w:p>
    <w:p w:rsidR="0000160C" w:rsidRDefault="00247620" w14:paraId="595894C4" w14:textId="3E3EEAF7">
      <w:pPr>
        <w:pStyle w:val="ArtBJStyL2"/>
      </w:pPr>
      <w:bookmarkStart w:name="_Ref47555170" w:id="887"/>
      <w:bookmarkStart w:name="_Toc161762421" w:id="888"/>
      <w:r>
        <w:t>Procédure préalable à la dissolution</w:t>
      </w:r>
      <w:r w:rsidR="00C517ED">
        <w:t>.</w:t>
      </w:r>
      <w:bookmarkEnd w:id="887"/>
      <w:bookmarkEnd w:id="888"/>
    </w:p>
    <w:p w:rsidR="0000160C" w:rsidRDefault="00C517ED" w14:paraId="365000A4" w14:textId="48B2C4F6">
      <w:pPr>
        <w:pStyle w:val="ArtBJStyL3"/>
      </w:pPr>
      <w:bookmarkStart w:name="_Ref40806331" w:id="889"/>
      <w:r>
        <w:t xml:space="preserve">Avant la dissolution du Fonds, le </w:t>
      </w:r>
      <w:r w:rsidR="00E70B9D">
        <w:t>C</w:t>
      </w:r>
      <w:r>
        <w:t xml:space="preserve">ommandité ou, si le </w:t>
      </w:r>
      <w:r w:rsidR="00D60FC9">
        <w:t>C</w:t>
      </w:r>
      <w:r>
        <w:t xml:space="preserve">ommandité a été destitué, un liquidateur nommé par une </w:t>
      </w:r>
      <w:r w:rsidR="0072655F">
        <w:t>Majorité de Participations</w:t>
      </w:r>
      <w:r>
        <w:t xml:space="preserve">, </w:t>
      </w:r>
      <w:r w:rsidR="00D60FC9">
        <w:t>doit liquider</w:t>
      </w:r>
      <w:r>
        <w:t xml:space="preserve"> les actifs du Fonds de façon ordonnée. Le </w:t>
      </w:r>
      <w:r w:rsidR="00D60FC9">
        <w:t>C</w:t>
      </w:r>
      <w:r>
        <w:t xml:space="preserve">ommandité ou le liquidateur </w:t>
      </w:r>
      <w:r w:rsidR="00D60FC9">
        <w:t>doit faire</w:t>
      </w:r>
      <w:r>
        <w:t xml:space="preserve"> tous les efforts raisonnables pour liquider intégralement le Fonds à des conditions raisonnables</w:t>
      </w:r>
      <w:r w:rsidR="00D60FC9">
        <w:t xml:space="preserve"> sur le plan commercial</w:t>
      </w:r>
      <w:r>
        <w:t xml:space="preserve"> dans les </w:t>
      </w:r>
      <w:r>
        <w:rPr>
          <w:b/>
          <w:highlight w:val="yellow"/>
        </w:rPr>
        <w:t>[douze mois]</w:t>
      </w:r>
      <w:r>
        <w:t xml:space="preserve"> suivant la date de résiliation, à condition que la durée de cette liquidation puisse être prolongée par le </w:t>
      </w:r>
      <w:r w:rsidR="00D60FC9">
        <w:t>C</w:t>
      </w:r>
      <w:r>
        <w:t xml:space="preserve">ommandité ou le liquidateur avec le consentement de la </w:t>
      </w:r>
      <w:r w:rsidR="0072655F">
        <w:t>Majorité de Participations</w:t>
      </w:r>
      <w:r>
        <w:t>. L</w:t>
      </w:r>
      <w:r w:rsidR="00D42829">
        <w:t>a</w:t>
      </w:r>
      <w:r>
        <w:t xml:space="preserve"> </w:t>
      </w:r>
      <w:r w:rsidR="00D60FC9">
        <w:t>présente Convention</w:t>
      </w:r>
      <w:r>
        <w:t xml:space="preserve"> </w:t>
      </w:r>
      <w:r w:rsidR="00D60FC9">
        <w:t>demeurera</w:t>
      </w:r>
      <w:r>
        <w:t xml:space="preserve"> pleinement en vigueur pendant et après la période de liquidation.</w:t>
      </w:r>
      <w:bookmarkEnd w:id="889"/>
    </w:p>
    <w:p w:rsidR="0000160C" w:rsidRDefault="00C517ED" w14:paraId="36355A76" w14:textId="6B809EDA">
      <w:pPr>
        <w:pStyle w:val="ArtBJStyL3"/>
        <w:keepNext/>
      </w:pPr>
      <w:bookmarkStart w:name="_Ref113892666" w:id="890"/>
      <w:r>
        <w:lastRenderedPageBreak/>
        <w:t xml:space="preserve">Le </w:t>
      </w:r>
      <w:r w:rsidR="00D60FC9">
        <w:t>C</w:t>
      </w:r>
      <w:r>
        <w:t xml:space="preserve">ommandité ou tout autre liquidateur </w:t>
      </w:r>
      <w:r w:rsidR="00D60FC9">
        <w:t>mentionné</w:t>
      </w:r>
      <w:r>
        <w:t xml:space="preserve"> à l</w:t>
      </w:r>
      <w:r w:rsidR="00D60FC9">
        <w:t xml:space="preserve">’article </w:t>
      </w:r>
      <w:r w:rsidRPr="006400F9">
        <w:fldChar w:fldCharType="begin"/>
      </w:r>
      <w:r w:rsidRPr="006400F9">
        <w:instrText xml:space="preserve"> REF _Ref40806331 \w \h </w:instrText>
      </w:r>
      <w:r w:rsidRPr="006400F9" w:rsidR="00791303">
        <w:instrText xml:space="preserve"> \* MERGEFORMAT </w:instrText>
      </w:r>
      <w:r w:rsidRPr="006400F9">
        <w:fldChar w:fldCharType="separate"/>
      </w:r>
      <w:r w:rsidR="00B50BE2">
        <w:t>18.3(a)</w:t>
      </w:r>
      <w:r w:rsidRPr="006400F9">
        <w:fldChar w:fldCharType="end"/>
      </w:r>
      <w:r>
        <w:t xml:space="preserve"> (</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Procédure préalable à la dissolution.</w:t>
      </w:r>
      <w:r w:rsidRPr="001B27C4" w:rsidR="001B27C4">
        <w:rPr>
          <w:i/>
        </w:rPr>
        <w:fldChar w:fldCharType="end"/>
      </w:r>
      <w:r>
        <w:t xml:space="preserve">) </w:t>
      </w:r>
      <w:r w:rsidR="00D60FC9">
        <w:t>doit appliquer</w:t>
      </w:r>
      <w:r>
        <w:t xml:space="preserve"> ou distribue</w:t>
      </w:r>
      <w:r w:rsidR="00D60FC9">
        <w:t>r</w:t>
      </w:r>
      <w:r>
        <w:t xml:space="preserve"> le produit de la liquidation </w:t>
      </w:r>
      <w:r w:rsidR="00D60FC9">
        <w:t>mentionnée</w:t>
      </w:r>
      <w:r>
        <w:t xml:space="preserve"> à l</w:t>
      </w:r>
      <w:r w:rsidR="00D60FC9">
        <w:t xml:space="preserve">’article </w:t>
      </w:r>
      <w:r w:rsidRPr="006400F9">
        <w:fldChar w:fldCharType="begin"/>
      </w:r>
      <w:r w:rsidRPr="006400F9">
        <w:instrText xml:space="preserve"> REF _Ref40806331 \w \h </w:instrText>
      </w:r>
      <w:r w:rsidRPr="006400F9" w:rsidR="00791303">
        <w:instrText xml:space="preserve"> \* MERGEFORMAT </w:instrText>
      </w:r>
      <w:r w:rsidRPr="006400F9">
        <w:fldChar w:fldCharType="separate"/>
      </w:r>
      <w:r w:rsidR="00B50BE2">
        <w:t>18.3(a)</w:t>
      </w:r>
      <w:r w:rsidRPr="006400F9">
        <w:fldChar w:fldCharType="end"/>
      </w:r>
      <w:r>
        <w:t xml:space="preserve"> (</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Procédure préalable à la dissolution.</w:t>
      </w:r>
      <w:r w:rsidRPr="001B27C4" w:rsidR="001B27C4">
        <w:rPr>
          <w:i/>
        </w:rPr>
        <w:fldChar w:fldCharType="end"/>
      </w:r>
      <w:r>
        <w:t>) et tout actif restant du Fonds, comme suit et dans l</w:t>
      </w:r>
      <w:r w:rsidR="00E27310">
        <w:t>’</w:t>
      </w:r>
      <w:r>
        <w:t>ordre de priorité suivant :</w:t>
      </w:r>
      <w:bookmarkEnd w:id="890"/>
    </w:p>
    <w:p w:rsidR="0000160C" w:rsidRDefault="00D60FC9" w14:paraId="37DC3443" w14:textId="6FC53BEC">
      <w:pPr>
        <w:pStyle w:val="ArtBJStyL4"/>
        <w:keepNext/>
      </w:pPr>
      <w:bookmarkStart w:name="_Ref113892667" w:id="891"/>
      <w:proofErr w:type="gramStart"/>
      <w:r>
        <w:t>premièrement</w:t>
      </w:r>
      <w:proofErr w:type="gramEnd"/>
      <w:r w:rsidR="00C517ED">
        <w:t xml:space="preserve"> :</w:t>
      </w:r>
      <w:bookmarkEnd w:id="891"/>
    </w:p>
    <w:p w:rsidR="0000160C" w:rsidRDefault="00C517ED" w14:paraId="15CDCE8D" w14:textId="56DFD465">
      <w:pPr>
        <w:pStyle w:val="ArtBJStyL5"/>
      </w:pPr>
      <w:bookmarkStart w:name="_Ref113892668" w:id="892"/>
      <w:proofErr w:type="gramStart"/>
      <w:r>
        <w:t>aux</w:t>
      </w:r>
      <w:proofErr w:type="gramEnd"/>
      <w:r>
        <w:t xml:space="preserve"> créanciers en règlement des dettes et </w:t>
      </w:r>
      <w:r w:rsidR="00D60FC9">
        <w:t>obligations</w:t>
      </w:r>
      <w:r>
        <w:t xml:space="preserve"> du Fonds (à l</w:t>
      </w:r>
      <w:r w:rsidR="00E27310">
        <w:t>’</w:t>
      </w:r>
      <w:r>
        <w:t xml:space="preserve">exception des prêts ou avances qui peuvent avoir été consentis </w:t>
      </w:r>
      <w:r w:rsidR="00D60FC9">
        <w:t>par l’un des Commanditaires au Fonds</w:t>
      </w:r>
      <w:r>
        <w:t>);</w:t>
      </w:r>
      <w:bookmarkEnd w:id="892"/>
    </w:p>
    <w:p w:rsidR="0000160C" w:rsidRDefault="00C517ED" w14:paraId="1379B365" w14:textId="61875945">
      <w:pPr>
        <w:pStyle w:val="ArtBJStyL5"/>
      </w:pPr>
      <w:bookmarkStart w:name="_Ref113892669" w:id="893"/>
      <w:proofErr w:type="gramStart"/>
      <w:r>
        <w:t>aux</w:t>
      </w:r>
      <w:proofErr w:type="gramEnd"/>
      <w:r>
        <w:t xml:space="preserve"> frais de liquidation, que ce soit par paiement ou </w:t>
      </w:r>
      <w:r w:rsidR="00D60FC9">
        <w:t>par la constitution d’une provision raisonnable pour le paiement</w:t>
      </w:r>
      <w:r>
        <w:t>; et</w:t>
      </w:r>
      <w:bookmarkEnd w:id="893"/>
    </w:p>
    <w:p w:rsidR="0000160C" w:rsidRDefault="00C517ED" w14:paraId="3EE3D7B3" w14:textId="175B326B">
      <w:pPr>
        <w:pStyle w:val="ArtBJStyL5"/>
      </w:pPr>
      <w:bookmarkStart w:name="_Ref113892670" w:id="894"/>
      <w:proofErr w:type="gramStart"/>
      <w:r>
        <w:t>sous</w:t>
      </w:r>
      <w:proofErr w:type="gramEnd"/>
      <w:r>
        <w:t xml:space="preserve"> réserve </w:t>
      </w:r>
      <w:r w:rsidR="00D60FC9">
        <w:t>du consentement</w:t>
      </w:r>
      <w:r>
        <w:t xml:space="preserve"> écrit préalable du </w:t>
      </w:r>
      <w:r w:rsidR="00D60FC9">
        <w:t>C</w:t>
      </w:r>
      <w:r>
        <w:t>omité consultatif de</w:t>
      </w:r>
      <w:r w:rsidR="00D60FC9">
        <w:t>s Commanditaires</w:t>
      </w:r>
      <w:r>
        <w:t xml:space="preserve">, à la constitution de </w:t>
      </w:r>
      <w:r w:rsidR="00D60FC9">
        <w:t>toute réserve</w:t>
      </w:r>
      <w:r>
        <w:t xml:space="preserve"> raisonnable et prudente pour le paiement des </w:t>
      </w:r>
      <w:r w:rsidR="00D60FC9">
        <w:t>D</w:t>
      </w:r>
      <w:r>
        <w:t xml:space="preserve">épenses du Fonds, y compris les </w:t>
      </w:r>
      <w:r w:rsidR="00D60FC9">
        <w:t>dettes</w:t>
      </w:r>
      <w:r>
        <w:t xml:space="preserve"> et autres obligations (</w:t>
      </w:r>
      <w:r w:rsidR="00D60FC9">
        <w:t xml:space="preserve">qu’elles soient </w:t>
      </w:r>
      <w:r>
        <w:t>fixes ou conditionnelles);</w:t>
      </w:r>
      <w:bookmarkEnd w:id="894"/>
    </w:p>
    <w:p w:rsidR="0000160C" w:rsidRDefault="00C517ED" w14:paraId="45D6B5BC" w14:textId="38B5559B">
      <w:pPr>
        <w:pStyle w:val="ArtBJStyL4"/>
      </w:pPr>
      <w:bookmarkStart w:name="_Ref113892671" w:id="895"/>
      <w:bookmarkStart w:name="_Ref40804851" w:id="896"/>
      <w:proofErr w:type="gramStart"/>
      <w:r>
        <w:t>deuxièmement</w:t>
      </w:r>
      <w:proofErr w:type="gramEnd"/>
      <w:r>
        <w:t xml:space="preserve">, aux </w:t>
      </w:r>
      <w:r w:rsidR="00D60FC9">
        <w:t>Associés</w:t>
      </w:r>
      <w:r>
        <w:t xml:space="preserve"> conformément à l</w:t>
      </w:r>
      <w:r w:rsidR="00D60FC9">
        <w:t xml:space="preserve">’article </w:t>
      </w:r>
      <w:r w:rsidRPr="006400F9">
        <w:fldChar w:fldCharType="begin"/>
      </w:r>
      <w:r w:rsidRPr="006400F9">
        <w:instrText xml:space="preserve"> REF _Ref40804738 \w \h </w:instrText>
      </w:r>
      <w:r w:rsidRPr="006400F9" w:rsidR="00791303">
        <w:instrText xml:space="preserve"> \* MERGEFORMAT </w:instrText>
      </w:r>
      <w:r w:rsidRPr="006400F9">
        <w:fldChar w:fldCharType="separate"/>
      </w:r>
      <w:r w:rsidR="00B50BE2">
        <w:t>14.2</w:t>
      </w:r>
      <w:r w:rsidRPr="006400F9">
        <w:fldChar w:fldCharType="end"/>
      </w:r>
      <w:r>
        <w:t xml:space="preserve"> (</w:t>
      </w:r>
      <w:r w:rsidRPr="001B27C4" w:rsidR="001B27C4">
        <w:rPr>
          <w:i/>
        </w:rPr>
        <w:fldChar w:fldCharType="begin"/>
      </w:r>
      <w:r w:rsidRPr="001B27C4" w:rsidR="001B27C4">
        <w:rPr>
          <w:i/>
        </w:rPr>
        <w:instrText xml:space="preserve"> REF _Ref40804738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Distributions de Revenus d’Investissement temporaire.</w:t>
      </w:r>
      <w:r w:rsidRPr="001B27C4" w:rsidR="001B27C4">
        <w:rPr>
          <w:i/>
        </w:rPr>
        <w:fldChar w:fldCharType="end"/>
      </w:r>
      <w:r>
        <w:t>) et</w:t>
      </w:r>
      <w:r w:rsidR="00D60FC9">
        <w:t xml:space="preserve"> à l’article</w:t>
      </w:r>
      <w:r>
        <w:t> </w:t>
      </w:r>
      <w:r w:rsidRPr="006400F9">
        <w:fldChar w:fldCharType="begin"/>
      </w:r>
      <w:r w:rsidRPr="006400F9">
        <w:instrText xml:space="preserve"> REF _Ref40803030 \w \h </w:instrText>
      </w:r>
      <w:r w:rsidRPr="006400F9" w:rsidR="00791303">
        <w:instrText xml:space="preserve"> \* MERGEFORMAT </w:instrText>
      </w:r>
      <w:r w:rsidRPr="006400F9">
        <w:fldChar w:fldCharType="separate"/>
      </w:r>
      <w:r w:rsidR="00B50BE2">
        <w:t>14.3</w:t>
      </w:r>
      <w:r w:rsidRPr="006400F9">
        <w:fldChar w:fldCharType="end"/>
      </w:r>
      <w:r>
        <w:t xml:space="preserve"> (</w:t>
      </w:r>
      <w:r w:rsidRPr="001B27C4" w:rsidR="001B27C4">
        <w:rPr>
          <w:i/>
        </w:rPr>
        <w:fldChar w:fldCharType="begin"/>
      </w:r>
      <w:r w:rsidRPr="001B27C4" w:rsidR="001B27C4">
        <w:rPr>
          <w:i/>
        </w:rPr>
        <w:instrText xml:space="preserve"> REF _Ref40803030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Distributions des Produits distribuables.</w:t>
      </w:r>
      <w:r w:rsidRPr="001B27C4" w:rsidR="001B27C4">
        <w:rPr>
          <w:i/>
        </w:rPr>
        <w:fldChar w:fldCharType="end"/>
      </w:r>
      <w:r>
        <w:t>); et</w:t>
      </w:r>
      <w:bookmarkEnd w:id="895"/>
      <w:bookmarkEnd w:id="896"/>
    </w:p>
    <w:p w:rsidR="0000160C" w:rsidRDefault="00C517ED" w14:paraId="5906C09E" w14:textId="6AAE129E">
      <w:pPr>
        <w:pStyle w:val="ArtBJStyL4"/>
      </w:pPr>
      <w:bookmarkStart w:name="_Ref113892672" w:id="897"/>
      <w:proofErr w:type="gramStart"/>
      <w:r>
        <w:t>troisièmement</w:t>
      </w:r>
      <w:proofErr w:type="gramEnd"/>
      <w:r>
        <w:t xml:space="preserve">, </w:t>
      </w:r>
      <w:r w:rsidR="00D60FC9">
        <w:t>pour</w:t>
      </w:r>
      <w:r>
        <w:t xml:space="preserve"> satisfaire à toutes les formalités applicables dans les circonstances prescrites par </w:t>
      </w:r>
      <w:r w:rsidR="007A757B">
        <w:t>le droit</w:t>
      </w:r>
      <w:r>
        <w:t xml:space="preserve"> applicable.</w:t>
      </w:r>
      <w:bookmarkEnd w:id="897"/>
    </w:p>
    <w:p w:rsidR="0000160C" w:rsidRDefault="00C517ED" w14:paraId="731846A3" w14:textId="18534499">
      <w:pPr>
        <w:pStyle w:val="ArtBJStyL3"/>
      </w:pPr>
      <w:bookmarkStart w:name="_Ref113892673" w:id="898"/>
      <w:r>
        <w:t xml:space="preserve">Le </w:t>
      </w:r>
      <w:r w:rsidR="00D60FC9">
        <w:t>C</w:t>
      </w:r>
      <w:r>
        <w:t xml:space="preserve">ommandité doit donner un avis écrit de la date proposée de dissolution du Fonds au moins </w:t>
      </w:r>
      <w:r>
        <w:rPr>
          <w:b/>
          <w:highlight w:val="yellow"/>
        </w:rPr>
        <w:t>[15]</w:t>
      </w:r>
      <w:r>
        <w:t xml:space="preserve"> jours avant cette date, ou dès que possible avant la dissolution.</w:t>
      </w:r>
      <w:bookmarkEnd w:id="898"/>
    </w:p>
    <w:p w:rsidR="0000160C" w:rsidRDefault="00C517ED" w14:paraId="055AC1DF" w14:textId="2E290596">
      <w:pPr>
        <w:pStyle w:val="ArtBJStyL2"/>
      </w:pPr>
      <w:bookmarkStart w:name="_Ref113892674" w:id="899"/>
      <w:bookmarkStart w:name="_Toc161762422" w:id="900"/>
      <w:r>
        <w:t xml:space="preserve">Pas de </w:t>
      </w:r>
      <w:r w:rsidR="00D60FC9">
        <w:t>remboursement</w:t>
      </w:r>
      <w:r>
        <w:t xml:space="preserve"> d</w:t>
      </w:r>
      <w:r w:rsidR="00D60FC9">
        <w:t>e</w:t>
      </w:r>
      <w:r>
        <w:t xml:space="preserve"> capital.</w:t>
      </w:r>
      <w:bookmarkEnd w:id="899"/>
      <w:bookmarkEnd w:id="900"/>
    </w:p>
    <w:p w:rsidR="0000160C" w:rsidRDefault="00C517ED" w14:paraId="05CC35CC" w14:textId="1DB65FC8">
      <w:pPr>
        <w:pStyle w:val="ArtBJStyCont2"/>
      </w:pPr>
      <w:r>
        <w:t xml:space="preserve">Aucun </w:t>
      </w:r>
      <w:r w:rsidR="00D60FC9">
        <w:t>Co</w:t>
      </w:r>
      <w:r>
        <w:t>mmanditaire n</w:t>
      </w:r>
      <w:r w:rsidR="00E27310">
        <w:t>’</w:t>
      </w:r>
      <w:r>
        <w:t xml:space="preserve">a droit à un remboursement de </w:t>
      </w:r>
      <w:r w:rsidR="00D60FC9">
        <w:t>son apport</w:t>
      </w:r>
      <w:r>
        <w:t xml:space="preserve"> au capital du Fonds, sauf si des fonds ou d</w:t>
      </w:r>
      <w:r w:rsidR="00E27310">
        <w:t>’</w:t>
      </w:r>
      <w:r>
        <w:t xml:space="preserve">autres biens sont disponibles pour distribution conformément à </w:t>
      </w:r>
      <w:r w:rsidR="00D60FC9">
        <w:t>l’</w:t>
      </w:r>
      <w:r w:rsidRPr="006400F9">
        <w:fldChar w:fldCharType="begin"/>
      </w:r>
      <w:r w:rsidRPr="006400F9">
        <w:instrText xml:space="preserve"> REF _Ref40807042 \r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1B27C4" w:rsidR="001B27C4">
        <w:rPr>
          <w:i/>
        </w:rPr>
        <w:fldChar w:fldCharType="begin"/>
      </w:r>
      <w:r w:rsidRPr="001B27C4" w:rsidR="001B27C4">
        <w:rPr>
          <w:i/>
        </w:rPr>
        <w:instrText xml:space="preserve"> REF _Ref40807042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 xml:space="preserve">DISTRIBUTIONS; </w:t>
      </w:r>
      <w:r w:rsidRPr="001B27C4" w:rsidR="001B27C4">
        <w:rPr>
          <w:i/>
        </w:rPr>
        <w:fldChar w:fldCharType="end"/>
      </w:r>
      <w:r>
        <w:t xml:space="preserve">) ou </w:t>
      </w:r>
      <w:r w:rsidR="00D60FC9">
        <w:t>à l’article</w:t>
      </w:r>
      <w:r>
        <w:t> </w:t>
      </w:r>
      <w:r w:rsidRPr="006400F9">
        <w:fldChar w:fldCharType="begin"/>
      </w:r>
      <w:r w:rsidRPr="006400F9">
        <w:instrText xml:space="preserve"> REF _Ref47555170 \r \h </w:instrText>
      </w:r>
      <w:r w:rsidRPr="006400F9" w:rsidR="00791303">
        <w:instrText xml:space="preserve"> \* MERGEFORMAT </w:instrText>
      </w:r>
      <w:r w:rsidRPr="006400F9">
        <w:fldChar w:fldCharType="separate"/>
      </w:r>
      <w:r w:rsidR="00B50BE2">
        <w:t>18.3</w:t>
      </w:r>
      <w:r w:rsidRPr="006400F9">
        <w:fldChar w:fldCharType="end"/>
      </w:r>
      <w:r>
        <w:t xml:space="preserve"> (</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Procédure préalable à la dissolution.</w:t>
      </w:r>
      <w:r w:rsidRPr="001B27C4" w:rsidR="001B27C4">
        <w:rPr>
          <w:i/>
        </w:rPr>
        <w:fldChar w:fldCharType="end"/>
      </w:r>
      <w:r>
        <w:t>).</w:t>
      </w:r>
    </w:p>
    <w:p w:rsidR="0000160C" w:rsidRDefault="00C517ED" w14:paraId="063885EA" w14:textId="6313D665">
      <w:pPr>
        <w:pStyle w:val="ArtBJStyL2"/>
      </w:pPr>
      <w:bookmarkStart w:name="_Ref113892675" w:id="901"/>
      <w:bookmarkStart w:name="_Toc161762423" w:id="902"/>
      <w:r>
        <w:t xml:space="preserve">Pas de demande de dissolution par les </w:t>
      </w:r>
      <w:r w:rsidR="0010233A">
        <w:t>C</w:t>
      </w:r>
      <w:r>
        <w:t>ommanditaires.</w:t>
      </w:r>
      <w:bookmarkEnd w:id="901"/>
      <w:bookmarkEnd w:id="902"/>
    </w:p>
    <w:p w:rsidR="0000160C" w:rsidRDefault="00C517ED" w14:paraId="41761B54" w14:textId="444C841F">
      <w:pPr>
        <w:pStyle w:val="ArtBJStyCont2"/>
      </w:pPr>
      <w:r>
        <w:t xml:space="preserve">Sauf disposition contraire </w:t>
      </w:r>
      <w:r w:rsidR="00E536D5">
        <w:t>de la présente Convention</w:t>
      </w:r>
      <w:r>
        <w:t xml:space="preserve">, aucun </w:t>
      </w:r>
      <w:r w:rsidR="0010233A">
        <w:t>C</w:t>
      </w:r>
      <w:r>
        <w:t>ommanditaire ne peut demander la dissolution du Fonds, la liquidation des affaires du Fonds ou la distribution des actifs du Fonds.</w:t>
      </w:r>
    </w:p>
    <w:p w:rsidR="0000160C" w:rsidRDefault="00C517ED" w14:paraId="6B033DA1" w14:textId="6D518C14">
      <w:pPr>
        <w:pStyle w:val="ArtBJStyL2"/>
      </w:pPr>
      <w:bookmarkStart w:name="_Ref113892676" w:id="903"/>
      <w:bookmarkStart w:name="_Toc161762424" w:id="904"/>
      <w:r>
        <w:t xml:space="preserve">Résiliation de </w:t>
      </w:r>
      <w:r w:rsidR="0010233A">
        <w:t>la Convention</w:t>
      </w:r>
      <w:r>
        <w:t xml:space="preserve"> </w:t>
      </w:r>
      <w:r w:rsidR="0010233A">
        <w:t>en cas de</w:t>
      </w:r>
      <w:r>
        <w:t xml:space="preserve"> dissolution.</w:t>
      </w:r>
      <w:bookmarkEnd w:id="903"/>
      <w:bookmarkEnd w:id="904"/>
    </w:p>
    <w:p w:rsidR="0000160C" w:rsidRDefault="00C517ED" w14:paraId="76603AB4" w14:textId="10C87A35">
      <w:pPr>
        <w:pStyle w:val="ArtBJStyCont2"/>
      </w:pPr>
      <w:r>
        <w:t xml:space="preserve">Nonobstant la dissolution du Fonds et sous réserve de toutes les autres </w:t>
      </w:r>
      <w:r w:rsidR="0010233A">
        <w:t>modalités de la Convention</w:t>
      </w:r>
      <w:r>
        <w:t xml:space="preserve">, </w:t>
      </w:r>
      <w:r w:rsidR="0010233A">
        <w:t>la présente Convention</w:t>
      </w:r>
      <w:r>
        <w:t xml:space="preserve"> ne </w:t>
      </w:r>
      <w:r w:rsidR="0010233A">
        <w:t>sera pas résiliée</w:t>
      </w:r>
      <w:r>
        <w:t xml:space="preserve"> </w:t>
      </w:r>
      <w:r w:rsidR="0010233A">
        <w:t>tant que</w:t>
      </w:r>
      <w:r>
        <w:t xml:space="preserve"> les dispositions de </w:t>
      </w:r>
      <w:r w:rsidR="0010233A">
        <w:t>l’article</w:t>
      </w:r>
      <w:r>
        <w:t> </w:t>
      </w:r>
      <w:r w:rsidRPr="00226F06">
        <w:fldChar w:fldCharType="begin"/>
      </w:r>
      <w:r w:rsidRPr="00226F06">
        <w:instrText xml:space="preserve"> REF _Ref47555170 \r \h </w:instrText>
      </w:r>
      <w:r w:rsidRPr="00226F06" w:rsidR="00791303">
        <w:instrText xml:space="preserve"> \* MERGEFORMAT </w:instrText>
      </w:r>
      <w:r w:rsidRPr="00226F06">
        <w:fldChar w:fldCharType="separate"/>
      </w:r>
      <w:r w:rsidR="00B50BE2">
        <w:t>18.3</w:t>
      </w:r>
      <w:r w:rsidRPr="00226F06">
        <w:fldChar w:fldCharType="end"/>
      </w:r>
      <w:r>
        <w:t xml:space="preserve"> (</w:t>
      </w:r>
      <w:r w:rsidRPr="001B27C4" w:rsidR="001B27C4">
        <w:rPr>
          <w:i/>
        </w:rPr>
        <w:fldChar w:fldCharType="begin"/>
      </w:r>
      <w:r w:rsidRPr="001B27C4" w:rsidR="001B27C4">
        <w:rPr>
          <w:i/>
        </w:rPr>
        <w:instrText xml:space="preserve"> REF _Ref47555170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Procédure préalable à la dissolution.</w:t>
      </w:r>
      <w:r w:rsidRPr="001B27C4" w:rsidR="001B27C4">
        <w:rPr>
          <w:i/>
        </w:rPr>
        <w:fldChar w:fldCharType="end"/>
      </w:r>
      <w:r>
        <w:t xml:space="preserve">) </w:t>
      </w:r>
      <w:r w:rsidR="0010233A">
        <w:t>n’</w:t>
      </w:r>
      <w:r>
        <w:t>auront</w:t>
      </w:r>
      <w:r w:rsidR="0010233A">
        <w:t xml:space="preserve"> pas</w:t>
      </w:r>
      <w:r>
        <w:t xml:space="preserve"> été respectées. Tou</w:t>
      </w:r>
      <w:r w:rsidR="0010233A">
        <w:t>s les</w:t>
      </w:r>
      <w:r>
        <w:t xml:space="preserve"> consentement</w:t>
      </w:r>
      <w:r w:rsidR="00D42829">
        <w:t>s</w:t>
      </w:r>
      <w:r>
        <w:t xml:space="preserve"> ou approbation</w:t>
      </w:r>
      <w:r w:rsidR="0010233A">
        <w:t>s</w:t>
      </w:r>
      <w:r>
        <w:t xml:space="preserve"> donné</w:t>
      </w:r>
      <w:r w:rsidR="0010233A">
        <w:t>s</w:t>
      </w:r>
      <w:r>
        <w:t xml:space="preserve"> par les </w:t>
      </w:r>
      <w:r w:rsidR="0010233A">
        <w:t>C</w:t>
      </w:r>
      <w:r>
        <w:t>ommanditaires à l</w:t>
      </w:r>
      <w:r w:rsidR="00E27310">
        <w:t>’</w:t>
      </w:r>
      <w:r>
        <w:t xml:space="preserve">égard du Fonds et </w:t>
      </w:r>
      <w:r w:rsidR="0010233A">
        <w:t>toutes les actions connexes</w:t>
      </w:r>
      <w:r>
        <w:t xml:space="preserve"> prise</w:t>
      </w:r>
      <w:r w:rsidR="0010233A">
        <w:t xml:space="preserve">s </w:t>
      </w:r>
      <w:r>
        <w:t xml:space="preserve">par le </w:t>
      </w:r>
      <w:r w:rsidR="0010233A">
        <w:t>C</w:t>
      </w:r>
      <w:r>
        <w:t>ommandité à cet égard après la résiliation du Fonds et la dissolution du Fonds seront valides.</w:t>
      </w:r>
    </w:p>
    <w:p w:rsidR="0000160C" w:rsidRDefault="00C517ED" w14:paraId="64B8F6E9" w14:textId="0165C558">
      <w:pPr>
        <w:pStyle w:val="ArtBJStyL1"/>
      </w:pPr>
      <w:r>
        <w:lastRenderedPageBreak/>
        <w:br/>
      </w:r>
      <w:bookmarkStart w:name="_Ref40807452" w:id="905"/>
      <w:bookmarkStart w:name="_Toc161762425" w:id="906"/>
      <w:proofErr w:type="gramStart"/>
      <w:r>
        <w:t>Modifications;</w:t>
      </w:r>
      <w:proofErr w:type="gramEnd"/>
      <w:r>
        <w:t xml:space="preserve"> procuration</w:t>
      </w:r>
      <w:bookmarkEnd w:id="905"/>
      <w:bookmarkEnd w:id="906"/>
    </w:p>
    <w:p w:rsidR="0000160C" w:rsidRDefault="00C517ED" w14:paraId="26E53BA9" w14:textId="365E7868">
      <w:pPr>
        <w:pStyle w:val="ArtBJStyL2"/>
      </w:pPr>
      <w:bookmarkStart w:name="_Ref40806492" w:id="907"/>
      <w:bookmarkStart w:name="_Toc161762426" w:id="908"/>
      <w:r>
        <w:t>Modification</w:t>
      </w:r>
      <w:r w:rsidR="0010233A">
        <w:t>s</w:t>
      </w:r>
      <w:r>
        <w:t>.</w:t>
      </w:r>
      <w:bookmarkEnd w:id="907"/>
      <w:bookmarkEnd w:id="908"/>
    </w:p>
    <w:p w:rsidR="0000160C" w:rsidRDefault="00C517ED" w14:paraId="432E9544" w14:textId="15E2FCDE">
      <w:pPr>
        <w:pStyle w:val="ArtBJStyCont2"/>
      </w:pPr>
      <w:r>
        <w:t>Tout</w:t>
      </w:r>
      <w:r w:rsidR="00040C15">
        <w:t>e</w:t>
      </w:r>
      <w:r>
        <w:t xml:space="preserve"> modification ou amendement </w:t>
      </w:r>
      <w:r w:rsidR="0010233A">
        <w:t>à la présente Convention</w:t>
      </w:r>
      <w:r>
        <w:t xml:space="preserve"> dûment adopté conformément aux dispositions </w:t>
      </w:r>
      <w:r w:rsidR="00E536D5">
        <w:t>de la présente Convention</w:t>
      </w:r>
      <w:r>
        <w:t xml:space="preserve"> peut être signé conformément à </w:t>
      </w:r>
      <w:r w:rsidR="0010233A">
        <w:t>l’article</w:t>
      </w:r>
      <w:r>
        <w:t> </w:t>
      </w:r>
      <w:r w:rsidRPr="006400F9">
        <w:fldChar w:fldCharType="begin"/>
      </w:r>
      <w:r w:rsidRPr="006400F9">
        <w:instrText xml:space="preserve"> REF _Ref40802766 \w \h </w:instrText>
      </w:r>
      <w:r w:rsidRPr="006400F9" w:rsidR="00791303">
        <w:instrText xml:space="preserve"> \* MERGEFORMAT </w:instrText>
      </w:r>
      <w:r w:rsidRPr="006400F9">
        <w:fldChar w:fldCharType="separate"/>
      </w:r>
      <w:r w:rsidR="00B50BE2">
        <w:t>19.5</w:t>
      </w:r>
      <w:r w:rsidRPr="006400F9">
        <w:fldChar w:fldCharType="end"/>
      </w:r>
      <w:r>
        <w:t xml:space="preserve"> (</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Procuration.</w:t>
      </w:r>
      <w:r w:rsidRPr="001B27C4" w:rsidR="001B27C4">
        <w:rPr>
          <w:i/>
        </w:rPr>
        <w:fldChar w:fldCharType="end"/>
      </w:r>
      <w:r>
        <w:t xml:space="preserve">). Sauf disposition contraire </w:t>
      </w:r>
      <w:r w:rsidR="0010233A">
        <w:t>de l’article</w:t>
      </w:r>
      <w:r>
        <w:t> </w:t>
      </w:r>
      <w:r w:rsidRPr="006400F9">
        <w:fldChar w:fldCharType="begin"/>
      </w:r>
      <w:r w:rsidRPr="006400F9">
        <w:instrText xml:space="preserve"> REF _Ref40803862 \w \h </w:instrText>
      </w:r>
      <w:r w:rsidRPr="006400F9" w:rsidR="00791303">
        <w:instrText xml:space="preserve"> \* MERGEFORMAT </w:instrText>
      </w:r>
      <w:r w:rsidRPr="006400F9">
        <w:fldChar w:fldCharType="separate"/>
      </w:r>
      <w:r w:rsidR="00B50BE2">
        <w:t>10.2</w:t>
      </w:r>
      <w:r w:rsidRPr="006400F9">
        <w:fldChar w:fldCharType="end"/>
      </w:r>
      <w:r>
        <w:t xml:space="preserve"> (</w:t>
      </w:r>
      <w:r w:rsidRPr="001B27C4" w:rsidR="001B27C4">
        <w:rPr>
          <w:i/>
        </w:rPr>
        <w:fldChar w:fldCharType="begin"/>
      </w:r>
      <w:r w:rsidRPr="001B27C4" w:rsidR="001B27C4">
        <w:rPr>
          <w:i/>
        </w:rPr>
        <w:instrText xml:space="preserve"> REF _Ref40803862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Conséquences de l’avis de destitution.</w:t>
      </w:r>
      <w:r w:rsidRPr="001B27C4" w:rsidR="001B27C4">
        <w:rPr>
          <w:i/>
        </w:rPr>
        <w:fldChar w:fldCharType="end"/>
      </w:r>
      <w:r>
        <w:t xml:space="preserve">), </w:t>
      </w:r>
      <w:r w:rsidR="0010233A">
        <w:t>de l’article</w:t>
      </w:r>
      <w:r>
        <w:t> </w:t>
      </w:r>
      <w:r w:rsidRPr="006400F9">
        <w:fldChar w:fldCharType="begin"/>
      </w:r>
      <w:r w:rsidRPr="006400F9">
        <w:instrText xml:space="preserve"> REF _Ref40802388 \w \h </w:instrText>
      </w:r>
      <w:r w:rsidRPr="006400F9" w:rsidR="00791303">
        <w:instrText xml:space="preserve"> \* MERGEFORMAT </w:instrText>
      </w:r>
      <w:r w:rsidRPr="006400F9">
        <w:fldChar w:fldCharType="separate"/>
      </w:r>
      <w:r w:rsidR="00B50BE2">
        <w:t>20.5(b)</w:t>
      </w:r>
      <w:r w:rsidRPr="006400F9">
        <w:fldChar w:fldCharType="end"/>
      </w:r>
      <w:r>
        <w:t xml:space="preserve"> (</w:t>
      </w:r>
      <w:r w:rsidRPr="001B27C4" w:rsidR="001B27C4">
        <w:rPr>
          <w:i/>
        </w:rPr>
        <w:fldChar w:fldCharType="begin"/>
      </w:r>
      <w:r w:rsidRPr="001B27C4" w:rsidR="001B27C4">
        <w:rPr>
          <w:i/>
        </w:rPr>
        <w:instrText xml:space="preserve"> REF _Ref113892712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Intégralité de la Convention.</w:t>
      </w:r>
      <w:r w:rsidRPr="001B27C4" w:rsidR="001B27C4">
        <w:rPr>
          <w:i/>
        </w:rPr>
        <w:fldChar w:fldCharType="end"/>
      </w:r>
      <w:r>
        <w:t xml:space="preserve">), </w:t>
      </w:r>
      <w:r w:rsidR="0010233A">
        <w:t>de l’article</w:t>
      </w:r>
      <w:r>
        <w:t> </w:t>
      </w:r>
      <w:r w:rsidRPr="006400F9">
        <w:fldChar w:fldCharType="begin"/>
      </w:r>
      <w:r w:rsidRPr="006400F9">
        <w:instrText xml:space="preserve"> REF _Ref40806441 \w \h </w:instrText>
      </w:r>
      <w:r w:rsidRPr="006400F9" w:rsidR="00791303">
        <w:instrText xml:space="preserve"> \* MERGEFORMAT </w:instrText>
      </w:r>
      <w:r w:rsidRPr="006400F9">
        <w:fldChar w:fldCharType="separate"/>
      </w:r>
      <w:r w:rsidR="00B50BE2">
        <w:t>19.2</w:t>
      </w:r>
      <w:r w:rsidRPr="006400F9">
        <w:fldChar w:fldCharType="end"/>
      </w:r>
      <w:r>
        <w:t xml:space="preserve"> (</w:t>
      </w:r>
      <w:r w:rsidRPr="001B27C4" w:rsidR="001B27C4">
        <w:rPr>
          <w:i/>
        </w:rPr>
        <w:fldChar w:fldCharType="begin"/>
      </w:r>
      <w:r w:rsidRPr="001B27C4" w:rsidR="001B27C4">
        <w:rPr>
          <w:i/>
        </w:rPr>
        <w:instrText xml:space="preserve"> REF _Ref40806441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Certaines modifications ne nécessitant pas le consentement des Commanditaires.</w:t>
      </w:r>
      <w:r w:rsidRPr="001B27C4" w:rsidR="001B27C4">
        <w:rPr>
          <w:i/>
        </w:rPr>
        <w:fldChar w:fldCharType="end"/>
      </w:r>
      <w:r>
        <w:t xml:space="preserve">), </w:t>
      </w:r>
      <w:r w:rsidR="0008762F">
        <w:t>de l’article</w:t>
      </w:r>
      <w:r>
        <w:t> </w:t>
      </w:r>
      <w:r w:rsidRPr="006400F9">
        <w:fldChar w:fldCharType="begin"/>
      </w:r>
      <w:r w:rsidRPr="006400F9">
        <w:instrText xml:space="preserve"> REF _Ref40806459 \w \h </w:instrText>
      </w:r>
      <w:r w:rsidRPr="006400F9" w:rsidR="00791303">
        <w:instrText xml:space="preserve"> \* MERGEFORMAT </w:instrText>
      </w:r>
      <w:r w:rsidRPr="006400F9">
        <w:fldChar w:fldCharType="separate"/>
      </w:r>
      <w:r w:rsidR="00B50BE2">
        <w:t>19.3</w:t>
      </w:r>
      <w:r w:rsidRPr="006400F9">
        <w:fldChar w:fldCharType="end"/>
      </w:r>
      <w:r>
        <w:t xml:space="preserve"> (</w:t>
      </w:r>
      <w:r w:rsidRPr="001B27C4" w:rsidR="001B27C4">
        <w:rPr>
          <w:i/>
        </w:rPr>
        <w:fldChar w:fldCharType="begin"/>
      </w:r>
      <w:r w:rsidRPr="001B27C4" w:rsidR="001B27C4">
        <w:rPr>
          <w:i/>
        </w:rPr>
        <w:instrText xml:space="preserve"> REF _Ref40806459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Certaines modifications nécessitant un consentement spécifique.</w:t>
      </w:r>
      <w:r w:rsidRPr="001B27C4" w:rsidR="001B27C4">
        <w:rPr>
          <w:i/>
        </w:rPr>
        <w:fldChar w:fldCharType="end"/>
      </w:r>
      <w:r>
        <w:t xml:space="preserve">) et </w:t>
      </w:r>
      <w:r w:rsidR="0008762F">
        <w:t>de l’article</w:t>
      </w:r>
      <w:r>
        <w:t> </w:t>
      </w:r>
      <w:r w:rsidRPr="006400F9">
        <w:fldChar w:fldCharType="begin"/>
      </w:r>
      <w:r w:rsidRPr="006400F9">
        <w:instrText xml:space="preserve"> REF _Ref40806476 \w \h </w:instrText>
      </w:r>
      <w:r w:rsidRPr="006400F9" w:rsidR="00791303">
        <w:instrText xml:space="preserve"> \* MERGEFORMAT </w:instrText>
      </w:r>
      <w:r w:rsidRPr="006400F9">
        <w:fldChar w:fldCharType="separate"/>
      </w:r>
      <w:r w:rsidR="00B50BE2">
        <w:t>19.4</w:t>
      </w:r>
      <w:r w:rsidRPr="006400F9">
        <w:fldChar w:fldCharType="end"/>
      </w:r>
      <w:r>
        <w:t xml:space="preserve"> (</w:t>
      </w:r>
      <w:r w:rsidRPr="001B27C4" w:rsidR="001B27C4">
        <w:rPr>
          <w:i/>
        </w:rPr>
        <w:fldChar w:fldCharType="begin"/>
      </w:r>
      <w:r w:rsidRPr="001B27C4" w:rsidR="001B27C4">
        <w:rPr>
          <w:i/>
        </w:rPr>
        <w:instrText xml:space="preserve"> REF _Ref40806476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Avis de modifications.</w:t>
      </w:r>
      <w:r w:rsidRPr="001B27C4" w:rsidR="001B27C4">
        <w:rPr>
          <w:i/>
        </w:rPr>
        <w:fldChar w:fldCharType="end"/>
      </w:r>
      <w:r>
        <w:t xml:space="preserve">), </w:t>
      </w:r>
      <w:r w:rsidR="003278C2">
        <w:t>la présente Convention</w:t>
      </w:r>
      <w:r>
        <w:t xml:space="preserve"> ne peut être modifié</w:t>
      </w:r>
      <w:r w:rsidR="0008762F">
        <w:t>e</w:t>
      </w:r>
      <w:r>
        <w:t>, complété</w:t>
      </w:r>
      <w:r w:rsidR="0008762F">
        <w:t>e</w:t>
      </w:r>
      <w:r>
        <w:t xml:space="preserve"> ou </w:t>
      </w:r>
      <w:r w:rsidR="0008762F">
        <w:t>amendée</w:t>
      </w:r>
      <w:r>
        <w:t xml:space="preserve"> qu</w:t>
      </w:r>
      <w:r w:rsidR="00E27310">
        <w:t>’</w:t>
      </w:r>
      <w:r>
        <w:t xml:space="preserve">avec </w:t>
      </w:r>
      <w:r w:rsidR="0008762F">
        <w:t>le consentement</w:t>
      </w:r>
      <w:r>
        <w:t xml:space="preserve"> écrit préalable </w:t>
      </w:r>
      <w:r w:rsidR="0008762F">
        <w:t xml:space="preserve">(i) </w:t>
      </w:r>
      <w:r>
        <w:t xml:space="preserve">du </w:t>
      </w:r>
      <w:r w:rsidR="0008762F">
        <w:t>Commandité</w:t>
      </w:r>
      <w:r>
        <w:t xml:space="preserve"> et </w:t>
      </w:r>
      <w:bookmarkStart w:name="DocXTextRef175" w:id="909"/>
      <w:r>
        <w:t>(ii)</w:t>
      </w:r>
      <w:bookmarkEnd w:id="909"/>
      <w:r w:rsidR="0008762F">
        <w:t xml:space="preserve"> de</w:t>
      </w:r>
      <w:r>
        <w:t xml:space="preserve"> </w:t>
      </w:r>
      <w:r>
        <w:rPr>
          <w:b/>
          <w:highlight w:val="yellow"/>
        </w:rPr>
        <w:t>[75%]</w:t>
      </w:r>
      <w:bookmarkStart w:name="_Ref113892905" w:id="910"/>
      <w:r>
        <w:rPr>
          <w:szCs w:val="22"/>
          <w:vertAlign w:val="superscript"/>
        </w:rPr>
        <w:footnoteReference w:id="157"/>
      </w:r>
      <w:bookmarkEnd w:id="910"/>
      <w:r w:rsidRPr="0010233A">
        <w:rPr>
          <w:b/>
        </w:rPr>
        <w:t xml:space="preserve"> </w:t>
      </w:r>
      <w:r w:rsidR="0008762F">
        <w:t>des Participations</w:t>
      </w:r>
      <w:r>
        <w:t>.</w:t>
      </w:r>
    </w:p>
    <w:p w:rsidR="0000160C" w:rsidRDefault="00C517ED" w14:paraId="6D21277E" w14:textId="57342467">
      <w:pPr>
        <w:pStyle w:val="ArtBJStyL2"/>
      </w:pPr>
      <w:bookmarkStart w:name="_Ref40806441" w:id="911"/>
      <w:bookmarkStart w:name="_Toc161762427" w:id="912"/>
      <w:r>
        <w:t>Certaines modifications ne nécessit</w:t>
      </w:r>
      <w:r w:rsidR="0008762F">
        <w:t>a</w:t>
      </w:r>
      <w:r>
        <w:t xml:space="preserve">nt pas le consentement des </w:t>
      </w:r>
      <w:r w:rsidR="006F0015">
        <w:t>C</w:t>
      </w:r>
      <w:r>
        <w:t>ommanditaires.</w:t>
      </w:r>
      <w:bookmarkEnd w:id="911"/>
      <w:bookmarkEnd w:id="912"/>
    </w:p>
    <w:p w:rsidR="0000160C" w:rsidRDefault="00C517ED" w14:paraId="2BF50C27" w14:textId="163BB574">
      <w:pPr>
        <w:pStyle w:val="ArtBJStyCont2"/>
        <w:keepNext/>
      </w:pPr>
      <w:r>
        <w:t xml:space="preserve">Le </w:t>
      </w:r>
      <w:r w:rsidR="0008762F">
        <w:t>C</w:t>
      </w:r>
      <w:r>
        <w:t xml:space="preserve">ommandité peut modifier ou amender </w:t>
      </w:r>
      <w:r w:rsidR="003278C2">
        <w:t>la présente Convention</w:t>
      </w:r>
      <w:r>
        <w:t xml:space="preserve"> sans le consentement des </w:t>
      </w:r>
      <w:r w:rsidR="0008762F">
        <w:t>C</w:t>
      </w:r>
      <w:r>
        <w:t>ommanditaires dans chacun des cas suivants, à condition que cette modification ou cet amendement n</w:t>
      </w:r>
      <w:r w:rsidR="00E27310">
        <w:t>’</w:t>
      </w:r>
      <w:r>
        <w:t xml:space="preserve">affecte pas de manière significative les droits, obligations ou </w:t>
      </w:r>
      <w:r w:rsidR="0008762F">
        <w:t>Participations</w:t>
      </w:r>
      <w:r>
        <w:t xml:space="preserve"> des </w:t>
      </w:r>
      <w:r w:rsidR="0008762F">
        <w:t>C</w:t>
      </w:r>
      <w:r>
        <w:t>ommanditaires :</w:t>
      </w:r>
    </w:p>
    <w:p w:rsidR="0000160C" w:rsidRDefault="0008762F" w14:paraId="72E005E9" w14:textId="5A58A600">
      <w:pPr>
        <w:pStyle w:val="ArtBJStyL3"/>
      </w:pPr>
      <w:bookmarkStart w:name="_Ref113892677" w:id="913"/>
      <w:proofErr w:type="gramStart"/>
      <w:r>
        <w:t>pour</w:t>
      </w:r>
      <w:proofErr w:type="gramEnd"/>
      <w:r w:rsidR="00C517ED">
        <w:t xml:space="preserve"> changer le nom du Fonds;</w:t>
      </w:r>
      <w:bookmarkEnd w:id="913"/>
    </w:p>
    <w:p w:rsidR="0000160C" w:rsidRDefault="0008762F" w14:paraId="174FC25E" w14:textId="1B73D3D9">
      <w:pPr>
        <w:pStyle w:val="ArtBJStyL3"/>
      </w:pPr>
      <w:bookmarkStart w:name="_Ref113892678" w:id="914"/>
      <w:proofErr w:type="gramStart"/>
      <w:r>
        <w:t>pour</w:t>
      </w:r>
      <w:proofErr w:type="gramEnd"/>
      <w:r w:rsidR="00C517ED">
        <w:t xml:space="preserve"> corriger toute erreur typographique;</w:t>
      </w:r>
      <w:bookmarkEnd w:id="914"/>
    </w:p>
    <w:p w:rsidR="0000160C" w:rsidRDefault="00C517ED" w14:paraId="69E05A66" w14:textId="46EE6FDB">
      <w:pPr>
        <w:pStyle w:val="ArtBJStyL3"/>
      </w:pPr>
      <w:bookmarkStart w:name="_Ref113892679" w:id="915"/>
      <w:proofErr w:type="gramStart"/>
      <w:r>
        <w:t>pour</w:t>
      </w:r>
      <w:proofErr w:type="gramEnd"/>
      <w:r>
        <w:t xml:space="preserve"> satisfaire à toute exigence, condition ou </w:t>
      </w:r>
      <w:r w:rsidR="0008762F">
        <w:t>ligne directrice</w:t>
      </w:r>
      <w:r>
        <w:t xml:space="preserve"> contenue dans tout avis, directive, </w:t>
      </w:r>
      <w:r w:rsidR="0008762F">
        <w:t>ordonnance</w:t>
      </w:r>
      <w:r>
        <w:t xml:space="preserve">, décision, règlement ou </w:t>
      </w:r>
      <w:r w:rsidR="0008762F">
        <w:t>loi</w:t>
      </w:r>
      <w:r>
        <w:t xml:space="preserve"> d</w:t>
      </w:r>
      <w:r w:rsidR="00E27310">
        <w:t>’</w:t>
      </w:r>
      <w:r>
        <w:t xml:space="preserve">un </w:t>
      </w:r>
      <w:r w:rsidR="0008762F">
        <w:t>organe</w:t>
      </w:r>
      <w:r>
        <w:t xml:space="preserve"> gouvernemental qui ne sera pas incompatible avec </w:t>
      </w:r>
      <w:r w:rsidR="0008762F">
        <w:t>la présente Convention</w:t>
      </w:r>
      <w:r>
        <w:t>; et</w:t>
      </w:r>
      <w:bookmarkEnd w:id="915"/>
    </w:p>
    <w:p w:rsidR="0000160C" w:rsidRDefault="0008762F" w14:paraId="5EF8FB7B" w14:textId="180E3D9B">
      <w:pPr>
        <w:pStyle w:val="ArtBJStyL3"/>
      </w:pPr>
      <w:bookmarkStart w:name="_Ref113892680" w:id="916"/>
      <w:proofErr w:type="gramStart"/>
      <w:r>
        <w:t>pour</w:t>
      </w:r>
      <w:proofErr w:type="gramEnd"/>
      <w:r>
        <w:t xml:space="preserve"> </w:t>
      </w:r>
      <w:r w:rsidR="00C517ED">
        <w:t xml:space="preserve">mettre à jour </w:t>
      </w:r>
      <w:r>
        <w:t>l’</w:t>
      </w:r>
      <w:r w:rsidRPr="006400F9" w:rsidR="00C517ED">
        <w:fldChar w:fldCharType="begin"/>
      </w:r>
      <w:r w:rsidRPr="006400F9" w:rsidR="00C517ED">
        <w:instrText xml:space="preserve"> REF _Ref40807563 \h </w:instrText>
      </w:r>
      <w:r w:rsidRPr="006400F9" w:rsidR="00791303">
        <w:instrText xml:space="preserve"> \* MERGEFORMAT </w:instrText>
      </w:r>
      <w:r w:rsidRPr="006400F9" w:rsidR="00C517ED">
        <w:fldChar w:fldCharType="separate"/>
      </w:r>
      <w:r w:rsidR="00B50BE2">
        <w:t>Annexe 1</w:t>
      </w:r>
      <w:r w:rsidRPr="006400F9" w:rsidR="00C517ED">
        <w:fldChar w:fldCharType="end"/>
      </w:r>
      <w:r w:rsidR="00C517ED">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B50BE2" w:rsidR="00B50BE2">
        <w:rPr>
          <w:i/>
        </w:rPr>
        <w:t xml:space="preserve">Engagements Des </w:t>
      </w:r>
      <w:r w:rsidRPr="001E31E0" w:rsidR="001E31E0">
        <w:rPr>
          <w:i/>
        </w:rPr>
        <w:fldChar w:fldCharType="end"/>
      </w:r>
      <w:r w:rsidR="00C517ED">
        <w:t>) de temps à autre pour s</w:t>
      </w:r>
      <w:r w:rsidR="00E27310">
        <w:t>’</w:t>
      </w:r>
      <w:r w:rsidR="00C517ED">
        <w:t xml:space="preserve">assurer </w:t>
      </w:r>
      <w:r>
        <w:t>qu’elle</w:t>
      </w:r>
      <w:r w:rsidR="00C517ED">
        <w:t xml:space="preserve"> est </w:t>
      </w:r>
      <w:r>
        <w:t>complète</w:t>
      </w:r>
      <w:r w:rsidR="00C517ED">
        <w:t xml:space="preserve"> et exact</w:t>
      </w:r>
      <w:r>
        <w:t>e</w:t>
      </w:r>
      <w:r w:rsidR="00C517ED">
        <w:t>.</w:t>
      </w:r>
      <w:bookmarkEnd w:id="916"/>
    </w:p>
    <w:p w:rsidR="0000160C" w:rsidRDefault="00C517ED" w14:paraId="10D48443" w14:textId="612E6595">
      <w:pPr>
        <w:pStyle w:val="ArtBJStyL2"/>
      </w:pPr>
      <w:bookmarkStart w:name="_Ref40806459" w:id="917"/>
      <w:bookmarkStart w:name="_Toc161762428" w:id="918"/>
      <w:r>
        <w:t xml:space="preserve">Certaines </w:t>
      </w:r>
      <w:r w:rsidR="0008762F">
        <w:t>m</w:t>
      </w:r>
      <w:r>
        <w:t xml:space="preserve">odifications </w:t>
      </w:r>
      <w:r w:rsidR="0008762F">
        <w:t>n</w:t>
      </w:r>
      <w:r>
        <w:t xml:space="preserve">écessitant </w:t>
      </w:r>
      <w:r w:rsidR="0008762F">
        <w:t>u</w:t>
      </w:r>
      <w:r>
        <w:t xml:space="preserve">n </w:t>
      </w:r>
      <w:r w:rsidR="0008762F">
        <w:t>c</w:t>
      </w:r>
      <w:r>
        <w:t xml:space="preserve">onsentement </w:t>
      </w:r>
      <w:r w:rsidR="0008762F">
        <w:t>spécifique</w:t>
      </w:r>
      <w:r>
        <w:t>.</w:t>
      </w:r>
      <w:bookmarkEnd w:id="917"/>
      <w:bookmarkEnd w:id="918"/>
    </w:p>
    <w:p w:rsidR="0000160C" w:rsidRDefault="00C517ED" w14:paraId="43E2CB5E" w14:textId="3BE70C63">
      <w:pPr>
        <w:pStyle w:val="ArtBJStyCont2"/>
        <w:keepNext/>
      </w:pPr>
      <w:r>
        <w:t xml:space="preserve">Nonobstant les dispositions de </w:t>
      </w:r>
      <w:r w:rsidR="0008762F">
        <w:t>l’article</w:t>
      </w:r>
      <w:r>
        <w:t> </w:t>
      </w:r>
      <w:r w:rsidRPr="006400F9">
        <w:fldChar w:fldCharType="begin"/>
      </w:r>
      <w:r w:rsidRPr="006400F9">
        <w:instrText xml:space="preserve"> REF _Ref40806492 \w \h </w:instrText>
      </w:r>
      <w:r w:rsidRPr="006400F9" w:rsidR="00791303">
        <w:instrText xml:space="preserve"> \* MERGEFORMAT </w:instrText>
      </w:r>
      <w:r w:rsidRPr="006400F9">
        <w:fldChar w:fldCharType="separate"/>
      </w:r>
      <w:r w:rsidR="00B50BE2">
        <w:t>19.1</w:t>
      </w:r>
      <w:r w:rsidRPr="006400F9">
        <w:fldChar w:fldCharType="end"/>
      </w:r>
      <w:r>
        <w:t xml:space="preserve"> (</w:t>
      </w:r>
      <w:r w:rsidRPr="001B27C4" w:rsidR="001B27C4">
        <w:rPr>
          <w:i/>
        </w:rPr>
        <w:fldChar w:fldCharType="begin"/>
      </w:r>
      <w:r w:rsidRPr="001B27C4" w:rsidR="001B27C4">
        <w:rPr>
          <w:i/>
        </w:rPr>
        <w:instrText xml:space="preserve"> REF _Ref40806492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Modifications.</w:t>
      </w:r>
      <w:r w:rsidRPr="001B27C4" w:rsidR="001B27C4">
        <w:rPr>
          <w:i/>
        </w:rPr>
        <w:fldChar w:fldCharType="end"/>
      </w:r>
      <w:r>
        <w:t xml:space="preserve">) ou </w:t>
      </w:r>
      <w:r w:rsidR="0008762F">
        <w:t>de l’article</w:t>
      </w:r>
      <w:r>
        <w:t> </w:t>
      </w:r>
      <w:r w:rsidRPr="006400F9">
        <w:fldChar w:fldCharType="begin"/>
      </w:r>
      <w:r w:rsidRPr="006400F9">
        <w:instrText xml:space="preserve"> REF _Ref40806441 \w \h </w:instrText>
      </w:r>
      <w:r w:rsidRPr="006400F9" w:rsidR="00791303">
        <w:instrText xml:space="preserve"> \* MERGEFORMAT </w:instrText>
      </w:r>
      <w:r w:rsidRPr="006400F9">
        <w:fldChar w:fldCharType="separate"/>
      </w:r>
      <w:r w:rsidR="00B50BE2">
        <w:t>19.2</w:t>
      </w:r>
      <w:r w:rsidRPr="006400F9">
        <w:fldChar w:fldCharType="end"/>
      </w:r>
      <w:r>
        <w:t xml:space="preserve"> (</w:t>
      </w:r>
      <w:r w:rsidRPr="001B27C4" w:rsidR="001B27C4">
        <w:rPr>
          <w:i/>
        </w:rPr>
        <w:fldChar w:fldCharType="begin"/>
      </w:r>
      <w:r w:rsidRPr="001B27C4" w:rsidR="001B27C4">
        <w:rPr>
          <w:i/>
        </w:rPr>
        <w:instrText xml:space="preserve"> REF _Ref40806441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Certaines modifications ne nécessitant pas le consentement des Commanditaires.</w:t>
      </w:r>
      <w:r w:rsidRPr="001B27C4" w:rsidR="001B27C4">
        <w:rPr>
          <w:i/>
        </w:rPr>
        <w:fldChar w:fldCharType="end"/>
      </w:r>
      <w:r>
        <w:t>), aucun</w:t>
      </w:r>
      <w:r w:rsidR="00040C15">
        <w:t>e</w:t>
      </w:r>
      <w:r>
        <w:t xml:space="preserve"> modification ou </w:t>
      </w:r>
      <w:r w:rsidR="0008762F">
        <w:t>amendement</w:t>
      </w:r>
      <w:r>
        <w:t xml:space="preserve"> </w:t>
      </w:r>
      <w:r w:rsidR="00E536D5">
        <w:t>de la présente Convention</w:t>
      </w:r>
      <w:r>
        <w:t xml:space="preserve"> </w:t>
      </w:r>
      <w:r w:rsidR="00310CBA">
        <w:t>ne peut avoir pour effet</w:t>
      </w:r>
      <w:r w:rsidR="0008762F">
        <w:t xml:space="preserve"> de</w:t>
      </w:r>
      <w:r>
        <w:t xml:space="preserve"> : </w:t>
      </w:r>
    </w:p>
    <w:p w:rsidR="0000160C" w:rsidRDefault="00C517ED" w14:paraId="6EA0A47F" w14:textId="36679F0D">
      <w:pPr>
        <w:pStyle w:val="ArtBJStyL3"/>
      </w:pPr>
      <w:bookmarkStart w:name="_Ref113892681" w:id="919"/>
      <w:proofErr w:type="gramStart"/>
      <w:r>
        <w:t>modifier</w:t>
      </w:r>
      <w:proofErr w:type="gramEnd"/>
      <w:r>
        <w:t xml:space="preserve"> ou </w:t>
      </w:r>
      <w:r w:rsidR="0008762F">
        <w:t>amender</w:t>
      </w:r>
      <w:r>
        <w:t xml:space="preserve"> </w:t>
      </w:r>
      <w:r w:rsidR="0008762F">
        <w:t>le présent article</w:t>
      </w:r>
      <w:r>
        <w:t> </w:t>
      </w:r>
      <w:r w:rsidRPr="006400F9">
        <w:fldChar w:fldCharType="begin"/>
      </w:r>
      <w:r w:rsidRPr="006400F9">
        <w:instrText xml:space="preserve"> REF _Ref40806459 \r \h </w:instrText>
      </w:r>
      <w:r w:rsidRPr="006400F9" w:rsidR="00791303">
        <w:instrText xml:space="preserve"> \* MERGEFORMAT </w:instrText>
      </w:r>
      <w:r w:rsidRPr="006400F9">
        <w:fldChar w:fldCharType="separate"/>
      </w:r>
      <w:r w:rsidR="00B50BE2">
        <w:t>19.3</w:t>
      </w:r>
      <w:r w:rsidRPr="006400F9">
        <w:fldChar w:fldCharType="end"/>
      </w:r>
      <w:r>
        <w:t xml:space="preserve"> (</w:t>
      </w:r>
      <w:r w:rsidRPr="001B27C4" w:rsidR="001B27C4">
        <w:rPr>
          <w:i/>
        </w:rPr>
        <w:fldChar w:fldCharType="begin"/>
      </w:r>
      <w:r w:rsidRPr="001B27C4" w:rsidR="001B27C4">
        <w:rPr>
          <w:i/>
        </w:rPr>
        <w:instrText xml:space="preserve"> REF _Ref40806459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Certaines modifications nécessitant un consentement spécifique.</w:t>
      </w:r>
      <w:r w:rsidRPr="001B27C4" w:rsidR="001B27C4">
        <w:rPr>
          <w:i/>
        </w:rPr>
        <w:fldChar w:fldCharType="end"/>
      </w:r>
      <w:r>
        <w:t xml:space="preserve">) sans le </w:t>
      </w:r>
      <w:r>
        <w:rPr>
          <w:b/>
          <w:highlight w:val="yellow"/>
        </w:rPr>
        <w:t>[consentement unanime]</w:t>
      </w:r>
      <w:bookmarkStart w:name="_Ref113892906" w:id="920"/>
      <w:r>
        <w:rPr>
          <w:szCs w:val="22"/>
          <w:vertAlign w:val="superscript"/>
        </w:rPr>
        <w:footnoteReference w:id="158"/>
      </w:r>
      <w:bookmarkEnd w:id="920"/>
      <w:r w:rsidRPr="0008762F">
        <w:rPr>
          <w:b/>
        </w:rPr>
        <w:t xml:space="preserve"> </w:t>
      </w:r>
      <w:r>
        <w:t xml:space="preserve">des </w:t>
      </w:r>
      <w:r w:rsidR="0008762F">
        <w:t>C</w:t>
      </w:r>
      <w:r>
        <w:t>ommanditaires;</w:t>
      </w:r>
      <w:bookmarkEnd w:id="919"/>
    </w:p>
    <w:p w:rsidR="0000160C" w:rsidRDefault="00C517ED" w14:paraId="23D383B1" w14:textId="64B2A5E0">
      <w:pPr>
        <w:pStyle w:val="ArtBJStyL3"/>
      </w:pPr>
      <w:bookmarkStart w:name="_Ref113892682" w:id="921"/>
      <w:r>
        <w:t xml:space="preserve">modifier ou amender les </w:t>
      </w:r>
      <w:r w:rsidR="00265E0D">
        <w:t>O</w:t>
      </w:r>
      <w:r>
        <w:t xml:space="preserve">bjectifs </w:t>
      </w:r>
      <w:r w:rsidR="00265E0D">
        <w:t>d’investissement</w:t>
      </w:r>
      <w:r>
        <w:t xml:space="preserve">, </w:t>
      </w:r>
      <w:r>
        <w:rPr>
          <w:b/>
          <w:highlight w:val="yellow"/>
        </w:rPr>
        <w:t xml:space="preserve">[la </w:t>
      </w:r>
      <w:r w:rsidR="00265E0D">
        <w:rPr>
          <w:b/>
          <w:highlight w:val="yellow"/>
        </w:rPr>
        <w:t>P</w:t>
      </w:r>
      <w:r>
        <w:rPr>
          <w:b/>
          <w:highlight w:val="yellow"/>
        </w:rPr>
        <w:t xml:space="preserve">olitique </w:t>
      </w:r>
      <w:r w:rsidR="00265E0D">
        <w:rPr>
          <w:b/>
          <w:highlight w:val="yellow"/>
        </w:rPr>
        <w:t>d’investissement</w:t>
      </w:r>
      <w:r>
        <w:rPr>
          <w:b/>
          <w:highlight w:val="yellow"/>
        </w:rPr>
        <w:t xml:space="preserve">, le cas échéant, </w:t>
      </w:r>
      <w:r w:rsidR="00265E0D">
        <w:rPr>
          <w:b/>
          <w:highlight w:val="yellow"/>
        </w:rPr>
        <w:t xml:space="preserve">si elle </w:t>
      </w:r>
      <w:r>
        <w:rPr>
          <w:b/>
          <w:highlight w:val="yellow"/>
        </w:rPr>
        <w:t xml:space="preserve">est adoptée par le </w:t>
      </w:r>
      <w:r w:rsidR="00265E0D">
        <w:rPr>
          <w:b/>
          <w:highlight w:val="yellow"/>
        </w:rPr>
        <w:t>C</w:t>
      </w:r>
      <w:r>
        <w:rPr>
          <w:b/>
          <w:highlight w:val="yellow"/>
        </w:rPr>
        <w:t xml:space="preserve">ommandité ou le </w:t>
      </w:r>
      <w:r w:rsidR="00265E0D">
        <w:rPr>
          <w:b/>
          <w:highlight w:val="yellow"/>
        </w:rPr>
        <w:t>G</w:t>
      </w:r>
      <w:r>
        <w:rPr>
          <w:b/>
          <w:highlight w:val="yellow"/>
        </w:rPr>
        <w:t>estionnaire,]</w:t>
      </w:r>
      <w:r>
        <w:t xml:space="preserve"> </w:t>
      </w:r>
      <w:r w:rsidR="00265E0D">
        <w:t>l’article</w:t>
      </w:r>
      <w:r>
        <w:t> </w:t>
      </w:r>
      <w:r w:rsidRPr="006400F9">
        <w:fldChar w:fldCharType="begin"/>
      </w:r>
      <w:r w:rsidRPr="006400F9">
        <w:instrText xml:space="preserve"> REF _Ref40802868 \w \h </w:instrText>
      </w:r>
      <w:r w:rsidRPr="006400F9" w:rsidR="00791303">
        <w:instrText xml:space="preserve"> \* MERGEFORMAT </w:instrText>
      </w:r>
      <w:r w:rsidRPr="006400F9">
        <w:fldChar w:fldCharType="separate"/>
      </w:r>
      <w:r w:rsidR="00B50BE2">
        <w:t>4.1</w:t>
      </w:r>
      <w:r w:rsidRPr="006400F9">
        <w:fldChar w:fldCharType="end"/>
      </w:r>
      <w:r>
        <w:t>, (</w:t>
      </w:r>
      <w:r w:rsidRPr="001B27C4" w:rsidR="001B27C4">
        <w:rPr>
          <w:i/>
        </w:rPr>
        <w:fldChar w:fldCharType="begin"/>
      </w:r>
      <w:r w:rsidRPr="001B27C4" w:rsidR="001B27C4">
        <w:rPr>
          <w:i/>
        </w:rPr>
        <w:instrText xml:space="preserve"> REF _Ref40802868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Taille maximale du Fonds.</w:t>
      </w:r>
      <w:r w:rsidRPr="001B27C4" w:rsidR="001B27C4">
        <w:rPr>
          <w:i/>
        </w:rPr>
        <w:fldChar w:fldCharType="end"/>
      </w:r>
      <w:r>
        <w:t xml:space="preserve">), </w:t>
      </w:r>
      <w:r w:rsidR="00265E0D">
        <w:t>l’article</w:t>
      </w:r>
      <w:r>
        <w:t> </w:t>
      </w:r>
      <w:r w:rsidRPr="006400F9">
        <w:fldChar w:fldCharType="begin"/>
      </w:r>
      <w:r w:rsidRPr="006400F9">
        <w:instrText xml:space="preserve"> REF _Ref40802598 \w \h </w:instrText>
      </w:r>
      <w:r w:rsidRPr="006400F9" w:rsidR="00791303">
        <w:instrText xml:space="preserve"> \* MERGEFORMAT </w:instrText>
      </w:r>
      <w:r w:rsidRPr="006400F9">
        <w:fldChar w:fldCharType="separate"/>
      </w:r>
      <w:r w:rsidR="00B50BE2">
        <w:t>7.1</w:t>
      </w:r>
      <w:r w:rsidRPr="006400F9">
        <w:fldChar w:fldCharType="end"/>
      </w:r>
      <w:r>
        <w:t xml:space="preserve"> (</w:t>
      </w:r>
      <w:r w:rsidRPr="001B27C4" w:rsidR="001B27C4">
        <w:rPr>
          <w:i/>
        </w:rPr>
        <w:fldChar w:fldCharType="begin"/>
      </w:r>
      <w:r w:rsidRPr="001B27C4" w:rsidR="001B27C4">
        <w:rPr>
          <w:i/>
        </w:rPr>
        <w:instrText xml:space="preserve"> REF _Ref40802598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Restrictions à l’investissement</w:t>
      </w:r>
      <w:r w:rsidR="00B50BE2">
        <w:t>.</w:t>
      </w:r>
      <w:r w:rsidRPr="001B27C4" w:rsidR="001B27C4">
        <w:rPr>
          <w:i/>
        </w:rPr>
        <w:fldChar w:fldCharType="end"/>
      </w:r>
      <w:r>
        <w:t xml:space="preserve">) ou les dispositions </w:t>
      </w:r>
      <w:r w:rsidR="00265E0D">
        <w:t>de l’</w:t>
      </w:r>
      <w:r w:rsidRPr="006400F9">
        <w:fldChar w:fldCharType="begin"/>
      </w:r>
      <w:r w:rsidRPr="006400F9">
        <w:instrText xml:space="preserve"> REF _Ref40807452 \w \h </w:instrText>
      </w:r>
      <w:r w:rsidRPr="006400F9" w:rsidR="00791303">
        <w:instrText xml:space="preserve"> \* MERGEFORMAT </w:instrText>
      </w:r>
      <w:r w:rsidRPr="006400F9">
        <w:fldChar w:fldCharType="separate"/>
      </w:r>
      <w:r w:rsidR="00B50BE2">
        <w:t>Article 19</w:t>
      </w:r>
      <w:r w:rsidRPr="006400F9">
        <w:fldChar w:fldCharType="end"/>
      </w:r>
      <w:r>
        <w:t xml:space="preserve"> (</w:t>
      </w:r>
      <w:r w:rsidRPr="001B27C4" w:rsidR="001B27C4">
        <w:rPr>
          <w:i/>
        </w:rPr>
        <w:fldChar w:fldCharType="begin"/>
      </w:r>
      <w:r w:rsidRPr="001B27C4" w:rsidR="001B27C4">
        <w:rPr>
          <w:i/>
        </w:rPr>
        <w:instrText xml:space="preserve"> REF _Ref40807452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Modifications; procuration</w:t>
      </w:r>
      <w:r w:rsidRPr="001B27C4" w:rsidR="001B27C4">
        <w:rPr>
          <w:i/>
        </w:rPr>
        <w:fldChar w:fldCharType="end"/>
      </w:r>
      <w:r>
        <w:t xml:space="preserve">), sans le consentement écrit préalable de </w:t>
      </w:r>
      <w:r>
        <w:rPr>
          <w:b/>
        </w:rPr>
        <w:t>[</w:t>
      </w:r>
      <w:r>
        <w:rPr>
          <w:b/>
          <w:highlight w:val="yellow"/>
        </w:rPr>
        <w:t>66,7 % à 90</w:t>
      </w:r>
      <w:r>
        <w:rPr>
          <w:b/>
        </w:rPr>
        <w:t>]</w:t>
      </w:r>
      <w:r w:rsidR="00310CBA">
        <w:rPr>
          <w:b/>
        </w:rPr>
        <w:t xml:space="preserve"> </w:t>
      </w:r>
      <w:r>
        <w:t>%</w:t>
      </w:r>
      <w:bookmarkStart w:name="_Ref113892907" w:id="922"/>
      <w:r>
        <w:rPr>
          <w:szCs w:val="22"/>
          <w:vertAlign w:val="superscript"/>
        </w:rPr>
        <w:footnoteReference w:id="159"/>
      </w:r>
      <w:bookmarkEnd w:id="922"/>
      <w:r>
        <w:t xml:space="preserve"> </w:t>
      </w:r>
      <w:r w:rsidR="00265E0D">
        <w:t>des Participations</w:t>
      </w:r>
      <w:r>
        <w:t>;</w:t>
      </w:r>
      <w:bookmarkEnd w:id="921"/>
    </w:p>
    <w:p w:rsidR="0000160C" w:rsidRDefault="00C517ED" w14:paraId="046FD1FB" w14:textId="3B7DF197">
      <w:pPr>
        <w:pStyle w:val="ArtBJStyL3"/>
      </w:pPr>
      <w:bookmarkStart w:name="_Ref113892683" w:id="923"/>
      <w:proofErr w:type="gramStart"/>
      <w:r>
        <w:lastRenderedPageBreak/>
        <w:t>modifier</w:t>
      </w:r>
      <w:proofErr w:type="gramEnd"/>
      <w:r>
        <w:t xml:space="preserve"> ou amender tout</w:t>
      </w:r>
      <w:r w:rsidR="00265E0D">
        <w:t xml:space="preserve"> article </w:t>
      </w:r>
      <w:r>
        <w:t>faisant référence à l</w:t>
      </w:r>
      <w:r w:rsidR="00E27310">
        <w:t>’</w:t>
      </w:r>
      <w:r>
        <w:t xml:space="preserve">approbation des </w:t>
      </w:r>
      <w:r w:rsidR="00265E0D">
        <w:t>C</w:t>
      </w:r>
      <w:r>
        <w:t xml:space="preserve">ommanditaires par une majorité </w:t>
      </w:r>
      <w:r w:rsidR="00390358">
        <w:t>spécifique</w:t>
      </w:r>
      <w:r>
        <w:t xml:space="preserve"> (ou une majorité d</w:t>
      </w:r>
      <w:r w:rsidR="00E27310">
        <w:t>’</w:t>
      </w:r>
      <w:r>
        <w:t xml:space="preserve">une certaine catégorie de </w:t>
      </w:r>
      <w:r w:rsidR="00390358">
        <w:t>Co</w:t>
      </w:r>
      <w:r>
        <w:t xml:space="preserve">mmanditaires) sans le consentement écrit préalable des </w:t>
      </w:r>
      <w:r w:rsidR="00390358">
        <w:t>Co</w:t>
      </w:r>
      <w:r>
        <w:t>mmanditaires représentant au moins cette majorité;</w:t>
      </w:r>
      <w:r w:rsidR="00390358">
        <w:t> </w:t>
      </w:r>
      <w:r>
        <w:t>ou</w:t>
      </w:r>
      <w:bookmarkEnd w:id="923"/>
    </w:p>
    <w:p w:rsidR="0000160C" w:rsidRDefault="00C517ED" w14:paraId="50D731E5" w14:textId="6A787C8C">
      <w:pPr>
        <w:pStyle w:val="ArtBJStyL3"/>
      </w:pPr>
      <w:bookmarkStart w:name="_Ref113892684" w:id="924"/>
      <w:r>
        <w:t>porter atteinte</w:t>
      </w:r>
      <w:r w:rsidR="00390358">
        <w:t xml:space="preserve"> négativement</w:t>
      </w:r>
      <w:r>
        <w:t xml:space="preserve"> aux droits d</w:t>
      </w:r>
      <w:r w:rsidR="00E27310">
        <w:t>’</w:t>
      </w:r>
      <w:r>
        <w:t xml:space="preserve">un </w:t>
      </w:r>
      <w:r w:rsidR="00390358">
        <w:t>C</w:t>
      </w:r>
      <w:r>
        <w:t>ommanditaire d</w:t>
      </w:r>
      <w:r w:rsidR="00E27310">
        <w:t>’</w:t>
      </w:r>
      <w:r>
        <w:t xml:space="preserve">une manière qui </w:t>
      </w:r>
      <w:bookmarkStart w:name="DocXTextRef176" w:id="925"/>
      <w:r>
        <w:t>(i)</w:t>
      </w:r>
      <w:bookmarkEnd w:id="925"/>
      <w:r>
        <w:t xml:space="preserve"> </w:t>
      </w:r>
      <w:r w:rsidR="00390358">
        <w:t xml:space="preserve">discrimine </w:t>
      </w:r>
      <w:r>
        <w:t xml:space="preserve">ce </w:t>
      </w:r>
      <w:r w:rsidR="00390358">
        <w:t>C</w:t>
      </w:r>
      <w:r>
        <w:t xml:space="preserve">ommanditaire par rapport à tout autre </w:t>
      </w:r>
      <w:r w:rsidR="00390358">
        <w:t>C</w:t>
      </w:r>
      <w:r>
        <w:t xml:space="preserve">ommanditaire, </w:t>
      </w:r>
      <w:bookmarkStart w:name="DocXTextRef177" w:id="926"/>
      <w:r>
        <w:t>(ii)</w:t>
      </w:r>
      <w:bookmarkEnd w:id="926"/>
      <w:r>
        <w:t xml:space="preserve"> modifie </w:t>
      </w:r>
      <w:r w:rsidR="00390358">
        <w:t>l’</w:t>
      </w:r>
      <w:r w:rsidRPr="006400F9">
        <w:fldChar w:fldCharType="begin"/>
      </w:r>
      <w:r w:rsidRPr="006400F9">
        <w:instrText xml:space="preserve"> REF _Ref40807042 \w \h </w:instrText>
      </w:r>
      <w:r w:rsidRPr="006400F9" w:rsidR="00791303">
        <w:instrText xml:space="preserve"> \* MERGEFORMAT </w:instrText>
      </w:r>
      <w:r w:rsidRPr="006400F9">
        <w:fldChar w:fldCharType="separate"/>
      </w:r>
      <w:r w:rsidR="00B50BE2">
        <w:t>Article 14</w:t>
      </w:r>
      <w:r w:rsidRPr="006400F9">
        <w:fldChar w:fldCharType="end"/>
      </w:r>
      <w:r>
        <w:t xml:space="preserve"> (</w:t>
      </w:r>
      <w:r w:rsidRPr="001B27C4" w:rsidR="001B27C4">
        <w:rPr>
          <w:i/>
        </w:rPr>
        <w:fldChar w:fldCharType="begin"/>
      </w:r>
      <w:r w:rsidRPr="001B27C4" w:rsidR="001B27C4">
        <w:rPr>
          <w:i/>
        </w:rPr>
        <w:instrText xml:space="preserve"> REF _Ref40807042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 xml:space="preserve">DISTRIBUTIONS; </w:t>
      </w:r>
      <w:r w:rsidRPr="001B27C4" w:rsidR="001B27C4">
        <w:rPr>
          <w:i/>
        </w:rPr>
        <w:fldChar w:fldCharType="end"/>
      </w:r>
      <w:r w:rsidR="00390358">
        <w:rPr>
          <w:i/>
        </w:rPr>
        <w:t>.</w:t>
      </w:r>
      <w:r>
        <w:t xml:space="preserve">), </w:t>
      </w:r>
      <w:bookmarkStart w:name="DocXTextRef178" w:id="927"/>
      <w:r>
        <w:t>(iii)</w:t>
      </w:r>
      <w:bookmarkEnd w:id="927"/>
      <w:r>
        <w:t xml:space="preserve"> modifie </w:t>
      </w:r>
      <w:r w:rsidR="00390358">
        <w:t>l’article</w:t>
      </w:r>
      <w:r>
        <w:t> </w:t>
      </w:r>
      <w:r w:rsidR="002F056E">
        <w:fldChar w:fldCharType="begin"/>
      </w:r>
      <w:r w:rsidR="002F056E">
        <w:instrText xml:space="preserve"> REF _Ref96457888 \r \h </w:instrText>
      </w:r>
      <w:r w:rsidR="002F056E">
        <w:fldChar w:fldCharType="separate"/>
      </w:r>
      <w:r w:rsidR="00B50BE2">
        <w:t>8.4</w:t>
      </w:r>
      <w:r w:rsidR="002F056E">
        <w:fldChar w:fldCharType="end"/>
      </w:r>
      <w:r>
        <w:t xml:space="preserve"> (</w:t>
      </w:r>
      <w:r w:rsidRPr="002F056E" w:rsidR="002F056E">
        <w:rPr>
          <w:i/>
        </w:rPr>
        <w:fldChar w:fldCharType="begin"/>
      </w:r>
      <w:r w:rsidRPr="002F056E" w:rsidR="002F056E">
        <w:rPr>
          <w:i/>
        </w:rPr>
        <w:instrText xml:space="preserve"> REF _Ref96457888 \h </w:instrText>
      </w:r>
      <w:r w:rsidR="002F056E">
        <w:rPr>
          <w:i/>
        </w:rPr>
        <w:instrText xml:space="preserve"> \* MERGEFORMAT </w:instrText>
      </w:r>
      <w:r w:rsidRPr="002F056E" w:rsidR="002F056E">
        <w:rPr>
          <w:i/>
        </w:rPr>
      </w:r>
      <w:r w:rsidRPr="002F056E" w:rsidR="002F056E">
        <w:rPr>
          <w:i/>
        </w:rPr>
        <w:fldChar w:fldCharType="separate"/>
      </w:r>
      <w:r w:rsidRPr="00B50BE2" w:rsidR="00B50BE2">
        <w:rPr>
          <w:i/>
        </w:rPr>
        <w:t>Frais de gestion</w:t>
      </w:r>
      <w:r w:rsidR="00B50BE2">
        <w:t>.</w:t>
      </w:r>
      <w:r w:rsidRPr="002F056E" w:rsidR="002F056E">
        <w:rPr>
          <w:i/>
        </w:rPr>
        <w:fldChar w:fldCharType="end"/>
      </w:r>
      <w:r>
        <w:t xml:space="preserve">); </w:t>
      </w:r>
      <w:bookmarkStart w:name="DocXTextRef179" w:id="928"/>
      <w:r>
        <w:t>(iv)</w:t>
      </w:r>
      <w:bookmarkEnd w:id="928"/>
      <w:r>
        <w:t xml:space="preserve"> augmente ou diminue l</w:t>
      </w:r>
      <w:r w:rsidR="00E27310">
        <w:t>’</w:t>
      </w:r>
      <w:r w:rsidR="00390358">
        <w:t>E</w:t>
      </w:r>
      <w:r>
        <w:t>ngagement d</w:t>
      </w:r>
      <w:r w:rsidR="00E27310">
        <w:t>’</w:t>
      </w:r>
      <w:r>
        <w:t xml:space="preserve">un </w:t>
      </w:r>
      <w:r w:rsidR="00390358">
        <w:t>C</w:t>
      </w:r>
      <w:r>
        <w:t xml:space="preserve">ommanditaire; ou </w:t>
      </w:r>
      <w:bookmarkStart w:name="DocXTextRef180" w:id="929"/>
      <w:r>
        <w:t>(v)</w:t>
      </w:r>
      <w:bookmarkEnd w:id="929"/>
      <w:r>
        <w:t xml:space="preserve"> </w:t>
      </w:r>
      <w:r w:rsidR="00390358">
        <w:t>porte atteinte</w:t>
      </w:r>
      <w:r>
        <w:t xml:space="preserve"> négativement </w:t>
      </w:r>
      <w:r w:rsidR="00390358">
        <w:t xml:space="preserve">à </w:t>
      </w:r>
      <w:r>
        <w:t xml:space="preserve">la responsabilité limitée de ce </w:t>
      </w:r>
      <w:r w:rsidR="00390358">
        <w:t>C</w:t>
      </w:r>
      <w:r>
        <w:t>ommanditaire en vertu de la Loi, sans le consentement écrit préalable de c</w:t>
      </w:r>
      <w:r w:rsidR="00310CBA">
        <w:t>e</w:t>
      </w:r>
      <w:r>
        <w:t xml:space="preserve"> </w:t>
      </w:r>
      <w:r w:rsidR="00390358">
        <w:t>C</w:t>
      </w:r>
      <w:r>
        <w:t>ommanditaire concerné.</w:t>
      </w:r>
      <w:bookmarkEnd w:id="924"/>
    </w:p>
    <w:p w:rsidR="0000160C" w:rsidRDefault="00C517ED" w14:paraId="6AA2025E" w14:textId="5DAC6B75">
      <w:pPr>
        <w:pStyle w:val="ArtBJStyL2"/>
      </w:pPr>
      <w:bookmarkStart w:name="_Ref40806476" w:id="930"/>
      <w:bookmarkStart w:name="_Toc161762429" w:id="931"/>
      <w:r>
        <w:t>Avis de modification</w:t>
      </w:r>
      <w:r w:rsidR="0008762F">
        <w:t>s</w:t>
      </w:r>
      <w:r>
        <w:t>.</w:t>
      </w:r>
      <w:bookmarkEnd w:id="930"/>
      <w:bookmarkEnd w:id="931"/>
    </w:p>
    <w:p w:rsidR="0000160C" w:rsidRDefault="00C517ED" w14:paraId="6441CABB" w14:textId="7C2AA588">
      <w:pPr>
        <w:pStyle w:val="ArtBJStyCont2"/>
      </w:pPr>
      <w:r>
        <w:t xml:space="preserve">Dans les </w:t>
      </w:r>
      <w:r>
        <w:rPr>
          <w:b/>
          <w:highlight w:val="yellow"/>
        </w:rPr>
        <w:t xml:space="preserve">[10 </w:t>
      </w:r>
      <w:r w:rsidR="00390358">
        <w:rPr>
          <w:b/>
          <w:highlight w:val="yellow"/>
        </w:rPr>
        <w:t>J</w:t>
      </w:r>
      <w:r>
        <w:rPr>
          <w:b/>
          <w:highlight w:val="yellow"/>
        </w:rPr>
        <w:t>ours ouvrables]</w:t>
      </w:r>
      <w:r>
        <w:t xml:space="preserve"> suivant l</w:t>
      </w:r>
      <w:r w:rsidR="00E27310">
        <w:t>’</w:t>
      </w:r>
      <w:r>
        <w:t xml:space="preserve">adoption de toute modification conformément </w:t>
      </w:r>
      <w:r w:rsidR="00390358">
        <w:t>au présent</w:t>
      </w:r>
      <w:r>
        <w:t xml:space="preserve"> </w:t>
      </w:r>
      <w:r w:rsidRPr="006400F9">
        <w:fldChar w:fldCharType="begin"/>
      </w:r>
      <w:r w:rsidRPr="006400F9">
        <w:instrText xml:space="preserve"> REF _Ref40807452 \w \h </w:instrText>
      </w:r>
      <w:r w:rsidRPr="006400F9" w:rsidR="00791303">
        <w:instrText xml:space="preserve"> \* MERGEFORMAT </w:instrText>
      </w:r>
      <w:r w:rsidRPr="006400F9">
        <w:fldChar w:fldCharType="separate"/>
      </w:r>
      <w:r w:rsidR="00B50BE2">
        <w:t>Article 19</w:t>
      </w:r>
      <w:r w:rsidRPr="006400F9">
        <w:fldChar w:fldCharType="end"/>
      </w:r>
      <w:r>
        <w:t xml:space="preserve"> (</w:t>
      </w:r>
      <w:r w:rsidRPr="001B27C4" w:rsidR="001B27C4">
        <w:rPr>
          <w:i/>
        </w:rPr>
        <w:fldChar w:fldCharType="begin"/>
      </w:r>
      <w:r w:rsidRPr="001B27C4" w:rsidR="001B27C4">
        <w:rPr>
          <w:i/>
        </w:rPr>
        <w:instrText xml:space="preserve"> REF _Ref40807452 \h </w:instrText>
      </w:r>
      <w:r w:rsidR="001B27C4">
        <w:rPr>
          <w:i/>
        </w:rPr>
        <w:instrText xml:space="preserve"> \* MERGEFORMAT </w:instrText>
      </w:r>
      <w:r w:rsidRPr="001B27C4" w:rsidR="001B27C4">
        <w:rPr>
          <w:i/>
        </w:rPr>
      </w:r>
      <w:r w:rsidRPr="001B27C4" w:rsidR="001B27C4">
        <w:rPr>
          <w:i/>
        </w:rPr>
        <w:fldChar w:fldCharType="separate"/>
      </w:r>
      <w:proofErr w:type="gramStart"/>
      <w:r w:rsidRPr="00B50BE2" w:rsidR="00B50BE2">
        <w:rPr>
          <w:i/>
        </w:rPr>
        <w:t>Modifications;</w:t>
      </w:r>
      <w:proofErr w:type="gramEnd"/>
      <w:r w:rsidRPr="00B50BE2" w:rsidR="00B50BE2">
        <w:rPr>
          <w:i/>
        </w:rPr>
        <w:t xml:space="preserve"> procuration</w:t>
      </w:r>
      <w:r w:rsidRPr="001B27C4" w:rsidR="001B27C4">
        <w:rPr>
          <w:i/>
        </w:rPr>
        <w:fldChar w:fldCharType="end"/>
      </w:r>
      <w:r>
        <w:t xml:space="preserve">), le </w:t>
      </w:r>
      <w:r w:rsidR="00390358">
        <w:t>C</w:t>
      </w:r>
      <w:r>
        <w:t xml:space="preserve">ommandité doit envoyer à chaque </w:t>
      </w:r>
      <w:r w:rsidR="00390358">
        <w:t>C</w:t>
      </w:r>
      <w:r>
        <w:t xml:space="preserve">ommanditaire une copie de cette modification, en indiquant les modifications applicables et, le cas échéant, le pourcentage </w:t>
      </w:r>
      <w:r w:rsidR="00390358">
        <w:t>de Participation</w:t>
      </w:r>
      <w:r>
        <w:t xml:space="preserve"> qui a voté en faveur de la modification.</w:t>
      </w:r>
    </w:p>
    <w:p w:rsidR="0000160C" w:rsidRDefault="00C517ED" w14:paraId="4B0B4811" w14:textId="77777777">
      <w:pPr>
        <w:pStyle w:val="ArtBJStyL2"/>
      </w:pPr>
      <w:bookmarkStart w:name="_Ref113892685" w:id="932"/>
      <w:bookmarkStart w:name="_Ref40802766" w:id="933"/>
      <w:bookmarkStart w:name="_Toc161762430" w:id="934"/>
      <w:r>
        <w:t>Procuration.</w:t>
      </w:r>
      <w:bookmarkStart w:name="_Ref113892908" w:id="935"/>
      <w:r>
        <w:rPr>
          <w:rStyle w:val="FootnoteReference"/>
        </w:rPr>
        <w:footnoteReference w:id="160"/>
      </w:r>
      <w:bookmarkEnd w:id="932"/>
      <w:bookmarkEnd w:id="933"/>
      <w:bookmarkEnd w:id="934"/>
      <w:bookmarkEnd w:id="935"/>
    </w:p>
    <w:p w:rsidR="0000160C" w:rsidRDefault="00C517ED" w14:paraId="0AD88FBE" w14:textId="4617EAC4">
      <w:pPr>
        <w:pStyle w:val="ArtBJStyCont2"/>
        <w:keepNext/>
      </w:pPr>
      <w:r>
        <w:t xml:space="preserve">Chaque </w:t>
      </w:r>
      <w:r w:rsidR="00390358">
        <w:t>C</w:t>
      </w:r>
      <w:r>
        <w:t xml:space="preserve">ommanditaire fait, constitue et désigne par les présentes, de manière inconditionnelle et irrévocable, le </w:t>
      </w:r>
      <w:r w:rsidR="00390358">
        <w:t>C</w:t>
      </w:r>
      <w:r>
        <w:t xml:space="preserve">ommandité et tout </w:t>
      </w:r>
      <w:r w:rsidR="00390358">
        <w:t>remplaçant</w:t>
      </w:r>
      <w:r>
        <w:t xml:space="preserve"> du </w:t>
      </w:r>
      <w:r w:rsidR="00390358">
        <w:t>C</w:t>
      </w:r>
      <w:r>
        <w:t xml:space="preserve">ommandité en vertu des modalités </w:t>
      </w:r>
      <w:r w:rsidR="00E536D5">
        <w:t>de la présente Convention</w:t>
      </w:r>
      <w:r>
        <w:t xml:space="preserve">, </w:t>
      </w:r>
      <w:r w:rsidR="00390358">
        <w:t>en tout temps</w:t>
      </w:r>
      <w:r>
        <w:t xml:space="preserve"> avant </w:t>
      </w:r>
      <w:r w:rsidR="00390358">
        <w:t>qu’une Conduite sujette à destitution ne se produise</w:t>
      </w:r>
      <w:r>
        <w:t xml:space="preserve">, comme son véritable </w:t>
      </w:r>
      <w:r w:rsidR="00390358">
        <w:t xml:space="preserve">et légitime </w:t>
      </w:r>
      <w:r w:rsidR="0082726A">
        <w:t xml:space="preserve">fondé de pouvoir, </w:t>
      </w:r>
      <w:r w:rsidR="00390358">
        <w:t>mandataire et agent</w:t>
      </w:r>
      <w:r>
        <w:t xml:space="preserve">, avec plein pouvoir de substitution et autorité au nom, au lieu et à la place du </w:t>
      </w:r>
      <w:r w:rsidR="00390358">
        <w:t>C</w:t>
      </w:r>
      <w:r>
        <w:t>ommanditaire pour :</w:t>
      </w:r>
    </w:p>
    <w:p w:rsidR="0000160C" w:rsidRDefault="00C517ED" w14:paraId="310F1E27" w14:textId="39EE4858">
      <w:pPr>
        <w:pStyle w:val="ArtBJStyL3"/>
        <w:keepNext/>
      </w:pPr>
      <w:bookmarkStart w:name="_Ref113892686" w:id="936"/>
      <w:proofErr w:type="gramStart"/>
      <w:r>
        <w:t>signer</w:t>
      </w:r>
      <w:proofErr w:type="gramEnd"/>
      <w:r>
        <w:t xml:space="preserve">, jurer, </w:t>
      </w:r>
      <w:r w:rsidR="00390358">
        <w:t>reconnaître</w:t>
      </w:r>
      <w:r>
        <w:t xml:space="preserve">, </w:t>
      </w:r>
      <w:r w:rsidR="00390358">
        <w:t>remettre</w:t>
      </w:r>
      <w:r>
        <w:t xml:space="preserve">, </w:t>
      </w:r>
      <w:r w:rsidR="00390358">
        <w:t>enregistrer</w:t>
      </w:r>
      <w:r>
        <w:t xml:space="preserve"> ou </w:t>
      </w:r>
      <w:r w:rsidR="00390358">
        <w:t>produire</w:t>
      </w:r>
      <w:r>
        <w:t xml:space="preserve"> dans les bureaux publics appropriés dans toute juridiction où le </w:t>
      </w:r>
      <w:r w:rsidR="00F86C20">
        <w:t>C</w:t>
      </w:r>
      <w:r>
        <w:t>ommandité le juge approprié</w:t>
      </w:r>
      <w:r w:rsidR="00F86C20">
        <w:t xml:space="preserve"> l’un ou l’autre des éléments suivants</w:t>
      </w:r>
      <w:r>
        <w:t xml:space="preserve"> :</w:t>
      </w:r>
      <w:bookmarkEnd w:id="936"/>
    </w:p>
    <w:p w:rsidR="0000160C" w:rsidRDefault="00F86C20" w14:paraId="2C048580" w14:textId="2C0FE9F5">
      <w:pPr>
        <w:pStyle w:val="ArtBJStyL4"/>
      </w:pPr>
      <w:bookmarkStart w:name="_Ref113892687" w:id="937"/>
      <w:proofErr w:type="gramStart"/>
      <w:r>
        <w:t>la</w:t>
      </w:r>
      <w:proofErr w:type="gramEnd"/>
      <w:r>
        <w:t xml:space="preserve"> présente Convention</w:t>
      </w:r>
      <w:r w:rsidR="00C517ED">
        <w:t xml:space="preserve"> et toute modification apportée conformément à ses </w:t>
      </w:r>
      <w:r>
        <w:t>modalités</w:t>
      </w:r>
      <w:r w:rsidR="00C517ED">
        <w:t>;</w:t>
      </w:r>
      <w:bookmarkEnd w:id="937"/>
    </w:p>
    <w:p w:rsidR="0000160C" w:rsidRDefault="00C517ED" w14:paraId="44825658" w14:textId="66A65BD1">
      <w:pPr>
        <w:pStyle w:val="ArtBJStyL4"/>
      </w:pPr>
      <w:bookmarkStart w:name="_Ref113892688" w:id="938"/>
      <w:proofErr w:type="gramStart"/>
      <w:r>
        <w:t>toute</w:t>
      </w:r>
      <w:proofErr w:type="gramEnd"/>
      <w:r>
        <w:t xml:space="preserve"> modification à la </w:t>
      </w:r>
      <w:r w:rsidR="00F86C20">
        <w:t>D</w:t>
      </w:r>
      <w:r>
        <w:t>éclaration et à tous les certificats et autres instruments nécessaires ou souhaitables pour que le Fonds soit admissible ou continue d</w:t>
      </w:r>
      <w:r w:rsidR="00E27310">
        <w:t>’</w:t>
      </w:r>
      <w:r>
        <w:t xml:space="preserve">être admissible à titre de société en commandite dans la province </w:t>
      </w:r>
      <w:r>
        <w:rPr>
          <w:b/>
          <w:bCs/>
          <w:highlight w:val="yellow"/>
        </w:rPr>
        <w:t>[</w:t>
      </w:r>
      <w:r w:rsidR="001F2796">
        <w:rPr>
          <w:b/>
          <w:bCs/>
          <w:highlight w:val="yellow"/>
        </w:rPr>
        <w:t>de l’</w:t>
      </w:r>
      <w:r>
        <w:rPr>
          <w:b/>
          <w:bCs/>
          <w:highlight w:val="yellow"/>
        </w:rPr>
        <w:t>Ontario/</w:t>
      </w:r>
      <w:r w:rsidR="001F2796">
        <w:rPr>
          <w:b/>
          <w:bCs/>
          <w:highlight w:val="yellow"/>
        </w:rPr>
        <w:t xml:space="preserve">du </w:t>
      </w:r>
      <w:r>
        <w:rPr>
          <w:b/>
          <w:bCs/>
          <w:highlight w:val="yellow"/>
        </w:rPr>
        <w:t>Québec]</w:t>
      </w:r>
      <w:r>
        <w:t xml:space="preserve"> et dans toute autre juridiction où le Fonds peut exercer ses activités ou lorsque cette </w:t>
      </w:r>
      <w:r w:rsidR="00F86C20">
        <w:t>qualification</w:t>
      </w:r>
      <w:r>
        <w:t xml:space="preserve"> est nécessaire ou souhaitable pour que les </w:t>
      </w:r>
      <w:r w:rsidR="00F86C20">
        <w:t>C</w:t>
      </w:r>
      <w:r>
        <w:t xml:space="preserve">ommanditaires </w:t>
      </w:r>
      <w:r w:rsidR="00D037CB">
        <w:t>maintienne</w:t>
      </w:r>
      <w:r w:rsidR="00D42829">
        <w:t>nt</w:t>
      </w:r>
      <w:r w:rsidR="00D037CB">
        <w:t xml:space="preserve"> leur responsabilité limitée </w:t>
      </w:r>
      <w:r>
        <w:t>dans cette juridiction;</w:t>
      </w:r>
      <w:bookmarkEnd w:id="938"/>
    </w:p>
    <w:p w:rsidR="0000160C" w:rsidRDefault="00C517ED" w14:paraId="57373573" w14:textId="266AC011">
      <w:pPr>
        <w:pStyle w:val="ArtBJStyL4"/>
      </w:pPr>
      <w:bookmarkStart w:name="_Ref113892689" w:id="939"/>
      <w:proofErr w:type="gramStart"/>
      <w:r>
        <w:t>tous</w:t>
      </w:r>
      <w:proofErr w:type="gramEnd"/>
      <w:r>
        <w:t xml:space="preserve"> les instruments et certificats et toute modification de la </w:t>
      </w:r>
      <w:r w:rsidR="00D037CB">
        <w:t>D</w:t>
      </w:r>
      <w:r>
        <w:t>éclaration nécessaire ou souhaitable pour refléter tout</w:t>
      </w:r>
      <w:r w:rsidR="00D037CB">
        <w:t xml:space="preserve"> amendement</w:t>
      </w:r>
      <w:r>
        <w:t xml:space="preserve">, tout changement ou toute modification </w:t>
      </w:r>
      <w:r w:rsidR="00E536D5">
        <w:t>de la présente Convention</w:t>
      </w:r>
      <w:r>
        <w:t xml:space="preserve">, sous réserve des modalités et restrictions </w:t>
      </w:r>
      <w:r w:rsidR="00E536D5">
        <w:t>de la présente Convention</w:t>
      </w:r>
      <w:r>
        <w:t>;</w:t>
      </w:r>
      <w:bookmarkEnd w:id="939"/>
    </w:p>
    <w:p w:rsidR="0000160C" w:rsidRDefault="00C517ED" w14:paraId="7C0A618D" w14:textId="3D437C4B">
      <w:pPr>
        <w:pStyle w:val="ArtBJStyL4"/>
      </w:pPr>
      <w:bookmarkStart w:name="_Ref113892690" w:id="940"/>
      <w:proofErr w:type="gramStart"/>
      <w:r>
        <w:lastRenderedPageBreak/>
        <w:t>tous</w:t>
      </w:r>
      <w:proofErr w:type="gramEnd"/>
      <w:r>
        <w:t xml:space="preserve"> les </w:t>
      </w:r>
      <w:r w:rsidR="00D037CB">
        <w:t>transferts</w:t>
      </w:r>
      <w:r>
        <w:t xml:space="preserve"> et autres instruments et documents nécessaires pour refléter la dissolution et la liquidation du Fonds, sous réserve des modalités </w:t>
      </w:r>
      <w:r w:rsidR="00E536D5">
        <w:t>de la présente Convention</w:t>
      </w:r>
      <w:r>
        <w:t>;</w:t>
      </w:r>
      <w:bookmarkEnd w:id="940"/>
    </w:p>
    <w:p w:rsidR="0000160C" w:rsidRDefault="00C517ED" w14:paraId="354D6A31" w14:textId="2AB80925">
      <w:pPr>
        <w:pStyle w:val="ArtBJStyL4"/>
      </w:pPr>
      <w:bookmarkStart w:name="_Ref113892691" w:id="941"/>
      <w:proofErr w:type="gramStart"/>
      <w:r>
        <w:t>tous</w:t>
      </w:r>
      <w:proofErr w:type="gramEnd"/>
      <w:r>
        <w:t xml:space="preserve"> les choix, déterminations ou désignations en vertu de la Loi de l</w:t>
      </w:r>
      <w:r w:rsidR="00E27310">
        <w:t>’</w:t>
      </w:r>
      <w:r>
        <w:t xml:space="preserve">impôt ou de toute autre loi fiscale du Canada ou de toute autre juridiction que le </w:t>
      </w:r>
      <w:r w:rsidR="00D037CB">
        <w:t>C</w:t>
      </w:r>
      <w:r>
        <w:t xml:space="preserve">ommandité est autorisé à </w:t>
      </w:r>
      <w:r w:rsidR="00D037CB">
        <w:t>agir</w:t>
      </w:r>
      <w:r>
        <w:t xml:space="preserve"> au nom du Fonds ou de tout </w:t>
      </w:r>
      <w:r w:rsidR="00D037CB">
        <w:t>C</w:t>
      </w:r>
      <w:r>
        <w:t xml:space="preserve">ommanditaire en vertu </w:t>
      </w:r>
      <w:r w:rsidR="00E536D5">
        <w:t>de la présente Convention</w:t>
      </w:r>
      <w:r>
        <w:t>;</w:t>
      </w:r>
      <w:bookmarkEnd w:id="941"/>
    </w:p>
    <w:p w:rsidR="0000160C" w:rsidRDefault="00C517ED" w14:paraId="75EF98F6" w14:textId="4E4C7DBD">
      <w:pPr>
        <w:pStyle w:val="ArtBJStyL4"/>
      </w:pPr>
      <w:bookmarkStart w:name="_Ref113892692" w:id="942"/>
      <w:proofErr w:type="gramStart"/>
      <w:r>
        <w:t>tous</w:t>
      </w:r>
      <w:proofErr w:type="gramEnd"/>
      <w:r>
        <w:t xml:space="preserve"> les instruments relatifs à l</w:t>
      </w:r>
      <w:r w:rsidR="00E27310">
        <w:t>’</w:t>
      </w:r>
      <w:r>
        <w:t xml:space="preserve">admission de </w:t>
      </w:r>
      <w:r w:rsidR="00D037CB">
        <w:t>C</w:t>
      </w:r>
      <w:r>
        <w:t xml:space="preserve">ommanditaires supplémentaires ou </w:t>
      </w:r>
      <w:r w:rsidR="00D037CB">
        <w:t>de substitution</w:t>
      </w:r>
      <w:r>
        <w:t xml:space="preserve">, sous réserve des </w:t>
      </w:r>
      <w:r w:rsidR="00D037CB">
        <w:t>modalités</w:t>
      </w:r>
      <w:r>
        <w:t xml:space="preserve"> et restrictions </w:t>
      </w:r>
      <w:r w:rsidR="00E536D5">
        <w:t>de la présente Convention</w:t>
      </w:r>
      <w:r>
        <w:t>; et</w:t>
      </w:r>
      <w:bookmarkEnd w:id="942"/>
    </w:p>
    <w:p w:rsidR="0000160C" w:rsidRDefault="00C517ED" w14:paraId="03CC1A4B" w14:textId="6885FC7F">
      <w:pPr>
        <w:pStyle w:val="ArtBJStyL4"/>
      </w:pPr>
      <w:bookmarkStart w:name="_Ref113892693" w:id="943"/>
      <w:proofErr w:type="gramStart"/>
      <w:r>
        <w:t>tout</w:t>
      </w:r>
      <w:proofErr w:type="gramEnd"/>
      <w:r>
        <w:t xml:space="preserve"> document ou instrument relatif à la vente, au transfert ou à l</w:t>
      </w:r>
      <w:r w:rsidR="00D037CB">
        <w:t>’abandon d’une Participation</w:t>
      </w:r>
      <w:r>
        <w:t xml:space="preserve"> </w:t>
      </w:r>
      <w:r w:rsidR="00D037CB">
        <w:t>prévu</w:t>
      </w:r>
      <w:r>
        <w:t xml:space="preserve"> </w:t>
      </w:r>
      <w:r w:rsidR="00D037CB">
        <w:t>à</w:t>
      </w:r>
      <w:r>
        <w:t xml:space="preserve"> l</w:t>
      </w:r>
      <w:r w:rsidR="00E27310">
        <w:t>’</w:t>
      </w:r>
      <w:r>
        <w:t>article </w:t>
      </w:r>
      <w:r w:rsidRPr="006400F9">
        <w:fldChar w:fldCharType="begin"/>
      </w:r>
      <w:r w:rsidRPr="006400F9">
        <w:instrText xml:space="preserve"> REF _Ref40803112 \w \h </w:instrText>
      </w:r>
      <w:r w:rsidRPr="006400F9" w:rsidR="00791303">
        <w:instrText xml:space="preserve"> \* MERGEFORMAT </w:instrText>
      </w:r>
      <w:r w:rsidRPr="006400F9">
        <w:fldChar w:fldCharType="separate"/>
      </w:r>
      <w:r w:rsidR="00B50BE2">
        <w:t>6.6</w:t>
      </w:r>
      <w:r w:rsidRPr="006400F9">
        <w:fldChar w:fldCharType="end"/>
      </w:r>
      <w:r>
        <w:t xml:space="preserve"> (</w:t>
      </w:r>
      <w:r w:rsidRPr="001B27C4" w:rsidR="001B27C4">
        <w:rPr>
          <w:i/>
        </w:rPr>
        <w:fldChar w:fldCharType="begin"/>
      </w:r>
      <w:r w:rsidRPr="001B27C4" w:rsidR="001B27C4">
        <w:rPr>
          <w:i/>
        </w:rPr>
        <w:instrText xml:space="preserve"> REF _Ref40803112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Associés défaillants.</w:t>
      </w:r>
      <w:r w:rsidRPr="001B27C4" w:rsidR="001B27C4">
        <w:rPr>
          <w:i/>
        </w:rPr>
        <w:fldChar w:fldCharType="end"/>
      </w:r>
      <w:r>
        <w:t>).</w:t>
      </w:r>
      <w:bookmarkEnd w:id="943"/>
    </w:p>
    <w:p w:rsidR="0000160C" w:rsidRDefault="00C517ED" w14:paraId="48196BB7" w14:textId="21501EF6">
      <w:pPr>
        <w:pStyle w:val="ArtBJStyL2"/>
      </w:pPr>
      <w:bookmarkStart w:name="_Ref113892694" w:id="944"/>
      <w:bookmarkStart w:name="_Toc161762431" w:id="945"/>
      <w:r>
        <w:t xml:space="preserve">Procuration </w:t>
      </w:r>
      <w:r w:rsidR="00D037CB">
        <w:t>de portée ministérielle</w:t>
      </w:r>
      <w:r>
        <w:t>.</w:t>
      </w:r>
      <w:bookmarkEnd w:id="944"/>
      <w:bookmarkEnd w:id="945"/>
    </w:p>
    <w:p w:rsidR="0000160C" w:rsidRDefault="00C517ED" w14:paraId="1246155D" w14:textId="45C93935">
      <w:pPr>
        <w:pStyle w:val="ArtBJStyCont2"/>
      </w:pPr>
      <w:r>
        <w:t xml:space="preserve">La procuration accordée au </w:t>
      </w:r>
      <w:r w:rsidR="00CA1D8F">
        <w:t>C</w:t>
      </w:r>
      <w:r>
        <w:t xml:space="preserve">ommandité par chaque </w:t>
      </w:r>
      <w:r w:rsidR="00CA1D8F">
        <w:t>Commanditaire</w:t>
      </w:r>
      <w:r>
        <w:t xml:space="preserve"> conformément </w:t>
      </w:r>
      <w:r w:rsidR="00CA1D8F">
        <w:t>à la présente Convention</w:t>
      </w:r>
      <w:r>
        <w:t xml:space="preserve"> et à tout</w:t>
      </w:r>
      <w:r w:rsidR="00064DB4">
        <w:t>e</w:t>
      </w:r>
      <w:r>
        <w:t xml:space="preserve"> </w:t>
      </w:r>
      <w:r w:rsidR="00064DB4">
        <w:t>Convention de souscription</w:t>
      </w:r>
      <w:r>
        <w:t xml:space="preserve"> </w:t>
      </w:r>
      <w:r w:rsidR="00064DB4">
        <w:t>se limite</w:t>
      </w:r>
      <w:r>
        <w:t xml:space="preserve"> </w:t>
      </w:r>
      <w:r w:rsidR="00064DB4">
        <w:t>à des questions d’ordre ministériel</w:t>
      </w:r>
      <w:r>
        <w:t xml:space="preserve">. Sous réserve des droits conférés au </w:t>
      </w:r>
      <w:r w:rsidR="00757717">
        <w:t>C</w:t>
      </w:r>
      <w:r>
        <w:t>ommandité d</w:t>
      </w:r>
      <w:r w:rsidR="00E27310">
        <w:t>’</w:t>
      </w:r>
      <w:r>
        <w:t xml:space="preserve">exercer une procuration </w:t>
      </w:r>
      <w:r w:rsidR="00757717">
        <w:t>à l’égard</w:t>
      </w:r>
      <w:r>
        <w:t xml:space="preserve"> des modifications </w:t>
      </w:r>
      <w:r w:rsidR="00757717">
        <w:t>à</w:t>
      </w:r>
      <w:r w:rsidR="00E536D5">
        <w:t xml:space="preserve"> la présente Convention</w:t>
      </w:r>
      <w:r>
        <w:t xml:space="preserve"> dûment approuvées et adoptées conformément </w:t>
      </w:r>
      <w:r w:rsidR="00757717">
        <w:t>à la présente Convention</w:t>
      </w:r>
      <w:r>
        <w:t xml:space="preserve"> ou conformément à l</w:t>
      </w:r>
      <w:r w:rsidR="00757717">
        <w:t xml:space="preserve">’article </w:t>
      </w:r>
      <w:r w:rsidRPr="00226F06">
        <w:fldChar w:fldCharType="begin"/>
      </w:r>
      <w:r w:rsidRPr="00226F06">
        <w:instrText xml:space="preserve"> REF _Ref40803112 \w \h </w:instrText>
      </w:r>
      <w:r w:rsidRPr="00226F06" w:rsidR="00791303">
        <w:instrText xml:space="preserve"> \* MERGEFORMAT </w:instrText>
      </w:r>
      <w:r w:rsidRPr="00226F06">
        <w:fldChar w:fldCharType="separate"/>
      </w:r>
      <w:r w:rsidR="00B50BE2">
        <w:t>6.6</w:t>
      </w:r>
      <w:r w:rsidRPr="00226F06">
        <w:fldChar w:fldCharType="end"/>
      </w:r>
      <w:r>
        <w:t xml:space="preserve"> (</w:t>
      </w:r>
      <w:r w:rsidRPr="001B27C4" w:rsidR="001B27C4">
        <w:rPr>
          <w:i/>
        </w:rPr>
        <w:fldChar w:fldCharType="begin"/>
      </w:r>
      <w:r w:rsidRPr="001B27C4" w:rsidR="001B27C4">
        <w:rPr>
          <w:i/>
        </w:rPr>
        <w:instrText xml:space="preserve"> REF _Ref40803112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Associés défaillants.</w:t>
      </w:r>
      <w:r w:rsidRPr="001B27C4" w:rsidR="001B27C4">
        <w:rPr>
          <w:i/>
        </w:rPr>
        <w:fldChar w:fldCharType="end"/>
      </w:r>
      <w:r>
        <w:t xml:space="preserve">), le </w:t>
      </w:r>
      <w:r w:rsidR="00757717">
        <w:t>C</w:t>
      </w:r>
      <w:r>
        <w:t xml:space="preserve">ommandité </w:t>
      </w:r>
      <w:r w:rsidR="00757717">
        <w:t>ne doit pas exercer</w:t>
      </w:r>
      <w:r>
        <w:t xml:space="preserve"> aucune procuration qui lui </w:t>
      </w:r>
      <w:r w:rsidR="00757717">
        <w:t>a</w:t>
      </w:r>
      <w:r>
        <w:t xml:space="preserve"> été accordée par un </w:t>
      </w:r>
      <w:r w:rsidR="00757717">
        <w:t>Co</w:t>
      </w:r>
      <w:r>
        <w:t>mmanditaire d</w:t>
      </w:r>
      <w:r w:rsidR="00E27310">
        <w:t>’</w:t>
      </w:r>
      <w:r>
        <w:t xml:space="preserve">une manière qui pourrait avoir une incidence importante et défavorable sur les </w:t>
      </w:r>
      <w:r w:rsidR="00757717">
        <w:t>participations</w:t>
      </w:r>
      <w:r>
        <w:t xml:space="preserve"> du </w:t>
      </w:r>
      <w:r w:rsidR="00757717">
        <w:t>C</w:t>
      </w:r>
      <w:r>
        <w:t xml:space="preserve">ommanditaire dans le Fonds. </w:t>
      </w:r>
    </w:p>
    <w:p w:rsidR="0000160C" w:rsidRDefault="007A576D" w14:paraId="25AE4802" w14:textId="474318B4">
      <w:pPr>
        <w:pStyle w:val="ArtBJStyL2"/>
      </w:pPr>
      <w:bookmarkStart w:name="_Ref113892695" w:id="946"/>
      <w:bookmarkStart w:name="_Toc161762432" w:id="947"/>
      <w:r>
        <w:t>Contraignant pour les</w:t>
      </w:r>
      <w:r w:rsidR="00C517ED">
        <w:t xml:space="preserve"> </w:t>
      </w:r>
      <w:r>
        <w:t>C</w:t>
      </w:r>
      <w:r w:rsidR="00C517ED">
        <w:t>ommanditaires.</w:t>
      </w:r>
      <w:bookmarkEnd w:id="946"/>
      <w:bookmarkEnd w:id="947"/>
    </w:p>
    <w:p w:rsidR="0000160C" w:rsidRDefault="00C517ED" w14:paraId="2A0D498C" w14:textId="6DE7CDC8">
      <w:pPr>
        <w:pStyle w:val="ArtBJStyCont2"/>
      </w:pPr>
      <w:r>
        <w:t xml:space="preserve">Chaque </w:t>
      </w:r>
      <w:r w:rsidR="007A576D">
        <w:t>C</w:t>
      </w:r>
      <w:r>
        <w:t xml:space="preserve">ommanditaire sera lié par toute </w:t>
      </w:r>
      <w:r w:rsidR="007A576D">
        <w:t>déclaration</w:t>
      </w:r>
      <w:r>
        <w:t xml:space="preserve"> ou action faite ou prise par le </w:t>
      </w:r>
      <w:r w:rsidR="007A576D">
        <w:t>C</w:t>
      </w:r>
      <w:r>
        <w:t xml:space="preserve">ommandité conformément à la procuration </w:t>
      </w:r>
      <w:r w:rsidR="00D373AE">
        <w:t>prévue à l’article</w:t>
      </w:r>
      <w:r>
        <w:t> </w:t>
      </w:r>
      <w:r w:rsidRPr="006400F9">
        <w:fldChar w:fldCharType="begin"/>
      </w:r>
      <w:r w:rsidRPr="006400F9">
        <w:instrText xml:space="preserve"> REF _Ref40802766 \w \h </w:instrText>
      </w:r>
      <w:r w:rsidRPr="006400F9" w:rsidR="00791303">
        <w:instrText xml:space="preserve"> \* MERGEFORMAT </w:instrText>
      </w:r>
      <w:r w:rsidRPr="006400F9">
        <w:fldChar w:fldCharType="separate"/>
      </w:r>
      <w:r w:rsidR="00B50BE2">
        <w:t>19.5</w:t>
      </w:r>
      <w:r w:rsidRPr="006400F9">
        <w:fldChar w:fldCharType="end"/>
      </w:r>
      <w:r>
        <w:t xml:space="preserve"> (</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Procuration.</w:t>
      </w:r>
      <w:r w:rsidRPr="001B27C4" w:rsidR="001B27C4">
        <w:rPr>
          <w:i/>
        </w:rPr>
        <w:fldChar w:fldCharType="end"/>
      </w:r>
      <w:r>
        <w:t xml:space="preserve">) et renonce par les présentes à tous les moyens de défense qui peuvent être disponibles pour contester, </w:t>
      </w:r>
      <w:r w:rsidR="00D373AE">
        <w:t>nier</w:t>
      </w:r>
      <w:r>
        <w:t xml:space="preserve"> ou </w:t>
      </w:r>
      <w:r w:rsidR="00D373AE">
        <w:t>désapprouver</w:t>
      </w:r>
      <w:r>
        <w:t xml:space="preserve"> toute action du </w:t>
      </w:r>
      <w:r w:rsidR="00D373AE">
        <w:t>Commandité</w:t>
      </w:r>
      <w:r>
        <w:t xml:space="preserve"> prise de bonne foi en vertu de cette procuration. Le pouvoir du </w:t>
      </w:r>
      <w:r w:rsidR="00D373AE">
        <w:t>C</w:t>
      </w:r>
      <w:r>
        <w:t>ommandité d</w:t>
      </w:r>
      <w:r w:rsidR="00E27310">
        <w:t>’</w:t>
      </w:r>
      <w:r>
        <w:t>exercer sa procuration conformément à l</w:t>
      </w:r>
      <w:r w:rsidR="00E27310">
        <w:t>’</w:t>
      </w:r>
      <w:r>
        <w:t xml:space="preserve">article </w:t>
      </w:r>
      <w:r w:rsidR="006D0835">
        <w:fldChar w:fldCharType="begin"/>
      </w:r>
      <w:r w:rsidR="006D0835">
        <w:instrText xml:space="preserve">  REF _Ref40802766 \w \h \* MERGEFORMAT </w:instrText>
      </w:r>
      <w:r w:rsidR="006D0835">
        <w:fldChar w:fldCharType="separate"/>
      </w:r>
      <w:r w:rsidRPr="00B50BE2" w:rsidR="00B50BE2">
        <w:rPr>
          <w:color w:val="000000"/>
        </w:rPr>
        <w:t>19.5</w:t>
      </w:r>
      <w:r w:rsidR="006D0835">
        <w:fldChar w:fldCharType="end"/>
      </w:r>
      <w:r>
        <w:t xml:space="preserve"> (</w:t>
      </w:r>
      <w:r w:rsidRPr="001B27C4" w:rsidR="001B27C4">
        <w:rPr>
          <w:i/>
        </w:rPr>
        <w:fldChar w:fldCharType="begin"/>
      </w:r>
      <w:r w:rsidRPr="001B27C4" w:rsidR="001B27C4">
        <w:rPr>
          <w:i/>
        </w:rPr>
        <w:instrText xml:space="preserve"> REF _Ref113892685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Procuration.</w:t>
      </w:r>
      <w:r w:rsidRPr="001B27C4" w:rsidR="001B27C4">
        <w:rPr>
          <w:i/>
        </w:rPr>
        <w:fldChar w:fldCharType="end"/>
      </w:r>
      <w:r>
        <w:t xml:space="preserve">) </w:t>
      </w:r>
      <w:r w:rsidR="00D373AE">
        <w:t>doit cesser</w:t>
      </w:r>
      <w:r>
        <w:t xml:space="preserve"> simultanément avec la </w:t>
      </w:r>
      <w:r w:rsidR="00D373AE">
        <w:t>destitution</w:t>
      </w:r>
      <w:r>
        <w:t xml:space="preserve"> ou la démission du </w:t>
      </w:r>
      <w:r w:rsidR="00D373AE">
        <w:t>C</w:t>
      </w:r>
      <w:r>
        <w:t>ommandité en tant que commandité du Fonds.</w:t>
      </w:r>
    </w:p>
    <w:p w:rsidR="0000160C" w:rsidRDefault="00C517ED" w14:paraId="5ACB4B03" w14:textId="77777777">
      <w:pPr>
        <w:pStyle w:val="ArtBJStyL2"/>
      </w:pPr>
      <w:bookmarkStart w:name="_Ref113892696" w:id="948"/>
      <w:bookmarkStart w:name="_Toc161762433" w:id="949"/>
      <w:r>
        <w:t>Procuration irrévocable.</w:t>
      </w:r>
      <w:bookmarkEnd w:id="948"/>
      <w:bookmarkEnd w:id="949"/>
    </w:p>
    <w:p w:rsidRPr="00F337D8" w:rsidR="0000160C" w:rsidRDefault="00D373AE" w14:paraId="4409930C" w14:textId="595AB2BB">
      <w:pPr>
        <w:pStyle w:val="ArtBJStyCont2"/>
        <w:rPr>
          <w:lang w:val="fr-CA"/>
        </w:rPr>
      </w:pPr>
      <w:r>
        <w:t>La présente</w:t>
      </w:r>
      <w:r w:rsidR="00C517ED">
        <w:t xml:space="preserve"> procuration est irrévocable et est une procuration assortie </w:t>
      </w:r>
      <w:r>
        <w:t xml:space="preserve">d’un </w:t>
      </w:r>
      <w:r w:rsidR="001F2796">
        <w:t>intérêt</w:t>
      </w:r>
      <w:r w:rsidR="00C517ED">
        <w:t xml:space="preserve"> et lie chaque </w:t>
      </w:r>
      <w:r>
        <w:t>C</w:t>
      </w:r>
      <w:r w:rsidR="00C517ED">
        <w:t xml:space="preserve">ommanditaire, ses héritiers, exécuteurs testamentaires, administrateurs et autres représentants légaux ainsi que les successeurs et ayants </w:t>
      </w:r>
      <w:r>
        <w:t>cause</w:t>
      </w:r>
      <w:r w:rsidR="00C517ED">
        <w:t xml:space="preserve"> </w:t>
      </w:r>
      <w:r>
        <w:t>de ce</w:t>
      </w:r>
      <w:r w:rsidR="00C517ED">
        <w:t xml:space="preserve"> </w:t>
      </w:r>
      <w:r>
        <w:t>C</w:t>
      </w:r>
      <w:r w:rsidR="00C517ED">
        <w:t>ommanditaire, nonobstant le décès, l</w:t>
      </w:r>
      <w:r w:rsidR="00E27310">
        <w:t>’</w:t>
      </w:r>
      <w:r w:rsidR="00C517ED">
        <w:t xml:space="preserve">incapacité, la dissolution, la résiliation ou la faillite </w:t>
      </w:r>
      <w:r w:rsidR="00DA30D1">
        <w:t>de ce</w:t>
      </w:r>
      <w:r w:rsidR="00C517ED">
        <w:t xml:space="preserve"> </w:t>
      </w:r>
      <w:r w:rsidR="00DA30D1">
        <w:t>C</w:t>
      </w:r>
      <w:r w:rsidR="00C517ED">
        <w:t>ommanditaire. L</w:t>
      </w:r>
      <w:r w:rsidR="00E27310">
        <w:t>’</w:t>
      </w:r>
      <w:r w:rsidR="00C517ED">
        <w:t xml:space="preserve">octroi de </w:t>
      </w:r>
      <w:r w:rsidR="00DA30D1">
        <w:t>cette</w:t>
      </w:r>
      <w:r w:rsidR="00C517ED">
        <w:t xml:space="preserve"> procuration </w:t>
      </w:r>
      <w:r w:rsidR="00DA30D1">
        <w:t>ne doit pas résilier</w:t>
      </w:r>
      <w:r w:rsidR="00C517ED">
        <w:t xml:space="preserve"> une procuration </w:t>
      </w:r>
      <w:r w:rsidR="00DA30D1">
        <w:t>permanente</w:t>
      </w:r>
      <w:r w:rsidR="00C517ED">
        <w:t xml:space="preserve"> précédemment accordée par ce </w:t>
      </w:r>
      <w:r w:rsidR="00DA30D1">
        <w:t>C</w:t>
      </w:r>
      <w:r w:rsidR="00C517ED">
        <w:t xml:space="preserve">ommanditaire et </w:t>
      </w:r>
      <w:r w:rsidR="00DA30D1">
        <w:t xml:space="preserve">cette procuration </w:t>
      </w:r>
      <w:r w:rsidR="00C517ED">
        <w:t xml:space="preserve">ne </w:t>
      </w:r>
      <w:r w:rsidR="00DA30D1">
        <w:t>doit pas être résiliée</w:t>
      </w:r>
      <w:r w:rsidR="00C517ED">
        <w:t xml:space="preserve"> par ce </w:t>
      </w:r>
      <w:r w:rsidR="00DA30D1">
        <w:t>C</w:t>
      </w:r>
      <w:r w:rsidR="00C517ED">
        <w:t xml:space="preserve">ommanditaire lors de </w:t>
      </w:r>
      <w:r w:rsidR="00DA30D1">
        <w:t>la signature</w:t>
      </w:r>
      <w:r w:rsidR="00C517ED">
        <w:t xml:space="preserve"> d</w:t>
      </w:r>
      <w:r w:rsidR="00E27310">
        <w:t>’</w:t>
      </w:r>
      <w:r w:rsidR="00C517ED">
        <w:t xml:space="preserve">une procuration </w:t>
      </w:r>
      <w:r w:rsidR="00DA30D1">
        <w:t>permanente</w:t>
      </w:r>
      <w:r w:rsidR="00C517ED">
        <w:t xml:space="preserve"> à l</w:t>
      </w:r>
      <w:r w:rsidR="00E27310">
        <w:t>’</w:t>
      </w:r>
      <w:r w:rsidR="00C517ED">
        <w:t xml:space="preserve">avenir, et chaque </w:t>
      </w:r>
      <w:r w:rsidR="00DA30D1">
        <w:t>C</w:t>
      </w:r>
      <w:r w:rsidR="00C517ED">
        <w:t>ommanditaire s</w:t>
      </w:r>
      <w:r w:rsidR="00E27310">
        <w:t>’</w:t>
      </w:r>
      <w:r w:rsidR="00C517ED">
        <w:t>engage par les présentes à ne prendre aucune mesure à l</w:t>
      </w:r>
      <w:r w:rsidR="00E27310">
        <w:t>’</w:t>
      </w:r>
      <w:r w:rsidR="00C517ED">
        <w:t>avenir qui entraîne</w:t>
      </w:r>
      <w:r w:rsidR="00DA30D1">
        <w:t>rait</w:t>
      </w:r>
      <w:r w:rsidR="00C517ED">
        <w:t xml:space="preserve"> la résiliation de cette procuration. Cette procuration </w:t>
      </w:r>
      <w:r w:rsidR="00DA30D1">
        <w:t>doit survivre</w:t>
      </w:r>
      <w:r w:rsidR="00C517ED">
        <w:t xml:space="preserve"> à toute dissolution ou résiliation du Fonds.</w:t>
      </w:r>
    </w:p>
    <w:p w:rsidR="0000160C" w:rsidRDefault="00DA30D1" w14:paraId="3E5B0ED9" w14:textId="500959C8">
      <w:pPr>
        <w:pStyle w:val="ArtBJStyL2"/>
      </w:pPr>
      <w:bookmarkStart w:name="_Ref113892697" w:id="950"/>
      <w:bookmarkStart w:name="_Toc161762434" w:id="951"/>
      <w:r>
        <w:t>Signature</w:t>
      </w:r>
      <w:r w:rsidR="00C517ED">
        <w:t xml:space="preserve"> de documents </w:t>
      </w:r>
      <w:r>
        <w:t>au nom d’un C</w:t>
      </w:r>
      <w:r w:rsidR="00C517ED">
        <w:t>ommanditaire.</w:t>
      </w:r>
      <w:bookmarkEnd w:id="950"/>
      <w:bookmarkEnd w:id="951"/>
    </w:p>
    <w:p w:rsidR="0000160C" w:rsidRDefault="00C517ED" w14:paraId="46556C5B" w14:textId="4C0AEE6D">
      <w:pPr>
        <w:pStyle w:val="ArtBJStyCont2"/>
      </w:pPr>
      <w:r>
        <w:t xml:space="preserve">Le </w:t>
      </w:r>
      <w:r w:rsidR="00DA30D1">
        <w:t>C</w:t>
      </w:r>
      <w:r>
        <w:t xml:space="preserve">ommandité a le pouvoir de signer des documents au nom de tous les </w:t>
      </w:r>
      <w:r w:rsidR="00DA30D1">
        <w:t>C</w:t>
      </w:r>
      <w:r>
        <w:t>ommanditaires conformément à cette procuration en apposant sa signature avec l</w:t>
      </w:r>
      <w:r w:rsidR="00E27310">
        <w:t>’</w:t>
      </w:r>
      <w:r>
        <w:t>indication qu</w:t>
      </w:r>
      <w:r w:rsidR="00E27310">
        <w:t>’</w:t>
      </w:r>
      <w:r>
        <w:t xml:space="preserve">il agit au nom des </w:t>
      </w:r>
      <w:r w:rsidR="00DA30D1">
        <w:t>C</w:t>
      </w:r>
      <w:r>
        <w:t xml:space="preserve">ommanditaires.  Chaque </w:t>
      </w:r>
      <w:r w:rsidR="00DA30D1">
        <w:t>Commanditaire</w:t>
      </w:r>
      <w:r>
        <w:t xml:space="preserve"> signera, à la demande du </w:t>
      </w:r>
      <w:r w:rsidR="00DA30D1">
        <w:t>C</w:t>
      </w:r>
      <w:r>
        <w:t xml:space="preserve">ommandité, tout certificat, </w:t>
      </w:r>
      <w:r w:rsidR="00DA30D1">
        <w:t>entente</w:t>
      </w:r>
      <w:r>
        <w:t xml:space="preserve"> ou autre instrument </w:t>
      </w:r>
      <w:r>
        <w:lastRenderedPageBreak/>
        <w:t xml:space="preserve">nécessaire pour se conformer à toute loi ou réglementation de toute juridiction au Canada ou de toute autre juridiction pertinente pour la continuation </w:t>
      </w:r>
      <w:r w:rsidR="00DA30D1">
        <w:t>en règle</w:t>
      </w:r>
      <w:r>
        <w:t xml:space="preserve"> du Fonds ou pour exécuter autrement les dispositions </w:t>
      </w:r>
      <w:r w:rsidR="00E536D5">
        <w:t>de la présente Convention</w:t>
      </w:r>
      <w:r>
        <w:t>.</w:t>
      </w:r>
    </w:p>
    <w:p w:rsidR="0000160C" w:rsidRDefault="00C517ED" w14:paraId="562AAA83" w14:textId="77777777">
      <w:pPr>
        <w:pStyle w:val="ArtBJStyL1"/>
      </w:pPr>
      <w:r>
        <w:br/>
      </w:r>
      <w:bookmarkStart w:name="_Ref113892698" w:id="952"/>
      <w:bookmarkStart w:name="_Toc161762435" w:id="953"/>
      <w:r>
        <w:t>Divers</w:t>
      </w:r>
      <w:bookmarkEnd w:id="952"/>
      <w:bookmarkEnd w:id="953"/>
    </w:p>
    <w:p w:rsidR="0000160C" w:rsidRDefault="00D43995" w14:paraId="3DDC3A0F" w14:textId="515450C2">
      <w:pPr>
        <w:pStyle w:val="ArtBJStyL2"/>
        <w:rPr>
          <w:rFonts w:ascii="Times New Roman" w:hAnsi="Times New Roman"/>
          <w:b w:val="0"/>
          <w:sz w:val="16"/>
          <w:szCs w:val="24"/>
          <w:vertAlign w:val="superscript"/>
        </w:rPr>
      </w:pPr>
      <w:bookmarkStart w:name="_Ref113892699" w:id="954"/>
      <w:bookmarkStart w:name="_Ref40806638" w:id="955"/>
      <w:bookmarkStart w:name="_Toc161762436" w:id="956"/>
      <w:r>
        <w:t>C</w:t>
      </w:r>
      <w:r w:rsidR="00C517ED">
        <w:t>onfidenti</w:t>
      </w:r>
      <w:r>
        <w:t>a</w:t>
      </w:r>
      <w:r w:rsidR="00C517ED">
        <w:t>l</w:t>
      </w:r>
      <w:r>
        <w:t>ité</w:t>
      </w:r>
      <w:r w:rsidR="00C517ED">
        <w:t>.</w:t>
      </w:r>
      <w:bookmarkStart w:name="_Ref113892909" w:id="957"/>
      <w:r w:rsidR="00C517ED">
        <w:rPr>
          <w:rFonts w:ascii="Times New Roman" w:hAnsi="Times New Roman"/>
          <w:b w:val="0"/>
          <w:szCs w:val="22"/>
          <w:vertAlign w:val="superscript"/>
        </w:rPr>
        <w:footnoteReference w:id="161"/>
      </w:r>
      <w:bookmarkEnd w:id="954"/>
      <w:bookmarkEnd w:id="955"/>
      <w:bookmarkEnd w:id="956"/>
      <w:bookmarkEnd w:id="957"/>
    </w:p>
    <w:p w:rsidR="0000160C" w:rsidRDefault="00C517ED" w14:paraId="44AC1C74" w14:textId="6123BABF">
      <w:pPr>
        <w:pStyle w:val="ArtBJStyCont2"/>
        <w:keepNext/>
      </w:pPr>
      <w:r>
        <w:t xml:space="preserve">Chaque </w:t>
      </w:r>
      <w:r w:rsidR="00DA30D1">
        <w:t>Commanditaire</w:t>
      </w:r>
      <w:r>
        <w:t xml:space="preserve"> doit garder confidentiel et ne doit pas divulguer sans le consentement écrit préalable du </w:t>
      </w:r>
      <w:r w:rsidR="00A92371">
        <w:t>C</w:t>
      </w:r>
      <w:r>
        <w:t xml:space="preserve">ommandité </w:t>
      </w:r>
      <w:r w:rsidR="00A92371">
        <w:t>tout renseignement</w:t>
      </w:r>
      <w:r>
        <w:t xml:space="preserve"> concernant le </w:t>
      </w:r>
      <w:r w:rsidR="00A92371">
        <w:t>F</w:t>
      </w:r>
      <w:r>
        <w:t xml:space="preserve">onds, tout autre </w:t>
      </w:r>
      <w:r w:rsidR="00A92371">
        <w:t>V</w:t>
      </w:r>
      <w:r>
        <w:t xml:space="preserve">éhicule du </w:t>
      </w:r>
      <w:r w:rsidR="00A92371">
        <w:t>F</w:t>
      </w:r>
      <w:r>
        <w:t xml:space="preserve">onds, tout </w:t>
      </w:r>
      <w:r w:rsidR="00A92371">
        <w:t>I</w:t>
      </w:r>
      <w:r>
        <w:t xml:space="preserve">nvestissement de portefeuille ou </w:t>
      </w:r>
      <w:r w:rsidR="00A92371">
        <w:t>toute S</w:t>
      </w:r>
      <w:r>
        <w:t xml:space="preserve">ociété de portefeuille comprenant des secrets commerciaux ou des </w:t>
      </w:r>
      <w:r w:rsidR="00A92371">
        <w:t>renseignements</w:t>
      </w:r>
      <w:r>
        <w:t xml:space="preserve"> commercia</w:t>
      </w:r>
      <w:r w:rsidR="00A92371">
        <w:t>ux</w:t>
      </w:r>
      <w:r>
        <w:t xml:space="preserve"> ou financi</w:t>
      </w:r>
      <w:r w:rsidR="00A92371">
        <w:t>er</w:t>
      </w:r>
      <w:r>
        <w:t>s exclusi</w:t>
      </w:r>
      <w:r w:rsidR="00A92371">
        <w:t>f</w:t>
      </w:r>
      <w:r>
        <w:t xml:space="preserve">s de toute </w:t>
      </w:r>
      <w:r w:rsidR="00A92371">
        <w:t>P</w:t>
      </w:r>
      <w:r>
        <w:t>ersonne intéressée qui lui a été fourni</w:t>
      </w:r>
      <w:r w:rsidR="00A92371">
        <w:t>e</w:t>
      </w:r>
      <w:r>
        <w:t xml:space="preserve"> par le</w:t>
      </w:r>
      <w:r w:rsidR="00A92371">
        <w:t xml:space="preserve"> C</w:t>
      </w:r>
      <w:r>
        <w:t xml:space="preserve">ommandité ou le </w:t>
      </w:r>
      <w:r w:rsidR="00A92371">
        <w:t>Gestionnaire</w:t>
      </w:r>
      <w:r>
        <w:t>, à condition qu</w:t>
      </w:r>
      <w:r w:rsidR="00E27310">
        <w:t>’</w:t>
      </w:r>
      <w:r>
        <w:t xml:space="preserve">un </w:t>
      </w:r>
      <w:r w:rsidR="00A92371">
        <w:t>C</w:t>
      </w:r>
      <w:r>
        <w:t xml:space="preserve">ommandité puisse divulguer </w:t>
      </w:r>
      <w:r w:rsidR="00A92371">
        <w:t>un tel renseignement</w:t>
      </w:r>
      <w:r>
        <w:t xml:space="preserve"> :</w:t>
      </w:r>
    </w:p>
    <w:p w:rsidR="0000160C" w:rsidRDefault="00C517ED" w14:paraId="19CC612A" w14:textId="60FFC2DA">
      <w:pPr>
        <w:pStyle w:val="ArtBJStyL3"/>
      </w:pPr>
      <w:bookmarkStart w:name="_Ref113892700" w:id="958"/>
      <w:proofErr w:type="gramStart"/>
      <w:r>
        <w:t>à</w:t>
      </w:r>
      <w:proofErr w:type="gramEnd"/>
      <w:r>
        <w:t xml:space="preserve"> tout autre </w:t>
      </w:r>
      <w:r w:rsidR="00A92371">
        <w:t>Co</w:t>
      </w:r>
      <w:r>
        <w:t xml:space="preserve">mmanditaire ou </w:t>
      </w:r>
      <w:r w:rsidR="00A92371">
        <w:t>aux</w:t>
      </w:r>
      <w:r>
        <w:t xml:space="preserve"> investisseur</w:t>
      </w:r>
      <w:r w:rsidR="00A92371">
        <w:t>s</w:t>
      </w:r>
      <w:r>
        <w:t xml:space="preserve"> dans tout autre </w:t>
      </w:r>
      <w:r w:rsidR="00075FBD">
        <w:t>V</w:t>
      </w:r>
      <w:r>
        <w:t xml:space="preserve">éhicule du </w:t>
      </w:r>
      <w:r w:rsidR="00075FBD">
        <w:t>F</w:t>
      </w:r>
      <w:r>
        <w:t>onds ou à l</w:t>
      </w:r>
      <w:r w:rsidR="00E27310">
        <w:t>’</w:t>
      </w:r>
      <w:r>
        <w:t xml:space="preserve">un de leurs représentants, </w:t>
      </w:r>
      <w:r w:rsidR="00075FBD">
        <w:t>dans le mesure où</w:t>
      </w:r>
      <w:r>
        <w:t xml:space="preserve"> ces </w:t>
      </w:r>
      <w:r w:rsidR="00075FBD">
        <w:t>P</w:t>
      </w:r>
      <w:r>
        <w:t xml:space="preserve">ersonnes </w:t>
      </w:r>
      <w:r w:rsidR="00075FBD">
        <w:t>sont</w:t>
      </w:r>
      <w:r>
        <w:t xml:space="preserve"> liées par des obligations de confidentialité;</w:t>
      </w:r>
      <w:bookmarkEnd w:id="958"/>
    </w:p>
    <w:p w:rsidR="0000160C" w:rsidRDefault="00C517ED" w14:paraId="50B845A0" w14:textId="55D9676E">
      <w:pPr>
        <w:pStyle w:val="ArtBJStyL3"/>
      </w:pPr>
      <w:bookmarkStart w:name="_Ref113892701" w:id="959"/>
      <w:proofErr w:type="gramStart"/>
      <w:r>
        <w:t>qui</w:t>
      </w:r>
      <w:proofErr w:type="gramEnd"/>
      <w:r>
        <w:t xml:space="preserve"> sont devenues généralement accessibles au public autrement qu</w:t>
      </w:r>
      <w:r w:rsidR="00E27310">
        <w:t>’</w:t>
      </w:r>
      <w:r>
        <w:t xml:space="preserve">à la suite </w:t>
      </w:r>
      <w:r w:rsidR="00075FBD">
        <w:t>d’un manquement important</w:t>
      </w:r>
      <w:r>
        <w:t xml:space="preserve"> </w:t>
      </w:r>
      <w:r w:rsidR="00075FBD">
        <w:t>au présent article</w:t>
      </w:r>
      <w:r>
        <w:t> </w:t>
      </w:r>
      <w:r w:rsidRPr="00226F06">
        <w:fldChar w:fldCharType="begin"/>
      </w:r>
      <w:r w:rsidRPr="00226F06">
        <w:instrText xml:space="preserve"> REF _Ref40806638 \w \h </w:instrText>
      </w:r>
      <w:r w:rsidRPr="00226F06" w:rsidR="00791303">
        <w:instrText xml:space="preserve"> \* MERGEFORMAT </w:instrText>
      </w:r>
      <w:r w:rsidRPr="00226F06">
        <w:fldChar w:fldCharType="separate"/>
      </w:r>
      <w:r w:rsidR="00B50BE2">
        <w:t>20.1</w:t>
      </w:r>
      <w:r w:rsidRPr="00226F06">
        <w:fldChar w:fldCharType="end"/>
      </w:r>
      <w:r>
        <w:t xml:space="preserve"> (</w:t>
      </w:r>
      <w:r w:rsidRPr="001B27C4" w:rsidR="001B27C4">
        <w:rPr>
          <w:i/>
        </w:rPr>
        <w:fldChar w:fldCharType="begin"/>
      </w:r>
      <w:r w:rsidRPr="001B27C4" w:rsidR="001B27C4">
        <w:rPr>
          <w:i/>
        </w:rPr>
        <w:instrText xml:space="preserve"> REF _Ref113892699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Confidentialité.</w:t>
      </w:r>
      <w:r w:rsidRPr="001B27C4" w:rsidR="001B27C4">
        <w:rPr>
          <w:i/>
        </w:rPr>
        <w:fldChar w:fldCharType="end"/>
      </w:r>
      <w:r>
        <w:t xml:space="preserve">) par le </w:t>
      </w:r>
      <w:r w:rsidR="00075FBD">
        <w:t>C</w:t>
      </w:r>
      <w:r>
        <w:t xml:space="preserve">ommanditaire ou tout agent, </w:t>
      </w:r>
      <w:r w:rsidR="00075FBD">
        <w:t>mandataire</w:t>
      </w:r>
      <w:r w:rsidR="0082726A">
        <w:t>, fondé de pouvoir</w:t>
      </w:r>
      <w:r>
        <w:t xml:space="preserve"> ou </w:t>
      </w:r>
      <w:r w:rsidR="00075FBD">
        <w:t>Membre du même groupe que le Commanditaire</w:t>
      </w:r>
      <w:r>
        <w:t>;</w:t>
      </w:r>
      <w:bookmarkEnd w:id="959"/>
    </w:p>
    <w:p w:rsidR="0000160C" w:rsidRDefault="00075FBD" w14:paraId="4853DBE6" w14:textId="1F733E4C">
      <w:pPr>
        <w:pStyle w:val="ArtBJStyL3"/>
      </w:pPr>
      <w:bookmarkStart w:name="_Ref113892702" w:id="960"/>
      <w:proofErr w:type="gramStart"/>
      <w:r>
        <w:t>tel</w:t>
      </w:r>
      <w:proofErr w:type="gramEnd"/>
      <w:r>
        <w:t xml:space="preserve"> que requis ou approprié afin d’être inclus dans tout rapport</w:t>
      </w:r>
      <w:r w:rsidR="00C517ED">
        <w:t xml:space="preserve">, déclaration ou témoignage devant être soumis à un </w:t>
      </w:r>
      <w:r>
        <w:t>organe</w:t>
      </w:r>
      <w:r w:rsidR="00C517ED">
        <w:t xml:space="preserve"> de réglementation municipal, provincial, </w:t>
      </w:r>
      <w:r>
        <w:t>étatique</w:t>
      </w:r>
      <w:r w:rsidR="00C517ED">
        <w:t xml:space="preserve"> ou national ayant </w:t>
      </w:r>
      <w:r>
        <w:t>juridiction</w:t>
      </w:r>
      <w:r w:rsidR="00C517ED">
        <w:t xml:space="preserve"> sur</w:t>
      </w:r>
      <w:r>
        <w:t xml:space="preserve"> le Commanditaire</w:t>
      </w:r>
      <w:r w:rsidR="00C517ED">
        <w:t xml:space="preserve"> (ou </w:t>
      </w:r>
      <w:r>
        <w:t>ayant le droit de recevoir des rapports du Commanditaire</w:t>
      </w:r>
      <w:r w:rsidR="00C517ED">
        <w:t>);</w:t>
      </w:r>
      <w:bookmarkEnd w:id="960"/>
    </w:p>
    <w:p w:rsidR="0000160C" w:rsidRDefault="00075FBD" w14:paraId="5427D90D" w14:textId="27A2ACF5">
      <w:pPr>
        <w:pStyle w:val="ArtBJStyL3"/>
      </w:pPr>
      <w:bookmarkStart w:name="_Ref113892703" w:id="961"/>
      <w:proofErr w:type="gramStart"/>
      <w:r>
        <w:t>tel</w:t>
      </w:r>
      <w:proofErr w:type="gramEnd"/>
      <w:r>
        <w:t xml:space="preserve"> que requis par</w:t>
      </w:r>
      <w:r w:rsidR="00C517ED">
        <w:t xml:space="preserve"> toute loi, ordonnance, réglementation, règle ayant force de loi </w:t>
      </w:r>
      <w:r w:rsidR="00C517ED">
        <w:rPr>
          <w:b/>
          <w:highlight w:val="yellow"/>
        </w:rPr>
        <w:t>[ou politique</w:t>
      </w:r>
      <w:r w:rsidR="00D3520E">
        <w:rPr>
          <w:b/>
          <w:highlight w:val="yellow"/>
        </w:rPr>
        <w:t xml:space="preserve"> interne</w:t>
      </w:r>
      <w:r w:rsidR="00C517ED">
        <w:rPr>
          <w:b/>
          <w:highlight w:val="yellow"/>
        </w:rPr>
        <w:t xml:space="preserve"> (y compris toute politique interne d</w:t>
      </w:r>
      <w:r w:rsidR="00E27310">
        <w:rPr>
          <w:b/>
          <w:highlight w:val="yellow"/>
        </w:rPr>
        <w:t>’</w:t>
      </w:r>
      <w:r w:rsidR="00C517ED">
        <w:rPr>
          <w:b/>
          <w:highlight w:val="yellow"/>
        </w:rPr>
        <w:t xml:space="preserve">un </w:t>
      </w:r>
      <w:r w:rsidR="00D3520E">
        <w:rPr>
          <w:b/>
          <w:highlight w:val="yellow"/>
        </w:rPr>
        <w:t>Commanditaire</w:t>
      </w:r>
      <w:r w:rsidR="00C517ED">
        <w:rPr>
          <w:b/>
          <w:highlight w:val="yellow"/>
        </w:rPr>
        <w:t xml:space="preserve"> qui a été communiquée par écrit au </w:t>
      </w:r>
      <w:r w:rsidR="00D3520E">
        <w:rPr>
          <w:b/>
          <w:highlight w:val="yellow"/>
        </w:rPr>
        <w:t>C</w:t>
      </w:r>
      <w:r w:rsidR="00C517ED">
        <w:rPr>
          <w:b/>
          <w:highlight w:val="yellow"/>
        </w:rPr>
        <w:t xml:space="preserve">ommandité au plus tard à la date de souscription du </w:t>
      </w:r>
      <w:r w:rsidR="00D3520E">
        <w:rPr>
          <w:b/>
          <w:highlight w:val="yellow"/>
        </w:rPr>
        <w:t>C</w:t>
      </w:r>
      <w:r w:rsidR="00C517ED">
        <w:rPr>
          <w:b/>
          <w:highlight w:val="yellow"/>
        </w:rPr>
        <w:t xml:space="preserve">ommanditaire au Fonds)] </w:t>
      </w:r>
      <w:r w:rsidR="00C517ED">
        <w:t xml:space="preserve">à laquelle le </w:t>
      </w:r>
      <w:r w:rsidR="00D3520E">
        <w:t>C</w:t>
      </w:r>
      <w:r w:rsidR="00C517ED">
        <w:t>ommanditaire est assujetti;</w:t>
      </w:r>
      <w:bookmarkEnd w:id="961"/>
    </w:p>
    <w:p w:rsidR="0000160C" w:rsidRDefault="00C517ED" w14:paraId="17BEA10A" w14:textId="753348CE">
      <w:pPr>
        <w:pStyle w:val="ArtBJStyL3"/>
      </w:pPr>
      <w:bookmarkStart w:name="_Ref113892704" w:id="962"/>
      <w:proofErr w:type="gramStart"/>
      <w:r>
        <w:t>dans</w:t>
      </w:r>
      <w:proofErr w:type="gramEnd"/>
      <w:r>
        <w:t xml:space="preserve"> la mesure nécessaire pour exercer ou faire valoir </w:t>
      </w:r>
      <w:r w:rsidR="00D3520E">
        <w:t>tout droit</w:t>
      </w:r>
      <w:r>
        <w:t xml:space="preserve"> que le </w:t>
      </w:r>
      <w:r w:rsidR="00310CBA">
        <w:t>C</w:t>
      </w:r>
      <w:r>
        <w:t xml:space="preserve">ommanditaire peut avoir en droit ou en vertu </w:t>
      </w:r>
      <w:r w:rsidR="00E536D5">
        <w:t>de la présente Convention</w:t>
      </w:r>
      <w:r>
        <w:t>, de s</w:t>
      </w:r>
      <w:r w:rsidR="00D42829">
        <w:t>a</w:t>
      </w:r>
      <w:r>
        <w:t xml:space="preserve"> </w:t>
      </w:r>
      <w:r w:rsidR="00D3520E">
        <w:t>Convention de souscription</w:t>
      </w:r>
      <w:r>
        <w:t xml:space="preserve"> </w:t>
      </w:r>
      <w:r>
        <w:rPr>
          <w:b/>
          <w:highlight w:val="yellow"/>
        </w:rPr>
        <w:t xml:space="preserve">[ou de </w:t>
      </w:r>
      <w:r w:rsidR="00D3520E">
        <w:rPr>
          <w:b/>
          <w:highlight w:val="yellow"/>
        </w:rPr>
        <w:t>son Entente accessoire</w:t>
      </w:r>
      <w:r>
        <w:rPr>
          <w:b/>
          <w:highlight w:val="yellow"/>
        </w:rPr>
        <w:t>, le cas échéant]</w:t>
      </w:r>
      <w:r>
        <w:t>;</w:t>
      </w:r>
      <w:bookmarkEnd w:id="962"/>
    </w:p>
    <w:p w:rsidR="0000160C" w:rsidRDefault="00C517ED" w14:paraId="0734C3E5" w14:textId="39F42297">
      <w:pPr>
        <w:pStyle w:val="ArtBJStyL3"/>
      </w:pPr>
      <w:bookmarkStart w:name="_Ref113892705" w:id="963"/>
      <w:proofErr w:type="gramStart"/>
      <w:r>
        <w:t>à</w:t>
      </w:r>
      <w:proofErr w:type="gramEnd"/>
      <w:r>
        <w:t xml:space="preserve"> ses employés et conseillers professionnels, aux vérificateurs externes indépendants, aux dépositaires et aux administrateurs de fonds, dans la mesure où ces personnes sont liées par des obligations de confidentialité similaires; et</w:t>
      </w:r>
      <w:bookmarkEnd w:id="963"/>
    </w:p>
    <w:p w:rsidR="0000160C" w:rsidRDefault="00D3520E" w14:paraId="0E4BD1B4" w14:textId="0D85A359">
      <w:pPr>
        <w:pStyle w:val="ArtBJStyL3"/>
      </w:pPr>
      <w:bookmarkStart w:name="_Ref113892706" w:id="964"/>
      <w:proofErr w:type="gramStart"/>
      <w:r>
        <w:t>tel</w:t>
      </w:r>
      <w:proofErr w:type="gramEnd"/>
      <w:r>
        <w:t xml:space="preserve"> que</w:t>
      </w:r>
      <w:r w:rsidR="00C517ED">
        <w:t xml:space="preserve"> requis dans le cadre d</w:t>
      </w:r>
      <w:r w:rsidR="00E27310">
        <w:t>’</w:t>
      </w:r>
      <w:r w:rsidR="00C517ED">
        <w:t>un</w:t>
      </w:r>
      <w:r>
        <w:t xml:space="preserve">e vérification </w:t>
      </w:r>
      <w:r w:rsidR="00C517ED">
        <w:t>ou d</w:t>
      </w:r>
      <w:r w:rsidR="00E27310">
        <w:t>’</w:t>
      </w:r>
      <w:r w:rsidR="00C517ED">
        <w:t xml:space="preserve">un examen par toute autorité gouvernementale ou réglementaire à laquelle le </w:t>
      </w:r>
      <w:r>
        <w:t>C</w:t>
      </w:r>
      <w:r w:rsidR="00C517ED">
        <w:t xml:space="preserve">ommanditaire est </w:t>
      </w:r>
      <w:r>
        <w:t>assujetti</w:t>
      </w:r>
      <w:r w:rsidR="00C517ED">
        <w:t xml:space="preserve">, y compris les autorités fiscales, </w:t>
      </w:r>
      <w:r>
        <w:t>sans que cela ne limite</w:t>
      </w:r>
      <w:r w:rsidR="00C517ED">
        <w:t xml:space="preserve"> la divulgation du traitement fiscal ou de la structure fiscale du Fonds (ou de toute transaction </w:t>
      </w:r>
      <w:r>
        <w:t>entreprise</w:t>
      </w:r>
      <w:r w:rsidR="00C517ED">
        <w:t xml:space="preserve"> par le Fonds).</w:t>
      </w:r>
      <w:bookmarkEnd w:id="964"/>
    </w:p>
    <w:p w:rsidR="0000160C" w:rsidRDefault="00C517ED" w14:paraId="0DB8B1FF" w14:textId="77777777">
      <w:pPr>
        <w:pStyle w:val="ArtBJStyL2"/>
      </w:pPr>
      <w:bookmarkStart w:name="_Ref40806670" w:id="965"/>
      <w:bookmarkStart w:name="_Toc161762437" w:id="966"/>
      <w:r>
        <w:lastRenderedPageBreak/>
        <w:t>Divulgations autorisées spécifiques.</w:t>
      </w:r>
      <w:bookmarkEnd w:id="965"/>
      <w:bookmarkEnd w:id="966"/>
    </w:p>
    <w:p w:rsidR="0000160C" w:rsidRDefault="00C517ED" w14:paraId="019141AE" w14:textId="72C93AC7">
      <w:pPr>
        <w:pStyle w:val="ArtBJStyCont2"/>
      </w:pPr>
      <w:r>
        <w:t xml:space="preserve">Chaque </w:t>
      </w:r>
      <w:r w:rsidR="00D3520E">
        <w:t>C</w:t>
      </w:r>
      <w:r>
        <w:t xml:space="preserve">ommanditaire (et chacun de ses employés, </w:t>
      </w:r>
      <w:r w:rsidR="00947DF8">
        <w:t>fondés de pouvoir</w:t>
      </w:r>
      <w:r w:rsidR="0082726A">
        <w:t>, mandataires</w:t>
      </w:r>
      <w:r>
        <w:t xml:space="preserve"> ou représentants) peut divulguer à toute </w:t>
      </w:r>
      <w:r w:rsidR="00947DF8">
        <w:t>P</w:t>
      </w:r>
      <w:r>
        <w:t xml:space="preserve">ersonne </w:t>
      </w:r>
      <w:bookmarkStart w:name="DocXTextRef182" w:id="967"/>
      <w:r>
        <w:t>(i)</w:t>
      </w:r>
      <w:bookmarkEnd w:id="967"/>
      <w:r>
        <w:t xml:space="preserve"> le nom du </w:t>
      </w:r>
      <w:r w:rsidR="00947DF8">
        <w:t>F</w:t>
      </w:r>
      <w:r>
        <w:t xml:space="preserve">onds, </w:t>
      </w:r>
      <w:bookmarkStart w:name="DocXTextRef183" w:id="968"/>
      <w:r>
        <w:t>(ii)</w:t>
      </w:r>
      <w:bookmarkEnd w:id="968"/>
      <w:r>
        <w:t xml:space="preserve"> le fait que le </w:t>
      </w:r>
      <w:r w:rsidR="00630BB4">
        <w:t>C</w:t>
      </w:r>
      <w:r>
        <w:t xml:space="preserve">ommanditaire a investi dans le </w:t>
      </w:r>
      <w:r w:rsidR="00630BB4">
        <w:t>F</w:t>
      </w:r>
      <w:r>
        <w:t>onds et la date d</w:t>
      </w:r>
      <w:r w:rsidR="00E27310">
        <w:t>’</w:t>
      </w:r>
      <w:r>
        <w:t xml:space="preserve">admission du </w:t>
      </w:r>
      <w:r w:rsidR="00630BB4">
        <w:t>C</w:t>
      </w:r>
      <w:r>
        <w:t xml:space="preserve">ommanditaire au </w:t>
      </w:r>
      <w:r w:rsidR="00630BB4">
        <w:t>F</w:t>
      </w:r>
      <w:r>
        <w:t xml:space="preserve">onds, </w:t>
      </w:r>
      <w:bookmarkStart w:name="DocXTextRef184" w:id="969"/>
      <w:r>
        <w:t>(iii)</w:t>
      </w:r>
      <w:bookmarkEnd w:id="969"/>
      <w:r>
        <w:t xml:space="preserve"> le montant de l</w:t>
      </w:r>
      <w:r w:rsidR="00E27310">
        <w:t>’</w:t>
      </w:r>
      <w:r w:rsidR="00630BB4">
        <w:t>E</w:t>
      </w:r>
      <w:r>
        <w:t xml:space="preserve">ngagement du </w:t>
      </w:r>
      <w:r w:rsidR="00630BB4">
        <w:t>C</w:t>
      </w:r>
      <w:r>
        <w:t xml:space="preserve">ommanditaire, </w:t>
      </w:r>
      <w:bookmarkStart w:name="DocXTextRef185" w:id="970"/>
      <w:r>
        <w:t>(iv)</w:t>
      </w:r>
      <w:bookmarkEnd w:id="970"/>
      <w:r>
        <w:t xml:space="preserve"> le montant de l</w:t>
      </w:r>
      <w:r w:rsidR="00E27310">
        <w:t>’</w:t>
      </w:r>
      <w:r w:rsidR="00630BB4">
        <w:t>E</w:t>
      </w:r>
      <w:r>
        <w:t xml:space="preserve">ngagement </w:t>
      </w:r>
      <w:r w:rsidR="00630BB4">
        <w:t xml:space="preserve"> et des Apports de capital </w:t>
      </w:r>
      <w:r>
        <w:t xml:space="preserve">non </w:t>
      </w:r>
      <w:r w:rsidR="00630BB4">
        <w:t>encaissé</w:t>
      </w:r>
      <w:r>
        <w:t xml:space="preserve"> du </w:t>
      </w:r>
      <w:r w:rsidR="00630BB4">
        <w:t>C</w:t>
      </w:r>
      <w:r>
        <w:t xml:space="preserve">ommanditaire, </w:t>
      </w:r>
      <w:bookmarkStart w:name="DocXTextRef186" w:id="971"/>
      <w:r>
        <w:t>(v)</w:t>
      </w:r>
      <w:bookmarkEnd w:id="971"/>
      <w:r>
        <w:t xml:space="preserve"> les distributions faites au </w:t>
      </w:r>
      <w:r w:rsidR="00630BB4">
        <w:t>C</w:t>
      </w:r>
      <w:r>
        <w:t xml:space="preserve">ommanditaire par le </w:t>
      </w:r>
      <w:r w:rsidR="00630BB4">
        <w:t>F</w:t>
      </w:r>
      <w:r>
        <w:t>onds, et (vi)</w:t>
      </w:r>
      <w:r w:rsidR="00947DF8">
        <w:t xml:space="preserve"> </w:t>
      </w:r>
      <w:r>
        <w:t xml:space="preserve">les </w:t>
      </w:r>
      <w:r w:rsidR="00630BB4">
        <w:t>F</w:t>
      </w:r>
      <w:r>
        <w:t xml:space="preserve">rais de gestion attribués ou payés par le </w:t>
      </w:r>
      <w:r w:rsidR="00630BB4">
        <w:t>C</w:t>
      </w:r>
      <w:r>
        <w:t xml:space="preserve">ommanditaire, ainsi que </w:t>
      </w:r>
      <w:r w:rsidR="00630BB4">
        <w:t xml:space="preserve">les </w:t>
      </w:r>
      <w:r>
        <w:t>autres frais et dépenses (y compris le</w:t>
      </w:r>
      <w:r w:rsidR="00D42829">
        <w:t>s</w:t>
      </w:r>
      <w:r>
        <w:t xml:space="preserve"> </w:t>
      </w:r>
      <w:r w:rsidR="00630BB4">
        <w:t>Dépenses du Fonds</w:t>
      </w:r>
      <w:r>
        <w:t xml:space="preserve">) imputés au </w:t>
      </w:r>
      <w:r w:rsidR="00630BB4">
        <w:t>C</w:t>
      </w:r>
      <w:r>
        <w:t>ommanditaire dans le cadre de son investissement dans le Fonds,</w:t>
      </w:r>
      <w:r w:rsidR="00630BB4">
        <w:t xml:space="preserve"> (vii)</w:t>
      </w:r>
      <w:r>
        <w:t xml:space="preserve"> </w:t>
      </w:r>
      <w:r w:rsidR="00630BB4">
        <w:t>les Distributions spéciales payé</w:t>
      </w:r>
      <w:r w:rsidR="00D42829">
        <w:t>e</w:t>
      </w:r>
      <w:r w:rsidR="00630BB4">
        <w:t>s</w:t>
      </w:r>
      <w:r>
        <w:t xml:space="preserve"> au </w:t>
      </w:r>
      <w:r w:rsidR="00630BB4">
        <w:t>C</w:t>
      </w:r>
      <w:r>
        <w:t xml:space="preserve">ommandité ou au </w:t>
      </w:r>
      <w:r w:rsidR="00630BB4">
        <w:t>Gestionnaire</w:t>
      </w:r>
      <w:r>
        <w:t xml:space="preserve">, </w:t>
      </w:r>
      <w:r w:rsidR="00630BB4">
        <w:t xml:space="preserve">selon le cas, </w:t>
      </w:r>
      <w:r>
        <w:t>et</w:t>
      </w:r>
      <w:r w:rsidR="00630BB4">
        <w:t xml:space="preserve"> (vii) </w:t>
      </w:r>
      <w:r>
        <w:t xml:space="preserve">la juste valeur marchande </w:t>
      </w:r>
      <w:r w:rsidR="00E04DB4">
        <w:t>de la Participation</w:t>
      </w:r>
      <w:r>
        <w:t xml:space="preserve"> du </w:t>
      </w:r>
      <w:r w:rsidR="00E04DB4">
        <w:t>C</w:t>
      </w:r>
      <w:r>
        <w:t xml:space="preserve">ommanditaire dans le Fonds. </w:t>
      </w:r>
    </w:p>
    <w:p w:rsidRPr="00E04DB4" w:rsidR="0000160C" w:rsidRDefault="00E04DB4" w14:paraId="3C9172F9" w14:textId="1956670D">
      <w:pPr>
        <w:pStyle w:val="ArtBJStyL2"/>
        <w:rPr>
          <w:b w:val="0"/>
          <w:sz w:val="16"/>
          <w:szCs w:val="24"/>
          <w:vertAlign w:val="superscript"/>
          <w:lang w:val="fr-CA"/>
        </w:rPr>
      </w:pPr>
      <w:bookmarkStart w:name="_Ref113892707" w:id="972"/>
      <w:bookmarkStart w:name="_Toc161762438" w:id="973"/>
      <w:r w:rsidRPr="00E04DB4">
        <w:rPr>
          <w:lang w:val="fr-CA"/>
        </w:rPr>
        <w:t>Loi sur les archives publiques</w:t>
      </w:r>
      <w:r w:rsidRPr="00E04DB4" w:rsidR="00C517ED">
        <w:rPr>
          <w:lang w:val="fr-CA"/>
        </w:rPr>
        <w:t xml:space="preserve"> </w:t>
      </w:r>
      <w:r w:rsidRPr="00E04DB4">
        <w:rPr>
          <w:lang w:val="fr-CA"/>
        </w:rPr>
        <w:t>et autres obligations</w:t>
      </w:r>
      <w:r>
        <w:rPr>
          <w:lang w:val="fr-CA"/>
        </w:rPr>
        <w:t xml:space="preserve"> de divulgation</w:t>
      </w:r>
      <w:r w:rsidRPr="00E04DB4" w:rsidR="00C517ED">
        <w:rPr>
          <w:lang w:val="fr-CA"/>
        </w:rPr>
        <w:t>.</w:t>
      </w:r>
      <w:bookmarkStart w:name="_Ref113892910" w:id="974"/>
      <w:r w:rsidR="00C517ED">
        <w:rPr>
          <w:b w:val="0"/>
          <w:szCs w:val="22"/>
          <w:vertAlign w:val="superscript"/>
        </w:rPr>
        <w:footnoteReference w:id="162"/>
      </w:r>
      <w:bookmarkEnd w:id="972"/>
      <w:bookmarkEnd w:id="973"/>
      <w:bookmarkEnd w:id="974"/>
    </w:p>
    <w:p w:rsidR="0000160C" w:rsidRDefault="00C517ED" w14:paraId="32F48E3B" w14:textId="0EFA3242">
      <w:pPr>
        <w:pStyle w:val="ArtBJStyCont2"/>
      </w:pPr>
      <w:r>
        <w:t xml:space="preserve">Si un </w:t>
      </w:r>
      <w:r w:rsidR="00472BDD">
        <w:t>C</w:t>
      </w:r>
      <w:r>
        <w:t xml:space="preserve">ommanditaire assujetti aux </w:t>
      </w:r>
      <w:r w:rsidR="00472BDD">
        <w:t>L</w:t>
      </w:r>
      <w:r>
        <w:t xml:space="preserve">ois sur les </w:t>
      </w:r>
      <w:r w:rsidR="00472BDD">
        <w:t>archives publiques</w:t>
      </w:r>
      <w:r>
        <w:t xml:space="preserve"> est tenu de divulguer des renseignements ou si un </w:t>
      </w:r>
      <w:r w:rsidR="00472BDD">
        <w:t>C</w:t>
      </w:r>
      <w:r>
        <w:t>ommanditaire est autrement tenu de divulguer des renseignements qu</w:t>
      </w:r>
      <w:r w:rsidR="00E27310">
        <w:t>’</w:t>
      </w:r>
      <w:r>
        <w:t>il est autorisé à divulguer en vertu de l</w:t>
      </w:r>
      <w:r w:rsidR="00E27310">
        <w:t>’</w:t>
      </w:r>
      <w:r>
        <w:t>article </w:t>
      </w:r>
      <w:r w:rsidRPr="006400F9" w:rsidR="0044140B">
        <w:fldChar w:fldCharType="begin"/>
      </w:r>
      <w:r w:rsidRPr="006400F9" w:rsidR="0044140B">
        <w:instrText xml:space="preserve"> REF _Ref40806638 \w \h </w:instrText>
      </w:r>
      <w:r w:rsidRPr="006400F9" w:rsidR="00791303">
        <w:instrText xml:space="preserve"> \* MERGEFORMAT </w:instrText>
      </w:r>
      <w:r w:rsidRPr="006400F9" w:rsidR="0044140B">
        <w:fldChar w:fldCharType="separate"/>
      </w:r>
      <w:r w:rsidR="00B50BE2">
        <w:t>20.1</w:t>
      </w:r>
      <w:r w:rsidRPr="006400F9" w:rsidR="0044140B">
        <w:fldChar w:fldCharType="end"/>
      </w:r>
      <w:r>
        <w:t xml:space="preserve"> (</w:t>
      </w:r>
      <w:r w:rsidRPr="001B27C4" w:rsidR="001B27C4">
        <w:rPr>
          <w:i/>
        </w:rPr>
        <w:fldChar w:fldCharType="begin"/>
      </w:r>
      <w:r w:rsidRPr="001B27C4" w:rsidR="001B27C4">
        <w:rPr>
          <w:i/>
        </w:rPr>
        <w:instrText xml:space="preserve"> REF _Ref113892699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Confidentialité.</w:t>
      </w:r>
      <w:r w:rsidRPr="001B27C4" w:rsidR="001B27C4">
        <w:rPr>
          <w:i/>
        </w:rPr>
        <w:fldChar w:fldCharType="end"/>
      </w:r>
      <w:r>
        <w:t xml:space="preserve">), et </w:t>
      </w:r>
      <w:r w:rsidR="00472BDD">
        <w:t>que cette</w:t>
      </w:r>
      <w:r>
        <w:t xml:space="preserve"> divulgation rendrait ces renseignements </w:t>
      </w:r>
      <w:r w:rsidR="00472BDD">
        <w:t>accessibles au public</w:t>
      </w:r>
      <w:r>
        <w:t xml:space="preserve">, le </w:t>
      </w:r>
      <w:r w:rsidR="00472BDD">
        <w:t>C</w:t>
      </w:r>
      <w:r>
        <w:t>ommandité peut, s</w:t>
      </w:r>
      <w:r w:rsidR="00E27310">
        <w:t>’</w:t>
      </w:r>
      <w:r>
        <w:t>il estime de bonne foi qu</w:t>
      </w:r>
      <w:r w:rsidR="00E27310">
        <w:t>’</w:t>
      </w:r>
      <w:r>
        <w:t xml:space="preserve">une telle action est souhaitable, dans toute la mesure permise par la Loi, limiter les renseignements qui sont divulgués au </w:t>
      </w:r>
      <w:r w:rsidR="00472BDD">
        <w:t>Commanditaire</w:t>
      </w:r>
      <w:r>
        <w:t xml:space="preserve"> afin d</w:t>
      </w:r>
      <w:r w:rsidR="00E27310">
        <w:t>’</w:t>
      </w:r>
      <w:r>
        <w:t xml:space="preserve">empêcher la divulgation ou la divulgation future de ces renseignements, y compris en limitant la capacité du </w:t>
      </w:r>
      <w:r w:rsidR="00B65EE1">
        <w:t>Commanditaire</w:t>
      </w:r>
      <w:r>
        <w:t xml:space="preserve"> de recevoir, de faire ou de conserver des copies de ces renseignements, ou peut exiger du </w:t>
      </w:r>
      <w:r w:rsidR="00B65EE1">
        <w:t>Commanditaire</w:t>
      </w:r>
      <w:r>
        <w:t xml:space="preserve"> qu</w:t>
      </w:r>
      <w:r w:rsidR="00E27310">
        <w:t>’</w:t>
      </w:r>
      <w:r>
        <w:t>il retourne ces renseignements qui lui ont été fournis antérieurement dans la mesure permise par la loi</w:t>
      </w:r>
      <w:r w:rsidR="00B65EE1">
        <w:t>,</w:t>
      </w:r>
      <w:r>
        <w:t xml:space="preserve"> à condition que le Fonds fournisse néanmoins les rapports, déclarations et renseignements fournis conformément à </w:t>
      </w:r>
      <w:r w:rsidR="00B65EE1">
        <w:t>l’</w:t>
      </w:r>
      <w:r w:rsidRPr="006400F9" w:rsidR="0044140B">
        <w:fldChar w:fldCharType="begin"/>
      </w:r>
      <w:r w:rsidRPr="006400F9" w:rsidR="0044140B">
        <w:instrText xml:space="preserve"> REF _Ref40807501 \w \h </w:instrText>
      </w:r>
      <w:r w:rsidRPr="006400F9" w:rsidR="00791303">
        <w:instrText xml:space="preserve"> \* MERGEFORMAT </w:instrText>
      </w:r>
      <w:r w:rsidRPr="006400F9" w:rsidR="0044140B">
        <w:fldChar w:fldCharType="separate"/>
      </w:r>
      <w:r w:rsidR="00B50BE2">
        <w:t>Article 15</w:t>
      </w:r>
      <w:r w:rsidRPr="006400F9" w:rsidR="0044140B">
        <w:fldChar w:fldCharType="end"/>
      </w:r>
      <w:r>
        <w:t xml:space="preserve"> (</w:t>
      </w:r>
      <w:r w:rsidRPr="00BD2FE6" w:rsidR="001B27C4">
        <w:rPr>
          <w:i/>
        </w:rPr>
        <w:fldChar w:fldCharType="begin"/>
      </w:r>
      <w:r w:rsidRPr="00BD2FE6" w:rsidR="001B27C4">
        <w:rPr>
          <w:i/>
        </w:rPr>
        <w:instrText xml:space="preserve"> REF _Ref40807501 \h </w:instrText>
      </w:r>
      <w:r w:rsidR="00BD2FE6">
        <w:rPr>
          <w:i/>
        </w:rPr>
        <w:instrText xml:space="preserve"> \* MERGEFORMAT </w:instrText>
      </w:r>
      <w:r w:rsidRPr="00BD2FE6" w:rsidR="001B27C4">
        <w:rPr>
          <w:i/>
        </w:rPr>
      </w:r>
      <w:r w:rsidRPr="00BD2FE6" w:rsidR="001B27C4">
        <w:rPr>
          <w:i/>
        </w:rPr>
        <w:fldChar w:fldCharType="separate"/>
      </w:r>
      <w:r w:rsidRPr="00B50BE2" w:rsidR="00B50BE2">
        <w:rPr>
          <w:i/>
        </w:rPr>
        <w:t>Livres et Registres; rapports aux commanditaires</w:t>
      </w:r>
      <w:r w:rsidRPr="00BD2FE6" w:rsidR="001B27C4">
        <w:rPr>
          <w:i/>
        </w:rPr>
        <w:fldChar w:fldCharType="end"/>
      </w:r>
      <w:r>
        <w:t xml:space="preserve">) dans la mesure où ces </w:t>
      </w:r>
      <w:r w:rsidR="00B65EE1">
        <w:t>renseignements</w:t>
      </w:r>
      <w:r>
        <w:t xml:space="preserve"> concernent le Fonds dans son ensemble ou le Compte de capital individuel </w:t>
      </w:r>
      <w:r w:rsidR="00B65EE1">
        <w:t>de ce</w:t>
      </w:r>
      <w:r>
        <w:t xml:space="preserve"> </w:t>
      </w:r>
      <w:r w:rsidR="00B65EE1">
        <w:t>C</w:t>
      </w:r>
      <w:r>
        <w:t xml:space="preserve">ommanditaire. Si le </w:t>
      </w:r>
      <w:r w:rsidR="00B65EE1">
        <w:t>C</w:t>
      </w:r>
      <w:r>
        <w:t xml:space="preserve">ommandité décide de limiter les </w:t>
      </w:r>
      <w:r w:rsidR="00B65EE1">
        <w:t>renseignements</w:t>
      </w:r>
      <w:r>
        <w:t xml:space="preserve"> à fournir à un </w:t>
      </w:r>
      <w:r w:rsidR="00B65EE1">
        <w:t>Commanditaire</w:t>
      </w:r>
      <w:r>
        <w:t xml:space="preserve">, il doit </w:t>
      </w:r>
      <w:proofErr w:type="gramStart"/>
      <w:r>
        <w:t>faire</w:t>
      </w:r>
      <w:proofErr w:type="gramEnd"/>
      <w:r>
        <w:t xml:space="preserve"> des efforts raisonnables pour mettre ces </w:t>
      </w:r>
      <w:r w:rsidR="00B65EE1">
        <w:t>renseignements</w:t>
      </w:r>
      <w:r>
        <w:t xml:space="preserve"> à la disposition d</w:t>
      </w:r>
      <w:r w:rsidR="00B65EE1">
        <w:t xml:space="preserve">e ce Commanditaire </w:t>
      </w:r>
      <w:r>
        <w:t xml:space="preserve">par </w:t>
      </w:r>
      <w:r w:rsidR="00B65EE1">
        <w:t>d’autres moyens</w:t>
      </w:r>
      <w:r>
        <w:t xml:space="preserve">, à condition que ces </w:t>
      </w:r>
      <w:r w:rsidR="00B65EE1">
        <w:t>renseignements</w:t>
      </w:r>
      <w:r>
        <w:t xml:space="preserve"> ne soient pas ainsi soumis à une divulgation publique, et pour atteindre un tel objectif, </w:t>
      </w:r>
      <w:r w:rsidR="00B65EE1">
        <w:t xml:space="preserve">il </w:t>
      </w:r>
      <w:r>
        <w:t>peut limiter la prise de notes ou la photographie, l</w:t>
      </w:r>
      <w:r w:rsidR="00E27310">
        <w:t>’</w:t>
      </w:r>
      <w:r>
        <w:t>impression, l</w:t>
      </w:r>
      <w:r w:rsidR="00E27310">
        <w:t>’</w:t>
      </w:r>
      <w:r>
        <w:t>enregistrement ou toute autre</w:t>
      </w:r>
      <w:r w:rsidR="00B65EE1">
        <w:t xml:space="preserve"> forme de</w:t>
      </w:r>
      <w:r>
        <w:t xml:space="preserve"> documentation de ces </w:t>
      </w:r>
      <w:r w:rsidR="00B65EE1">
        <w:t>renseignements</w:t>
      </w:r>
      <w:r>
        <w:t>.</w:t>
      </w:r>
    </w:p>
    <w:p w:rsidR="0000160C" w:rsidRDefault="00C517ED" w14:paraId="6B012F38" w14:textId="77777777">
      <w:pPr>
        <w:pStyle w:val="ArtBJStyL2"/>
      </w:pPr>
      <w:bookmarkStart w:name="_Ref113892708" w:id="975"/>
      <w:bookmarkStart w:name="_Toc161762439" w:id="976"/>
      <w:r>
        <w:t>Questions diverses de confidentialité.</w:t>
      </w:r>
      <w:bookmarkEnd w:id="975"/>
      <w:bookmarkEnd w:id="976"/>
    </w:p>
    <w:p w:rsidR="0000160C" w:rsidRDefault="00C517ED" w14:paraId="277D639E" w14:textId="345B659A">
      <w:pPr>
        <w:pStyle w:val="ArtBJStyL3"/>
      </w:pPr>
      <w:bookmarkStart w:name="_Ref113892709" w:id="977"/>
      <w:r>
        <w:t>Tout</w:t>
      </w:r>
      <w:r w:rsidR="00B65EE1">
        <w:t xml:space="preserve">e entente </w:t>
      </w:r>
      <w:r>
        <w:t xml:space="preserve">de confidentialité </w:t>
      </w:r>
      <w:r w:rsidR="00B65EE1">
        <w:t>à laquelle</w:t>
      </w:r>
      <w:r>
        <w:t xml:space="preserve"> un </w:t>
      </w:r>
      <w:r w:rsidR="00B65EE1">
        <w:t>C</w:t>
      </w:r>
      <w:r>
        <w:t xml:space="preserve">ommanditaire peut être tenu </w:t>
      </w:r>
      <w:r w:rsidR="00B65EE1">
        <w:t>de consentir</w:t>
      </w:r>
      <w:r>
        <w:t xml:space="preserve"> afin d</w:t>
      </w:r>
      <w:r w:rsidR="00E27310">
        <w:t>’</w:t>
      </w:r>
      <w:r>
        <w:t xml:space="preserve">accéder à tout site Web géré par le </w:t>
      </w:r>
      <w:r w:rsidR="00B65EE1">
        <w:t>C</w:t>
      </w:r>
      <w:r>
        <w:t xml:space="preserve">ommandité, le </w:t>
      </w:r>
      <w:r w:rsidR="00B65EE1">
        <w:t>G</w:t>
      </w:r>
      <w:r>
        <w:t xml:space="preserve">estionnaire ou le </w:t>
      </w:r>
      <w:r w:rsidR="00B65EE1">
        <w:t>F</w:t>
      </w:r>
      <w:r>
        <w:t xml:space="preserve">onds dans le but de </w:t>
      </w:r>
      <w:r w:rsidR="00B65EE1">
        <w:t>rendre certains documents disponibles</w:t>
      </w:r>
      <w:r>
        <w:t xml:space="preserve"> ou de remettre des avis aux </w:t>
      </w:r>
      <w:r w:rsidR="00B644BD">
        <w:t>C</w:t>
      </w:r>
      <w:r>
        <w:t xml:space="preserve">ommanditaires (ou à toute autre fin) sera </w:t>
      </w:r>
      <w:r w:rsidR="00B644BD">
        <w:t>assujettie</w:t>
      </w:r>
      <w:r>
        <w:t xml:space="preserve"> (et régi</w:t>
      </w:r>
      <w:r w:rsidR="00B644BD">
        <w:t>e</w:t>
      </w:r>
      <w:r>
        <w:t xml:space="preserve"> par) les dispositions de confidentialité </w:t>
      </w:r>
      <w:r w:rsidR="00E536D5">
        <w:t>de la présente Convention</w:t>
      </w:r>
      <w:r>
        <w:t xml:space="preserve">, de sorte que les </w:t>
      </w:r>
      <w:r w:rsidR="00B644BD">
        <w:t>modalités</w:t>
      </w:r>
      <w:r>
        <w:t xml:space="preserve"> </w:t>
      </w:r>
      <w:r w:rsidR="00E536D5">
        <w:t>de la présente Convention</w:t>
      </w:r>
      <w:r>
        <w:t xml:space="preserve"> </w:t>
      </w:r>
      <w:r w:rsidR="00B644BD">
        <w:t>auront préséance sur</w:t>
      </w:r>
      <w:r>
        <w:t xml:space="preserve"> toute disposition contradictoire du site Web.</w:t>
      </w:r>
      <w:bookmarkEnd w:id="977"/>
    </w:p>
    <w:p w:rsidR="0000160C" w:rsidRDefault="00C517ED" w14:paraId="10636A03" w14:textId="1447B3FB">
      <w:pPr>
        <w:pStyle w:val="ArtBJStyL3"/>
        <w:rPr>
          <w:b/>
          <w:highlight w:val="yellow"/>
        </w:rPr>
      </w:pPr>
      <w:bookmarkStart w:name="_Ref113892710" w:id="978"/>
      <w:r>
        <w:rPr>
          <w:b/>
          <w:highlight w:val="yellow"/>
        </w:rPr>
        <w:t xml:space="preserve">[Un </w:t>
      </w:r>
      <w:r w:rsidR="00B644BD">
        <w:rPr>
          <w:b/>
          <w:highlight w:val="yellow"/>
        </w:rPr>
        <w:t>C</w:t>
      </w:r>
      <w:r>
        <w:rPr>
          <w:b/>
          <w:highlight w:val="yellow"/>
        </w:rPr>
        <w:t>ommanditaire n</w:t>
      </w:r>
      <w:r w:rsidR="00E27310">
        <w:rPr>
          <w:b/>
          <w:highlight w:val="yellow"/>
        </w:rPr>
        <w:t>’</w:t>
      </w:r>
      <w:r>
        <w:rPr>
          <w:b/>
          <w:highlight w:val="yellow"/>
        </w:rPr>
        <w:t>est pas tenu de retourner ou de détruire tout</w:t>
      </w:r>
      <w:r w:rsidR="00B644BD">
        <w:rPr>
          <w:b/>
          <w:highlight w:val="yellow"/>
        </w:rPr>
        <w:t xml:space="preserve"> renseignement</w:t>
      </w:r>
      <w:r>
        <w:rPr>
          <w:b/>
          <w:highlight w:val="yellow"/>
        </w:rPr>
        <w:t xml:space="preserve">, y compris </w:t>
      </w:r>
      <w:r w:rsidR="00B644BD">
        <w:rPr>
          <w:b/>
          <w:highlight w:val="yellow"/>
        </w:rPr>
        <w:t>d</w:t>
      </w:r>
      <w:r>
        <w:rPr>
          <w:b/>
          <w:highlight w:val="yellow"/>
        </w:rPr>
        <w:t xml:space="preserve">es documents ou copies de tout document, fourni au </w:t>
      </w:r>
      <w:r w:rsidR="00B644BD">
        <w:rPr>
          <w:b/>
          <w:highlight w:val="yellow"/>
        </w:rPr>
        <w:t>C</w:t>
      </w:r>
      <w:r>
        <w:rPr>
          <w:b/>
          <w:highlight w:val="yellow"/>
        </w:rPr>
        <w:t xml:space="preserve">ommanditaire par le </w:t>
      </w:r>
      <w:r w:rsidR="00B644BD">
        <w:rPr>
          <w:b/>
          <w:highlight w:val="yellow"/>
        </w:rPr>
        <w:t>C</w:t>
      </w:r>
      <w:r>
        <w:rPr>
          <w:b/>
          <w:highlight w:val="yellow"/>
        </w:rPr>
        <w:t xml:space="preserve">ommandité, le </w:t>
      </w:r>
      <w:r w:rsidR="00B644BD">
        <w:rPr>
          <w:b/>
          <w:highlight w:val="yellow"/>
        </w:rPr>
        <w:t>G</w:t>
      </w:r>
      <w:r>
        <w:rPr>
          <w:b/>
          <w:highlight w:val="yellow"/>
        </w:rPr>
        <w:t xml:space="preserve">estionnaire ou le </w:t>
      </w:r>
      <w:r w:rsidR="00B644BD">
        <w:rPr>
          <w:b/>
          <w:highlight w:val="yellow"/>
        </w:rPr>
        <w:t>F</w:t>
      </w:r>
      <w:r>
        <w:rPr>
          <w:b/>
          <w:highlight w:val="yellow"/>
        </w:rPr>
        <w:t xml:space="preserve">onds dans la mesure où un tel retour ou une telle destruction violerait toute loi ou politique de conservation de documents à laquelle le </w:t>
      </w:r>
      <w:r w:rsidR="00B644BD">
        <w:rPr>
          <w:b/>
          <w:highlight w:val="yellow"/>
        </w:rPr>
        <w:t>C</w:t>
      </w:r>
      <w:r>
        <w:rPr>
          <w:b/>
          <w:highlight w:val="yellow"/>
        </w:rPr>
        <w:t>ommanditaire est assujetti.]</w:t>
      </w:r>
      <w:bookmarkEnd w:id="978"/>
    </w:p>
    <w:p w:rsidR="0000160C" w:rsidRDefault="00C517ED" w14:paraId="50E69EC0" w14:textId="51BBF860">
      <w:pPr>
        <w:pStyle w:val="ArtBJStyL3"/>
      </w:pPr>
      <w:bookmarkStart w:name="_Ref113892711" w:id="979"/>
      <w:r>
        <w:lastRenderedPageBreak/>
        <w:t>Rien dans les Documents du Fonds n</w:t>
      </w:r>
      <w:r w:rsidR="00E27310">
        <w:t>’</w:t>
      </w:r>
      <w:r>
        <w:t xml:space="preserve">empêche un </w:t>
      </w:r>
      <w:r w:rsidR="00B644BD">
        <w:t>C</w:t>
      </w:r>
      <w:r>
        <w:t>ommanditaire d</w:t>
      </w:r>
      <w:r w:rsidR="00E27310">
        <w:t>’</w:t>
      </w:r>
      <w:r>
        <w:t xml:space="preserve">utiliser tout </w:t>
      </w:r>
      <w:r w:rsidR="00B644BD">
        <w:t>renseignement</w:t>
      </w:r>
      <w:r>
        <w:t xml:space="preserve"> qui lui est fourni concernant le Fonds dans le cadre de l</w:t>
      </w:r>
      <w:r w:rsidR="00E27310">
        <w:t>’</w:t>
      </w:r>
      <w:r>
        <w:t xml:space="preserve">exercice de ses droits en tant que </w:t>
      </w:r>
      <w:r w:rsidR="00B644BD">
        <w:t>C</w:t>
      </w:r>
      <w:r>
        <w:t>ommanditaire.</w:t>
      </w:r>
      <w:bookmarkEnd w:id="979"/>
    </w:p>
    <w:p w:rsidR="0000160C" w:rsidRDefault="00DA3CB8" w14:paraId="3A65054A" w14:textId="418B79A1">
      <w:pPr>
        <w:pStyle w:val="ArtBJStyL2"/>
      </w:pPr>
      <w:bookmarkStart w:name="_Ref113892712" w:id="980"/>
      <w:bookmarkStart w:name="_Toc161762440" w:id="981"/>
      <w:r>
        <w:t>Intégralité de la Convention</w:t>
      </w:r>
      <w:r w:rsidR="00C517ED">
        <w:t>.</w:t>
      </w:r>
      <w:bookmarkEnd w:id="980"/>
      <w:bookmarkEnd w:id="981"/>
    </w:p>
    <w:p w:rsidRPr="00304C67" w:rsidR="0000160C" w:rsidRDefault="00B644BD" w14:paraId="5088C40B" w14:textId="30AFBEDE">
      <w:pPr>
        <w:pStyle w:val="ArtBJStyL3"/>
        <w:rPr>
          <w:lang w:val="fr-CA"/>
        </w:rPr>
      </w:pPr>
      <w:bookmarkStart w:name="_Ref45622068" w:id="982"/>
      <w:r>
        <w:t>La présente Convention</w:t>
      </w:r>
      <w:r w:rsidR="00D42829">
        <w:t xml:space="preserve"> et</w:t>
      </w:r>
      <w:r w:rsidR="00C517ED">
        <w:t xml:space="preserve"> les </w:t>
      </w:r>
      <w:r>
        <w:t>autre</w:t>
      </w:r>
      <w:r w:rsidR="00D42829">
        <w:t>s</w:t>
      </w:r>
      <w:r>
        <w:t xml:space="preserve"> Documents du Fonds</w:t>
      </w:r>
      <w:r w:rsidR="00C517ED">
        <w:t xml:space="preserve"> </w:t>
      </w:r>
      <w:r>
        <w:t>constituent</w:t>
      </w:r>
      <w:r w:rsidR="00C517ED">
        <w:t xml:space="preserve"> </w:t>
      </w:r>
      <w:r>
        <w:t xml:space="preserve">l’intégralité de la convention entre les parties aux </w:t>
      </w:r>
      <w:r w:rsidR="00310CBA">
        <w:t>d</w:t>
      </w:r>
      <w:r>
        <w:t xml:space="preserve">ocuments </w:t>
      </w:r>
      <w:r w:rsidR="00304C67">
        <w:t>du Fonds</w:t>
      </w:r>
      <w:r w:rsidR="00310CBA">
        <w:t xml:space="preserve"> </w:t>
      </w:r>
      <w:r w:rsidRPr="00310CBA" w:rsidR="00310CBA">
        <w:rPr>
          <w:b/>
          <w:bCs/>
          <w:highlight w:val="cyan"/>
          <w:lang w:val="fr-CA"/>
        </w:rPr>
        <w:t>[</w:t>
      </w:r>
      <w:r w:rsidRPr="00310CBA" w:rsidR="00310CBA">
        <w:rPr>
          <w:b/>
          <w:bCs/>
          <w:highlight w:val="cyan"/>
          <w:u w:val="single"/>
          <w:lang w:val="fr-CA"/>
        </w:rPr>
        <w:t>Note to CVCA :</w:t>
      </w:r>
      <w:r w:rsidRPr="00310CBA" w:rsidR="00310CBA">
        <w:rPr>
          <w:b/>
          <w:bCs/>
          <w:highlight w:val="cyan"/>
          <w:lang w:val="fr-CA"/>
        </w:rPr>
        <w:t xml:space="preserve"> </w:t>
      </w:r>
      <w:proofErr w:type="spellStart"/>
      <w:r w:rsidRPr="00310CBA" w:rsidR="00310CBA">
        <w:rPr>
          <w:b/>
          <w:bCs/>
          <w:highlight w:val="cyan"/>
          <w:lang w:val="fr-CA"/>
        </w:rPr>
        <w:t>We</w:t>
      </w:r>
      <w:proofErr w:type="spellEnd"/>
      <w:r w:rsidRPr="00310CBA" w:rsidR="00310CBA">
        <w:rPr>
          <w:b/>
          <w:bCs/>
          <w:highlight w:val="cyan"/>
          <w:lang w:val="fr-CA"/>
        </w:rPr>
        <w:t xml:space="preserve"> note </w:t>
      </w:r>
      <w:proofErr w:type="spellStart"/>
      <w:r w:rsidRPr="00310CBA" w:rsidR="00310CBA">
        <w:rPr>
          <w:b/>
          <w:bCs/>
          <w:highlight w:val="cyan"/>
          <w:lang w:val="fr-CA"/>
        </w:rPr>
        <w:t>that</w:t>
      </w:r>
      <w:proofErr w:type="spellEnd"/>
      <w:r w:rsidRPr="00310CBA" w:rsidR="00310CBA">
        <w:rPr>
          <w:b/>
          <w:bCs/>
          <w:highlight w:val="cyan"/>
          <w:lang w:val="fr-CA"/>
        </w:rPr>
        <w:t xml:space="preserve"> the </w:t>
      </w:r>
      <w:proofErr w:type="spellStart"/>
      <w:r w:rsidRPr="00310CBA" w:rsidR="00310CBA">
        <w:rPr>
          <w:b/>
          <w:bCs/>
          <w:highlight w:val="cyan"/>
          <w:lang w:val="fr-CA"/>
        </w:rPr>
        <w:t>defined</w:t>
      </w:r>
      <w:proofErr w:type="spellEnd"/>
      <w:r w:rsidRPr="00310CBA" w:rsidR="00310CBA">
        <w:rPr>
          <w:b/>
          <w:bCs/>
          <w:highlight w:val="cyan"/>
          <w:lang w:val="fr-CA"/>
        </w:rPr>
        <w:t xml:space="preserve"> </w:t>
      </w:r>
      <w:proofErr w:type="spellStart"/>
      <w:r w:rsidRPr="00310CBA" w:rsidR="00310CBA">
        <w:rPr>
          <w:b/>
          <w:bCs/>
          <w:highlight w:val="cyan"/>
          <w:lang w:val="fr-CA"/>
        </w:rPr>
        <w:t>term</w:t>
      </w:r>
      <w:proofErr w:type="spellEnd"/>
      <w:r w:rsidRPr="00310CBA" w:rsidR="00310CBA">
        <w:rPr>
          <w:b/>
          <w:bCs/>
          <w:highlight w:val="cyan"/>
          <w:lang w:val="fr-CA"/>
        </w:rPr>
        <w:t xml:space="preserve"> </w:t>
      </w:r>
      <w:r w:rsidR="00310CBA">
        <w:rPr>
          <w:b/>
          <w:bCs/>
          <w:highlight w:val="cyan"/>
          <w:lang w:val="fr-CA"/>
        </w:rPr>
        <w:t>« Partnership Documents »</w:t>
      </w:r>
      <w:r w:rsidRPr="00310CBA" w:rsidR="00310CBA">
        <w:rPr>
          <w:b/>
          <w:bCs/>
          <w:highlight w:val="cyan"/>
          <w:lang w:val="fr-CA"/>
        </w:rPr>
        <w:t xml:space="preserve"> </w:t>
      </w:r>
      <w:proofErr w:type="spellStart"/>
      <w:r w:rsidRPr="00310CBA" w:rsidR="00310CBA">
        <w:rPr>
          <w:b/>
          <w:bCs/>
          <w:highlight w:val="cyan"/>
          <w:lang w:val="fr-CA"/>
        </w:rPr>
        <w:t>does</w:t>
      </w:r>
      <w:proofErr w:type="spellEnd"/>
      <w:r w:rsidRPr="00310CBA" w:rsidR="00310CBA">
        <w:rPr>
          <w:b/>
          <w:bCs/>
          <w:highlight w:val="cyan"/>
          <w:lang w:val="fr-CA"/>
        </w:rPr>
        <w:t xml:space="preserve"> not </w:t>
      </w:r>
      <w:proofErr w:type="spellStart"/>
      <w:r w:rsidRPr="00310CBA" w:rsidR="00310CBA">
        <w:rPr>
          <w:b/>
          <w:bCs/>
          <w:highlight w:val="cyan"/>
          <w:lang w:val="fr-CA"/>
        </w:rPr>
        <w:t>appear</w:t>
      </w:r>
      <w:proofErr w:type="spellEnd"/>
      <w:r w:rsidRPr="00310CBA" w:rsidR="00310CBA">
        <w:rPr>
          <w:b/>
          <w:bCs/>
          <w:highlight w:val="cyan"/>
          <w:lang w:val="fr-CA"/>
        </w:rPr>
        <w:t xml:space="preserve"> in the </w:t>
      </w:r>
      <w:proofErr w:type="spellStart"/>
      <w:r w:rsidRPr="00304C67" w:rsidR="00310CBA">
        <w:rPr>
          <w:b/>
          <w:bCs/>
          <w:highlight w:val="cyan"/>
          <w:lang w:val="fr-CA"/>
        </w:rPr>
        <w:t>definition</w:t>
      </w:r>
      <w:proofErr w:type="spellEnd"/>
      <w:r w:rsidRPr="00304C67" w:rsidR="00310CBA">
        <w:rPr>
          <w:b/>
          <w:bCs/>
          <w:highlight w:val="cyan"/>
          <w:lang w:val="fr-CA"/>
        </w:rPr>
        <w:t xml:space="preserve"> section of the English version of </w:t>
      </w:r>
      <w:proofErr w:type="spellStart"/>
      <w:r w:rsidRPr="00304C67" w:rsidR="00310CBA">
        <w:rPr>
          <w:b/>
          <w:bCs/>
          <w:highlight w:val="cyan"/>
          <w:lang w:val="fr-CA"/>
        </w:rPr>
        <w:t>this</w:t>
      </w:r>
      <w:proofErr w:type="spellEnd"/>
      <w:r w:rsidRPr="00304C67" w:rsidR="00310CBA">
        <w:rPr>
          <w:b/>
          <w:bCs/>
          <w:highlight w:val="cyan"/>
          <w:lang w:val="fr-CA"/>
        </w:rPr>
        <w:t xml:space="preserve"> document</w:t>
      </w:r>
      <w:r w:rsidRPr="00304C67" w:rsidR="00304C67">
        <w:rPr>
          <w:b/>
          <w:bCs/>
          <w:highlight w:val="cyan"/>
          <w:lang w:val="fr-CA"/>
        </w:rPr>
        <w:t xml:space="preserve"> and </w:t>
      </w:r>
      <w:proofErr w:type="spellStart"/>
      <w:r w:rsidRPr="00304C67" w:rsidR="00304C67">
        <w:rPr>
          <w:b/>
          <w:bCs/>
          <w:highlight w:val="cyan"/>
          <w:lang w:val="fr-CA"/>
        </w:rPr>
        <w:t>is</w:t>
      </w:r>
      <w:proofErr w:type="spellEnd"/>
      <w:r w:rsidRPr="00304C67" w:rsidR="00304C67">
        <w:rPr>
          <w:b/>
          <w:bCs/>
          <w:highlight w:val="cyan"/>
          <w:lang w:val="fr-CA"/>
        </w:rPr>
        <w:t xml:space="preserve"> </w:t>
      </w:r>
      <w:proofErr w:type="spellStart"/>
      <w:r w:rsidRPr="00304C67" w:rsidR="00304C67">
        <w:rPr>
          <w:b/>
          <w:bCs/>
          <w:highlight w:val="cyan"/>
          <w:lang w:val="fr-CA"/>
        </w:rPr>
        <w:t>used</w:t>
      </w:r>
      <w:proofErr w:type="spellEnd"/>
      <w:r w:rsidRPr="00304C67" w:rsidR="00304C67">
        <w:rPr>
          <w:b/>
          <w:bCs/>
          <w:highlight w:val="cyan"/>
          <w:lang w:val="fr-CA"/>
        </w:rPr>
        <w:t xml:space="preserve"> </w:t>
      </w:r>
      <w:proofErr w:type="spellStart"/>
      <w:r w:rsidRPr="00304C67" w:rsidR="00304C67">
        <w:rPr>
          <w:b/>
          <w:bCs/>
          <w:highlight w:val="cyan"/>
          <w:lang w:val="fr-CA"/>
        </w:rPr>
        <w:t>only</w:t>
      </w:r>
      <w:proofErr w:type="spellEnd"/>
      <w:r w:rsidRPr="00304C67" w:rsidR="00304C67">
        <w:rPr>
          <w:b/>
          <w:bCs/>
          <w:highlight w:val="cyan"/>
          <w:lang w:val="fr-CA"/>
        </w:rPr>
        <w:t xml:space="preserve"> once in the </w:t>
      </w:r>
      <w:r w:rsidR="00304C67">
        <w:rPr>
          <w:b/>
          <w:bCs/>
          <w:highlight w:val="cyan"/>
          <w:lang w:val="fr-CA"/>
        </w:rPr>
        <w:t>Agreement</w:t>
      </w:r>
      <w:r w:rsidRPr="00304C67" w:rsidR="00310CBA">
        <w:rPr>
          <w:b/>
          <w:bCs/>
          <w:highlight w:val="cyan"/>
          <w:lang w:val="fr-CA"/>
        </w:rPr>
        <w:t>.]</w:t>
      </w:r>
      <w:r w:rsidRPr="00304C67">
        <w:rPr>
          <w:highlight w:val="cyan"/>
        </w:rPr>
        <w:t>,</w:t>
      </w:r>
      <w:r>
        <w:t xml:space="preserve"> et remplac</w:t>
      </w:r>
      <w:r w:rsidR="00D42829">
        <w:t>e</w:t>
      </w:r>
      <w:r>
        <w:t>nt toute entente ou arrangement antérieur entre elles en ce qui concerne ce sujet.</w:t>
      </w:r>
      <w:r w:rsidR="00C517ED">
        <w:t xml:space="preserve"> Les déclarations et garanties, le cas échéant, des Parties au Fonds et des </w:t>
      </w:r>
      <w:r>
        <w:t>Commanditaires</w:t>
      </w:r>
      <w:r w:rsidR="00C517ED">
        <w:t xml:space="preserve"> et dans les </w:t>
      </w:r>
      <w:r>
        <w:t>Conventions</w:t>
      </w:r>
      <w:r w:rsidR="00C517ED">
        <w:t xml:space="preserve"> de </w:t>
      </w:r>
      <w:r>
        <w:t>s</w:t>
      </w:r>
      <w:r w:rsidR="00C517ED">
        <w:t>ouscription concerné</w:t>
      </w:r>
      <w:r>
        <w:t>e</w:t>
      </w:r>
      <w:r w:rsidR="00C517ED">
        <w:t xml:space="preserve">s survivront à la signature et à la </w:t>
      </w:r>
      <w:r>
        <w:t>remise</w:t>
      </w:r>
      <w:r w:rsidR="00C517ED">
        <w:t xml:space="preserve"> </w:t>
      </w:r>
      <w:r w:rsidR="00E536D5">
        <w:t>de la présente Convention</w:t>
      </w:r>
      <w:bookmarkEnd w:id="982"/>
      <w:r w:rsidR="00304C67">
        <w:t>.</w:t>
      </w:r>
    </w:p>
    <w:p w:rsidR="0000160C" w:rsidRDefault="00C517ED" w14:paraId="29D5C3DF" w14:textId="17E602B5">
      <w:pPr>
        <w:pStyle w:val="ArtBJStyL3"/>
      </w:pPr>
      <w:bookmarkStart w:name="_Ref40802388" w:id="983"/>
      <w:bookmarkStart w:name="_Ref113892169" w:id="984"/>
      <w:r>
        <w:rPr>
          <w:b/>
          <w:highlight w:val="yellow"/>
        </w:rPr>
        <w:t xml:space="preserve">[Nonobstant toute disposition contraire </w:t>
      </w:r>
      <w:r w:rsidR="00E536D5">
        <w:rPr>
          <w:b/>
          <w:highlight w:val="yellow"/>
        </w:rPr>
        <w:t>de la présente Convention</w:t>
      </w:r>
      <w:r>
        <w:rPr>
          <w:b/>
          <w:highlight w:val="yellow"/>
        </w:rPr>
        <w:t xml:space="preserve"> ou de </w:t>
      </w:r>
      <w:r w:rsidR="0038771A">
        <w:rPr>
          <w:b/>
          <w:highlight w:val="yellow"/>
        </w:rPr>
        <w:t>toute Convention de souscription</w:t>
      </w:r>
      <w:r>
        <w:rPr>
          <w:b/>
          <w:highlight w:val="yellow"/>
        </w:rPr>
        <w:t xml:space="preserve">, le </w:t>
      </w:r>
      <w:r w:rsidR="0038771A">
        <w:rPr>
          <w:b/>
          <w:highlight w:val="yellow"/>
        </w:rPr>
        <w:t>Commandité</w:t>
      </w:r>
      <w:r>
        <w:rPr>
          <w:b/>
          <w:highlight w:val="yellow"/>
        </w:rPr>
        <w:t>, sans l</w:t>
      </w:r>
      <w:r w:rsidR="00E27310">
        <w:rPr>
          <w:b/>
          <w:highlight w:val="yellow"/>
        </w:rPr>
        <w:t>’</w:t>
      </w:r>
      <w:r>
        <w:rPr>
          <w:b/>
          <w:highlight w:val="yellow"/>
        </w:rPr>
        <w:t>approbation d</w:t>
      </w:r>
      <w:r w:rsidR="00E27310">
        <w:rPr>
          <w:b/>
          <w:highlight w:val="yellow"/>
        </w:rPr>
        <w:t>’</w:t>
      </w:r>
      <w:r>
        <w:rPr>
          <w:b/>
          <w:highlight w:val="yellow"/>
        </w:rPr>
        <w:t xml:space="preserve">un </w:t>
      </w:r>
      <w:r w:rsidR="0038771A">
        <w:rPr>
          <w:b/>
          <w:highlight w:val="yellow"/>
        </w:rPr>
        <w:t>Commanditaire</w:t>
      </w:r>
      <w:r>
        <w:rPr>
          <w:b/>
          <w:highlight w:val="yellow"/>
        </w:rPr>
        <w:t xml:space="preserve"> ou de toute autre Personne, peut, à sa discrétion raisonnable et de bonne foi, conclure une </w:t>
      </w:r>
      <w:r w:rsidR="0038771A">
        <w:rPr>
          <w:b/>
          <w:highlight w:val="yellow"/>
        </w:rPr>
        <w:t>entente accessoire</w:t>
      </w:r>
      <w:r>
        <w:rPr>
          <w:b/>
          <w:highlight w:val="yellow"/>
        </w:rPr>
        <w:t xml:space="preserve"> ou un</w:t>
      </w:r>
      <w:r w:rsidR="0038771A">
        <w:rPr>
          <w:b/>
          <w:highlight w:val="yellow"/>
        </w:rPr>
        <w:t xml:space="preserve">e entente </w:t>
      </w:r>
      <w:r>
        <w:rPr>
          <w:b/>
          <w:highlight w:val="yellow"/>
        </w:rPr>
        <w:t xml:space="preserve">similaire avec un ou plusieurs </w:t>
      </w:r>
      <w:r w:rsidR="0038771A">
        <w:rPr>
          <w:b/>
          <w:highlight w:val="yellow"/>
        </w:rPr>
        <w:t>Associés</w:t>
      </w:r>
      <w:r>
        <w:rPr>
          <w:b/>
          <w:highlight w:val="yellow"/>
        </w:rPr>
        <w:t xml:space="preserve"> (autres que les </w:t>
      </w:r>
      <w:r w:rsidR="0038771A">
        <w:rPr>
          <w:b/>
          <w:highlight w:val="yellow"/>
        </w:rPr>
        <w:t>Associés</w:t>
      </w:r>
      <w:r>
        <w:rPr>
          <w:b/>
          <w:highlight w:val="yellow"/>
        </w:rPr>
        <w:t xml:space="preserve"> </w:t>
      </w:r>
      <w:r w:rsidR="0038771A">
        <w:rPr>
          <w:b/>
          <w:highlight w:val="yellow"/>
        </w:rPr>
        <w:t>a</w:t>
      </w:r>
      <w:r>
        <w:rPr>
          <w:b/>
          <w:highlight w:val="yellow"/>
        </w:rPr>
        <w:t xml:space="preserve">ffiliés), signé </w:t>
      </w:r>
      <w:r w:rsidR="0038771A">
        <w:rPr>
          <w:b/>
          <w:highlight w:val="yellow"/>
        </w:rPr>
        <w:t>dans le cadre de</w:t>
      </w:r>
      <w:r>
        <w:rPr>
          <w:b/>
          <w:highlight w:val="yellow"/>
        </w:rPr>
        <w:t xml:space="preserve"> l</w:t>
      </w:r>
      <w:r w:rsidR="00E27310">
        <w:rPr>
          <w:b/>
          <w:highlight w:val="yellow"/>
        </w:rPr>
        <w:t>’</w:t>
      </w:r>
      <w:r>
        <w:rPr>
          <w:b/>
          <w:highlight w:val="yellow"/>
        </w:rPr>
        <w:t>admission de ce</w:t>
      </w:r>
      <w:r w:rsidR="0038771A">
        <w:rPr>
          <w:b/>
          <w:highlight w:val="yellow"/>
        </w:rPr>
        <w:t xml:space="preserve">t Associé </w:t>
      </w:r>
      <w:r>
        <w:rPr>
          <w:b/>
          <w:highlight w:val="yellow"/>
        </w:rPr>
        <w:t>au Fonds, qui a pour effet d</w:t>
      </w:r>
      <w:r w:rsidR="00E27310">
        <w:rPr>
          <w:b/>
          <w:highlight w:val="yellow"/>
        </w:rPr>
        <w:t>’</w:t>
      </w:r>
      <w:r>
        <w:rPr>
          <w:b/>
          <w:highlight w:val="yellow"/>
        </w:rPr>
        <w:t>établir des droits en vertu</w:t>
      </w:r>
      <w:r w:rsidR="0038771A">
        <w:rPr>
          <w:b/>
          <w:highlight w:val="yellow"/>
        </w:rPr>
        <w:t xml:space="preserve"> de la présente Convention et des Conventions de souscriptions concernées</w:t>
      </w:r>
      <w:r>
        <w:rPr>
          <w:b/>
          <w:highlight w:val="yellow"/>
        </w:rPr>
        <w:t xml:space="preserve">, </w:t>
      </w:r>
      <w:r w:rsidR="0038771A">
        <w:rPr>
          <w:b/>
          <w:highlight w:val="yellow"/>
        </w:rPr>
        <w:t xml:space="preserve">ou </w:t>
      </w:r>
      <w:r>
        <w:rPr>
          <w:b/>
          <w:highlight w:val="yellow"/>
        </w:rPr>
        <w:t xml:space="preserve">de modifier ou de compléter les </w:t>
      </w:r>
      <w:r w:rsidR="0038771A">
        <w:rPr>
          <w:b/>
          <w:highlight w:val="yellow"/>
        </w:rPr>
        <w:t>modalités</w:t>
      </w:r>
      <w:r>
        <w:rPr>
          <w:b/>
          <w:highlight w:val="yellow"/>
        </w:rPr>
        <w:t xml:space="preserve"> </w:t>
      </w:r>
      <w:r w:rsidR="00E536D5">
        <w:rPr>
          <w:b/>
          <w:highlight w:val="yellow"/>
        </w:rPr>
        <w:t xml:space="preserve">de </w:t>
      </w:r>
      <w:r w:rsidR="0038771A">
        <w:rPr>
          <w:b/>
          <w:highlight w:val="yellow"/>
        </w:rPr>
        <w:t>celles-ci</w:t>
      </w:r>
      <w:r>
        <w:rPr>
          <w:b/>
          <w:highlight w:val="yellow"/>
        </w:rPr>
        <w:t xml:space="preserve"> à l</w:t>
      </w:r>
      <w:r w:rsidR="00E27310">
        <w:rPr>
          <w:b/>
          <w:highlight w:val="yellow"/>
        </w:rPr>
        <w:t>’</w:t>
      </w:r>
      <w:r>
        <w:rPr>
          <w:b/>
          <w:highlight w:val="yellow"/>
        </w:rPr>
        <w:t>égard de ce</w:t>
      </w:r>
      <w:r w:rsidR="0038771A">
        <w:rPr>
          <w:b/>
          <w:highlight w:val="yellow"/>
        </w:rPr>
        <w:t>t</w:t>
      </w:r>
      <w:r>
        <w:rPr>
          <w:b/>
          <w:highlight w:val="yellow"/>
        </w:rPr>
        <w:t>(</w:t>
      </w:r>
      <w:r w:rsidR="0038771A">
        <w:rPr>
          <w:b/>
          <w:highlight w:val="yellow"/>
        </w:rPr>
        <w:t>ce</w:t>
      </w:r>
      <w:r>
        <w:rPr>
          <w:b/>
          <w:highlight w:val="yellow"/>
        </w:rPr>
        <w:t xml:space="preserve">s) </w:t>
      </w:r>
      <w:bookmarkStart w:name="DocXTextRef190" w:id="985"/>
      <w:r w:rsidR="0038771A">
        <w:rPr>
          <w:b/>
          <w:highlight w:val="yellow"/>
        </w:rPr>
        <w:t>Associé</w:t>
      </w:r>
      <w:r>
        <w:rPr>
          <w:b/>
          <w:highlight w:val="yellow"/>
        </w:rPr>
        <w:t>(s)</w:t>
      </w:r>
      <w:bookmarkEnd w:id="985"/>
      <w:r>
        <w:rPr>
          <w:b/>
          <w:highlight w:val="yellow"/>
        </w:rPr>
        <w:t>, ou de confirmer l</w:t>
      </w:r>
      <w:r w:rsidR="00E27310">
        <w:rPr>
          <w:b/>
          <w:highlight w:val="yellow"/>
        </w:rPr>
        <w:t>’</w:t>
      </w:r>
      <w:r>
        <w:rPr>
          <w:b/>
          <w:highlight w:val="yellow"/>
        </w:rPr>
        <w:t>interprétation de</w:t>
      </w:r>
      <w:r w:rsidR="0038771A">
        <w:rPr>
          <w:b/>
          <w:highlight w:val="yellow"/>
        </w:rPr>
        <w:t xml:space="preserve"> celles-ci à l’égard</w:t>
      </w:r>
      <w:r>
        <w:rPr>
          <w:b/>
          <w:highlight w:val="yellow"/>
        </w:rPr>
        <w:t xml:space="preserve"> ce</w:t>
      </w:r>
      <w:r w:rsidR="0038771A">
        <w:rPr>
          <w:b/>
          <w:highlight w:val="yellow"/>
        </w:rPr>
        <w:t>t</w:t>
      </w:r>
      <w:r>
        <w:rPr>
          <w:b/>
          <w:highlight w:val="yellow"/>
        </w:rPr>
        <w:t>(</w:t>
      </w:r>
      <w:r w:rsidR="0038771A">
        <w:rPr>
          <w:b/>
          <w:highlight w:val="yellow"/>
        </w:rPr>
        <w:t>ces</w:t>
      </w:r>
      <w:r>
        <w:rPr>
          <w:b/>
          <w:highlight w:val="yellow"/>
        </w:rPr>
        <w:t xml:space="preserve">) </w:t>
      </w:r>
      <w:bookmarkStart w:name="DocXTextRef191" w:id="986"/>
      <w:r w:rsidR="0038771A">
        <w:rPr>
          <w:b/>
          <w:highlight w:val="yellow"/>
        </w:rPr>
        <w:t>Associé</w:t>
      </w:r>
      <w:r>
        <w:rPr>
          <w:b/>
          <w:highlight w:val="yellow"/>
        </w:rPr>
        <w:t>(s)</w:t>
      </w:r>
      <w:bookmarkEnd w:id="986"/>
      <w:r>
        <w:rPr>
          <w:b/>
          <w:highlight w:val="yellow"/>
        </w:rPr>
        <w:t xml:space="preserve"> </w:t>
      </w:r>
      <w:r w:rsidR="0038771A">
        <w:rPr>
          <w:b/>
          <w:highlight w:val="yellow"/>
        </w:rPr>
        <w:t xml:space="preserve">afin de répondre à certaines exigences de cet(ces) Associé(s) </w:t>
      </w:r>
      <w:r>
        <w:rPr>
          <w:b/>
          <w:highlight w:val="yellow"/>
        </w:rPr>
        <w:t>(</w:t>
      </w:r>
      <w:r w:rsidR="0038771A">
        <w:rPr>
          <w:b/>
          <w:highlight w:val="yellow"/>
        </w:rPr>
        <w:t>chacune de ses</w:t>
      </w:r>
      <w:r>
        <w:rPr>
          <w:b/>
          <w:highlight w:val="yellow"/>
        </w:rPr>
        <w:t xml:space="preserve"> </w:t>
      </w:r>
      <w:r w:rsidR="0038771A">
        <w:rPr>
          <w:b/>
          <w:highlight w:val="yellow"/>
        </w:rPr>
        <w:t>ententes accessoires ou de ces ententes</w:t>
      </w:r>
      <w:r>
        <w:rPr>
          <w:b/>
          <w:highlight w:val="yellow"/>
        </w:rPr>
        <w:t>, un</w:t>
      </w:r>
      <w:r w:rsidR="0038771A">
        <w:rPr>
          <w:b/>
          <w:highlight w:val="yellow"/>
        </w:rPr>
        <w:t>e</w:t>
      </w:r>
      <w:r>
        <w:rPr>
          <w:b/>
          <w:highlight w:val="yellow"/>
        </w:rPr>
        <w:t xml:space="preserve"> </w:t>
      </w:r>
      <w:r w:rsidR="0038771A">
        <w:rPr>
          <w:b/>
          <w:highlight w:val="yellow"/>
        </w:rPr>
        <w:t>« Entente accessoire »</w:t>
      </w:r>
      <w:r>
        <w:rPr>
          <w:b/>
          <w:highlight w:val="yellow"/>
        </w:rPr>
        <w:t xml:space="preserve">), à condition que le </w:t>
      </w:r>
      <w:r w:rsidR="0038771A">
        <w:rPr>
          <w:b/>
          <w:highlight w:val="yellow"/>
        </w:rPr>
        <w:t>C</w:t>
      </w:r>
      <w:r>
        <w:rPr>
          <w:b/>
          <w:highlight w:val="yellow"/>
        </w:rPr>
        <w:t xml:space="preserve">ommandité </w:t>
      </w:r>
      <w:r w:rsidR="0038771A">
        <w:rPr>
          <w:b/>
          <w:highlight w:val="yellow"/>
        </w:rPr>
        <w:t>avise</w:t>
      </w:r>
      <w:r>
        <w:rPr>
          <w:b/>
          <w:highlight w:val="yellow"/>
        </w:rPr>
        <w:t xml:space="preserve"> chaque </w:t>
      </w:r>
      <w:r w:rsidR="0038771A">
        <w:rPr>
          <w:b/>
          <w:highlight w:val="yellow"/>
        </w:rPr>
        <w:t>Commanditaire</w:t>
      </w:r>
      <w:r>
        <w:rPr>
          <w:b/>
          <w:highlight w:val="yellow"/>
        </w:rPr>
        <w:t xml:space="preserve"> des </w:t>
      </w:r>
      <w:r w:rsidR="0038771A">
        <w:rPr>
          <w:b/>
          <w:highlight w:val="yellow"/>
        </w:rPr>
        <w:t>modalités</w:t>
      </w:r>
      <w:r>
        <w:rPr>
          <w:b/>
          <w:highlight w:val="yellow"/>
        </w:rPr>
        <w:t xml:space="preserve"> de toutes les </w:t>
      </w:r>
      <w:r w:rsidR="0038771A">
        <w:rPr>
          <w:b/>
          <w:highlight w:val="yellow"/>
        </w:rPr>
        <w:t>Ententes accessoires</w:t>
      </w:r>
      <w:r>
        <w:rPr>
          <w:b/>
          <w:highlight w:val="yellow"/>
        </w:rPr>
        <w:t xml:space="preserve"> raisonnablement </w:t>
      </w:r>
      <w:r w:rsidR="0038771A">
        <w:rPr>
          <w:b/>
          <w:highlight w:val="yellow"/>
        </w:rPr>
        <w:t>sans délai</w:t>
      </w:r>
      <w:r>
        <w:rPr>
          <w:b/>
          <w:highlight w:val="yellow"/>
        </w:rPr>
        <w:t xml:space="preserve"> après la </w:t>
      </w:r>
      <w:r w:rsidR="0038771A">
        <w:rPr>
          <w:b/>
          <w:highlight w:val="yellow"/>
        </w:rPr>
        <w:t>D</w:t>
      </w:r>
      <w:r>
        <w:rPr>
          <w:b/>
          <w:highlight w:val="yellow"/>
        </w:rPr>
        <w:t xml:space="preserve">ate de clôture finale, [dans la mesure où ces </w:t>
      </w:r>
      <w:r w:rsidR="0038771A">
        <w:rPr>
          <w:b/>
          <w:highlight w:val="yellow"/>
        </w:rPr>
        <w:t>Entente accessoires</w:t>
      </w:r>
      <w:r>
        <w:rPr>
          <w:b/>
          <w:highlight w:val="yellow"/>
        </w:rPr>
        <w:t xml:space="preserve"> ont été conclues par un ou plusieurs </w:t>
      </w:r>
      <w:r w:rsidR="0038771A">
        <w:rPr>
          <w:b/>
          <w:highlight w:val="yellow"/>
        </w:rPr>
        <w:t>Associés</w:t>
      </w:r>
      <w:r>
        <w:rPr>
          <w:b/>
          <w:highlight w:val="yellow"/>
        </w:rPr>
        <w:t xml:space="preserve"> dont les </w:t>
      </w:r>
      <w:r w:rsidR="0038771A">
        <w:rPr>
          <w:b/>
          <w:highlight w:val="yellow"/>
        </w:rPr>
        <w:t>E</w:t>
      </w:r>
      <w:r>
        <w:rPr>
          <w:b/>
          <w:highlight w:val="yellow"/>
        </w:rPr>
        <w:t xml:space="preserve">ngagements sont égaux ou inférieurs à ceux du </w:t>
      </w:r>
      <w:r w:rsidR="0038771A">
        <w:rPr>
          <w:b/>
          <w:highlight w:val="yellow"/>
        </w:rPr>
        <w:t>C</w:t>
      </w:r>
      <w:r>
        <w:rPr>
          <w:b/>
          <w:highlight w:val="yellow"/>
        </w:rPr>
        <w:t xml:space="preserve">ommanditaire], et, si une telle </w:t>
      </w:r>
      <w:r w:rsidR="0038771A">
        <w:rPr>
          <w:b/>
          <w:highlight w:val="yellow"/>
        </w:rPr>
        <w:t>Entente accessoire</w:t>
      </w:r>
      <w:r>
        <w:rPr>
          <w:b/>
          <w:highlight w:val="yellow"/>
        </w:rPr>
        <w:t xml:space="preserve"> accorde des droits plus favorables à un </w:t>
      </w:r>
      <w:r w:rsidR="0038771A">
        <w:rPr>
          <w:b/>
          <w:highlight w:val="yellow"/>
        </w:rPr>
        <w:t>Associé</w:t>
      </w:r>
      <w:r>
        <w:rPr>
          <w:b/>
          <w:highlight w:val="yellow"/>
        </w:rPr>
        <w:t xml:space="preserve"> que ceux </w:t>
      </w:r>
      <w:r w:rsidR="0038771A">
        <w:rPr>
          <w:b/>
          <w:highlight w:val="yellow"/>
        </w:rPr>
        <w:t>accordés</w:t>
      </w:r>
      <w:r>
        <w:rPr>
          <w:b/>
          <w:highlight w:val="yellow"/>
        </w:rPr>
        <w:t xml:space="preserve"> à un autre </w:t>
      </w:r>
      <w:r w:rsidR="0038771A">
        <w:rPr>
          <w:b/>
          <w:highlight w:val="yellow"/>
        </w:rPr>
        <w:t>Associé</w:t>
      </w:r>
      <w:r>
        <w:rPr>
          <w:b/>
          <w:highlight w:val="yellow"/>
        </w:rPr>
        <w:t xml:space="preserve">, </w:t>
      </w:r>
      <w:r w:rsidR="0038771A">
        <w:rPr>
          <w:b/>
          <w:highlight w:val="yellow"/>
        </w:rPr>
        <w:t>chacun de ces autres Associés</w:t>
      </w:r>
      <w:r>
        <w:rPr>
          <w:b/>
          <w:highlight w:val="yellow"/>
        </w:rPr>
        <w:t xml:space="preserve"> bénéficiera des droits </w:t>
      </w:r>
      <w:r w:rsidR="0038771A">
        <w:rPr>
          <w:b/>
          <w:highlight w:val="yellow"/>
        </w:rPr>
        <w:t xml:space="preserve">les </w:t>
      </w:r>
      <w:r>
        <w:rPr>
          <w:b/>
          <w:highlight w:val="yellow"/>
        </w:rPr>
        <w:t xml:space="preserve">plus favorables, </w:t>
      </w:r>
      <w:r w:rsidR="0038771A">
        <w:rPr>
          <w:b/>
          <w:color w:val="000000" w:themeColor="text1"/>
          <w:highlight w:val="yellow"/>
        </w:rPr>
        <w:t>à l’exception</w:t>
      </w:r>
      <w:r>
        <w:rPr>
          <w:b/>
          <w:color w:val="000000" w:themeColor="text1"/>
          <w:highlight w:val="yellow"/>
        </w:rPr>
        <w:t xml:space="preserve"> </w:t>
      </w:r>
      <w:bookmarkStart w:name="DocXTextRef192" w:id="987"/>
      <w:r>
        <w:rPr>
          <w:b/>
          <w:highlight w:val="yellow"/>
        </w:rPr>
        <w:t>(a)</w:t>
      </w:r>
      <w:bookmarkEnd w:id="987"/>
      <w:r>
        <w:rPr>
          <w:b/>
          <w:highlight w:val="yellow"/>
        </w:rPr>
        <w:t xml:space="preserve"> </w:t>
      </w:r>
      <w:r w:rsidR="0038771A">
        <w:rPr>
          <w:b/>
          <w:highlight w:val="yellow"/>
        </w:rPr>
        <w:t>des</w:t>
      </w:r>
      <w:r>
        <w:rPr>
          <w:b/>
          <w:highlight w:val="yellow"/>
        </w:rPr>
        <w:t xml:space="preserve"> droit</w:t>
      </w:r>
      <w:r w:rsidR="0038771A">
        <w:rPr>
          <w:b/>
          <w:highlight w:val="yellow"/>
        </w:rPr>
        <w:t>s</w:t>
      </w:r>
      <w:r>
        <w:rPr>
          <w:b/>
          <w:highlight w:val="yellow"/>
        </w:rPr>
        <w:t xml:space="preserve"> accordé</w:t>
      </w:r>
      <w:r w:rsidR="0038771A">
        <w:rPr>
          <w:b/>
          <w:highlight w:val="yellow"/>
        </w:rPr>
        <w:t>s</w:t>
      </w:r>
      <w:r>
        <w:rPr>
          <w:b/>
          <w:highlight w:val="yellow"/>
        </w:rPr>
        <w:t xml:space="preserve"> uniquement </w:t>
      </w:r>
      <w:r w:rsidR="0038771A">
        <w:rPr>
          <w:b/>
          <w:highlight w:val="yellow"/>
        </w:rPr>
        <w:t>à l’égard</w:t>
      </w:r>
      <w:r>
        <w:rPr>
          <w:b/>
          <w:highlight w:val="yellow"/>
        </w:rPr>
        <w:t xml:space="preserve"> </w:t>
      </w:r>
      <w:r w:rsidR="0038771A">
        <w:rPr>
          <w:b/>
          <w:highlight w:val="yellow"/>
        </w:rPr>
        <w:t>d’</w:t>
      </w:r>
      <w:r>
        <w:rPr>
          <w:b/>
          <w:highlight w:val="yellow"/>
        </w:rPr>
        <w:t xml:space="preserve">une situation ou </w:t>
      </w:r>
      <w:r w:rsidR="0038771A">
        <w:rPr>
          <w:b/>
          <w:highlight w:val="yellow"/>
        </w:rPr>
        <w:t>d’</w:t>
      </w:r>
      <w:r>
        <w:rPr>
          <w:b/>
          <w:highlight w:val="yellow"/>
        </w:rPr>
        <w:t>une politique réglementaire, juridique ou fiscale particulière (y compris toute politique interne d</w:t>
      </w:r>
      <w:r w:rsidR="00E27310">
        <w:rPr>
          <w:b/>
          <w:highlight w:val="yellow"/>
        </w:rPr>
        <w:t>’</w:t>
      </w:r>
      <w:r>
        <w:rPr>
          <w:b/>
          <w:highlight w:val="yellow"/>
        </w:rPr>
        <w:t xml:space="preserve">un </w:t>
      </w:r>
      <w:r w:rsidR="0038771A">
        <w:rPr>
          <w:b/>
          <w:highlight w:val="yellow"/>
        </w:rPr>
        <w:t>Associé</w:t>
      </w:r>
      <w:r>
        <w:rPr>
          <w:b/>
          <w:highlight w:val="yellow"/>
        </w:rPr>
        <w:t xml:space="preserve"> qui a été divulguée au </w:t>
      </w:r>
      <w:r w:rsidR="0038771A">
        <w:rPr>
          <w:b/>
          <w:highlight w:val="yellow"/>
        </w:rPr>
        <w:t>Commandité</w:t>
      </w:r>
      <w:r>
        <w:rPr>
          <w:b/>
          <w:highlight w:val="yellow"/>
        </w:rPr>
        <w:t xml:space="preserve"> par écrit</w:t>
      </w:r>
      <w:r w:rsidR="0038771A">
        <w:rPr>
          <w:b/>
          <w:highlight w:val="yellow"/>
        </w:rPr>
        <w:t xml:space="preserve"> au plus tard à la</w:t>
      </w:r>
      <w:r>
        <w:rPr>
          <w:b/>
          <w:highlight w:val="yellow"/>
        </w:rPr>
        <w:t xml:space="preserve"> date de la souscription d</w:t>
      </w:r>
      <w:r w:rsidR="0038771A">
        <w:rPr>
          <w:b/>
          <w:highlight w:val="yellow"/>
        </w:rPr>
        <w:t xml:space="preserve">e cet Associé </w:t>
      </w:r>
      <w:r>
        <w:rPr>
          <w:b/>
          <w:highlight w:val="yellow"/>
        </w:rPr>
        <w:t xml:space="preserve">au Fonds) applicable à un </w:t>
      </w:r>
      <w:r w:rsidR="0038771A">
        <w:rPr>
          <w:b/>
          <w:highlight w:val="yellow"/>
        </w:rPr>
        <w:t>Associé</w:t>
      </w:r>
      <w:r>
        <w:rPr>
          <w:b/>
          <w:highlight w:val="yellow"/>
        </w:rPr>
        <w:t xml:space="preserve"> mais non applicable à cet autre </w:t>
      </w:r>
      <w:r w:rsidR="0038771A">
        <w:rPr>
          <w:b/>
          <w:highlight w:val="yellow"/>
        </w:rPr>
        <w:t>Associé</w:t>
      </w:r>
      <w:r>
        <w:rPr>
          <w:b/>
          <w:highlight w:val="yellow"/>
        </w:rPr>
        <w:t xml:space="preserve">, </w:t>
      </w:r>
      <w:bookmarkStart w:name="DocXTextRef193" w:id="988"/>
      <w:r>
        <w:rPr>
          <w:b/>
          <w:highlight w:val="yellow"/>
        </w:rPr>
        <w:t>(b)</w:t>
      </w:r>
      <w:bookmarkEnd w:id="988"/>
      <w:r>
        <w:rPr>
          <w:b/>
          <w:highlight w:val="yellow"/>
        </w:rPr>
        <w:t xml:space="preserve"> </w:t>
      </w:r>
      <w:r w:rsidR="0038771A">
        <w:rPr>
          <w:b/>
          <w:highlight w:val="yellow"/>
        </w:rPr>
        <w:t xml:space="preserve">de </w:t>
      </w:r>
      <w:r>
        <w:rPr>
          <w:b/>
          <w:highlight w:val="yellow"/>
        </w:rPr>
        <w:t xml:space="preserve">tout consentement ou limitation </w:t>
      </w:r>
      <w:r w:rsidR="0038771A">
        <w:rPr>
          <w:b/>
          <w:highlight w:val="yellow"/>
        </w:rPr>
        <w:t>du pouvoir discrétionnaire</w:t>
      </w:r>
      <w:r>
        <w:rPr>
          <w:b/>
          <w:highlight w:val="yellow"/>
        </w:rPr>
        <w:t xml:space="preserve"> du </w:t>
      </w:r>
      <w:r w:rsidR="0038771A">
        <w:rPr>
          <w:b/>
          <w:highlight w:val="yellow"/>
        </w:rPr>
        <w:t>Commandité</w:t>
      </w:r>
      <w:r>
        <w:rPr>
          <w:b/>
          <w:highlight w:val="yellow"/>
        </w:rPr>
        <w:t xml:space="preserve"> </w:t>
      </w:r>
      <w:r w:rsidR="00A93507">
        <w:rPr>
          <w:b/>
          <w:highlight w:val="yellow"/>
        </w:rPr>
        <w:t>à l’égard d</w:t>
      </w:r>
      <w:r>
        <w:rPr>
          <w:b/>
          <w:highlight w:val="yellow"/>
        </w:rPr>
        <w:t xml:space="preserve">es Transferts en faveur des </w:t>
      </w:r>
      <w:r w:rsidR="00A93507">
        <w:rPr>
          <w:b/>
          <w:highlight w:val="yellow"/>
        </w:rPr>
        <w:t>Membres du même groupe</w:t>
      </w:r>
      <w:r>
        <w:rPr>
          <w:b/>
          <w:highlight w:val="yellow"/>
        </w:rPr>
        <w:t xml:space="preserve"> </w:t>
      </w:r>
      <w:r w:rsidR="00A93507">
        <w:rPr>
          <w:b/>
          <w:highlight w:val="yellow"/>
        </w:rPr>
        <w:t>que le</w:t>
      </w:r>
      <w:r>
        <w:rPr>
          <w:b/>
          <w:highlight w:val="yellow"/>
        </w:rPr>
        <w:t xml:space="preserve"> destinataire de cette </w:t>
      </w:r>
      <w:r w:rsidR="00A93507">
        <w:rPr>
          <w:b/>
          <w:highlight w:val="yellow"/>
        </w:rPr>
        <w:t>Entente accessoire</w:t>
      </w:r>
      <w:r>
        <w:rPr>
          <w:b/>
          <w:highlight w:val="yellow"/>
        </w:rPr>
        <w:t xml:space="preserve">, </w:t>
      </w:r>
      <w:bookmarkStart w:name="DocXTextRef194" w:id="989"/>
      <w:r>
        <w:rPr>
          <w:b/>
          <w:highlight w:val="yellow"/>
        </w:rPr>
        <w:t>(c)</w:t>
      </w:r>
      <w:bookmarkEnd w:id="989"/>
      <w:r>
        <w:rPr>
          <w:b/>
          <w:highlight w:val="yellow"/>
        </w:rPr>
        <w:t xml:space="preserve"> </w:t>
      </w:r>
      <w:r w:rsidR="00A93507">
        <w:rPr>
          <w:b/>
          <w:highlight w:val="yellow"/>
        </w:rPr>
        <w:t xml:space="preserve">de </w:t>
      </w:r>
      <w:r>
        <w:rPr>
          <w:b/>
          <w:highlight w:val="yellow"/>
        </w:rPr>
        <w:t xml:space="preserve">tout droit </w:t>
      </w:r>
      <w:r w:rsidR="00A93507">
        <w:rPr>
          <w:b/>
          <w:highlight w:val="yellow"/>
        </w:rPr>
        <w:t>de dispense</w:t>
      </w:r>
      <w:r>
        <w:rPr>
          <w:b/>
          <w:highlight w:val="yellow"/>
        </w:rPr>
        <w:t xml:space="preserve"> accordé conformément à </w:t>
      </w:r>
      <w:r w:rsidR="00A93507">
        <w:rPr>
          <w:b/>
          <w:highlight w:val="yellow"/>
        </w:rPr>
        <w:t>l’article</w:t>
      </w:r>
      <w:r>
        <w:rPr>
          <w:b/>
          <w:highlight w:val="yellow"/>
        </w:rPr>
        <w:t> </w:t>
      </w:r>
      <w:r w:rsidRPr="00111D18" w:rsidR="0044140B">
        <w:rPr>
          <w:b/>
          <w:highlight w:val="yellow"/>
        </w:rPr>
        <w:fldChar w:fldCharType="begin"/>
      </w:r>
      <w:r w:rsidRPr="00111D18" w:rsidR="0044140B">
        <w:rPr>
          <w:b/>
          <w:highlight w:val="yellow"/>
        </w:rPr>
        <w:instrText xml:space="preserve"> REF _Ref40802008 \w \h </w:instrText>
      </w:r>
      <w:r w:rsidRPr="00111D18" w:rsidR="00791303">
        <w:rPr>
          <w:b/>
          <w:highlight w:val="yellow"/>
        </w:rPr>
        <w:instrText xml:space="preserve"> \* MERGEFORMAT </w:instrText>
      </w:r>
      <w:r w:rsidRPr="00111D18" w:rsidR="0044140B">
        <w:rPr>
          <w:b/>
          <w:highlight w:val="yellow"/>
        </w:rPr>
      </w:r>
      <w:r w:rsidRPr="00111D18" w:rsidR="0044140B">
        <w:rPr>
          <w:b/>
          <w:highlight w:val="yellow"/>
        </w:rPr>
        <w:fldChar w:fldCharType="separate"/>
      </w:r>
      <w:r w:rsidR="00B50BE2">
        <w:rPr>
          <w:b/>
          <w:highlight w:val="yellow"/>
        </w:rPr>
        <w:t>6.7</w:t>
      </w:r>
      <w:r w:rsidRPr="00111D18" w:rsidR="0044140B">
        <w:rPr>
          <w:b/>
          <w:highlight w:val="yellow"/>
        </w:rPr>
        <w:fldChar w:fldCharType="end"/>
      </w:r>
      <w:r>
        <w:rPr>
          <w:b/>
          <w:highlight w:val="yellow"/>
        </w:rPr>
        <w:t xml:space="preserve"> (</w:t>
      </w:r>
      <w:r w:rsidRPr="00111D18" w:rsidR="001B27C4">
        <w:rPr>
          <w:b/>
          <w:i/>
          <w:highlight w:val="yellow"/>
        </w:rPr>
        <w:fldChar w:fldCharType="begin"/>
      </w:r>
      <w:r w:rsidRPr="00111D18" w:rsidR="001B27C4">
        <w:rPr>
          <w:b/>
          <w:i/>
          <w:highlight w:val="yellow"/>
        </w:rPr>
        <w:instrText xml:space="preserve"> REF _Ref40802008 \h  \* MERGEFORMAT </w:instrText>
      </w:r>
      <w:r w:rsidRPr="00111D18" w:rsidR="001B27C4">
        <w:rPr>
          <w:b/>
          <w:i/>
          <w:highlight w:val="yellow"/>
        </w:rPr>
      </w:r>
      <w:r w:rsidRPr="00111D18" w:rsidR="001B27C4">
        <w:rPr>
          <w:b/>
          <w:i/>
          <w:highlight w:val="yellow"/>
        </w:rPr>
        <w:fldChar w:fldCharType="separate"/>
      </w:r>
      <w:r w:rsidRPr="00B50BE2" w:rsidR="00B50BE2">
        <w:rPr>
          <w:i/>
          <w:highlight w:val="yellow"/>
        </w:rPr>
        <w:t>Commanditaires dispensés.</w:t>
      </w:r>
      <w:r w:rsidRPr="00111D18" w:rsidR="001B27C4">
        <w:rPr>
          <w:b/>
          <w:i/>
          <w:highlight w:val="yellow"/>
        </w:rPr>
        <w:fldChar w:fldCharType="end"/>
      </w:r>
      <w:r>
        <w:rPr>
          <w:b/>
          <w:highlight w:val="yellow"/>
        </w:rPr>
        <w:t xml:space="preserve">), </w:t>
      </w:r>
      <w:bookmarkStart w:name="DocXTextRef195" w:id="990"/>
      <w:r>
        <w:rPr>
          <w:b/>
          <w:iCs/>
          <w:highlight w:val="yellow"/>
        </w:rPr>
        <w:t>(d)</w:t>
      </w:r>
      <w:bookmarkEnd w:id="990"/>
      <w:r>
        <w:rPr>
          <w:b/>
          <w:highlight w:val="yellow"/>
        </w:rPr>
        <w:t xml:space="preserve"> </w:t>
      </w:r>
      <w:r w:rsidR="00A93507">
        <w:rPr>
          <w:b/>
          <w:highlight w:val="yellow"/>
        </w:rPr>
        <w:t xml:space="preserve">de </w:t>
      </w:r>
      <w:r>
        <w:rPr>
          <w:b/>
          <w:highlight w:val="yellow"/>
        </w:rPr>
        <w:t xml:space="preserve">tout droit de </w:t>
      </w:r>
      <w:r w:rsidR="00A93507">
        <w:rPr>
          <w:b/>
          <w:highlight w:val="yellow"/>
        </w:rPr>
        <w:t>nommer</w:t>
      </w:r>
      <w:r>
        <w:rPr>
          <w:b/>
          <w:highlight w:val="yellow"/>
        </w:rPr>
        <w:t xml:space="preserve"> un représentant au sein du </w:t>
      </w:r>
      <w:r w:rsidR="00980C6E">
        <w:rPr>
          <w:b/>
          <w:highlight w:val="yellow"/>
        </w:rPr>
        <w:t>Comité consultatif des Commanditaires</w:t>
      </w:r>
      <w:r>
        <w:rPr>
          <w:b/>
          <w:highlight w:val="yellow"/>
        </w:rPr>
        <w:t xml:space="preserve">, [et </w:t>
      </w:r>
      <w:bookmarkStart w:name="DocXTextRef196" w:id="991"/>
      <w:r>
        <w:rPr>
          <w:b/>
          <w:highlight w:val="yellow"/>
        </w:rPr>
        <w:t>(e)</w:t>
      </w:r>
      <w:bookmarkEnd w:id="991"/>
      <w:r>
        <w:rPr>
          <w:b/>
          <w:highlight w:val="yellow"/>
        </w:rPr>
        <w:t xml:space="preserve"> </w:t>
      </w:r>
      <w:r w:rsidR="00A93507">
        <w:rPr>
          <w:b/>
          <w:highlight w:val="yellow"/>
        </w:rPr>
        <w:t xml:space="preserve">de </w:t>
      </w:r>
      <w:r>
        <w:rPr>
          <w:b/>
          <w:highlight w:val="yellow"/>
        </w:rPr>
        <w:t xml:space="preserve">tout droit accordé à un ou plusieurs autres </w:t>
      </w:r>
      <w:r w:rsidR="00A93507">
        <w:rPr>
          <w:b/>
          <w:highlight w:val="yellow"/>
        </w:rPr>
        <w:t>Associés</w:t>
      </w:r>
      <w:r>
        <w:rPr>
          <w:b/>
          <w:highlight w:val="yellow"/>
        </w:rPr>
        <w:t xml:space="preserve"> lorsque les </w:t>
      </w:r>
      <w:r w:rsidR="00A93507">
        <w:rPr>
          <w:b/>
          <w:highlight w:val="yellow"/>
        </w:rPr>
        <w:t>E</w:t>
      </w:r>
      <w:r>
        <w:rPr>
          <w:b/>
          <w:highlight w:val="yellow"/>
        </w:rPr>
        <w:t xml:space="preserve">ngagements de ces </w:t>
      </w:r>
      <w:r w:rsidR="00A93507">
        <w:rPr>
          <w:b/>
          <w:highlight w:val="yellow"/>
        </w:rPr>
        <w:t>Associés</w:t>
      </w:r>
      <w:r>
        <w:rPr>
          <w:b/>
          <w:highlight w:val="yellow"/>
        </w:rPr>
        <w:t xml:space="preserve"> dépassent ceux d</w:t>
      </w:r>
      <w:r w:rsidR="00A93507">
        <w:rPr>
          <w:b/>
          <w:highlight w:val="yellow"/>
        </w:rPr>
        <w:t>e l’Associé</w:t>
      </w:r>
      <w:r>
        <w:rPr>
          <w:b/>
          <w:highlight w:val="yellow"/>
        </w:rPr>
        <w:t xml:space="preserve">]. Les </w:t>
      </w:r>
      <w:r w:rsidR="00A93507">
        <w:rPr>
          <w:b/>
          <w:highlight w:val="yellow"/>
        </w:rPr>
        <w:t>modalités</w:t>
      </w:r>
      <w:r>
        <w:rPr>
          <w:b/>
          <w:highlight w:val="yellow"/>
        </w:rPr>
        <w:t xml:space="preserve"> de toute </w:t>
      </w:r>
      <w:r w:rsidR="00A93507">
        <w:rPr>
          <w:b/>
          <w:highlight w:val="yellow"/>
        </w:rPr>
        <w:t>entente accessoire</w:t>
      </w:r>
      <w:r>
        <w:rPr>
          <w:b/>
          <w:highlight w:val="yellow"/>
        </w:rPr>
        <w:t xml:space="preserve"> lieront le </w:t>
      </w:r>
      <w:r w:rsidR="00A93507">
        <w:rPr>
          <w:b/>
          <w:highlight w:val="yellow"/>
        </w:rPr>
        <w:t>C</w:t>
      </w:r>
      <w:r>
        <w:rPr>
          <w:b/>
          <w:highlight w:val="yellow"/>
        </w:rPr>
        <w:t xml:space="preserve">ommandité et le </w:t>
      </w:r>
      <w:r w:rsidR="00A93507">
        <w:rPr>
          <w:b/>
          <w:highlight w:val="yellow"/>
        </w:rPr>
        <w:t>Ge</w:t>
      </w:r>
      <w:r>
        <w:rPr>
          <w:b/>
          <w:highlight w:val="yellow"/>
        </w:rPr>
        <w:t xml:space="preserve">stionnaire et </w:t>
      </w:r>
      <w:r w:rsidR="00A93507">
        <w:rPr>
          <w:b/>
          <w:highlight w:val="yellow"/>
        </w:rPr>
        <w:t>auront préséance à l’égard d</w:t>
      </w:r>
      <w:r>
        <w:rPr>
          <w:b/>
          <w:highlight w:val="yellow"/>
        </w:rPr>
        <w:t xml:space="preserve">e </w:t>
      </w:r>
      <w:r w:rsidR="00A93507">
        <w:rPr>
          <w:b/>
          <w:highlight w:val="yellow"/>
        </w:rPr>
        <w:t>l’Associé</w:t>
      </w:r>
      <w:r>
        <w:rPr>
          <w:b/>
          <w:highlight w:val="yellow"/>
        </w:rPr>
        <w:t xml:space="preserve"> qui a </w:t>
      </w:r>
      <w:r w:rsidR="00A93507">
        <w:rPr>
          <w:b/>
          <w:highlight w:val="yellow"/>
        </w:rPr>
        <w:t>conclu</w:t>
      </w:r>
      <w:r>
        <w:rPr>
          <w:b/>
          <w:highlight w:val="yellow"/>
        </w:rPr>
        <w:t xml:space="preserve"> cette </w:t>
      </w:r>
      <w:r w:rsidR="00A93507">
        <w:rPr>
          <w:b/>
          <w:highlight w:val="yellow"/>
        </w:rPr>
        <w:t>Entente accessoire</w:t>
      </w:r>
      <w:r>
        <w:rPr>
          <w:b/>
          <w:highlight w:val="yellow"/>
        </w:rPr>
        <w:t xml:space="preserve">, nonobstant les dispositions des présentes ou de </w:t>
      </w:r>
      <w:r w:rsidR="00A93507">
        <w:rPr>
          <w:b/>
          <w:highlight w:val="yellow"/>
        </w:rPr>
        <w:t>toute Convention de souscription</w:t>
      </w:r>
      <w:r>
        <w:rPr>
          <w:b/>
          <w:highlight w:val="yellow"/>
        </w:rPr>
        <w:t>.]</w:t>
      </w:r>
      <w:bookmarkStart w:name="_Ref113892911" w:id="992"/>
      <w:r>
        <w:rPr>
          <w:szCs w:val="22"/>
          <w:vertAlign w:val="superscript"/>
        </w:rPr>
        <w:footnoteReference w:id="163"/>
      </w:r>
      <w:bookmarkEnd w:id="983"/>
      <w:bookmarkEnd w:id="984"/>
      <w:bookmarkEnd w:id="992"/>
      <w:r>
        <w:rPr>
          <w:rFonts w:cstheme="minorHAnsi"/>
          <w:sz w:val="24"/>
          <w:szCs w:val="24"/>
        </w:rPr>
        <w:t xml:space="preserve"> </w:t>
      </w:r>
    </w:p>
    <w:p w:rsidR="0000160C" w:rsidRDefault="00C517ED" w14:paraId="08C80EBE" w14:textId="77777777">
      <w:pPr>
        <w:pStyle w:val="ArtBJStyL2"/>
      </w:pPr>
      <w:bookmarkStart w:name="_Ref113892713" w:id="993"/>
      <w:bookmarkStart w:name="_Toc161762441" w:id="994"/>
      <w:r>
        <w:lastRenderedPageBreak/>
        <w:t>Avis.</w:t>
      </w:r>
      <w:bookmarkEnd w:id="993"/>
      <w:bookmarkEnd w:id="994"/>
    </w:p>
    <w:p w:rsidR="0000160C" w:rsidRDefault="00C517ED" w14:paraId="7DEA427F" w14:textId="757BE7E0">
      <w:pPr>
        <w:pStyle w:val="ArtBJStyL3"/>
      </w:pPr>
      <w:bookmarkStart w:name="_Ref113892714" w:id="995"/>
      <w:r>
        <w:t xml:space="preserve">Chaque avis relatif </w:t>
      </w:r>
      <w:r w:rsidR="00A93507">
        <w:t>à la présente Convention</w:t>
      </w:r>
      <w:r>
        <w:t xml:space="preserve"> </w:t>
      </w:r>
      <w:r w:rsidR="00A93507">
        <w:t>doit être</w:t>
      </w:r>
      <w:r>
        <w:t xml:space="preserve"> </w:t>
      </w:r>
      <w:r w:rsidR="00A93507">
        <w:t>fait</w:t>
      </w:r>
      <w:r>
        <w:t xml:space="preserve"> par écrit et est remis en personne, par courrier électronique </w:t>
      </w:r>
      <w:r>
        <w:rPr>
          <w:b/>
          <w:highlight w:val="yellow"/>
        </w:rPr>
        <w:t>[ou par l</w:t>
      </w:r>
      <w:r w:rsidR="00E27310">
        <w:rPr>
          <w:b/>
          <w:highlight w:val="yellow"/>
        </w:rPr>
        <w:t>’</w:t>
      </w:r>
      <w:r>
        <w:rPr>
          <w:b/>
          <w:highlight w:val="yellow"/>
        </w:rPr>
        <w:t>intermédiaire d</w:t>
      </w:r>
      <w:r w:rsidR="00E27310">
        <w:rPr>
          <w:b/>
          <w:highlight w:val="yellow"/>
        </w:rPr>
        <w:t>’</w:t>
      </w:r>
      <w:r>
        <w:rPr>
          <w:b/>
          <w:highlight w:val="yellow"/>
        </w:rPr>
        <w:t>une salle de données virtuelle]</w:t>
      </w:r>
      <w:r>
        <w:t>.</w:t>
      </w:r>
      <w:bookmarkEnd w:id="995"/>
    </w:p>
    <w:p w:rsidR="0000160C" w:rsidRDefault="00C517ED" w14:paraId="1F05FA2D" w14:textId="2058D9E3">
      <w:pPr>
        <w:pStyle w:val="ArtBJStyL3"/>
        <w:keepNext/>
      </w:pPr>
      <w:bookmarkStart w:name="_Ref40806844" w:id="996"/>
      <w:r>
        <w:t xml:space="preserve">Tous les avis </w:t>
      </w:r>
      <w:r w:rsidR="00A93507">
        <w:t>doivent être remis</w:t>
      </w:r>
      <w:r>
        <w:t xml:space="preserve"> comme suit :</w:t>
      </w:r>
      <w:bookmarkEnd w:id="996"/>
    </w:p>
    <w:p w:rsidR="0000160C" w:rsidRDefault="00C517ED" w14:paraId="435B4386" w14:textId="5F3D365A">
      <w:pPr>
        <w:pStyle w:val="ArtBJStyL4"/>
      </w:pPr>
      <w:bookmarkStart w:name="_Ref113892715" w:id="997"/>
      <w:proofErr w:type="gramStart"/>
      <w:r>
        <w:t>les</w:t>
      </w:r>
      <w:proofErr w:type="gramEnd"/>
      <w:r>
        <w:t xml:space="preserve"> avis à un </w:t>
      </w:r>
      <w:r w:rsidR="00A93507">
        <w:t>C</w:t>
      </w:r>
      <w:r>
        <w:t xml:space="preserve">ommanditaire doivent être </w:t>
      </w:r>
      <w:r w:rsidR="00A93507">
        <w:t>remis</w:t>
      </w:r>
      <w:r>
        <w:t xml:space="preserve"> à ce </w:t>
      </w:r>
      <w:r w:rsidR="00A90D5D">
        <w:t>C</w:t>
      </w:r>
      <w:r>
        <w:t>ommanditaire à sa dernière adresse connue ou à son adresse électronique, tel</w:t>
      </w:r>
      <w:r w:rsidR="00333A6A">
        <w:t>le</w:t>
      </w:r>
      <w:r>
        <w:t xml:space="preserve"> </w:t>
      </w:r>
      <w:r w:rsidR="00A90D5D">
        <w:t>qu’indiqué</w:t>
      </w:r>
      <w:r>
        <w:t xml:space="preserve"> dans s</w:t>
      </w:r>
      <w:r w:rsidR="00A90D5D">
        <w:t xml:space="preserve">a Convention de souscription </w:t>
      </w:r>
      <w:r>
        <w:t xml:space="preserve">ou telle </w:t>
      </w:r>
      <w:r w:rsidR="00A90D5D">
        <w:t>qu’autrement</w:t>
      </w:r>
      <w:r>
        <w:t xml:space="preserve"> notifiée au Fonds ou au </w:t>
      </w:r>
      <w:r w:rsidR="00A90D5D">
        <w:t>C</w:t>
      </w:r>
      <w:r>
        <w:t>ommandité;</w:t>
      </w:r>
      <w:bookmarkEnd w:id="997"/>
    </w:p>
    <w:p w:rsidR="0000160C" w:rsidRDefault="00C517ED" w14:paraId="1F3A47D8" w14:textId="55B49E99">
      <w:pPr>
        <w:pStyle w:val="ArtBJStyL4"/>
      </w:pPr>
      <w:bookmarkStart w:name="_Ref113892716" w:id="998"/>
      <w:proofErr w:type="gramStart"/>
      <w:r>
        <w:t>les</w:t>
      </w:r>
      <w:proofErr w:type="gramEnd"/>
      <w:r>
        <w:t xml:space="preserve"> avis au </w:t>
      </w:r>
      <w:r w:rsidR="00A90D5D">
        <w:t>C</w:t>
      </w:r>
      <w:r>
        <w:t xml:space="preserve">ommandité </w:t>
      </w:r>
      <w:r w:rsidR="00A90D5D">
        <w:t>doivent être remis</w:t>
      </w:r>
      <w:r>
        <w:t xml:space="preserve"> au </w:t>
      </w:r>
      <w:r w:rsidR="00A90D5D">
        <w:t>C</w:t>
      </w:r>
      <w:r>
        <w:t>ommandité au [</w:t>
      </w:r>
      <w:r>
        <w:rPr>
          <w:b/>
          <w:caps/>
          <w:szCs w:val="22"/>
          <w:highlight w:val="yellow"/>
        </w:rPr>
        <w:t>__]</w:t>
      </w:r>
      <w:r>
        <w:t xml:space="preserve">, </w:t>
      </w:r>
      <w:r w:rsidR="00A90D5D">
        <w:t>à l’</w:t>
      </w:r>
      <w:r>
        <w:t>attention</w:t>
      </w:r>
      <w:r w:rsidR="00A90D5D">
        <w:t xml:space="preserve"> de</w:t>
      </w:r>
      <w:r>
        <w:t xml:space="preserve"> : [</w:t>
      </w:r>
      <w:r>
        <w:rPr>
          <w:b/>
          <w:caps/>
          <w:szCs w:val="22"/>
          <w:highlight w:val="yellow"/>
        </w:rPr>
        <w:t>__</w:t>
      </w:r>
      <w:r>
        <w:rPr>
          <w:b/>
          <w:caps/>
          <w:szCs w:val="22"/>
        </w:rPr>
        <w:t>]</w:t>
      </w:r>
      <w:r>
        <w:t xml:space="preserve">, courriel : </w:t>
      </w:r>
      <w:r>
        <w:rPr>
          <w:b/>
          <w:caps/>
          <w:szCs w:val="22"/>
        </w:rPr>
        <w:t>[</w:t>
      </w:r>
      <w:r>
        <w:rPr>
          <w:b/>
          <w:caps/>
          <w:szCs w:val="22"/>
          <w:highlight w:val="yellow"/>
        </w:rPr>
        <w:t>__</w:t>
      </w:r>
      <w:r>
        <w:rPr>
          <w:b/>
          <w:caps/>
          <w:szCs w:val="22"/>
        </w:rPr>
        <w:t>]</w:t>
      </w:r>
      <w:r>
        <w:t>; et</w:t>
      </w:r>
      <w:bookmarkEnd w:id="998"/>
    </w:p>
    <w:p w:rsidR="0000160C" w:rsidRDefault="00C517ED" w14:paraId="19E2ECFB" w14:textId="2F0C94C1">
      <w:pPr>
        <w:pStyle w:val="ArtBJStyL4"/>
      </w:pPr>
      <w:bookmarkStart w:name="_Ref113892717" w:id="999"/>
      <w:r>
        <w:rPr>
          <w:b/>
          <w:highlight w:val="yellow"/>
        </w:rPr>
        <w:t>[</w:t>
      </w:r>
      <w:proofErr w:type="gramStart"/>
      <w:r>
        <w:rPr>
          <w:b/>
          <w:highlight w:val="yellow"/>
        </w:rPr>
        <w:t>les</w:t>
      </w:r>
      <w:proofErr w:type="gramEnd"/>
      <w:r>
        <w:rPr>
          <w:b/>
          <w:highlight w:val="yellow"/>
        </w:rPr>
        <w:t xml:space="preserve"> avis au </w:t>
      </w:r>
      <w:r w:rsidR="00A90D5D">
        <w:rPr>
          <w:b/>
          <w:highlight w:val="yellow"/>
        </w:rPr>
        <w:t>G</w:t>
      </w:r>
      <w:r>
        <w:rPr>
          <w:b/>
          <w:highlight w:val="yellow"/>
        </w:rPr>
        <w:t xml:space="preserve">estionnaire </w:t>
      </w:r>
      <w:r w:rsidR="00A90D5D">
        <w:rPr>
          <w:b/>
          <w:highlight w:val="yellow"/>
        </w:rPr>
        <w:t>doivent être</w:t>
      </w:r>
      <w:r>
        <w:rPr>
          <w:b/>
          <w:highlight w:val="yellow"/>
        </w:rPr>
        <w:t xml:space="preserve"> remis au </w:t>
      </w:r>
      <w:r w:rsidR="00A90D5D">
        <w:rPr>
          <w:b/>
          <w:highlight w:val="yellow"/>
        </w:rPr>
        <w:t>G</w:t>
      </w:r>
      <w:r>
        <w:rPr>
          <w:b/>
          <w:highlight w:val="yellow"/>
        </w:rPr>
        <w:t xml:space="preserve">estionnaire </w:t>
      </w:r>
      <w:r w:rsidR="00A90D5D">
        <w:rPr>
          <w:b/>
          <w:highlight w:val="yellow"/>
        </w:rPr>
        <w:t>au</w:t>
      </w:r>
      <w:r>
        <w:rPr>
          <w:b/>
          <w:highlight w:val="yellow"/>
        </w:rPr>
        <w:t xml:space="preserve"> </w:t>
      </w:r>
      <w:r>
        <w:rPr>
          <w:b/>
          <w:caps/>
          <w:szCs w:val="22"/>
          <w:highlight w:val="yellow"/>
        </w:rPr>
        <w:t>[__]</w:t>
      </w:r>
      <w:r>
        <w:rPr>
          <w:b/>
          <w:highlight w:val="yellow"/>
        </w:rPr>
        <w:t>, à l</w:t>
      </w:r>
      <w:r w:rsidR="00E27310">
        <w:rPr>
          <w:b/>
          <w:highlight w:val="yellow"/>
        </w:rPr>
        <w:t>’</w:t>
      </w:r>
      <w:r>
        <w:rPr>
          <w:b/>
          <w:highlight w:val="yellow"/>
        </w:rPr>
        <w:t xml:space="preserve">attention de : </w:t>
      </w:r>
      <w:r>
        <w:rPr>
          <w:b/>
          <w:caps/>
          <w:szCs w:val="22"/>
          <w:highlight w:val="yellow"/>
        </w:rPr>
        <w:t>[__]</w:t>
      </w:r>
      <w:r>
        <w:rPr>
          <w:b/>
          <w:highlight w:val="yellow"/>
        </w:rPr>
        <w:t>,</w:t>
      </w:r>
      <w:r w:rsidR="00A90D5D">
        <w:rPr>
          <w:b/>
          <w:highlight w:val="yellow"/>
        </w:rPr>
        <w:t xml:space="preserve"> </w:t>
      </w:r>
      <w:r>
        <w:rPr>
          <w:b/>
          <w:highlight w:val="yellow"/>
        </w:rPr>
        <w:t xml:space="preserve">courriel : </w:t>
      </w:r>
      <w:r>
        <w:rPr>
          <w:b/>
          <w:caps/>
          <w:szCs w:val="22"/>
          <w:highlight w:val="yellow"/>
        </w:rPr>
        <w:t>[__]</w:t>
      </w:r>
      <w:r>
        <w:rPr>
          <w:b/>
          <w:highlight w:val="yellow"/>
        </w:rPr>
        <w:t>;]</w:t>
      </w:r>
      <w:bookmarkEnd w:id="999"/>
    </w:p>
    <w:p w:rsidR="0000160C" w:rsidRDefault="00C517ED" w14:paraId="31AA25E9" w14:textId="748D1A6C">
      <w:pPr>
        <w:pStyle w:val="ArtBJStyL4"/>
      </w:pPr>
      <w:bookmarkStart w:name="_Ref113892718" w:id="1000"/>
      <w:proofErr w:type="gramStart"/>
      <w:r>
        <w:t>les</w:t>
      </w:r>
      <w:proofErr w:type="gramEnd"/>
      <w:r>
        <w:t xml:space="preserve"> avis au Fonds </w:t>
      </w:r>
      <w:r w:rsidR="00A90D5D">
        <w:t>doivent être remis</w:t>
      </w:r>
      <w:r>
        <w:t xml:space="preserve"> au Fonds au [</w:t>
      </w:r>
      <w:r>
        <w:rPr>
          <w:b/>
          <w:caps/>
          <w:szCs w:val="22"/>
          <w:highlight w:val="yellow"/>
        </w:rPr>
        <w:t>__]</w:t>
      </w:r>
      <w:r>
        <w:t xml:space="preserve">, </w:t>
      </w:r>
      <w:r w:rsidR="00A90D5D">
        <w:t>à l’attention de</w:t>
      </w:r>
      <w:r>
        <w:t xml:space="preserve"> : [</w:t>
      </w:r>
      <w:r>
        <w:rPr>
          <w:b/>
          <w:caps/>
          <w:szCs w:val="22"/>
          <w:highlight w:val="yellow"/>
        </w:rPr>
        <w:t>__</w:t>
      </w:r>
      <w:r>
        <w:rPr>
          <w:b/>
          <w:caps/>
          <w:szCs w:val="22"/>
        </w:rPr>
        <w:t>]</w:t>
      </w:r>
      <w:r>
        <w:t xml:space="preserve">, courriel : </w:t>
      </w:r>
      <w:r>
        <w:rPr>
          <w:b/>
          <w:caps/>
          <w:szCs w:val="22"/>
        </w:rPr>
        <w:t>[</w:t>
      </w:r>
      <w:r>
        <w:rPr>
          <w:b/>
          <w:caps/>
          <w:szCs w:val="22"/>
          <w:highlight w:val="yellow"/>
        </w:rPr>
        <w:t>__</w:t>
      </w:r>
      <w:r>
        <w:rPr>
          <w:b/>
          <w:caps/>
          <w:szCs w:val="22"/>
        </w:rPr>
        <w:t>]</w:t>
      </w:r>
      <w:r>
        <w:t>.</w:t>
      </w:r>
      <w:bookmarkEnd w:id="1000"/>
    </w:p>
    <w:p w:rsidR="0000160C" w:rsidRDefault="00C517ED" w14:paraId="677D357B" w14:textId="1BB08F00">
      <w:pPr>
        <w:pStyle w:val="ArtBJStyL3"/>
      </w:pPr>
      <w:bookmarkStart w:name="_Ref113892719" w:id="1001"/>
      <w:r>
        <w:t xml:space="preserve">Tout </w:t>
      </w:r>
      <w:r w:rsidR="00CF1A26">
        <w:t>C</w:t>
      </w:r>
      <w:r>
        <w:t xml:space="preserve">ommanditaire, le </w:t>
      </w:r>
      <w:r w:rsidR="00CF1A26">
        <w:t>C</w:t>
      </w:r>
      <w:r>
        <w:t xml:space="preserve">ommandité et le Fonds peuvent désigner une nouvelle adresse pour les avis en </w:t>
      </w:r>
      <w:r w:rsidR="00CF1A26">
        <w:t>donnant</w:t>
      </w:r>
      <w:r>
        <w:t xml:space="preserve"> </w:t>
      </w:r>
      <w:r w:rsidR="00CF1A26">
        <w:t>un avis écrit</w:t>
      </w:r>
      <w:r>
        <w:t xml:space="preserve"> </w:t>
      </w:r>
      <w:r w:rsidR="00CF1A26">
        <w:t>à cet effet</w:t>
      </w:r>
      <w:r>
        <w:t xml:space="preserve"> </w:t>
      </w:r>
      <w:r w:rsidR="00CF1A26">
        <w:t>au</w:t>
      </w:r>
      <w:r>
        <w:t xml:space="preserve"> </w:t>
      </w:r>
      <w:r w:rsidR="00CF1A26">
        <w:t>C</w:t>
      </w:r>
      <w:r>
        <w:t xml:space="preserve">ommandité. Le </w:t>
      </w:r>
      <w:r w:rsidR="00CF1A26">
        <w:t>C</w:t>
      </w:r>
      <w:r>
        <w:t xml:space="preserve">ommandité peut désigner une nouvelle adresse pour les avis en </w:t>
      </w:r>
      <w:r w:rsidR="00CF1A26">
        <w:t>donnant un avis</w:t>
      </w:r>
      <w:r>
        <w:t xml:space="preserve"> </w:t>
      </w:r>
      <w:r w:rsidR="00CF1A26">
        <w:t>écrit</w:t>
      </w:r>
      <w:r>
        <w:t xml:space="preserve"> à cet effet à chacun des </w:t>
      </w:r>
      <w:r w:rsidR="00CF1A26">
        <w:t>C</w:t>
      </w:r>
      <w:r>
        <w:t>ommanditaires.</w:t>
      </w:r>
      <w:bookmarkEnd w:id="1001"/>
    </w:p>
    <w:p w:rsidR="0000160C" w:rsidRDefault="00C517ED" w14:paraId="4979A7B8" w14:textId="14398B1E">
      <w:pPr>
        <w:pStyle w:val="ArtBJStyL3"/>
      </w:pPr>
      <w:bookmarkStart w:name="_Ref113892720" w:id="1002"/>
      <w:r>
        <w:t>Un avis donné conformément à l</w:t>
      </w:r>
      <w:r w:rsidR="00CF1A26">
        <w:t xml:space="preserve">’article </w:t>
      </w:r>
      <w:r w:rsidRPr="00226F06">
        <w:fldChar w:fldCharType="begin"/>
      </w:r>
      <w:r w:rsidRPr="00226F06">
        <w:instrText xml:space="preserve"> REF _Ref40806844 \w \h </w:instrText>
      </w:r>
      <w:r w:rsidRPr="00226F06" w:rsidR="00791303">
        <w:instrText xml:space="preserve"> \* MERGEFORMAT </w:instrText>
      </w:r>
      <w:r w:rsidRPr="00226F06">
        <w:fldChar w:fldCharType="separate"/>
      </w:r>
      <w:r w:rsidR="00B50BE2">
        <w:t>20.6(b)</w:t>
      </w:r>
      <w:r w:rsidRPr="00226F06">
        <w:fldChar w:fldCharType="end"/>
      </w:r>
      <w:r>
        <w:t xml:space="preserve"> (</w:t>
      </w:r>
      <w:r w:rsidRPr="001B27C4" w:rsidR="001B27C4">
        <w:rPr>
          <w:i/>
        </w:rPr>
        <w:fldChar w:fldCharType="begin"/>
      </w:r>
      <w:r w:rsidRPr="001B27C4" w:rsidR="001B27C4">
        <w:rPr>
          <w:i/>
        </w:rPr>
        <w:instrText xml:space="preserve"> REF _Ref113892713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Avis.</w:t>
      </w:r>
      <w:r w:rsidRPr="001B27C4" w:rsidR="001B27C4">
        <w:rPr>
          <w:i/>
        </w:rPr>
        <w:fldChar w:fldCharType="end"/>
      </w:r>
      <w:r>
        <w:t xml:space="preserve">) sera réputé avoir été effectivement donné </w:t>
      </w:r>
      <w:bookmarkStart w:name="DocXTextRef197" w:id="1003"/>
      <w:r>
        <w:t>(i)</w:t>
      </w:r>
      <w:bookmarkEnd w:id="1003"/>
      <w:r>
        <w:t xml:space="preserve"> trois </w:t>
      </w:r>
      <w:r w:rsidR="00CF1A26">
        <w:t>J</w:t>
      </w:r>
      <w:r>
        <w:t xml:space="preserve">ours ouvrables après </w:t>
      </w:r>
      <w:r w:rsidR="00CF1A26">
        <w:t>l’envoi de cet avis</w:t>
      </w:r>
      <w:r>
        <w:t xml:space="preserve"> par courrier recommandé ou certifié de première classe, </w:t>
      </w:r>
      <w:r w:rsidR="00CF1A26">
        <w:t xml:space="preserve">avec </w:t>
      </w:r>
      <w:r>
        <w:t xml:space="preserve">accusé de réception demandé et </w:t>
      </w:r>
      <w:r w:rsidR="00CF1A26">
        <w:t>port payé</w:t>
      </w:r>
      <w:r>
        <w:t xml:space="preserve">, </w:t>
      </w:r>
      <w:bookmarkStart w:name="DocXTextRef198" w:id="1004"/>
      <w:r>
        <w:t>(ii)</w:t>
      </w:r>
      <w:bookmarkEnd w:id="1004"/>
      <w:r>
        <w:t xml:space="preserve"> un </w:t>
      </w:r>
      <w:r w:rsidR="00CF1A26">
        <w:t>J</w:t>
      </w:r>
      <w:r>
        <w:t xml:space="preserve">our ouvrable après </w:t>
      </w:r>
      <w:r w:rsidR="00CF1A26">
        <w:t>l’envoi de cet avis</w:t>
      </w:r>
      <w:r>
        <w:t xml:space="preserve"> par </w:t>
      </w:r>
      <w:r w:rsidR="00CF1A26">
        <w:t>messager</w:t>
      </w:r>
      <w:r>
        <w:t xml:space="preserve"> ou par un autre fournisseur de services d</w:t>
      </w:r>
      <w:r w:rsidR="00E27310">
        <w:t>’</w:t>
      </w:r>
      <w:r>
        <w:t>un</w:t>
      </w:r>
      <w:r w:rsidR="00CF1A26">
        <w:t xml:space="preserve"> jour</w:t>
      </w:r>
      <w:r>
        <w:t>, à l</w:t>
      </w:r>
      <w:r w:rsidR="00E27310">
        <w:t>’</w:t>
      </w:r>
      <w:r>
        <w:t>adresse appropriée, ou lorsqu</w:t>
      </w:r>
      <w:r w:rsidR="00E27310">
        <w:t>’</w:t>
      </w:r>
      <w:r>
        <w:t xml:space="preserve">il </w:t>
      </w:r>
      <w:r w:rsidR="00CF1A26">
        <w:t>est</w:t>
      </w:r>
      <w:r>
        <w:t xml:space="preserve"> livré en personne ou par service de livraison prépayé, et </w:t>
      </w:r>
      <w:bookmarkStart w:name="DocXTextRef199" w:id="1005"/>
      <w:r>
        <w:t>(iii)</w:t>
      </w:r>
      <w:bookmarkEnd w:id="1005"/>
      <w:r>
        <w:t xml:space="preserve"> un </w:t>
      </w:r>
      <w:r w:rsidR="00CF1A26">
        <w:t>J</w:t>
      </w:r>
      <w:r>
        <w:t xml:space="preserve">our ouvrable après </w:t>
      </w:r>
      <w:r w:rsidR="00CF1A26">
        <w:t>l’envoi de cet avis</w:t>
      </w:r>
      <w:r>
        <w:t xml:space="preserve"> par courrier électronique, à condition qu</w:t>
      </w:r>
      <w:r w:rsidR="00E27310">
        <w:t>’</w:t>
      </w:r>
      <w:r>
        <w:t>aucun avis automatique de défaut de livraison n</w:t>
      </w:r>
      <w:r w:rsidR="00E27310">
        <w:t>’</w:t>
      </w:r>
      <w:r>
        <w:t xml:space="preserve">ait été reçu par la partie </w:t>
      </w:r>
      <w:r w:rsidR="00CF1A26">
        <w:t>le livre</w:t>
      </w:r>
      <w:r>
        <w:t>.</w:t>
      </w:r>
      <w:bookmarkEnd w:id="1002"/>
    </w:p>
    <w:p w:rsidR="0000160C" w:rsidRDefault="00C517ED" w14:paraId="5B24173B" w14:textId="513AFA1B">
      <w:pPr>
        <w:pStyle w:val="ArtBJStyL3"/>
      </w:pPr>
      <w:bookmarkStart w:name="_Ref113892721" w:id="1006"/>
      <w:r>
        <w:t xml:space="preserve">Le </w:t>
      </w:r>
      <w:r w:rsidR="00CF1A26">
        <w:t>C</w:t>
      </w:r>
      <w:r>
        <w:t>ommandité doit</w:t>
      </w:r>
      <w:r w:rsidR="00CF1A26">
        <w:t xml:space="preserve"> faire en sorte que</w:t>
      </w:r>
      <w:r>
        <w:t xml:space="preserve"> </w:t>
      </w:r>
      <w:r w:rsidR="00CF1A26">
        <w:t>l’</w:t>
      </w:r>
      <w:r w:rsidRPr="00226F06">
        <w:fldChar w:fldCharType="begin"/>
      </w:r>
      <w:r w:rsidRPr="00226F06">
        <w:instrText xml:space="preserve"> REF _Ref40807563 \h </w:instrText>
      </w:r>
      <w:r w:rsidRPr="00226F06" w:rsidR="00791303">
        <w:instrText xml:space="preserve"> \* MERGEFORMAT </w:instrText>
      </w:r>
      <w:r w:rsidRPr="00226F06">
        <w:fldChar w:fldCharType="separate"/>
      </w:r>
      <w:r w:rsidR="00B50BE2">
        <w:t>Annexe 1</w:t>
      </w:r>
      <w:r w:rsidRPr="00226F06">
        <w:fldChar w:fldCharType="end"/>
      </w:r>
      <w:r>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B50BE2" w:rsidR="00B50BE2">
        <w:rPr>
          <w:i/>
        </w:rPr>
        <w:t xml:space="preserve">Engagements Des </w:t>
      </w:r>
      <w:r w:rsidRPr="001E31E0" w:rsidR="001E31E0">
        <w:rPr>
          <w:i/>
        </w:rPr>
        <w:fldChar w:fldCharType="end"/>
      </w:r>
      <w:r>
        <w:t xml:space="preserve">) </w:t>
      </w:r>
      <w:r w:rsidR="00CF1A26">
        <w:t>contienne en tout temps</w:t>
      </w:r>
      <w:r>
        <w:t xml:space="preserve"> le nom, l</w:t>
      </w:r>
      <w:r w:rsidR="00E27310">
        <w:t>’</w:t>
      </w:r>
      <w:r w:rsidR="00CF1A26">
        <w:t>E</w:t>
      </w:r>
      <w:r>
        <w:t xml:space="preserve">ngagement et les coordonnées exactes de chaque </w:t>
      </w:r>
      <w:r w:rsidR="00CF1A26">
        <w:t>C</w:t>
      </w:r>
      <w:r>
        <w:t xml:space="preserve">ommanditaire et doit </w:t>
      </w:r>
      <w:r w:rsidR="00CF1A26">
        <w:t>aviser</w:t>
      </w:r>
      <w:r>
        <w:t xml:space="preserve"> chaque </w:t>
      </w:r>
      <w:r w:rsidR="00CF1A26">
        <w:t>C</w:t>
      </w:r>
      <w:r>
        <w:t xml:space="preserve">ommanditaire de chaque changement à </w:t>
      </w:r>
      <w:r w:rsidR="00CF1A26">
        <w:t>l’</w:t>
      </w:r>
      <w:r w:rsidRPr="00226F06">
        <w:fldChar w:fldCharType="begin"/>
      </w:r>
      <w:r w:rsidRPr="00226F06">
        <w:instrText xml:space="preserve"> REF _Ref40807563 \h </w:instrText>
      </w:r>
      <w:r w:rsidRPr="00226F06" w:rsidR="00791303">
        <w:instrText xml:space="preserve"> \* MERGEFORMAT </w:instrText>
      </w:r>
      <w:r w:rsidRPr="00226F06">
        <w:fldChar w:fldCharType="separate"/>
      </w:r>
      <w:r w:rsidR="00B50BE2">
        <w:t>Annexe 1</w:t>
      </w:r>
      <w:r w:rsidRPr="00226F06">
        <w:fldChar w:fldCharType="end"/>
      </w:r>
      <w:r>
        <w:t xml:space="preserve"> (</w:t>
      </w:r>
      <w:r w:rsidRPr="001E31E0" w:rsidR="001E31E0">
        <w:rPr>
          <w:i/>
        </w:rPr>
        <w:fldChar w:fldCharType="begin"/>
      </w:r>
      <w:r w:rsidRPr="001E31E0" w:rsidR="001E31E0">
        <w:rPr>
          <w:i/>
        </w:rPr>
        <w:instrText xml:space="preserve"> REF  PartnerComm \* Caps \h  \* MERGEFORMAT </w:instrText>
      </w:r>
      <w:r w:rsidRPr="001E31E0" w:rsidR="001E31E0">
        <w:rPr>
          <w:i/>
        </w:rPr>
      </w:r>
      <w:r w:rsidRPr="001E31E0" w:rsidR="001E31E0">
        <w:rPr>
          <w:i/>
        </w:rPr>
        <w:fldChar w:fldCharType="separate"/>
      </w:r>
      <w:r w:rsidRPr="00B50BE2" w:rsidR="00B50BE2">
        <w:rPr>
          <w:i/>
        </w:rPr>
        <w:t xml:space="preserve">Engagements Des </w:t>
      </w:r>
      <w:r w:rsidRPr="001E31E0" w:rsidR="001E31E0">
        <w:rPr>
          <w:i/>
        </w:rPr>
        <w:fldChar w:fldCharType="end"/>
      </w:r>
      <w:r>
        <w:t xml:space="preserve">) dans un délai de 10 </w:t>
      </w:r>
      <w:r w:rsidR="00CF1A26">
        <w:t>J</w:t>
      </w:r>
      <w:r>
        <w:t xml:space="preserve">ours ouvrables </w:t>
      </w:r>
      <w:r w:rsidR="00CF1A26">
        <w:t>suivant ce changement</w:t>
      </w:r>
      <w:r>
        <w:t>.</w:t>
      </w:r>
      <w:bookmarkEnd w:id="1006"/>
    </w:p>
    <w:p w:rsidR="0000160C" w:rsidRDefault="00CF1A26" w14:paraId="129C2706" w14:textId="59C08948">
      <w:pPr>
        <w:pStyle w:val="ArtBJStyL2"/>
      </w:pPr>
      <w:bookmarkStart w:name="_Ref113892722" w:id="1007"/>
      <w:bookmarkStart w:name="_Toc161762442" w:id="1008"/>
      <w:r>
        <w:t>Exemplaires</w:t>
      </w:r>
      <w:r w:rsidR="00C517ED">
        <w:t>.</w:t>
      </w:r>
      <w:bookmarkEnd w:id="1007"/>
      <w:bookmarkEnd w:id="1008"/>
    </w:p>
    <w:p w:rsidR="0000160C" w:rsidRDefault="00CF1A26" w14:paraId="0B91DCF0" w14:textId="68895B5E">
      <w:pPr>
        <w:pStyle w:val="ArtBJStyCont2"/>
      </w:pPr>
      <w:r>
        <w:t>La présente Convention</w:t>
      </w:r>
      <w:r w:rsidR="00C517ED">
        <w:t xml:space="preserve"> peut être signé</w:t>
      </w:r>
      <w:r>
        <w:t>e</w:t>
      </w:r>
      <w:r w:rsidR="00C517ED">
        <w:t xml:space="preserve"> en </w:t>
      </w:r>
      <w:r>
        <w:t>plusieurs exemplaires</w:t>
      </w:r>
      <w:r w:rsidR="00C517ED">
        <w:t xml:space="preserve">, chacune étant considérée comme un original et </w:t>
      </w:r>
      <w:r>
        <w:t>l’ensemble constituant</w:t>
      </w:r>
      <w:r w:rsidR="00C517ED">
        <w:t xml:space="preserve"> un</w:t>
      </w:r>
      <w:r>
        <w:t>e</w:t>
      </w:r>
      <w:r w:rsidR="00C517ED">
        <w:t xml:space="preserve"> seul</w:t>
      </w:r>
      <w:r>
        <w:t>e</w:t>
      </w:r>
      <w:r w:rsidR="00C517ED">
        <w:t xml:space="preserve"> et même </w:t>
      </w:r>
      <w:r>
        <w:t>entente</w:t>
      </w:r>
      <w:r w:rsidR="00C517ED">
        <w:t>.</w:t>
      </w:r>
    </w:p>
    <w:p w:rsidR="0000160C" w:rsidRDefault="00C517ED" w14:paraId="75D588CC" w14:textId="35A86522">
      <w:pPr>
        <w:pStyle w:val="ArtBJStyL2"/>
      </w:pPr>
      <w:bookmarkStart w:name="_Ref113892723" w:id="1009"/>
      <w:bookmarkStart w:name="_Toc161762443" w:id="1010"/>
      <w:r>
        <w:lastRenderedPageBreak/>
        <w:t xml:space="preserve">Successeurs et </w:t>
      </w:r>
      <w:r w:rsidR="003444F9">
        <w:t>ayants cause</w:t>
      </w:r>
      <w:r>
        <w:t>.</w:t>
      </w:r>
      <w:bookmarkEnd w:id="1009"/>
      <w:bookmarkEnd w:id="1010"/>
    </w:p>
    <w:p w:rsidR="0000160C" w:rsidRDefault="003444F9" w14:paraId="1BEE015C" w14:textId="7A6A74AB">
      <w:pPr>
        <w:pStyle w:val="ArtBJStyCont2"/>
      </w:pPr>
      <w:r>
        <w:t>La présente Convention</w:t>
      </w:r>
      <w:r w:rsidR="00C517ED">
        <w:t xml:space="preserve"> s</w:t>
      </w:r>
      <w:r w:rsidR="00E27310">
        <w:t>’</w:t>
      </w:r>
      <w:r w:rsidR="00C517ED">
        <w:t xml:space="preserve">applique au bénéfice des parties et, sous réserve de </w:t>
      </w:r>
      <w:r>
        <w:t>l’</w:t>
      </w:r>
      <w:r w:rsidRPr="006400F9" w:rsidR="00C517ED">
        <w:fldChar w:fldCharType="begin"/>
      </w:r>
      <w:r w:rsidRPr="006400F9" w:rsidR="00C517ED">
        <w:instrText xml:space="preserve"> REF _Ref40802840 \w \h </w:instrText>
      </w:r>
      <w:r w:rsidRPr="006400F9" w:rsidR="00791303">
        <w:instrText xml:space="preserve"> \* MERGEFORMAT </w:instrText>
      </w:r>
      <w:r w:rsidRPr="006400F9" w:rsidR="00C517ED">
        <w:fldChar w:fldCharType="separate"/>
      </w:r>
      <w:r w:rsidR="00B50BE2">
        <w:t>Article 17</w:t>
      </w:r>
      <w:r w:rsidRPr="006400F9" w:rsidR="00C517ED">
        <w:fldChar w:fldCharType="end"/>
      </w:r>
      <w:r w:rsidR="00C517ED">
        <w:t xml:space="preserve"> (</w:t>
      </w:r>
      <w:r w:rsidRPr="001B27C4" w:rsidR="001B27C4">
        <w:rPr>
          <w:i/>
        </w:rPr>
        <w:fldChar w:fldCharType="begin"/>
      </w:r>
      <w:r w:rsidRPr="001B27C4" w:rsidR="001B27C4">
        <w:rPr>
          <w:i/>
        </w:rPr>
        <w:instrText xml:space="preserve"> REF _Ref40802840 \h </w:instrText>
      </w:r>
      <w:r w:rsidR="001B27C4">
        <w:rPr>
          <w:i/>
        </w:rPr>
        <w:instrText xml:space="preserve"> \* MERGEFORMAT </w:instrText>
      </w:r>
      <w:r w:rsidRPr="001B27C4" w:rsidR="001B27C4">
        <w:rPr>
          <w:i/>
        </w:rPr>
      </w:r>
      <w:r w:rsidRPr="001B27C4" w:rsidR="001B27C4">
        <w:rPr>
          <w:i/>
        </w:rPr>
        <w:fldChar w:fldCharType="separate"/>
      </w:r>
      <w:proofErr w:type="gramStart"/>
      <w:r w:rsidRPr="00B50BE2" w:rsidR="00B50BE2">
        <w:rPr>
          <w:i/>
        </w:rPr>
        <w:t>Transferts;</w:t>
      </w:r>
      <w:proofErr w:type="gramEnd"/>
      <w:r w:rsidRPr="00B50BE2" w:rsidR="00B50BE2">
        <w:rPr>
          <w:i/>
        </w:rPr>
        <w:t xml:space="preserve"> </w:t>
      </w:r>
      <w:proofErr w:type="spellStart"/>
      <w:r w:rsidRPr="00B50BE2" w:rsidR="00B50BE2">
        <w:rPr>
          <w:i/>
        </w:rPr>
        <w:t>AssociÉs</w:t>
      </w:r>
      <w:proofErr w:type="spellEnd"/>
      <w:r w:rsidRPr="00B50BE2" w:rsidR="00B50BE2">
        <w:rPr>
          <w:i/>
        </w:rPr>
        <w:t xml:space="preserve"> de substitution</w:t>
      </w:r>
      <w:r w:rsidRPr="001B27C4" w:rsidR="001B27C4">
        <w:rPr>
          <w:i/>
        </w:rPr>
        <w:fldChar w:fldCharType="end"/>
      </w:r>
      <w:r w:rsidR="00C517ED">
        <w:t xml:space="preserve">), de leurs successeurs respectifs, des ayants </w:t>
      </w:r>
      <w:r>
        <w:t>cause</w:t>
      </w:r>
      <w:r w:rsidR="00C517ED">
        <w:t xml:space="preserve"> autorisés et, dans le cas de </w:t>
      </w:r>
      <w:r>
        <w:t>P</w:t>
      </w:r>
      <w:r w:rsidR="00C517ED">
        <w:t>ersonnes couvertes</w:t>
      </w:r>
      <w:r>
        <w:t xml:space="preserve"> qui sont des personnes physiques</w:t>
      </w:r>
      <w:r w:rsidR="00C517ED">
        <w:t>, des héritiers et des représentants légaux.</w:t>
      </w:r>
    </w:p>
    <w:p w:rsidR="0000160C" w:rsidRDefault="00C517ED" w14:paraId="14B6D4A8" w14:textId="77777777">
      <w:pPr>
        <w:pStyle w:val="ArtBJStyL2"/>
      </w:pPr>
      <w:bookmarkStart w:name="_Ref40806867" w:id="1011"/>
      <w:bookmarkStart w:name="_Toc161762444" w:id="1012"/>
      <w:r>
        <w:t>Invalidité.</w:t>
      </w:r>
      <w:bookmarkEnd w:id="1011"/>
      <w:bookmarkEnd w:id="1012"/>
    </w:p>
    <w:p w:rsidR="0000160C" w:rsidRDefault="00C517ED" w14:paraId="4508E748" w14:textId="1B3C634C">
      <w:pPr>
        <w:pStyle w:val="ArtBJStyCont2"/>
      </w:pPr>
      <w:r>
        <w:t xml:space="preserve">Toutes les modalités et dispositions </w:t>
      </w:r>
      <w:r w:rsidR="00E536D5">
        <w:t>de la présente Convention</w:t>
      </w:r>
      <w:r>
        <w:t xml:space="preserve"> sont dissociables. Si </w:t>
      </w:r>
      <w:r w:rsidR="003444F9">
        <w:t>l’une des</w:t>
      </w:r>
      <w:r>
        <w:t xml:space="preserve"> disposition</w:t>
      </w:r>
      <w:r w:rsidR="003444F9">
        <w:t>s</w:t>
      </w:r>
      <w:r>
        <w:t xml:space="preserve"> </w:t>
      </w:r>
      <w:r w:rsidR="00E536D5">
        <w:t>de la présente Convention</w:t>
      </w:r>
      <w:r>
        <w:t xml:space="preserve"> est jugée invalide ou inapplicable par une autorité judiciaire ou compétente, toutes les autres dispositions </w:t>
      </w:r>
      <w:r w:rsidR="00E536D5">
        <w:t>de la présente Convention</w:t>
      </w:r>
      <w:r>
        <w:t xml:space="preserve"> resteront pleinement en vigueur et ne seront </w:t>
      </w:r>
      <w:r w:rsidR="003444F9">
        <w:t>en aucun</w:t>
      </w:r>
      <w:r w:rsidR="00333A6A">
        <w:t xml:space="preserve"> cas</w:t>
      </w:r>
      <w:r w:rsidR="003444F9">
        <w:t xml:space="preserve"> affectées</w:t>
      </w:r>
      <w:r>
        <w:t xml:space="preserve">. En outre, si une disposition </w:t>
      </w:r>
      <w:r w:rsidR="00E536D5">
        <w:t>de la présente Convention</w:t>
      </w:r>
      <w:r>
        <w:t xml:space="preserve"> est jugée invalide ou inapplicable, ou le serait </w:t>
      </w:r>
      <w:r w:rsidR="003444F9">
        <w:t>sans le présent article</w:t>
      </w:r>
      <w:r>
        <w:t> </w:t>
      </w:r>
      <w:r w:rsidRPr="006400F9">
        <w:fldChar w:fldCharType="begin"/>
      </w:r>
      <w:r w:rsidRPr="006400F9">
        <w:instrText xml:space="preserve"> REF _Ref40806867 \w \h </w:instrText>
      </w:r>
      <w:r w:rsidRPr="006400F9" w:rsidR="00791303">
        <w:instrText xml:space="preserve"> \* MERGEFORMAT </w:instrText>
      </w:r>
      <w:r w:rsidRPr="006400F9">
        <w:fldChar w:fldCharType="separate"/>
      </w:r>
      <w:r w:rsidR="00B50BE2">
        <w:t>20.9</w:t>
      </w:r>
      <w:r w:rsidRPr="006400F9">
        <w:fldChar w:fldCharType="end"/>
      </w:r>
      <w:r>
        <w:t xml:space="preserve"> (</w:t>
      </w:r>
      <w:r w:rsidRPr="001B27C4" w:rsidR="001B27C4">
        <w:rPr>
          <w:i/>
        </w:rPr>
        <w:fldChar w:fldCharType="begin"/>
      </w:r>
      <w:r w:rsidRPr="001B27C4" w:rsidR="001B27C4">
        <w:rPr>
          <w:i/>
        </w:rPr>
        <w:instrText xml:space="preserve"> REF _Ref40806867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Invalidité.</w:t>
      </w:r>
      <w:r w:rsidRPr="001B27C4" w:rsidR="001B27C4">
        <w:rPr>
          <w:i/>
        </w:rPr>
        <w:fldChar w:fldCharType="end"/>
      </w:r>
      <w:r>
        <w:t>), mais serait valide ou exécutoire si certaines parties de la disposition étaient supprimées, la disposition en question s</w:t>
      </w:r>
      <w:r w:rsidR="00E27310">
        <w:t>’</w:t>
      </w:r>
      <w:r>
        <w:t>appliquera avec les modifications minimales nécessaires pour la rendre valide et exécutoire.</w:t>
      </w:r>
    </w:p>
    <w:p w:rsidR="0000160C" w:rsidRDefault="00C517ED" w14:paraId="019D7C1E" w14:textId="1CB82E79">
      <w:pPr>
        <w:pStyle w:val="ArtBJStyL2"/>
      </w:pPr>
      <w:bookmarkStart w:name="_Ref113892724" w:id="1013"/>
      <w:bookmarkStart w:name="_Toc161762445" w:id="1014"/>
      <w:r>
        <w:t xml:space="preserve">Aucun </w:t>
      </w:r>
      <w:r w:rsidR="003444F9">
        <w:t xml:space="preserve">tiers </w:t>
      </w:r>
      <w:r>
        <w:t>bénéficiaire.</w:t>
      </w:r>
      <w:bookmarkEnd w:id="1013"/>
      <w:bookmarkEnd w:id="1014"/>
    </w:p>
    <w:p w:rsidR="0000160C" w:rsidRDefault="00C517ED" w14:paraId="11AF3EE7" w14:textId="3F47C7E5">
      <w:pPr>
        <w:pStyle w:val="ArtBJStyCont2"/>
        <w:rPr>
          <w:b/>
        </w:rPr>
      </w:pPr>
      <w:r>
        <w:t xml:space="preserve">Les dispositions </w:t>
      </w:r>
      <w:r w:rsidR="00E536D5">
        <w:t>de la présente Convention</w:t>
      </w:r>
      <w:r>
        <w:t xml:space="preserve">, y compris </w:t>
      </w:r>
      <w:r w:rsidR="00FD36F9">
        <w:t>l’</w:t>
      </w:r>
      <w:r w:rsidRPr="006400F9">
        <w:fldChar w:fldCharType="begin"/>
      </w:r>
      <w:r w:rsidRPr="006400F9">
        <w:instrText xml:space="preserve"> REF _Ref40807018 \w \h </w:instrText>
      </w:r>
      <w:r w:rsidRPr="006400F9" w:rsidR="00791303">
        <w:instrText xml:space="preserve"> \* MERGEFORMAT </w:instrText>
      </w:r>
      <w:r w:rsidRPr="006400F9">
        <w:fldChar w:fldCharType="separate"/>
      </w:r>
      <w:r w:rsidR="00B50BE2">
        <w:t>Article 6</w:t>
      </w:r>
      <w:r w:rsidRPr="006400F9">
        <w:fldChar w:fldCharType="end"/>
      </w:r>
      <w:r>
        <w:rPr>
          <w:szCs w:val="22"/>
          <w:cs/>
        </w:rPr>
        <w:t xml:space="preserve"> </w:t>
      </w:r>
      <w:r>
        <w:t>(</w:t>
      </w:r>
      <w:r w:rsidRPr="001B27C4" w:rsidR="001B27C4">
        <w:rPr>
          <w:i/>
        </w:rPr>
        <w:fldChar w:fldCharType="begin"/>
      </w:r>
      <w:r w:rsidRPr="001B27C4" w:rsidR="001B27C4">
        <w:rPr>
          <w:i/>
        </w:rPr>
        <w:instrText xml:space="preserve"> REF _Ref40807018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Apports de Capital</w:t>
      </w:r>
      <w:r w:rsidRPr="001B27C4" w:rsidR="001B27C4">
        <w:rPr>
          <w:i/>
        </w:rPr>
        <w:fldChar w:fldCharType="end"/>
      </w:r>
      <w:r>
        <w:t>)</w:t>
      </w:r>
      <w:r>
        <w:rPr>
          <w:szCs w:val="22"/>
        </w:rPr>
        <w:t>,</w:t>
      </w:r>
      <w:r>
        <w:t xml:space="preserve"> sont destinées uniquement </w:t>
      </w:r>
      <w:r w:rsidR="00FD36F9">
        <w:t>au bénéfice des</w:t>
      </w:r>
      <w:r>
        <w:t xml:space="preserve"> </w:t>
      </w:r>
      <w:r w:rsidR="00304C67">
        <w:t>C</w:t>
      </w:r>
      <w:r>
        <w:t xml:space="preserve">ommanditaires et </w:t>
      </w:r>
      <w:r w:rsidR="00FD36F9">
        <w:t>du</w:t>
      </w:r>
      <w:r>
        <w:t xml:space="preserve"> </w:t>
      </w:r>
      <w:r w:rsidR="00FD36F9">
        <w:t>C</w:t>
      </w:r>
      <w:r>
        <w:t>ommandité et (dans le cas de</w:t>
      </w:r>
      <w:r w:rsidR="00FD36F9">
        <w:t xml:space="preserve"> l’article</w:t>
      </w:r>
      <w:r>
        <w:t> </w:t>
      </w:r>
      <w:r w:rsidRPr="006400F9">
        <w:fldChar w:fldCharType="begin"/>
      </w:r>
      <w:r w:rsidRPr="006400F9">
        <w:instrText xml:space="preserve"> REF _Ref40801087 \w \h </w:instrText>
      </w:r>
      <w:r w:rsidRPr="006400F9" w:rsidR="00791303">
        <w:instrText xml:space="preserve"> \* MERGEFORMAT </w:instrText>
      </w:r>
      <w:r w:rsidRPr="006400F9">
        <w:fldChar w:fldCharType="separate"/>
      </w:r>
      <w:r w:rsidR="00B50BE2">
        <w:t>16.1</w:t>
      </w:r>
      <w:r w:rsidRPr="006400F9">
        <w:fldChar w:fldCharType="end"/>
      </w:r>
      <w:r>
        <w:t xml:space="preserve"> (</w:t>
      </w:r>
      <w:r w:rsidRPr="001B27C4" w:rsidR="001B27C4">
        <w:rPr>
          <w:i/>
        </w:rPr>
        <w:fldChar w:fldCharType="begin"/>
      </w:r>
      <w:r w:rsidRPr="001B27C4" w:rsidR="001B27C4">
        <w:rPr>
          <w:i/>
        </w:rPr>
        <w:instrText xml:space="preserve"> REF _Ref40801087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Exonération des Personnes couvertes.</w:t>
      </w:r>
      <w:r w:rsidRPr="001B27C4" w:rsidR="001B27C4">
        <w:rPr>
          <w:i/>
        </w:rPr>
        <w:fldChar w:fldCharType="end"/>
      </w:r>
      <w:r>
        <w:t>)</w:t>
      </w:r>
      <w:r w:rsidR="00304C67">
        <w:t xml:space="preserve"> </w:t>
      </w:r>
      <w:r>
        <w:t xml:space="preserve">et </w:t>
      </w:r>
      <w:r w:rsidR="00FD36F9">
        <w:t xml:space="preserve">de l’article </w:t>
      </w:r>
      <w:r w:rsidRPr="006400F9">
        <w:fldChar w:fldCharType="begin"/>
      </w:r>
      <w:r w:rsidRPr="006400F9">
        <w:instrText xml:space="preserve"> REF _Ref40803551 \w \h </w:instrText>
      </w:r>
      <w:r w:rsidRPr="006400F9" w:rsidR="00791303">
        <w:instrText xml:space="preserve"> \* MERGEFORMAT </w:instrText>
      </w:r>
      <w:r w:rsidRPr="006400F9">
        <w:fldChar w:fldCharType="separate"/>
      </w:r>
      <w:r w:rsidR="00B50BE2">
        <w:t>16.2</w:t>
      </w:r>
      <w:r w:rsidRPr="006400F9">
        <w:fldChar w:fldCharType="end"/>
      </w:r>
      <w:r>
        <w:t xml:space="preserve"> (</w:t>
      </w:r>
      <w:r w:rsidRPr="001B27C4" w:rsidR="001B27C4">
        <w:rPr>
          <w:i/>
        </w:rPr>
        <w:fldChar w:fldCharType="begin"/>
      </w:r>
      <w:r w:rsidRPr="001B27C4" w:rsidR="001B27C4">
        <w:rPr>
          <w:i/>
        </w:rPr>
        <w:instrText xml:space="preserve"> REF _Ref40803551 \h </w:instrText>
      </w:r>
      <w:r w:rsidR="001B27C4">
        <w:rPr>
          <w:i/>
        </w:rPr>
        <w:instrText xml:space="preserve"> \* MERGEFORMAT </w:instrText>
      </w:r>
      <w:r w:rsidRPr="001B27C4" w:rsidR="001B27C4">
        <w:rPr>
          <w:i/>
        </w:rPr>
      </w:r>
      <w:r w:rsidRPr="001B27C4" w:rsidR="001B27C4">
        <w:rPr>
          <w:i/>
        </w:rPr>
        <w:fldChar w:fldCharType="separate"/>
      </w:r>
      <w:r w:rsidRPr="00B50BE2" w:rsidR="00B50BE2">
        <w:rPr>
          <w:i/>
        </w:rPr>
        <w:t>Indemnisation des Personnes couvertes.</w:t>
      </w:r>
      <w:r w:rsidRPr="001B27C4" w:rsidR="001B27C4">
        <w:rPr>
          <w:i/>
        </w:rPr>
        <w:fldChar w:fldCharType="end"/>
      </w:r>
      <w:r>
        <w:t xml:space="preserve">), les </w:t>
      </w:r>
      <w:r w:rsidR="00FD36F9">
        <w:t>P</w:t>
      </w:r>
      <w:r>
        <w:t xml:space="preserve">ersonnes couvertes par le </w:t>
      </w:r>
      <w:r w:rsidR="00FD36F9">
        <w:t>Commandité</w:t>
      </w:r>
      <w:r>
        <w:t xml:space="preserve"> et les </w:t>
      </w:r>
      <w:r w:rsidR="00FD36F9">
        <w:t>P</w:t>
      </w:r>
      <w:r>
        <w:t xml:space="preserve">ersonnes couvertes par le </w:t>
      </w:r>
      <w:r w:rsidR="00FD36F9">
        <w:t>CCC</w:t>
      </w:r>
      <w:r>
        <w:t xml:space="preserve">) et, dans toute la mesure permise par </w:t>
      </w:r>
      <w:r w:rsidR="007A757B">
        <w:t>le droit</w:t>
      </w:r>
      <w:r>
        <w:t xml:space="preserve"> applicable, ne confèrent aucun avantage ou droit à une autre </w:t>
      </w:r>
      <w:r w:rsidR="00FD36F9">
        <w:t>P</w:t>
      </w:r>
      <w:r>
        <w:t xml:space="preserve">ersonne et aucune autre </w:t>
      </w:r>
      <w:r w:rsidR="00FD36F9">
        <w:t>P</w:t>
      </w:r>
      <w:r>
        <w:t xml:space="preserve">ersonne ne sera un tiers bénéficiaire </w:t>
      </w:r>
      <w:r w:rsidR="00E536D5">
        <w:t>de la présente Convention</w:t>
      </w:r>
      <w:r>
        <w:t xml:space="preserve"> ou n</w:t>
      </w:r>
      <w:r w:rsidR="00E27310">
        <w:t>’</w:t>
      </w:r>
      <w:r>
        <w:t xml:space="preserve">aura aucun droit </w:t>
      </w:r>
      <w:r w:rsidR="00FD36F9">
        <w:t>de faire appliquer</w:t>
      </w:r>
      <w:r>
        <w:t xml:space="preserve"> toute </w:t>
      </w:r>
      <w:r w:rsidR="00FD36F9">
        <w:t>modalité</w:t>
      </w:r>
      <w:r>
        <w:t xml:space="preserve"> </w:t>
      </w:r>
      <w:r w:rsidR="00E536D5">
        <w:t>de la présente Convention</w:t>
      </w:r>
      <w:r>
        <w:t xml:space="preserve">. </w:t>
      </w:r>
    </w:p>
    <w:p w:rsidR="0000160C" w:rsidRDefault="00C517ED" w14:paraId="0B0CD9A5" w14:textId="77777777">
      <w:pPr>
        <w:pStyle w:val="ArtBJStyL2"/>
      </w:pPr>
      <w:bookmarkStart w:name="_Ref113892725" w:id="1015"/>
      <w:bookmarkStart w:name="_Toc161762446" w:id="1016"/>
      <w:r>
        <w:t>Pas de renonciation.</w:t>
      </w:r>
      <w:bookmarkEnd w:id="1015"/>
      <w:bookmarkEnd w:id="1016"/>
    </w:p>
    <w:p w:rsidR="0000160C" w:rsidRDefault="00C517ED" w14:paraId="070656FD" w14:textId="23E44D95">
      <w:pPr>
        <w:pStyle w:val="ArtBJStyCont2"/>
      </w:pPr>
      <w:r>
        <w:t>Aucun manquement ou retard dans l</w:t>
      </w:r>
      <w:r w:rsidR="00E27310">
        <w:t>’</w:t>
      </w:r>
      <w:r>
        <w:t>exercice par l</w:t>
      </w:r>
      <w:r w:rsidR="00E27310">
        <w:t>’</w:t>
      </w:r>
      <w:r>
        <w:t xml:space="preserve">un </w:t>
      </w:r>
      <w:r w:rsidR="00FD36F9">
        <w:t>des</w:t>
      </w:r>
      <w:r>
        <w:t xml:space="preserve"> </w:t>
      </w:r>
      <w:r w:rsidR="00FD36F9">
        <w:t>C</w:t>
      </w:r>
      <w:r>
        <w:t>ommanditaires, d</w:t>
      </w:r>
      <w:r w:rsidR="00E27310">
        <w:t>’</w:t>
      </w:r>
      <w:r>
        <w:t>un droit, d</w:t>
      </w:r>
      <w:r w:rsidR="00E27310">
        <w:t>’</w:t>
      </w:r>
      <w:r>
        <w:t>un pouvoir ou d</w:t>
      </w:r>
      <w:r w:rsidR="00E27310">
        <w:t>’</w:t>
      </w:r>
      <w:r>
        <w:t xml:space="preserve">un privilège en vertu </w:t>
      </w:r>
      <w:r w:rsidR="00E536D5">
        <w:t>de la présente Convention</w:t>
      </w:r>
      <w:r>
        <w:t xml:space="preserve"> ne constitue une renonciation à ce droit, à ce pouvoir ou à ce privilège, et l</w:t>
      </w:r>
      <w:r w:rsidR="00E27310">
        <w:t>’</w:t>
      </w:r>
      <w:r>
        <w:t>exercice unique ou partiel de ce droit, de ce pouvoir ou de ce privilège n</w:t>
      </w:r>
      <w:r w:rsidR="00E27310">
        <w:t>’</w:t>
      </w:r>
      <w:r>
        <w:t>empêchera pas un autre exercice ou l</w:t>
      </w:r>
      <w:r w:rsidR="00E27310">
        <w:t>’</w:t>
      </w:r>
      <w:r>
        <w:t xml:space="preserve">exercice ultérieur de ce droit, de ce pouvoir ou de ce privilège. Les droits et recours prévus dans </w:t>
      </w:r>
      <w:r w:rsidR="003278C2">
        <w:t>la présente Convention</w:t>
      </w:r>
      <w:r>
        <w:t xml:space="preserve"> sont cumulatifs et n</w:t>
      </w:r>
      <w:r w:rsidR="00E27310">
        <w:t>’</w:t>
      </w:r>
      <w:r>
        <w:t>excluent pas les droits ou recours prévus par la loi.</w:t>
      </w:r>
    </w:p>
    <w:p w:rsidR="0000160C" w:rsidRDefault="00C517ED" w14:paraId="1943E10C" w14:textId="6A053713">
      <w:pPr>
        <w:pStyle w:val="ArtBJStyL1"/>
      </w:pPr>
      <w:r>
        <w:br/>
      </w:r>
      <w:bookmarkStart w:name="_Ref113892726" w:id="1017"/>
      <w:bookmarkStart w:name="_Toc161762447" w:id="1018"/>
      <w:r>
        <w:t>Droit applicable et r</w:t>
      </w:r>
      <w:r w:rsidR="00FD36F9">
        <w:t>È</w:t>
      </w:r>
      <w:r>
        <w:t>glement des diff</w:t>
      </w:r>
      <w:r w:rsidR="00FD36F9">
        <w:t>É</w:t>
      </w:r>
      <w:r>
        <w:t>rends</w:t>
      </w:r>
      <w:bookmarkEnd w:id="1017"/>
      <w:bookmarkEnd w:id="1018"/>
    </w:p>
    <w:p w:rsidR="0000160C" w:rsidRDefault="00FD36F9" w14:paraId="5C1D3CDF" w14:textId="591215A4">
      <w:pPr>
        <w:pStyle w:val="ArtBJStyL2"/>
      </w:pPr>
      <w:bookmarkStart w:name="_Ref113892727" w:id="1019"/>
      <w:bookmarkStart w:name="_Toc161762448" w:id="1020"/>
      <w:r>
        <w:t>Rigueur des délais</w:t>
      </w:r>
      <w:r w:rsidR="00C517ED">
        <w:t>.</w:t>
      </w:r>
      <w:bookmarkEnd w:id="1019"/>
      <w:bookmarkEnd w:id="1020"/>
    </w:p>
    <w:p w:rsidR="0000160C" w:rsidRDefault="00C517ED" w14:paraId="68B51F59" w14:textId="6035AAB0">
      <w:pPr>
        <w:pStyle w:val="ArtBJStyCont2"/>
        <w:rPr>
          <w:b/>
          <w:bCs/>
        </w:rPr>
      </w:pPr>
      <w:r>
        <w:rPr>
          <w:bCs/>
        </w:rPr>
        <w:t xml:space="preserve">Le temps est un élément essentiel de </w:t>
      </w:r>
      <w:r w:rsidR="00FD36F9">
        <w:rPr>
          <w:bCs/>
        </w:rPr>
        <w:t>cette Convention</w:t>
      </w:r>
      <w:r>
        <w:rPr>
          <w:bCs/>
        </w:rPr>
        <w:t xml:space="preserve">. </w:t>
      </w:r>
      <w:r>
        <w:rPr>
          <w:b/>
          <w:bCs/>
          <w:highlight w:val="yellow"/>
        </w:rPr>
        <w:t>[Le débiteur d</w:t>
      </w:r>
      <w:r w:rsidR="00E27310">
        <w:rPr>
          <w:b/>
          <w:bCs/>
          <w:highlight w:val="yellow"/>
        </w:rPr>
        <w:t>’</w:t>
      </w:r>
      <w:r>
        <w:rPr>
          <w:b/>
          <w:bCs/>
          <w:highlight w:val="yellow"/>
        </w:rPr>
        <w:t xml:space="preserve">une obligation en vertu de </w:t>
      </w:r>
      <w:r w:rsidR="00FD36F9">
        <w:rPr>
          <w:b/>
          <w:bCs/>
          <w:highlight w:val="yellow"/>
        </w:rPr>
        <w:t>la Convention</w:t>
      </w:r>
      <w:r>
        <w:rPr>
          <w:b/>
          <w:bCs/>
          <w:highlight w:val="yellow"/>
        </w:rPr>
        <w:t xml:space="preserve"> sera en défaut de cette obligation par le simple </w:t>
      </w:r>
      <w:r w:rsidR="00FD36F9">
        <w:rPr>
          <w:b/>
          <w:bCs/>
          <w:highlight w:val="yellow"/>
        </w:rPr>
        <w:t>écoulement</w:t>
      </w:r>
      <w:r>
        <w:rPr>
          <w:b/>
          <w:bCs/>
          <w:highlight w:val="yellow"/>
        </w:rPr>
        <w:t xml:space="preserve"> de temps pour l</w:t>
      </w:r>
      <w:r w:rsidR="00E27310">
        <w:rPr>
          <w:b/>
          <w:bCs/>
          <w:highlight w:val="yellow"/>
        </w:rPr>
        <w:t>’</w:t>
      </w:r>
      <w:r>
        <w:rPr>
          <w:b/>
          <w:bCs/>
          <w:highlight w:val="yellow"/>
        </w:rPr>
        <w:t>exécuter.]</w:t>
      </w:r>
      <w:bookmarkStart w:name="_Ref113892912" w:id="1021"/>
      <w:r>
        <w:rPr>
          <w:rStyle w:val="FootnoteReference"/>
          <w:b/>
          <w:bCs/>
        </w:rPr>
        <w:footnoteReference w:id="164"/>
      </w:r>
      <w:bookmarkEnd w:id="1021"/>
    </w:p>
    <w:p w:rsidR="0000160C" w:rsidRDefault="00FD36F9" w14:paraId="078083E2" w14:textId="1912B5B7">
      <w:pPr>
        <w:pStyle w:val="ArtBJStyL2"/>
      </w:pPr>
      <w:bookmarkStart w:name="_Ref113892728" w:id="1022"/>
      <w:bookmarkStart w:name="_Toc161762449" w:id="1023"/>
      <w:r>
        <w:t>Droit</w:t>
      </w:r>
      <w:r w:rsidR="00C517ED">
        <w:t xml:space="preserve"> applicable.</w:t>
      </w:r>
      <w:bookmarkEnd w:id="1022"/>
      <w:bookmarkEnd w:id="1023"/>
    </w:p>
    <w:p w:rsidR="0000160C" w:rsidRDefault="00C517ED" w14:paraId="685033D0" w14:textId="7B095FB1">
      <w:pPr>
        <w:pStyle w:val="ArtBJStyCont2"/>
      </w:pPr>
      <w:r>
        <w:t xml:space="preserve">La présente </w:t>
      </w:r>
      <w:r w:rsidR="00FD36F9">
        <w:t>Convention</w:t>
      </w:r>
      <w:r>
        <w:t xml:space="preserve"> doit être interprétée et appliquée conformément aux lois de la province </w:t>
      </w:r>
      <w:r>
        <w:rPr>
          <w:b/>
          <w:bCs/>
          <w:highlight w:val="yellow"/>
        </w:rPr>
        <w:t>[</w:t>
      </w:r>
      <w:r w:rsidR="001F2796">
        <w:rPr>
          <w:b/>
          <w:bCs/>
          <w:highlight w:val="yellow"/>
        </w:rPr>
        <w:t>de l’</w:t>
      </w:r>
      <w:r>
        <w:rPr>
          <w:b/>
          <w:bCs/>
          <w:highlight w:val="yellow"/>
        </w:rPr>
        <w:t>Ontario/</w:t>
      </w:r>
      <w:r w:rsidR="001F2796">
        <w:rPr>
          <w:b/>
          <w:bCs/>
          <w:highlight w:val="yellow"/>
        </w:rPr>
        <w:t xml:space="preserve">du </w:t>
      </w:r>
      <w:r>
        <w:rPr>
          <w:b/>
          <w:bCs/>
          <w:highlight w:val="yellow"/>
        </w:rPr>
        <w:t>Québec]</w:t>
      </w:r>
      <w:r>
        <w:t>, et les droits et obligations respectifs des parties sont régis par ce</w:t>
      </w:r>
      <w:r w:rsidR="00094530">
        <w:t xml:space="preserve"> droit</w:t>
      </w:r>
      <w:r>
        <w:t>.</w:t>
      </w:r>
      <w:bookmarkStart w:name="_Ref113892913" w:id="1024"/>
      <w:r>
        <w:rPr>
          <w:szCs w:val="22"/>
          <w:vertAlign w:val="superscript"/>
        </w:rPr>
        <w:footnoteReference w:id="165"/>
      </w:r>
      <w:bookmarkEnd w:id="1024"/>
    </w:p>
    <w:p w:rsidR="0000160C" w:rsidRDefault="00094530" w14:paraId="67E0B409" w14:textId="0AE547BD">
      <w:pPr>
        <w:pStyle w:val="ArtBJStyL2"/>
      </w:pPr>
      <w:bookmarkStart w:name="_Ref113892729" w:id="1025"/>
      <w:bookmarkStart w:name="_Toc161762450" w:id="1026"/>
      <w:r>
        <w:lastRenderedPageBreak/>
        <w:t>Juridiction</w:t>
      </w:r>
      <w:r w:rsidR="00C517ED">
        <w:t>.</w:t>
      </w:r>
      <w:bookmarkEnd w:id="1025"/>
      <w:bookmarkEnd w:id="1026"/>
    </w:p>
    <w:p w:rsidR="0000160C" w:rsidRDefault="00C517ED" w14:paraId="3267B8AD" w14:textId="2158B60C">
      <w:pPr>
        <w:pStyle w:val="ArtBJStyCont2"/>
        <w:rPr>
          <w:lang w:val="fr-CA"/>
        </w:rPr>
        <w:sectPr w:rsidR="0000160C">
          <w:headerReference w:type="default" r:id="rId14"/>
          <w:headerReference w:type="first" r:id="rId15"/>
          <w:pgSz w:w="12240" w:h="15840" w:code="1"/>
          <w:pgMar w:top="1440" w:right="1440" w:bottom="1440" w:left="1440" w:header="720" w:footer="720" w:gutter="0"/>
          <w:pgNumType w:start="1"/>
          <w:cols w:space="720"/>
          <w:noEndnote/>
          <w:titlePg/>
        </w:sectPr>
      </w:pPr>
      <w:r>
        <w:t xml:space="preserve">Chacune des parties irrévocablement et inconditionnellement </w:t>
      </w:r>
      <w:bookmarkStart w:name="DocXTextRef201" w:id="1027"/>
      <w:r>
        <w:t>(i)</w:t>
      </w:r>
      <w:bookmarkEnd w:id="1027"/>
      <w:r>
        <w:t xml:space="preserve"> </w:t>
      </w:r>
      <w:r w:rsidR="009F28A0">
        <w:t xml:space="preserve">se soumet </w:t>
      </w:r>
      <w:r>
        <w:t xml:space="preserve">à la compétence </w:t>
      </w:r>
      <w:r w:rsidRPr="009F28A0">
        <w:rPr>
          <w:b/>
          <w:bCs/>
          <w:highlight w:val="yellow"/>
        </w:rPr>
        <w:t>[non exclusive]</w:t>
      </w:r>
      <w:r>
        <w:t xml:space="preserve"> des tribunaux de la province </w:t>
      </w:r>
      <w:r>
        <w:rPr>
          <w:b/>
          <w:bCs/>
          <w:highlight w:val="yellow"/>
        </w:rPr>
        <w:t>[</w:t>
      </w:r>
      <w:r w:rsidR="001F2796">
        <w:rPr>
          <w:b/>
          <w:bCs/>
          <w:highlight w:val="yellow"/>
        </w:rPr>
        <w:t>de l’</w:t>
      </w:r>
      <w:r>
        <w:rPr>
          <w:b/>
          <w:bCs/>
          <w:highlight w:val="yellow"/>
        </w:rPr>
        <w:t>Ontario/</w:t>
      </w:r>
      <w:r w:rsidR="001F2796">
        <w:rPr>
          <w:b/>
          <w:bCs/>
          <w:highlight w:val="yellow"/>
        </w:rPr>
        <w:t xml:space="preserve">du </w:t>
      </w:r>
      <w:r>
        <w:rPr>
          <w:b/>
          <w:bCs/>
          <w:highlight w:val="yellow"/>
        </w:rPr>
        <w:t>Québec]</w:t>
      </w:r>
      <w:r>
        <w:t xml:space="preserve"> </w:t>
      </w:r>
      <w:r w:rsidR="009F28A0">
        <w:t>pour</w:t>
      </w:r>
      <w:r>
        <w:t xml:space="preserve"> toute action ou procédure découlant </w:t>
      </w:r>
      <w:r w:rsidR="00E536D5">
        <w:t>de la présente Convention</w:t>
      </w:r>
      <w:r>
        <w:t xml:space="preserve"> ou</w:t>
      </w:r>
      <w:r w:rsidR="009F28A0">
        <w:t xml:space="preserve"> s’y rapportant</w:t>
      </w:r>
      <w:r>
        <w:t xml:space="preserve">, accepte </w:t>
      </w:r>
      <w:r w:rsidR="009F28A0">
        <w:t>d’entamer</w:t>
      </w:r>
      <w:r>
        <w:t xml:space="preserve"> une telle action ou procédure à </w:t>
      </w:r>
      <w:r>
        <w:rPr>
          <w:b/>
          <w:bCs/>
          <w:highlight w:val="yellow"/>
        </w:rPr>
        <w:t>[Toronto, Ontario/Montréal, Québec]</w:t>
      </w:r>
      <w:r>
        <w:t xml:space="preserve">, et de coopérer et </w:t>
      </w:r>
      <w:r w:rsidR="009F28A0">
        <w:t>de faire</w:t>
      </w:r>
      <w:r>
        <w:t xml:space="preserve"> ses efforts raisonnables</w:t>
      </w:r>
      <w:r w:rsidR="009F28A0">
        <w:t xml:space="preserve"> sur le plan commercial</w:t>
      </w:r>
      <w:r>
        <w:t xml:space="preserve"> pour porter l</w:t>
      </w:r>
      <w:r w:rsidR="00E27310">
        <w:t>’</w:t>
      </w:r>
      <w:r>
        <w:t xml:space="preserve">action ou la procédure devant la </w:t>
      </w:r>
      <w:r>
        <w:rPr>
          <w:b/>
          <w:bCs/>
          <w:highlight w:val="yellow"/>
        </w:rPr>
        <w:t>[Cour supérieure de justice de l</w:t>
      </w:r>
      <w:r w:rsidR="00E27310">
        <w:rPr>
          <w:b/>
          <w:bCs/>
          <w:highlight w:val="yellow"/>
        </w:rPr>
        <w:t>’</w:t>
      </w:r>
      <w:r>
        <w:rPr>
          <w:b/>
          <w:bCs/>
          <w:highlight w:val="yellow"/>
        </w:rPr>
        <w:t>Ontario (</w:t>
      </w:r>
      <w:r w:rsidR="009F28A0">
        <w:rPr>
          <w:b/>
          <w:bCs/>
          <w:highlight w:val="yellow"/>
        </w:rPr>
        <w:t>Rôle</w:t>
      </w:r>
      <w:r>
        <w:rPr>
          <w:b/>
          <w:bCs/>
          <w:highlight w:val="yellow"/>
        </w:rPr>
        <w:t xml:space="preserve"> commercial</w:t>
      </w:r>
      <w:r>
        <w:rPr>
          <w:highlight w:val="yellow"/>
        </w:rPr>
        <w:t>)</w:t>
      </w:r>
      <w:r>
        <w:rPr>
          <w:b/>
          <w:bCs/>
          <w:highlight w:val="yellow"/>
        </w:rPr>
        <w:t>/Cour supérieure du Québec (</w:t>
      </w:r>
      <w:r w:rsidR="009F28A0">
        <w:rPr>
          <w:b/>
          <w:bCs/>
          <w:highlight w:val="yellow"/>
        </w:rPr>
        <w:t>Chambre</w:t>
      </w:r>
      <w:r>
        <w:rPr>
          <w:b/>
          <w:bCs/>
          <w:highlight w:val="yellow"/>
        </w:rPr>
        <w:t xml:space="preserve"> commerciale)]</w:t>
      </w:r>
      <w:r>
        <w:t xml:space="preserve">, </w:t>
      </w:r>
      <w:bookmarkStart w:name="DocXTextRef202" w:id="1028"/>
      <w:r>
        <w:t>(ii)</w:t>
      </w:r>
      <w:bookmarkEnd w:id="1028"/>
      <w:r>
        <w:t xml:space="preserve"> renonce à toute objection qu</w:t>
      </w:r>
      <w:r w:rsidR="00E27310">
        <w:t>’</w:t>
      </w:r>
      <w:r>
        <w:t xml:space="preserve">elle pourrait par ailleurs être </w:t>
      </w:r>
      <w:r w:rsidR="009F28A0">
        <w:t>en droit d’opposer</w:t>
      </w:r>
      <w:r>
        <w:t xml:space="preserve"> à la compétence de ces tribunaux</w:t>
      </w:r>
      <w:bookmarkStart w:name="DocXTextRef203" w:id="1029"/>
      <w:r>
        <w:t>, (iii)</w:t>
      </w:r>
      <w:bookmarkEnd w:id="1029"/>
      <w:r>
        <w:t xml:space="preserve"> </w:t>
      </w:r>
      <w:r w:rsidR="009F28A0">
        <w:t>accepte</w:t>
      </w:r>
      <w:r>
        <w:t xml:space="preserve"> de ne pas affirmer que ces tribunaux ne constituent pas un forum </w:t>
      </w:r>
      <w:r w:rsidR="00CE52AE">
        <w:t>approprié</w:t>
      </w:r>
      <w:r>
        <w:t xml:space="preserve"> pour la détermination d</w:t>
      </w:r>
      <w:r w:rsidR="00E27310">
        <w:t>’</w:t>
      </w:r>
      <w:r>
        <w:t>une telle action ou procédure.</w:t>
      </w:r>
    </w:p>
    <w:p w:rsidR="0000160C" w:rsidRDefault="00C517ED" w14:paraId="5024A4E8" w14:textId="78D1CDDC">
      <w:pPr>
        <w:pStyle w:val="BodyText"/>
      </w:pPr>
      <w:r>
        <w:rPr>
          <w:b/>
        </w:rPr>
        <w:lastRenderedPageBreak/>
        <w:t>SIGNÉ</w:t>
      </w:r>
      <w:r>
        <w:t xml:space="preserve"> à la </w:t>
      </w:r>
      <w:r w:rsidR="00CE52AE">
        <w:t xml:space="preserve">première </w:t>
      </w:r>
      <w:r>
        <w:t xml:space="preserve">date </w:t>
      </w:r>
      <w:r w:rsidR="00CE52AE">
        <w:t>inscrite</w:t>
      </w:r>
      <w:r>
        <w:t xml:space="preserve"> ci-dessus.</w:t>
      </w:r>
    </w:p>
    <w:tbl>
      <w:tblPr>
        <w:tblW w:w="0" w:type="auto"/>
        <w:tblLayout w:type="fixed"/>
        <w:tblCellMar>
          <w:left w:w="0" w:type="dxa"/>
          <w:right w:w="0" w:type="dxa"/>
        </w:tblCellMar>
        <w:tblLook w:val="0000" w:firstRow="0" w:lastRow="0" w:firstColumn="0" w:lastColumn="0" w:noHBand="0" w:noVBand="0"/>
      </w:tblPr>
      <w:tblGrid>
        <w:gridCol w:w="720"/>
        <w:gridCol w:w="3600"/>
        <w:gridCol w:w="720"/>
        <w:gridCol w:w="720"/>
        <w:gridCol w:w="3600"/>
      </w:tblGrid>
      <w:tr w:rsidR="0080262E" w:rsidTr="00C856E4" w14:paraId="1E388004" w14:textId="77777777">
        <w:trPr>
          <w:cantSplit/>
        </w:trPr>
        <w:tc>
          <w:tcPr>
            <w:tcW w:w="4320" w:type="dxa"/>
            <w:gridSpan w:val="2"/>
          </w:tcPr>
          <w:p w:rsidR="0000160C" w:rsidRDefault="00CE52AE" w14:paraId="28D72CE1" w14:textId="22A49DB8">
            <w:pPr>
              <w:keepNext/>
              <w:rPr>
                <w:b/>
              </w:rPr>
            </w:pPr>
            <w:r>
              <w:rPr>
                <w:b/>
              </w:rPr>
              <w:t>COMMANDITÉ</w:t>
            </w:r>
          </w:p>
        </w:tc>
        <w:tc>
          <w:tcPr>
            <w:tcW w:w="720" w:type="dxa"/>
          </w:tcPr>
          <w:p w:rsidRPr="006400F9" w:rsidR="00AE45E2" w:rsidP="00C856E4" w:rsidRDefault="00AE45E2" w14:paraId="61E169FC" w14:textId="77777777">
            <w:pPr>
              <w:keepNext/>
              <w:rPr>
                <w:b/>
              </w:rPr>
            </w:pPr>
          </w:p>
        </w:tc>
        <w:tc>
          <w:tcPr>
            <w:tcW w:w="4320" w:type="dxa"/>
            <w:gridSpan w:val="2"/>
          </w:tcPr>
          <w:p w:rsidR="0000160C" w:rsidRDefault="00C517ED" w14:paraId="1FABD5DF" w14:textId="77777777">
            <w:pPr>
              <w:keepNext/>
              <w:rPr>
                <w:b/>
              </w:rPr>
            </w:pPr>
            <w:r>
              <w:rPr>
                <w:b/>
              </w:rPr>
              <w:t>GESTIONNAIRE</w:t>
            </w:r>
            <w:bookmarkStart w:name="_Ref113892915" w:id="1030"/>
            <w:r>
              <w:rPr>
                <w:rStyle w:val="FootnoteReference"/>
                <w:b/>
              </w:rPr>
              <w:footnoteReference w:id="166"/>
            </w:r>
            <w:bookmarkEnd w:id="1030"/>
          </w:p>
        </w:tc>
      </w:tr>
      <w:tr w:rsidR="0080262E" w:rsidTr="00C856E4" w14:paraId="1C459256" w14:textId="77777777">
        <w:trPr>
          <w:cantSplit/>
        </w:trPr>
        <w:tc>
          <w:tcPr>
            <w:tcW w:w="4320" w:type="dxa"/>
            <w:gridSpan w:val="2"/>
          </w:tcPr>
          <w:p w:rsidRPr="006400F9" w:rsidR="00AE45E2" w:rsidP="00C856E4" w:rsidRDefault="00AE45E2" w14:paraId="7893CF2C" w14:textId="77777777">
            <w:pPr>
              <w:keepNext/>
              <w:rPr>
                <w:b/>
              </w:rPr>
            </w:pPr>
          </w:p>
        </w:tc>
        <w:tc>
          <w:tcPr>
            <w:tcW w:w="720" w:type="dxa"/>
          </w:tcPr>
          <w:p w:rsidRPr="006400F9" w:rsidR="00AE45E2" w:rsidP="00C856E4" w:rsidRDefault="00AE45E2" w14:paraId="597FD440" w14:textId="77777777">
            <w:pPr>
              <w:keepNext/>
              <w:rPr>
                <w:b/>
              </w:rPr>
            </w:pPr>
          </w:p>
        </w:tc>
        <w:tc>
          <w:tcPr>
            <w:tcW w:w="4320" w:type="dxa"/>
            <w:gridSpan w:val="2"/>
          </w:tcPr>
          <w:p w:rsidRPr="006400F9" w:rsidR="00AE45E2" w:rsidP="00C856E4" w:rsidRDefault="00AE45E2" w14:paraId="17FE9277" w14:textId="77777777">
            <w:pPr>
              <w:keepNext/>
              <w:rPr>
                <w:b/>
              </w:rPr>
            </w:pPr>
          </w:p>
        </w:tc>
      </w:tr>
      <w:tr w:rsidR="0080262E" w:rsidTr="00C856E4" w14:paraId="3B23B29F" w14:textId="77777777">
        <w:trPr>
          <w:cantSplit/>
        </w:trPr>
        <w:tc>
          <w:tcPr>
            <w:tcW w:w="4320" w:type="dxa"/>
            <w:gridSpan w:val="2"/>
          </w:tcPr>
          <w:p w:rsidR="0000160C" w:rsidRDefault="00C517ED" w14:paraId="340B9C13" w14:textId="77777777">
            <w:pPr>
              <w:keepNext/>
              <w:rPr>
                <w:b/>
              </w:rPr>
            </w:pPr>
            <w:r>
              <w:rPr>
                <w:b/>
                <w:caps/>
                <w:szCs w:val="22"/>
              </w:rPr>
              <w:t>[</w:t>
            </w:r>
            <w:r>
              <w:rPr>
                <w:b/>
                <w:caps/>
                <w:szCs w:val="22"/>
                <w:highlight w:val="yellow"/>
              </w:rPr>
              <w:t>__</w:t>
            </w:r>
            <w:r>
              <w:rPr>
                <w:b/>
                <w:caps/>
                <w:szCs w:val="22"/>
              </w:rPr>
              <w:t>]</w:t>
            </w:r>
          </w:p>
        </w:tc>
        <w:tc>
          <w:tcPr>
            <w:tcW w:w="720" w:type="dxa"/>
          </w:tcPr>
          <w:p w:rsidRPr="006400F9" w:rsidR="00AE45E2" w:rsidP="00C856E4" w:rsidRDefault="00AE45E2" w14:paraId="3C6F4C89" w14:textId="77777777">
            <w:pPr>
              <w:keepNext/>
              <w:rPr>
                <w:b/>
              </w:rPr>
            </w:pPr>
          </w:p>
        </w:tc>
        <w:tc>
          <w:tcPr>
            <w:tcW w:w="4320" w:type="dxa"/>
            <w:gridSpan w:val="2"/>
          </w:tcPr>
          <w:p w:rsidR="0000160C" w:rsidRDefault="00C517ED" w14:paraId="14D7F020" w14:textId="74886824">
            <w:pPr>
              <w:keepNext/>
              <w:rPr>
                <w:b/>
              </w:rPr>
            </w:pPr>
            <w:r>
              <w:rPr>
                <w:b/>
                <w:caps/>
                <w:szCs w:val="22"/>
              </w:rPr>
              <w:t>[</w:t>
            </w:r>
            <w:r>
              <w:rPr>
                <w:b/>
                <w:caps/>
                <w:szCs w:val="22"/>
                <w:highlight w:val="yellow"/>
              </w:rPr>
              <w:t>__</w:t>
            </w:r>
            <w:r>
              <w:rPr>
                <w:b/>
                <w:caps/>
                <w:szCs w:val="22"/>
              </w:rPr>
              <w:t xml:space="preserve">] </w:t>
            </w:r>
            <w:r>
              <w:rPr>
                <w:iCs/>
                <w:caps/>
              </w:rPr>
              <w:t>(</w:t>
            </w:r>
            <w:r>
              <w:t xml:space="preserve">en sa qualité de </w:t>
            </w:r>
            <w:r w:rsidR="00CE52AE">
              <w:t>Gestionnaire</w:t>
            </w:r>
            <w:r>
              <w:t>, mais pas avec l</w:t>
            </w:r>
            <w:r w:rsidR="00E27310">
              <w:t>’</w:t>
            </w:r>
            <w:r>
              <w:t>intention ou l</w:t>
            </w:r>
            <w:r w:rsidR="00E27310">
              <w:t>’</w:t>
            </w:r>
            <w:r>
              <w:t xml:space="preserve">effet de devenir </w:t>
            </w:r>
            <w:r w:rsidR="00CE52AE">
              <w:t>Associé</w:t>
            </w:r>
            <w:r>
              <w:t>)</w:t>
            </w:r>
          </w:p>
        </w:tc>
      </w:tr>
      <w:tr w:rsidR="0080262E" w:rsidTr="00C856E4" w14:paraId="3D57A554" w14:textId="77777777">
        <w:tc>
          <w:tcPr>
            <w:tcW w:w="720" w:type="dxa"/>
          </w:tcPr>
          <w:p w:rsidRPr="006400F9" w:rsidR="00AE45E2" w:rsidP="00C856E4" w:rsidRDefault="00AE45E2" w14:paraId="63886409" w14:textId="77777777">
            <w:pPr>
              <w:keepNext/>
            </w:pPr>
          </w:p>
        </w:tc>
        <w:tc>
          <w:tcPr>
            <w:tcW w:w="3600" w:type="dxa"/>
          </w:tcPr>
          <w:p w:rsidRPr="006400F9" w:rsidR="00AE45E2" w:rsidP="00C856E4" w:rsidRDefault="00AE45E2" w14:paraId="0272AB27" w14:textId="77777777">
            <w:pPr>
              <w:keepNext/>
            </w:pPr>
          </w:p>
        </w:tc>
        <w:tc>
          <w:tcPr>
            <w:tcW w:w="720" w:type="dxa"/>
          </w:tcPr>
          <w:p w:rsidRPr="006400F9" w:rsidR="00AE45E2" w:rsidP="00C856E4" w:rsidRDefault="00AE45E2" w14:paraId="041CB0A4" w14:textId="77777777">
            <w:pPr>
              <w:keepNext/>
            </w:pPr>
          </w:p>
        </w:tc>
        <w:tc>
          <w:tcPr>
            <w:tcW w:w="720" w:type="dxa"/>
          </w:tcPr>
          <w:p w:rsidRPr="006400F9" w:rsidR="00AE45E2" w:rsidP="00C856E4" w:rsidRDefault="00AE45E2" w14:paraId="5BB14345" w14:textId="77777777">
            <w:pPr>
              <w:keepNext/>
            </w:pPr>
          </w:p>
        </w:tc>
        <w:tc>
          <w:tcPr>
            <w:tcW w:w="3600" w:type="dxa"/>
          </w:tcPr>
          <w:p w:rsidRPr="006400F9" w:rsidR="00AE45E2" w:rsidP="00C856E4" w:rsidRDefault="00AE45E2" w14:paraId="3A6E87AC" w14:textId="77777777">
            <w:pPr>
              <w:keepNext/>
            </w:pPr>
          </w:p>
        </w:tc>
      </w:tr>
      <w:tr w:rsidR="0080262E" w:rsidTr="00C856E4" w14:paraId="143926FF" w14:textId="77777777">
        <w:tc>
          <w:tcPr>
            <w:tcW w:w="720" w:type="dxa"/>
          </w:tcPr>
          <w:p w:rsidRPr="006400F9" w:rsidR="00AE45E2" w:rsidP="00C856E4" w:rsidRDefault="00AE45E2" w14:paraId="666E6B2B" w14:textId="77777777">
            <w:pPr>
              <w:keepNext/>
            </w:pPr>
          </w:p>
        </w:tc>
        <w:tc>
          <w:tcPr>
            <w:tcW w:w="3600" w:type="dxa"/>
          </w:tcPr>
          <w:p w:rsidRPr="006400F9" w:rsidR="00AE45E2" w:rsidP="00C856E4" w:rsidRDefault="00AE45E2" w14:paraId="351240CA" w14:textId="77777777">
            <w:pPr>
              <w:keepNext/>
            </w:pPr>
          </w:p>
        </w:tc>
        <w:tc>
          <w:tcPr>
            <w:tcW w:w="720" w:type="dxa"/>
          </w:tcPr>
          <w:p w:rsidRPr="006400F9" w:rsidR="00AE45E2" w:rsidP="00C856E4" w:rsidRDefault="00AE45E2" w14:paraId="184C5C01" w14:textId="77777777">
            <w:pPr>
              <w:keepNext/>
            </w:pPr>
          </w:p>
        </w:tc>
        <w:tc>
          <w:tcPr>
            <w:tcW w:w="720" w:type="dxa"/>
          </w:tcPr>
          <w:p w:rsidRPr="006400F9" w:rsidR="00AE45E2" w:rsidP="00C856E4" w:rsidRDefault="00AE45E2" w14:paraId="447244F1" w14:textId="77777777">
            <w:pPr>
              <w:keepNext/>
            </w:pPr>
          </w:p>
        </w:tc>
        <w:tc>
          <w:tcPr>
            <w:tcW w:w="3600" w:type="dxa"/>
          </w:tcPr>
          <w:p w:rsidRPr="006400F9" w:rsidR="00AE45E2" w:rsidP="00C856E4" w:rsidRDefault="00AE45E2" w14:paraId="6ECB9C54" w14:textId="77777777">
            <w:pPr>
              <w:keepNext/>
            </w:pPr>
          </w:p>
        </w:tc>
      </w:tr>
      <w:tr w:rsidR="0080262E" w:rsidTr="00C856E4" w14:paraId="47E6FFDD" w14:textId="77777777">
        <w:tc>
          <w:tcPr>
            <w:tcW w:w="720" w:type="dxa"/>
          </w:tcPr>
          <w:p w:rsidR="0000160C" w:rsidRDefault="00C517ED" w14:paraId="6F99CE70" w14:textId="77777777">
            <w:pPr>
              <w:keepNext/>
            </w:pPr>
            <w:r>
              <w:t>Par :</w:t>
            </w:r>
          </w:p>
        </w:tc>
        <w:tc>
          <w:tcPr>
            <w:tcW w:w="3600" w:type="dxa"/>
            <w:tcBorders>
              <w:bottom w:val="single" w:color="auto" w:sz="4" w:space="0"/>
            </w:tcBorders>
          </w:tcPr>
          <w:p w:rsidRPr="006400F9" w:rsidR="00AE45E2" w:rsidP="00C856E4" w:rsidRDefault="00AE45E2" w14:paraId="7A919BAA" w14:textId="77777777">
            <w:pPr>
              <w:keepNext/>
            </w:pPr>
          </w:p>
        </w:tc>
        <w:tc>
          <w:tcPr>
            <w:tcW w:w="720" w:type="dxa"/>
          </w:tcPr>
          <w:p w:rsidRPr="006400F9" w:rsidR="00AE45E2" w:rsidP="00C856E4" w:rsidRDefault="00AE45E2" w14:paraId="3F0DC810" w14:textId="77777777">
            <w:pPr>
              <w:keepNext/>
            </w:pPr>
          </w:p>
        </w:tc>
        <w:tc>
          <w:tcPr>
            <w:tcW w:w="720" w:type="dxa"/>
          </w:tcPr>
          <w:p w:rsidR="0000160C" w:rsidRDefault="00C517ED" w14:paraId="0EC0D8AB" w14:textId="77777777">
            <w:pPr>
              <w:keepNext/>
            </w:pPr>
            <w:r>
              <w:t>Par :</w:t>
            </w:r>
          </w:p>
        </w:tc>
        <w:tc>
          <w:tcPr>
            <w:tcW w:w="3600" w:type="dxa"/>
            <w:tcBorders>
              <w:bottom w:val="single" w:color="auto" w:sz="4" w:space="0"/>
            </w:tcBorders>
          </w:tcPr>
          <w:p w:rsidRPr="006400F9" w:rsidR="00AE45E2" w:rsidP="00C856E4" w:rsidRDefault="00AE45E2" w14:paraId="1744DD35" w14:textId="77777777">
            <w:pPr>
              <w:keepNext/>
            </w:pPr>
          </w:p>
        </w:tc>
      </w:tr>
      <w:tr w:rsidR="0080262E" w:rsidTr="00C856E4" w14:paraId="4B4AEF56" w14:textId="77777777">
        <w:tc>
          <w:tcPr>
            <w:tcW w:w="720" w:type="dxa"/>
          </w:tcPr>
          <w:p w:rsidRPr="006400F9" w:rsidR="00AE45E2" w:rsidP="00C856E4" w:rsidRDefault="00AE45E2" w14:paraId="03F29150" w14:textId="77777777">
            <w:pPr>
              <w:keepNext/>
            </w:pPr>
          </w:p>
        </w:tc>
        <w:tc>
          <w:tcPr>
            <w:tcW w:w="3600" w:type="dxa"/>
          </w:tcPr>
          <w:p w:rsidR="0000160C" w:rsidRDefault="00C517ED" w14:paraId="0BBD5D3E" w14:textId="77777777">
            <w:pPr>
              <w:keepNext/>
            </w:pPr>
            <w:r>
              <w:t>[Nom]</w:t>
            </w:r>
          </w:p>
          <w:p w:rsidR="0000160C" w:rsidRDefault="00C517ED" w14:paraId="7AAEC952" w14:textId="77777777">
            <w:pPr>
              <w:keepNext/>
            </w:pPr>
            <w:r>
              <w:t>[Titre]</w:t>
            </w:r>
          </w:p>
          <w:p w:rsidRPr="006400F9" w:rsidR="00AE45E2" w:rsidP="00C856E4" w:rsidRDefault="00AE45E2" w14:paraId="1E6E38AA" w14:textId="77777777">
            <w:pPr>
              <w:keepNext/>
            </w:pPr>
          </w:p>
          <w:p w:rsidRPr="006400F9" w:rsidR="00AE45E2" w:rsidP="00C856E4" w:rsidRDefault="00AE45E2" w14:paraId="05809E90" w14:textId="77777777">
            <w:pPr>
              <w:keepNext/>
            </w:pPr>
          </w:p>
        </w:tc>
        <w:tc>
          <w:tcPr>
            <w:tcW w:w="720" w:type="dxa"/>
          </w:tcPr>
          <w:p w:rsidRPr="006400F9" w:rsidR="00AE45E2" w:rsidP="00C856E4" w:rsidRDefault="00AE45E2" w14:paraId="324FB4C2" w14:textId="77777777">
            <w:pPr>
              <w:keepNext/>
            </w:pPr>
          </w:p>
        </w:tc>
        <w:tc>
          <w:tcPr>
            <w:tcW w:w="720" w:type="dxa"/>
          </w:tcPr>
          <w:p w:rsidRPr="006400F9" w:rsidR="00AE45E2" w:rsidP="00C856E4" w:rsidRDefault="00AE45E2" w14:paraId="36D64407" w14:textId="77777777">
            <w:pPr>
              <w:keepNext/>
            </w:pPr>
          </w:p>
        </w:tc>
        <w:tc>
          <w:tcPr>
            <w:tcW w:w="3600" w:type="dxa"/>
          </w:tcPr>
          <w:p w:rsidR="0000160C" w:rsidRDefault="00C517ED" w14:paraId="54FC9A4E" w14:textId="77777777">
            <w:pPr>
              <w:keepNext/>
            </w:pPr>
            <w:r>
              <w:t>[Nom]</w:t>
            </w:r>
          </w:p>
          <w:p w:rsidR="0000160C" w:rsidRDefault="00C517ED" w14:paraId="79B89366" w14:textId="77777777">
            <w:pPr>
              <w:keepNext/>
            </w:pPr>
            <w:r>
              <w:t>[Titre]</w:t>
            </w:r>
          </w:p>
          <w:p w:rsidRPr="006400F9" w:rsidR="00AE45E2" w:rsidP="00C856E4" w:rsidRDefault="00AE45E2" w14:paraId="38FBB3EE" w14:textId="77777777">
            <w:pPr>
              <w:keepNext/>
            </w:pPr>
          </w:p>
          <w:p w:rsidRPr="006400F9" w:rsidR="00AE45E2" w:rsidP="00C856E4" w:rsidRDefault="00AE45E2" w14:paraId="2B327F50" w14:textId="77777777">
            <w:pPr>
              <w:keepNext/>
            </w:pPr>
          </w:p>
        </w:tc>
      </w:tr>
    </w:tbl>
    <w:p w:rsidRPr="006400F9" w:rsidR="00AE45E2" w:rsidP="00AE45E2" w:rsidRDefault="00AE45E2" w14:paraId="14CC96D4" w14:textId="77777777">
      <w:pPr>
        <w:pStyle w:val="BodyText"/>
      </w:pPr>
    </w:p>
    <w:tbl>
      <w:tblPr>
        <w:tblW w:w="0" w:type="auto"/>
        <w:tblLayout w:type="fixed"/>
        <w:tblCellMar>
          <w:left w:w="0" w:type="dxa"/>
          <w:right w:w="0" w:type="dxa"/>
        </w:tblCellMar>
        <w:tblLook w:val="0000" w:firstRow="0" w:lastRow="0" w:firstColumn="0" w:lastColumn="0" w:noHBand="0" w:noVBand="0"/>
      </w:tblPr>
      <w:tblGrid>
        <w:gridCol w:w="720"/>
        <w:gridCol w:w="3600"/>
        <w:gridCol w:w="720"/>
        <w:gridCol w:w="720"/>
        <w:gridCol w:w="3600"/>
      </w:tblGrid>
      <w:tr w:rsidR="0080262E" w:rsidTr="00C856E4" w14:paraId="42FA1A0D" w14:textId="77777777">
        <w:trPr>
          <w:cantSplit/>
        </w:trPr>
        <w:tc>
          <w:tcPr>
            <w:tcW w:w="4320" w:type="dxa"/>
            <w:gridSpan w:val="2"/>
          </w:tcPr>
          <w:p w:rsidR="0000160C" w:rsidRDefault="00C517ED" w14:paraId="07C2FBAA" w14:textId="784CAD66">
            <w:pPr>
              <w:keepNext/>
              <w:rPr>
                <w:b/>
              </w:rPr>
            </w:pPr>
            <w:r>
              <w:rPr>
                <w:b/>
                <w:highlight w:val="yellow"/>
              </w:rPr>
              <w:t xml:space="preserve">[COMMANDITAIRE] [par le </w:t>
            </w:r>
            <w:r w:rsidR="00CE52AE">
              <w:rPr>
                <w:b/>
                <w:highlight w:val="yellow"/>
              </w:rPr>
              <w:t>C</w:t>
            </w:r>
            <w:r>
              <w:rPr>
                <w:b/>
                <w:highlight w:val="yellow"/>
              </w:rPr>
              <w:t>ommandité]</w:t>
            </w:r>
          </w:p>
        </w:tc>
        <w:tc>
          <w:tcPr>
            <w:tcW w:w="720" w:type="dxa"/>
          </w:tcPr>
          <w:p w:rsidRPr="006400F9" w:rsidR="00AE45E2" w:rsidP="00C856E4" w:rsidRDefault="00AE45E2" w14:paraId="5E3D6885" w14:textId="77777777">
            <w:pPr>
              <w:keepNext/>
              <w:rPr>
                <w:b/>
              </w:rPr>
            </w:pPr>
          </w:p>
        </w:tc>
        <w:tc>
          <w:tcPr>
            <w:tcW w:w="4320" w:type="dxa"/>
            <w:gridSpan w:val="2"/>
          </w:tcPr>
          <w:p w:rsidRPr="006400F9" w:rsidR="00AE45E2" w:rsidP="00C856E4" w:rsidRDefault="00AE45E2" w14:paraId="74DFA642" w14:textId="77777777">
            <w:pPr>
              <w:keepNext/>
              <w:rPr>
                <w:b/>
              </w:rPr>
            </w:pPr>
          </w:p>
        </w:tc>
      </w:tr>
      <w:tr w:rsidR="0080262E" w:rsidTr="00C856E4" w14:paraId="528533A3" w14:textId="77777777">
        <w:trPr>
          <w:cantSplit/>
        </w:trPr>
        <w:tc>
          <w:tcPr>
            <w:tcW w:w="4320" w:type="dxa"/>
            <w:gridSpan w:val="2"/>
          </w:tcPr>
          <w:p w:rsidRPr="006400F9" w:rsidR="00AE45E2" w:rsidP="00C856E4" w:rsidRDefault="00AE45E2" w14:paraId="0FC64A1B" w14:textId="77777777">
            <w:pPr>
              <w:keepNext/>
              <w:rPr>
                <w:b/>
              </w:rPr>
            </w:pPr>
          </w:p>
        </w:tc>
        <w:tc>
          <w:tcPr>
            <w:tcW w:w="720" w:type="dxa"/>
          </w:tcPr>
          <w:p w:rsidRPr="006400F9" w:rsidR="00AE45E2" w:rsidP="00C856E4" w:rsidRDefault="00AE45E2" w14:paraId="45159811" w14:textId="77777777">
            <w:pPr>
              <w:keepNext/>
              <w:rPr>
                <w:b/>
              </w:rPr>
            </w:pPr>
          </w:p>
        </w:tc>
        <w:tc>
          <w:tcPr>
            <w:tcW w:w="4320" w:type="dxa"/>
            <w:gridSpan w:val="2"/>
          </w:tcPr>
          <w:p w:rsidRPr="006400F9" w:rsidR="00AE45E2" w:rsidP="00C856E4" w:rsidRDefault="00AE45E2" w14:paraId="6877AF19" w14:textId="77777777">
            <w:pPr>
              <w:keepNext/>
              <w:rPr>
                <w:b/>
              </w:rPr>
            </w:pPr>
          </w:p>
        </w:tc>
      </w:tr>
      <w:tr w:rsidR="0080262E" w:rsidTr="00C856E4" w14:paraId="51EFC560" w14:textId="77777777">
        <w:trPr>
          <w:cantSplit/>
        </w:trPr>
        <w:tc>
          <w:tcPr>
            <w:tcW w:w="4320" w:type="dxa"/>
            <w:gridSpan w:val="2"/>
          </w:tcPr>
          <w:p w:rsidR="0000160C" w:rsidRDefault="00C517ED" w14:paraId="5B1AE116" w14:textId="77777777">
            <w:pPr>
              <w:keepNext/>
              <w:rPr>
                <w:b/>
              </w:rPr>
            </w:pPr>
            <w:r>
              <w:rPr>
                <w:b/>
                <w:caps/>
                <w:szCs w:val="22"/>
              </w:rPr>
              <w:t>[</w:t>
            </w:r>
            <w:r>
              <w:rPr>
                <w:b/>
                <w:caps/>
                <w:szCs w:val="22"/>
                <w:highlight w:val="yellow"/>
              </w:rPr>
              <w:t>__</w:t>
            </w:r>
            <w:r>
              <w:rPr>
                <w:b/>
                <w:caps/>
                <w:szCs w:val="22"/>
              </w:rPr>
              <w:t>]</w:t>
            </w:r>
          </w:p>
        </w:tc>
        <w:tc>
          <w:tcPr>
            <w:tcW w:w="720" w:type="dxa"/>
          </w:tcPr>
          <w:p w:rsidRPr="006400F9" w:rsidR="00AE45E2" w:rsidP="00C856E4" w:rsidRDefault="00AE45E2" w14:paraId="3139DFE9" w14:textId="77777777">
            <w:pPr>
              <w:keepNext/>
              <w:rPr>
                <w:b/>
              </w:rPr>
            </w:pPr>
          </w:p>
        </w:tc>
        <w:tc>
          <w:tcPr>
            <w:tcW w:w="4320" w:type="dxa"/>
            <w:gridSpan w:val="2"/>
          </w:tcPr>
          <w:p w:rsidRPr="006400F9" w:rsidR="00AE45E2" w:rsidP="00C856E4" w:rsidRDefault="00AE45E2" w14:paraId="144FBC19" w14:textId="77777777">
            <w:pPr>
              <w:keepNext/>
              <w:rPr>
                <w:b/>
              </w:rPr>
            </w:pPr>
          </w:p>
        </w:tc>
      </w:tr>
      <w:tr w:rsidR="0080262E" w:rsidTr="00C856E4" w14:paraId="2BBC2244" w14:textId="77777777">
        <w:tc>
          <w:tcPr>
            <w:tcW w:w="720" w:type="dxa"/>
          </w:tcPr>
          <w:p w:rsidRPr="006400F9" w:rsidR="00AE45E2" w:rsidP="00C856E4" w:rsidRDefault="00AE45E2" w14:paraId="7673D9D9" w14:textId="77777777">
            <w:pPr>
              <w:keepNext/>
            </w:pPr>
          </w:p>
        </w:tc>
        <w:tc>
          <w:tcPr>
            <w:tcW w:w="3600" w:type="dxa"/>
          </w:tcPr>
          <w:p w:rsidRPr="006400F9" w:rsidR="00AE45E2" w:rsidP="00C856E4" w:rsidRDefault="00AE45E2" w14:paraId="55796233" w14:textId="77777777">
            <w:pPr>
              <w:keepNext/>
            </w:pPr>
          </w:p>
        </w:tc>
        <w:tc>
          <w:tcPr>
            <w:tcW w:w="720" w:type="dxa"/>
          </w:tcPr>
          <w:p w:rsidRPr="006400F9" w:rsidR="00AE45E2" w:rsidP="00C856E4" w:rsidRDefault="00AE45E2" w14:paraId="2CB92ED9" w14:textId="77777777">
            <w:pPr>
              <w:keepNext/>
            </w:pPr>
          </w:p>
        </w:tc>
        <w:tc>
          <w:tcPr>
            <w:tcW w:w="720" w:type="dxa"/>
          </w:tcPr>
          <w:p w:rsidRPr="006400F9" w:rsidR="00AE45E2" w:rsidP="00C856E4" w:rsidRDefault="00AE45E2" w14:paraId="5746F905" w14:textId="77777777">
            <w:pPr>
              <w:keepNext/>
            </w:pPr>
          </w:p>
        </w:tc>
        <w:tc>
          <w:tcPr>
            <w:tcW w:w="3600" w:type="dxa"/>
          </w:tcPr>
          <w:p w:rsidRPr="006400F9" w:rsidR="00AE45E2" w:rsidP="00C856E4" w:rsidRDefault="00AE45E2" w14:paraId="58CC2BE0" w14:textId="77777777">
            <w:pPr>
              <w:keepNext/>
            </w:pPr>
          </w:p>
        </w:tc>
      </w:tr>
      <w:tr w:rsidR="0080262E" w:rsidTr="00C856E4" w14:paraId="25F3B37F" w14:textId="77777777">
        <w:tc>
          <w:tcPr>
            <w:tcW w:w="720" w:type="dxa"/>
          </w:tcPr>
          <w:p w:rsidRPr="006400F9" w:rsidR="00AE45E2" w:rsidP="00C856E4" w:rsidRDefault="00AE45E2" w14:paraId="6B7B6823" w14:textId="77777777">
            <w:pPr>
              <w:keepNext/>
            </w:pPr>
          </w:p>
        </w:tc>
        <w:tc>
          <w:tcPr>
            <w:tcW w:w="3600" w:type="dxa"/>
          </w:tcPr>
          <w:p w:rsidRPr="006400F9" w:rsidR="00AE45E2" w:rsidP="00C856E4" w:rsidRDefault="00AE45E2" w14:paraId="7856F3F5" w14:textId="77777777">
            <w:pPr>
              <w:keepNext/>
            </w:pPr>
          </w:p>
        </w:tc>
        <w:tc>
          <w:tcPr>
            <w:tcW w:w="720" w:type="dxa"/>
          </w:tcPr>
          <w:p w:rsidRPr="006400F9" w:rsidR="00AE45E2" w:rsidP="00C856E4" w:rsidRDefault="00AE45E2" w14:paraId="3AD9F7EA" w14:textId="77777777">
            <w:pPr>
              <w:keepNext/>
            </w:pPr>
          </w:p>
        </w:tc>
        <w:tc>
          <w:tcPr>
            <w:tcW w:w="720" w:type="dxa"/>
          </w:tcPr>
          <w:p w:rsidRPr="006400F9" w:rsidR="00AE45E2" w:rsidP="00C856E4" w:rsidRDefault="00AE45E2" w14:paraId="570893DD" w14:textId="77777777">
            <w:pPr>
              <w:keepNext/>
            </w:pPr>
          </w:p>
        </w:tc>
        <w:tc>
          <w:tcPr>
            <w:tcW w:w="3600" w:type="dxa"/>
          </w:tcPr>
          <w:p w:rsidRPr="006400F9" w:rsidR="00AE45E2" w:rsidP="00C856E4" w:rsidRDefault="00AE45E2" w14:paraId="7F1D668A" w14:textId="77777777">
            <w:pPr>
              <w:keepNext/>
            </w:pPr>
          </w:p>
        </w:tc>
      </w:tr>
      <w:tr w:rsidR="0080262E" w:rsidTr="00C856E4" w14:paraId="45706737" w14:textId="77777777">
        <w:tc>
          <w:tcPr>
            <w:tcW w:w="720" w:type="dxa"/>
          </w:tcPr>
          <w:p w:rsidR="0000160C" w:rsidRDefault="00C517ED" w14:paraId="1139D041" w14:textId="77777777">
            <w:pPr>
              <w:keepNext/>
            </w:pPr>
            <w:r>
              <w:t>Par :</w:t>
            </w:r>
          </w:p>
        </w:tc>
        <w:tc>
          <w:tcPr>
            <w:tcW w:w="3600" w:type="dxa"/>
            <w:tcBorders>
              <w:bottom w:val="single" w:color="auto" w:sz="4" w:space="0"/>
            </w:tcBorders>
          </w:tcPr>
          <w:p w:rsidRPr="006400F9" w:rsidR="00AE45E2" w:rsidP="00C856E4" w:rsidRDefault="00AE45E2" w14:paraId="71F6FB2B" w14:textId="77777777">
            <w:pPr>
              <w:keepNext/>
            </w:pPr>
          </w:p>
        </w:tc>
        <w:tc>
          <w:tcPr>
            <w:tcW w:w="720" w:type="dxa"/>
          </w:tcPr>
          <w:p w:rsidRPr="006400F9" w:rsidR="00AE45E2" w:rsidP="00C856E4" w:rsidRDefault="00AE45E2" w14:paraId="2B0E8B3F" w14:textId="77777777">
            <w:pPr>
              <w:keepNext/>
            </w:pPr>
          </w:p>
        </w:tc>
        <w:tc>
          <w:tcPr>
            <w:tcW w:w="720" w:type="dxa"/>
          </w:tcPr>
          <w:p w:rsidRPr="006400F9" w:rsidR="00AE45E2" w:rsidP="00C856E4" w:rsidRDefault="00AE45E2" w14:paraId="6800B5A5" w14:textId="77777777">
            <w:pPr>
              <w:keepNext/>
            </w:pPr>
          </w:p>
        </w:tc>
        <w:tc>
          <w:tcPr>
            <w:tcW w:w="3600" w:type="dxa"/>
            <w:tcBorders>
              <w:bottom w:val="single" w:color="auto" w:sz="4" w:space="0"/>
            </w:tcBorders>
          </w:tcPr>
          <w:p w:rsidRPr="006400F9" w:rsidR="00AE45E2" w:rsidP="00C856E4" w:rsidRDefault="00AE45E2" w14:paraId="7E4558E6" w14:textId="77777777">
            <w:pPr>
              <w:keepNext/>
            </w:pPr>
          </w:p>
        </w:tc>
      </w:tr>
      <w:tr w:rsidR="0080262E" w:rsidTr="00C856E4" w14:paraId="430C4572" w14:textId="77777777">
        <w:tc>
          <w:tcPr>
            <w:tcW w:w="720" w:type="dxa"/>
          </w:tcPr>
          <w:p w:rsidRPr="006400F9" w:rsidR="00AE45E2" w:rsidP="00C856E4" w:rsidRDefault="00AE45E2" w14:paraId="043485F8" w14:textId="77777777">
            <w:pPr>
              <w:keepNext/>
            </w:pPr>
          </w:p>
        </w:tc>
        <w:tc>
          <w:tcPr>
            <w:tcW w:w="3600" w:type="dxa"/>
          </w:tcPr>
          <w:p w:rsidR="0000160C" w:rsidRDefault="00C517ED" w14:paraId="6E043E87" w14:textId="77777777">
            <w:pPr>
              <w:keepNext/>
            </w:pPr>
            <w:r>
              <w:t>[Nom]</w:t>
            </w:r>
          </w:p>
          <w:p w:rsidR="0000160C" w:rsidRDefault="00C517ED" w14:paraId="33DFAD2A" w14:textId="77777777">
            <w:pPr>
              <w:keepNext/>
            </w:pPr>
            <w:r>
              <w:t>[Titre]</w:t>
            </w:r>
          </w:p>
        </w:tc>
        <w:tc>
          <w:tcPr>
            <w:tcW w:w="720" w:type="dxa"/>
          </w:tcPr>
          <w:p w:rsidRPr="006400F9" w:rsidR="00AE45E2" w:rsidP="00C856E4" w:rsidRDefault="00AE45E2" w14:paraId="2703024B" w14:textId="77777777">
            <w:pPr>
              <w:keepNext/>
            </w:pPr>
          </w:p>
        </w:tc>
        <w:tc>
          <w:tcPr>
            <w:tcW w:w="720" w:type="dxa"/>
          </w:tcPr>
          <w:p w:rsidRPr="006400F9" w:rsidR="00AE45E2" w:rsidP="00C856E4" w:rsidRDefault="00AE45E2" w14:paraId="397BCF83" w14:textId="77777777">
            <w:pPr>
              <w:keepNext/>
            </w:pPr>
          </w:p>
        </w:tc>
        <w:tc>
          <w:tcPr>
            <w:tcW w:w="3600" w:type="dxa"/>
          </w:tcPr>
          <w:p w:rsidRPr="006400F9" w:rsidR="00AE45E2" w:rsidP="00C856E4" w:rsidRDefault="00AE45E2" w14:paraId="5DD4AD61" w14:textId="77777777">
            <w:pPr>
              <w:keepNext/>
            </w:pPr>
          </w:p>
        </w:tc>
      </w:tr>
    </w:tbl>
    <w:p w:rsidRPr="006400F9" w:rsidR="00AE45E2" w:rsidP="00AE45E2" w:rsidRDefault="00AE45E2" w14:paraId="48D0ECC6" w14:textId="77777777">
      <w:pPr>
        <w:pStyle w:val="BodyText"/>
      </w:pPr>
    </w:p>
    <w:p w:rsidR="00AE45E2" w:rsidP="00AE45E2" w:rsidRDefault="00AE45E2" w14:paraId="121830EA" w14:textId="77777777">
      <w:pPr>
        <w:pStyle w:val="BodyText"/>
      </w:pPr>
    </w:p>
    <w:p w:rsidRPr="006400F9" w:rsidR="00D134EB" w:rsidP="00AE45E2" w:rsidRDefault="00D134EB" w14:paraId="45193156" w14:textId="77777777">
      <w:pPr>
        <w:pStyle w:val="BodyText"/>
        <w:sectPr w:rsidRPr="006400F9" w:rsidR="00D134EB">
          <w:headerReference w:type="first" r:id="rId16"/>
          <w:pgSz w:w="12240" w:h="15840" w:code="1"/>
          <w:pgMar w:top="1440" w:right="1440" w:bottom="1440" w:left="1440" w:header="720" w:footer="720" w:gutter="0"/>
          <w:pgNumType w:start="1"/>
          <w:cols w:space="720"/>
          <w:noEndnote/>
          <w:titlePg/>
        </w:sectPr>
      </w:pPr>
    </w:p>
    <w:p w:rsidR="0000160C" w:rsidRDefault="00C517ED" w14:paraId="72869026" w14:textId="77777777">
      <w:pPr>
        <w:pStyle w:val="Heading9"/>
      </w:pPr>
      <w:bookmarkStart w:name="_Ref40807563" w:id="1031"/>
      <w:bookmarkStart w:name="_Toc161762451" w:id="1032"/>
      <w:r>
        <w:lastRenderedPageBreak/>
        <w:t>Annexe 1</w:t>
      </w:r>
      <w:bookmarkStart w:name="DocXTextRef206" w:id="1033"/>
      <w:bookmarkEnd w:id="1031"/>
      <w:bookmarkEnd w:id="1032"/>
      <w:bookmarkEnd w:id="1033"/>
    </w:p>
    <w:p w:rsidR="0000160C" w:rsidRDefault="00C517ED" w14:paraId="2F54EED4" w14:textId="53D18C9E">
      <w:pPr>
        <w:pStyle w:val="BodyText"/>
        <w:jc w:val="center"/>
        <w:rPr>
          <w:rFonts w:ascii="Times New Roman Bold" w:hAnsi="Times New Roman Bold"/>
          <w:caps/>
        </w:rPr>
      </w:pPr>
      <w:bookmarkStart w:name="PartnerComm" w:id="1034"/>
      <w:r>
        <w:rPr>
          <w:rFonts w:ascii="Times New Roman Bold" w:hAnsi="Times New Roman Bold"/>
          <w:b/>
          <w:caps/>
        </w:rPr>
        <w:t xml:space="preserve">Engagements des </w:t>
      </w:r>
      <w:bookmarkEnd w:id="1034"/>
      <w:r w:rsidR="002006E1">
        <w:rPr>
          <w:rFonts w:ascii="Times New Roman Bold" w:hAnsi="Times New Roman Bold"/>
          <w:b/>
          <w:caps/>
        </w:rPr>
        <w:t>ASSOCIÉS</w:t>
      </w:r>
    </w:p>
    <w:tbl>
      <w:tblPr>
        <w:tblStyle w:val="TableGrid"/>
        <w:tblW w:w="0" w:type="auto"/>
        <w:tblInd w:w="-7" w:type="dxa"/>
        <w:tblLayout w:type="fixed"/>
        <w:tblCellMar>
          <w:left w:w="115" w:type="dxa"/>
          <w:right w:w="115" w:type="dxa"/>
        </w:tblCellMar>
        <w:tblLook w:val="04A0" w:firstRow="1" w:lastRow="0" w:firstColumn="1" w:lastColumn="0" w:noHBand="0" w:noVBand="1"/>
      </w:tblPr>
      <w:tblGrid>
        <w:gridCol w:w="3116"/>
        <w:gridCol w:w="3117"/>
        <w:gridCol w:w="3117"/>
      </w:tblGrid>
      <w:tr w:rsidR="0080262E" w:rsidTr="00C856E4" w14:paraId="4C3EB212" w14:textId="77777777">
        <w:trPr>
          <w:tblHeader/>
        </w:trPr>
        <w:tc>
          <w:tcPr>
            <w:tcW w:w="3116" w:type="dxa"/>
            <w:shd w:val="clear" w:color="auto" w:fill="BFBFBF" w:themeFill="background1" w:themeFillShade="BF"/>
          </w:tcPr>
          <w:p w:rsidR="0000160C" w:rsidRDefault="00CE52AE" w14:paraId="685AF994" w14:textId="23794225">
            <w:pPr>
              <w:pStyle w:val="BodyText"/>
              <w:spacing w:after="0"/>
              <w:jc w:val="left"/>
              <w:rPr>
                <w:b/>
              </w:rPr>
            </w:pPr>
            <w:r>
              <w:rPr>
                <w:b/>
              </w:rPr>
              <w:t>Commanditaires</w:t>
            </w:r>
          </w:p>
        </w:tc>
        <w:tc>
          <w:tcPr>
            <w:tcW w:w="3117" w:type="dxa"/>
            <w:shd w:val="clear" w:color="auto" w:fill="BFBFBF" w:themeFill="background1" w:themeFillShade="BF"/>
          </w:tcPr>
          <w:p w:rsidR="0000160C" w:rsidRDefault="00C517ED" w14:paraId="0525964F" w14:textId="77777777">
            <w:pPr>
              <w:pStyle w:val="BodyText"/>
              <w:spacing w:after="0"/>
              <w:jc w:val="left"/>
              <w:rPr>
                <w:b/>
              </w:rPr>
            </w:pPr>
            <w:r>
              <w:rPr>
                <w:b/>
              </w:rPr>
              <w:t>Engagements</w:t>
            </w:r>
          </w:p>
        </w:tc>
        <w:tc>
          <w:tcPr>
            <w:tcW w:w="3117" w:type="dxa"/>
            <w:shd w:val="clear" w:color="auto" w:fill="BFBFBF" w:themeFill="background1" w:themeFillShade="BF"/>
          </w:tcPr>
          <w:p w:rsidR="0000160C" w:rsidRDefault="00C517ED" w14:paraId="0E040BA0" w14:textId="6ACC550B">
            <w:pPr>
              <w:pStyle w:val="BodyText"/>
              <w:spacing w:after="0"/>
              <w:jc w:val="left"/>
              <w:rPr>
                <w:b/>
              </w:rPr>
            </w:pPr>
            <w:r>
              <w:rPr>
                <w:b/>
              </w:rPr>
              <w:t xml:space="preserve">Adresse, Attention, </w:t>
            </w:r>
            <w:r w:rsidR="00CE52AE">
              <w:rPr>
                <w:b/>
              </w:rPr>
              <w:t>Courriel</w:t>
            </w:r>
          </w:p>
        </w:tc>
      </w:tr>
      <w:tr w:rsidR="0080262E" w:rsidTr="00C856E4" w14:paraId="4B0E985C" w14:textId="77777777">
        <w:tc>
          <w:tcPr>
            <w:tcW w:w="3116" w:type="dxa"/>
          </w:tcPr>
          <w:p w:rsidR="0000160C" w:rsidRDefault="00C517ED" w14:paraId="1C42382E" w14:textId="77777777">
            <w:pPr>
              <w:pStyle w:val="BodyText"/>
              <w:spacing w:after="0"/>
              <w:jc w:val="left"/>
              <w:rPr>
                <w:b/>
              </w:rPr>
            </w:pPr>
            <w:r>
              <w:rPr>
                <w:b/>
                <w:highlight w:val="yellow"/>
              </w:rPr>
              <w:t>[__]</w:t>
            </w:r>
          </w:p>
        </w:tc>
        <w:tc>
          <w:tcPr>
            <w:tcW w:w="3117" w:type="dxa"/>
          </w:tcPr>
          <w:p w:rsidR="0000160C" w:rsidRDefault="00C517ED" w14:paraId="3371F5CF" w14:textId="77777777">
            <w:pPr>
              <w:pStyle w:val="BodyText"/>
              <w:spacing w:after="0"/>
              <w:jc w:val="left"/>
              <w:rPr>
                <w:b/>
              </w:rPr>
            </w:pPr>
            <w:r>
              <w:rPr>
                <w:b/>
                <w:highlight w:val="yellow"/>
              </w:rPr>
              <w:t>[__]</w:t>
            </w:r>
          </w:p>
        </w:tc>
        <w:tc>
          <w:tcPr>
            <w:tcW w:w="3117" w:type="dxa"/>
          </w:tcPr>
          <w:p w:rsidR="0000160C" w:rsidRDefault="00C517ED" w14:paraId="35EFC969" w14:textId="77777777">
            <w:pPr>
              <w:pStyle w:val="BodyText"/>
              <w:spacing w:after="0"/>
              <w:jc w:val="left"/>
              <w:rPr>
                <w:b/>
              </w:rPr>
            </w:pPr>
            <w:r>
              <w:rPr>
                <w:b/>
                <w:highlight w:val="yellow"/>
              </w:rPr>
              <w:t>[__]</w:t>
            </w:r>
          </w:p>
        </w:tc>
      </w:tr>
      <w:tr w:rsidR="0080262E" w:rsidTr="00C856E4" w14:paraId="5D1EC884" w14:textId="77777777">
        <w:tc>
          <w:tcPr>
            <w:tcW w:w="3116" w:type="dxa"/>
          </w:tcPr>
          <w:p w:rsidR="0000160C" w:rsidRDefault="00C517ED" w14:paraId="09F7EBC0" w14:textId="77777777">
            <w:pPr>
              <w:pStyle w:val="BodyText"/>
              <w:spacing w:after="0"/>
              <w:jc w:val="left"/>
              <w:rPr>
                <w:b/>
              </w:rPr>
            </w:pPr>
            <w:r>
              <w:rPr>
                <w:b/>
                <w:highlight w:val="yellow"/>
              </w:rPr>
              <w:t>[__]</w:t>
            </w:r>
          </w:p>
        </w:tc>
        <w:tc>
          <w:tcPr>
            <w:tcW w:w="3117" w:type="dxa"/>
          </w:tcPr>
          <w:p w:rsidR="0000160C" w:rsidRDefault="00C517ED" w14:paraId="071BCE90" w14:textId="77777777">
            <w:pPr>
              <w:pStyle w:val="BodyText"/>
              <w:spacing w:after="0"/>
              <w:jc w:val="left"/>
              <w:rPr>
                <w:b/>
              </w:rPr>
            </w:pPr>
            <w:r>
              <w:rPr>
                <w:b/>
                <w:highlight w:val="yellow"/>
              </w:rPr>
              <w:t>[__]</w:t>
            </w:r>
          </w:p>
        </w:tc>
        <w:tc>
          <w:tcPr>
            <w:tcW w:w="3117" w:type="dxa"/>
          </w:tcPr>
          <w:p w:rsidR="0000160C" w:rsidRDefault="00C517ED" w14:paraId="50D02B6D" w14:textId="77777777">
            <w:pPr>
              <w:pStyle w:val="BodyText"/>
              <w:spacing w:after="0"/>
              <w:jc w:val="left"/>
              <w:rPr>
                <w:b/>
              </w:rPr>
            </w:pPr>
            <w:r>
              <w:rPr>
                <w:b/>
                <w:highlight w:val="yellow"/>
              </w:rPr>
              <w:t>[__]</w:t>
            </w:r>
          </w:p>
        </w:tc>
      </w:tr>
      <w:tr w:rsidR="0080262E" w:rsidTr="00C856E4" w14:paraId="05E77D74" w14:textId="77777777">
        <w:tc>
          <w:tcPr>
            <w:tcW w:w="3116" w:type="dxa"/>
          </w:tcPr>
          <w:p w:rsidR="0000160C" w:rsidRDefault="00C517ED" w14:paraId="00FF5A95" w14:textId="77777777">
            <w:pPr>
              <w:pStyle w:val="BodyText"/>
              <w:spacing w:after="0"/>
              <w:jc w:val="left"/>
              <w:rPr>
                <w:b/>
              </w:rPr>
            </w:pPr>
            <w:r>
              <w:rPr>
                <w:b/>
                <w:highlight w:val="yellow"/>
              </w:rPr>
              <w:t>[__]</w:t>
            </w:r>
          </w:p>
        </w:tc>
        <w:tc>
          <w:tcPr>
            <w:tcW w:w="3117" w:type="dxa"/>
          </w:tcPr>
          <w:p w:rsidR="0000160C" w:rsidRDefault="00C517ED" w14:paraId="5F42A573" w14:textId="77777777">
            <w:pPr>
              <w:pStyle w:val="BodyText"/>
              <w:spacing w:after="0"/>
              <w:jc w:val="left"/>
              <w:rPr>
                <w:b/>
              </w:rPr>
            </w:pPr>
            <w:r>
              <w:rPr>
                <w:b/>
                <w:highlight w:val="yellow"/>
              </w:rPr>
              <w:t>[__]</w:t>
            </w:r>
          </w:p>
        </w:tc>
        <w:tc>
          <w:tcPr>
            <w:tcW w:w="3117" w:type="dxa"/>
          </w:tcPr>
          <w:p w:rsidR="0000160C" w:rsidRDefault="00C517ED" w14:paraId="1AD203C6" w14:textId="77777777">
            <w:pPr>
              <w:pStyle w:val="BodyText"/>
              <w:spacing w:after="0"/>
              <w:jc w:val="left"/>
              <w:rPr>
                <w:b/>
              </w:rPr>
            </w:pPr>
            <w:r>
              <w:rPr>
                <w:b/>
                <w:highlight w:val="yellow"/>
              </w:rPr>
              <w:t>[__]</w:t>
            </w:r>
          </w:p>
        </w:tc>
      </w:tr>
      <w:tr w:rsidR="0080262E" w:rsidTr="00C856E4" w14:paraId="42FEE64A" w14:textId="77777777">
        <w:tc>
          <w:tcPr>
            <w:tcW w:w="3116" w:type="dxa"/>
          </w:tcPr>
          <w:p w:rsidR="0000160C" w:rsidRDefault="00C517ED" w14:paraId="1CC4794D" w14:textId="77777777">
            <w:pPr>
              <w:pStyle w:val="BodyText"/>
              <w:spacing w:after="0"/>
              <w:jc w:val="left"/>
              <w:rPr>
                <w:b/>
              </w:rPr>
            </w:pPr>
            <w:r>
              <w:rPr>
                <w:b/>
                <w:highlight w:val="yellow"/>
              </w:rPr>
              <w:t>[__]</w:t>
            </w:r>
          </w:p>
        </w:tc>
        <w:tc>
          <w:tcPr>
            <w:tcW w:w="3117" w:type="dxa"/>
          </w:tcPr>
          <w:p w:rsidR="0000160C" w:rsidRDefault="00C517ED" w14:paraId="386E2E41" w14:textId="77777777">
            <w:pPr>
              <w:pStyle w:val="BodyText"/>
              <w:spacing w:after="0"/>
              <w:jc w:val="left"/>
              <w:rPr>
                <w:b/>
              </w:rPr>
            </w:pPr>
            <w:r>
              <w:rPr>
                <w:b/>
                <w:highlight w:val="yellow"/>
              </w:rPr>
              <w:t>[__]</w:t>
            </w:r>
          </w:p>
        </w:tc>
        <w:tc>
          <w:tcPr>
            <w:tcW w:w="3117" w:type="dxa"/>
          </w:tcPr>
          <w:p w:rsidR="0000160C" w:rsidRDefault="00C517ED" w14:paraId="75F13EB0" w14:textId="77777777">
            <w:pPr>
              <w:pStyle w:val="BodyText"/>
              <w:spacing w:after="0"/>
              <w:jc w:val="left"/>
              <w:rPr>
                <w:b/>
              </w:rPr>
            </w:pPr>
            <w:r>
              <w:rPr>
                <w:b/>
                <w:highlight w:val="yellow"/>
              </w:rPr>
              <w:t>[__]</w:t>
            </w:r>
          </w:p>
        </w:tc>
      </w:tr>
      <w:tr w:rsidR="0080262E" w:rsidTr="00C856E4" w14:paraId="2814AD08" w14:textId="77777777">
        <w:tc>
          <w:tcPr>
            <w:tcW w:w="3116" w:type="dxa"/>
          </w:tcPr>
          <w:p w:rsidR="0000160C" w:rsidRDefault="00C517ED" w14:paraId="47D58491" w14:textId="77777777">
            <w:pPr>
              <w:pStyle w:val="BodyText"/>
              <w:spacing w:after="0"/>
              <w:jc w:val="left"/>
              <w:rPr>
                <w:b/>
              </w:rPr>
            </w:pPr>
            <w:r>
              <w:rPr>
                <w:b/>
                <w:highlight w:val="yellow"/>
              </w:rPr>
              <w:t>[__]</w:t>
            </w:r>
          </w:p>
        </w:tc>
        <w:tc>
          <w:tcPr>
            <w:tcW w:w="3117" w:type="dxa"/>
          </w:tcPr>
          <w:p w:rsidR="0000160C" w:rsidRDefault="00C517ED" w14:paraId="654B86CA" w14:textId="77777777">
            <w:pPr>
              <w:pStyle w:val="BodyText"/>
              <w:spacing w:after="0"/>
              <w:jc w:val="left"/>
              <w:rPr>
                <w:b/>
              </w:rPr>
            </w:pPr>
            <w:r>
              <w:rPr>
                <w:b/>
                <w:highlight w:val="yellow"/>
              </w:rPr>
              <w:t>[__]</w:t>
            </w:r>
          </w:p>
        </w:tc>
        <w:tc>
          <w:tcPr>
            <w:tcW w:w="3117" w:type="dxa"/>
          </w:tcPr>
          <w:p w:rsidR="0000160C" w:rsidRDefault="00C517ED" w14:paraId="1D7EE49A" w14:textId="77777777">
            <w:pPr>
              <w:pStyle w:val="BodyText"/>
              <w:spacing w:after="0"/>
              <w:jc w:val="left"/>
              <w:rPr>
                <w:b/>
              </w:rPr>
            </w:pPr>
            <w:r>
              <w:rPr>
                <w:b/>
                <w:highlight w:val="yellow"/>
              </w:rPr>
              <w:t>[__]</w:t>
            </w:r>
          </w:p>
        </w:tc>
      </w:tr>
      <w:tr w:rsidR="0080262E" w:rsidTr="00C856E4" w14:paraId="7CD55995" w14:textId="77777777">
        <w:tc>
          <w:tcPr>
            <w:tcW w:w="3116" w:type="dxa"/>
          </w:tcPr>
          <w:p w:rsidR="0000160C" w:rsidRDefault="00C517ED" w14:paraId="3C3ED184" w14:textId="77777777">
            <w:pPr>
              <w:pStyle w:val="BodyText"/>
              <w:spacing w:after="0"/>
              <w:jc w:val="left"/>
              <w:rPr>
                <w:b/>
              </w:rPr>
            </w:pPr>
            <w:r>
              <w:rPr>
                <w:b/>
                <w:highlight w:val="yellow"/>
              </w:rPr>
              <w:t>[__]</w:t>
            </w:r>
          </w:p>
        </w:tc>
        <w:tc>
          <w:tcPr>
            <w:tcW w:w="3117" w:type="dxa"/>
          </w:tcPr>
          <w:p w:rsidR="0000160C" w:rsidRDefault="00C517ED" w14:paraId="50F884FA" w14:textId="77777777">
            <w:pPr>
              <w:pStyle w:val="BodyText"/>
              <w:spacing w:after="0"/>
              <w:jc w:val="left"/>
              <w:rPr>
                <w:b/>
              </w:rPr>
            </w:pPr>
            <w:r>
              <w:rPr>
                <w:b/>
                <w:highlight w:val="yellow"/>
              </w:rPr>
              <w:t>[__]</w:t>
            </w:r>
          </w:p>
        </w:tc>
        <w:tc>
          <w:tcPr>
            <w:tcW w:w="3117" w:type="dxa"/>
          </w:tcPr>
          <w:p w:rsidR="0000160C" w:rsidRDefault="00C517ED" w14:paraId="6912445C" w14:textId="77777777">
            <w:pPr>
              <w:pStyle w:val="BodyText"/>
              <w:spacing w:after="0"/>
              <w:jc w:val="left"/>
              <w:rPr>
                <w:b/>
              </w:rPr>
            </w:pPr>
            <w:r>
              <w:rPr>
                <w:b/>
                <w:highlight w:val="yellow"/>
              </w:rPr>
              <w:t>[__]</w:t>
            </w:r>
          </w:p>
        </w:tc>
      </w:tr>
      <w:tr w:rsidR="0080262E" w:rsidTr="00C856E4" w14:paraId="6E3CFFB9" w14:textId="77777777">
        <w:tc>
          <w:tcPr>
            <w:tcW w:w="3116" w:type="dxa"/>
          </w:tcPr>
          <w:p w:rsidR="0000160C" w:rsidRDefault="00C517ED" w14:paraId="1FDA9301" w14:textId="77777777">
            <w:pPr>
              <w:pStyle w:val="BodyText"/>
              <w:spacing w:after="0"/>
              <w:jc w:val="left"/>
              <w:rPr>
                <w:b/>
              </w:rPr>
            </w:pPr>
            <w:r>
              <w:rPr>
                <w:b/>
                <w:highlight w:val="yellow"/>
              </w:rPr>
              <w:t>[__]</w:t>
            </w:r>
          </w:p>
        </w:tc>
        <w:tc>
          <w:tcPr>
            <w:tcW w:w="3117" w:type="dxa"/>
          </w:tcPr>
          <w:p w:rsidR="0000160C" w:rsidRDefault="00C517ED" w14:paraId="1F465A2B" w14:textId="77777777">
            <w:pPr>
              <w:pStyle w:val="BodyText"/>
              <w:spacing w:after="0"/>
              <w:jc w:val="left"/>
              <w:rPr>
                <w:b/>
              </w:rPr>
            </w:pPr>
            <w:r>
              <w:rPr>
                <w:b/>
                <w:highlight w:val="yellow"/>
              </w:rPr>
              <w:t>[__]</w:t>
            </w:r>
          </w:p>
        </w:tc>
        <w:tc>
          <w:tcPr>
            <w:tcW w:w="3117" w:type="dxa"/>
          </w:tcPr>
          <w:p w:rsidR="0000160C" w:rsidRDefault="00C517ED" w14:paraId="68FDDE10" w14:textId="77777777">
            <w:pPr>
              <w:pStyle w:val="BodyText"/>
              <w:spacing w:after="0"/>
              <w:jc w:val="left"/>
              <w:rPr>
                <w:b/>
              </w:rPr>
            </w:pPr>
            <w:r>
              <w:rPr>
                <w:b/>
                <w:highlight w:val="yellow"/>
              </w:rPr>
              <w:t>[__]</w:t>
            </w:r>
          </w:p>
        </w:tc>
      </w:tr>
      <w:tr w:rsidR="0080262E" w:rsidTr="00C856E4" w14:paraId="3003953B" w14:textId="77777777">
        <w:tc>
          <w:tcPr>
            <w:tcW w:w="3116" w:type="dxa"/>
          </w:tcPr>
          <w:p w:rsidR="0000160C" w:rsidRDefault="00C517ED" w14:paraId="352B5C56" w14:textId="77777777">
            <w:pPr>
              <w:pStyle w:val="BodyText"/>
              <w:spacing w:after="0"/>
              <w:jc w:val="left"/>
              <w:rPr>
                <w:b/>
              </w:rPr>
            </w:pPr>
            <w:r>
              <w:rPr>
                <w:b/>
                <w:highlight w:val="yellow"/>
              </w:rPr>
              <w:t>[__]</w:t>
            </w:r>
          </w:p>
        </w:tc>
        <w:tc>
          <w:tcPr>
            <w:tcW w:w="3117" w:type="dxa"/>
          </w:tcPr>
          <w:p w:rsidR="0000160C" w:rsidRDefault="00C517ED" w14:paraId="5B821A18" w14:textId="77777777">
            <w:pPr>
              <w:pStyle w:val="BodyText"/>
              <w:spacing w:after="0"/>
              <w:jc w:val="left"/>
              <w:rPr>
                <w:b/>
              </w:rPr>
            </w:pPr>
            <w:r>
              <w:rPr>
                <w:b/>
                <w:highlight w:val="yellow"/>
              </w:rPr>
              <w:t>[__]</w:t>
            </w:r>
          </w:p>
        </w:tc>
        <w:tc>
          <w:tcPr>
            <w:tcW w:w="3117" w:type="dxa"/>
          </w:tcPr>
          <w:p w:rsidR="0000160C" w:rsidRDefault="00C517ED" w14:paraId="292FF62B" w14:textId="77777777">
            <w:pPr>
              <w:pStyle w:val="BodyText"/>
              <w:spacing w:after="0"/>
              <w:jc w:val="left"/>
              <w:rPr>
                <w:b/>
              </w:rPr>
            </w:pPr>
            <w:r>
              <w:rPr>
                <w:b/>
                <w:highlight w:val="yellow"/>
              </w:rPr>
              <w:t>[__]</w:t>
            </w:r>
          </w:p>
        </w:tc>
      </w:tr>
      <w:tr w:rsidR="0080262E" w:rsidTr="00C856E4" w14:paraId="5C692428" w14:textId="77777777">
        <w:tc>
          <w:tcPr>
            <w:tcW w:w="3116" w:type="dxa"/>
          </w:tcPr>
          <w:p w:rsidR="0000160C" w:rsidRDefault="00C517ED" w14:paraId="1480C876" w14:textId="0BECCE82">
            <w:pPr>
              <w:pStyle w:val="BodyText"/>
              <w:spacing w:after="0"/>
              <w:jc w:val="left"/>
              <w:rPr>
                <w:b/>
              </w:rPr>
            </w:pPr>
            <w:r>
              <w:rPr>
                <w:b/>
              </w:rPr>
              <w:t xml:space="preserve">Total des </w:t>
            </w:r>
            <w:r w:rsidR="008D08A6">
              <w:rPr>
                <w:b/>
              </w:rPr>
              <w:t>E</w:t>
            </w:r>
            <w:r>
              <w:rPr>
                <w:b/>
              </w:rPr>
              <w:t>ngagements</w:t>
            </w:r>
          </w:p>
        </w:tc>
        <w:tc>
          <w:tcPr>
            <w:tcW w:w="6234" w:type="dxa"/>
            <w:gridSpan w:val="2"/>
          </w:tcPr>
          <w:p w:rsidR="0000160C" w:rsidRDefault="00C517ED" w14:paraId="2B970A0B" w14:textId="1E3A8FE1">
            <w:pPr>
              <w:pStyle w:val="BodyText"/>
              <w:spacing w:after="0"/>
              <w:jc w:val="left"/>
            </w:pPr>
            <w:r>
              <w:rPr>
                <w:b/>
                <w:highlight w:val="yellow"/>
              </w:rPr>
              <w:t>[__]</w:t>
            </w:r>
            <w:r>
              <w:t xml:space="preserve"> (à l</w:t>
            </w:r>
            <w:r w:rsidR="00E27310">
              <w:t>’</w:t>
            </w:r>
            <w:r>
              <w:t>exclusion de l</w:t>
            </w:r>
            <w:r w:rsidR="00E27310">
              <w:t>’</w:t>
            </w:r>
            <w:r>
              <w:t xml:space="preserve">engagement du </w:t>
            </w:r>
            <w:r w:rsidR="008D08A6">
              <w:t>C</w:t>
            </w:r>
            <w:r>
              <w:t>ommandité)</w:t>
            </w:r>
          </w:p>
        </w:tc>
      </w:tr>
    </w:tbl>
    <w:p w:rsidRPr="006400F9" w:rsidR="00AE45E2" w:rsidP="00AE45E2" w:rsidRDefault="00AE45E2" w14:paraId="489CFC68" w14:textId="77777777">
      <w:pPr>
        <w:pStyle w:val="BodyText"/>
        <w:jc w:val="left"/>
      </w:pPr>
    </w:p>
    <w:p w:rsidRPr="006400F9" w:rsidR="00AE45E2" w:rsidP="00AE45E2" w:rsidRDefault="00AE45E2" w14:paraId="498BEE82" w14:textId="77777777">
      <w:pPr>
        <w:pStyle w:val="BodyText"/>
        <w:jc w:val="left"/>
        <w:sectPr w:rsidRPr="006400F9" w:rsidR="00AE45E2">
          <w:headerReference w:type="first" r:id="rId17"/>
          <w:pgSz w:w="12240" w:h="15840" w:code="1"/>
          <w:pgMar w:top="1440" w:right="1440" w:bottom="1440" w:left="1440" w:header="720" w:footer="720" w:gutter="0"/>
          <w:pgNumType w:start="1"/>
          <w:cols w:space="720"/>
          <w:noEndnote/>
          <w:titlePg/>
        </w:sectPr>
      </w:pPr>
    </w:p>
    <w:p w:rsidR="0000160C" w:rsidRDefault="00C517ED" w14:paraId="1849CB11" w14:textId="77777777">
      <w:pPr>
        <w:pStyle w:val="Heading9"/>
      </w:pPr>
      <w:bookmarkStart w:name="_Ref40807572" w:id="1035"/>
      <w:bookmarkStart w:name="_Toc161762452" w:id="1036"/>
      <w:r>
        <w:lastRenderedPageBreak/>
        <w:t>Annexe 2</w:t>
      </w:r>
      <w:bookmarkStart w:name="DocXTextRef207" w:id="1037"/>
      <w:bookmarkEnd w:id="1035"/>
      <w:bookmarkEnd w:id="1036"/>
      <w:bookmarkEnd w:id="1037"/>
    </w:p>
    <w:p w:rsidR="0000160C" w:rsidRDefault="00C517ED" w14:paraId="62001CD9" w14:textId="37118FDD">
      <w:pPr>
        <w:pStyle w:val="BodyText"/>
        <w:jc w:val="center"/>
        <w:rPr>
          <w:rFonts w:ascii="Times New Roman Bold" w:hAnsi="Times New Roman Bold"/>
          <w:b/>
          <w:caps/>
        </w:rPr>
      </w:pPr>
      <w:bookmarkStart w:name="INVPol" w:id="1038"/>
      <w:r>
        <w:rPr>
          <w:rFonts w:ascii="Times New Roman Bold" w:hAnsi="Times New Roman Bold"/>
          <w:b/>
          <w:caps/>
        </w:rPr>
        <w:t>Politique D</w:t>
      </w:r>
      <w:r w:rsidR="00E27310">
        <w:rPr>
          <w:rFonts w:ascii="Times New Roman Bold" w:hAnsi="Times New Roman Bold"/>
          <w:b/>
          <w:caps/>
        </w:rPr>
        <w:t>’</w:t>
      </w:r>
      <w:r>
        <w:rPr>
          <w:rFonts w:ascii="Times New Roman Bold" w:hAnsi="Times New Roman Bold"/>
          <w:b/>
          <w:caps/>
        </w:rPr>
        <w:t>Investissement</w:t>
      </w:r>
      <w:bookmarkEnd w:id="1038"/>
    </w:p>
    <w:p w:rsidR="0000160C" w:rsidRDefault="00C517ED" w14:paraId="395F8A39" w14:textId="4DD3A0D3">
      <w:pPr>
        <w:pStyle w:val="BodyText"/>
        <w:jc w:val="center"/>
        <w:rPr>
          <w:b/>
        </w:rPr>
      </w:pPr>
      <w:r>
        <w:rPr>
          <w:b/>
        </w:rPr>
        <w:t>[</w:t>
      </w:r>
      <w:r>
        <w:rPr>
          <w:b/>
          <w:highlight w:val="yellow"/>
        </w:rPr>
        <w:t>Forme convenue de la politique d</w:t>
      </w:r>
      <w:r w:rsidR="00E27310">
        <w:rPr>
          <w:b/>
          <w:highlight w:val="yellow"/>
        </w:rPr>
        <w:t>’</w:t>
      </w:r>
      <w:r>
        <w:rPr>
          <w:b/>
          <w:highlight w:val="yellow"/>
        </w:rPr>
        <w:t>investissement, le cas échéant, à insérer</w:t>
      </w:r>
      <w:r>
        <w:rPr>
          <w:b/>
        </w:rPr>
        <w:t>]</w:t>
      </w:r>
    </w:p>
    <w:sectPr w:rsidR="0000160C">
      <w:headerReference w:type="first" r:id="rId18"/>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25F3" w:rsidRDefault="00BC25F3" w14:paraId="295FA40A" w14:textId="77777777">
      <w:r>
        <w:separator/>
      </w:r>
    </w:p>
  </w:endnote>
  <w:endnote w:type="continuationSeparator" w:id="0">
    <w:p w:rsidR="00BC25F3" w:rsidRDefault="00BC25F3" w14:paraId="001102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Arial Unicode MS"/>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60C" w:rsidRDefault="00C517ED" w14:paraId="7C619BD6" w14:textId="77777777">
    <w:pPr>
      <w:pStyle w:val="Footer"/>
    </w:pPr>
    <w:bookmarkStart w:name="DocXTextRef1" w:id="0"/>
    <w:bookmarkEnd w:id="0"/>
    <w:r>
      <w:t>8741837,4</w:t>
    </w:r>
  </w:p>
  <w:p w:rsidR="0000160C" w:rsidRDefault="00C517ED" w14:paraId="47A45F85" w14:textId="77777777">
    <w:pPr>
      <w:pStyle w:val="Footer"/>
    </w:pPr>
    <w:r>
      <w:t>8835535,2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0A96" w:rsidRDefault="00C517ED" w14:paraId="5CA6DD24" w14:textId="77777777">
    <w:pPr>
      <w:pStyle w:val="Footer"/>
      <w:ind w:left="-144"/>
      <w:jc w:val="right"/>
    </w:pPr>
    <w:r>
      <w:t xml:space="preserve">Version canadienne </w:t>
    </w:r>
    <w:r>
      <w:br/>
      <w:t>Dernière mise à jour : décembre 2022</w:t>
    </w:r>
  </w:p>
  <w:p w:rsidR="007D0A96" w:rsidRDefault="00000000" w14:paraId="6302B75B" w14:textId="77777777">
    <w:pPr>
      <w:pStyle w:val="Footer"/>
      <w:ind w:left="-144"/>
    </w:pPr>
    <w:r>
      <w:rPr>
        <w:noProof/>
        <w:lang w:val="en-GB" w:eastAsia="en-GB"/>
      </w:rPr>
      <w:pict w14:anchorId="418671AA">
        <v:shapetype id="_x0000_t202" coordsize="21600,21600" o:spt="202" path="m,l,21600r21600,l21600,xe">
          <v:stroke joinstyle="miter"/>
          <v:path gradientshapeok="t" o:connecttype="rect"/>
        </v:shapetype>
        <v:shape id="zzmpTrailer_1078_19"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v:textbox inset="0,0,0,0">
            <w:txbxContent>
              <w:p w:rsidR="007D0A96" w:rsidP="007D0A96" w:rsidRDefault="007D0A96" w14:paraId="5DC3702E" w14:textId="4B4C6C33">
                <w:pPr>
                  <w:pStyle w:val="MacPacTrailer"/>
                  <w:spacing w:line="20" w:lineRule="exact"/>
                </w:pPr>
              </w:p>
              <w:p w:rsidR="007D0A96" w:rsidRDefault="007D0A96" w14:paraId="2DB3845B" w14:textId="48376583">
                <w:pPr>
                  <w:pStyle w:val="MacPacTrailer"/>
                </w:pPr>
                <w:r>
                  <w:t>WSLEGAL\058404\00015\38012686v2</w:t>
                </w:r>
              </w:p>
              <w:p w:rsidR="007D0A96" w:rsidP="007D0A96" w:rsidRDefault="007D0A96" w14:paraId="5AE96342" w14:textId="48B0082A">
                <w:pPr>
                  <w:pStyle w:val="MacPacTrailer"/>
                  <w:spacing w:line="20" w:lineRule="exact"/>
                </w:pPr>
              </w:p>
              <w:p w:rsidR="007D0A96" w:rsidP="007D0A96" w:rsidRDefault="007D0A96" w14:paraId="4691D0C4" w14:textId="34A9C45C">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0A96" w:rsidRDefault="00C517ED" w14:paraId="28F1828F" w14:textId="77777777">
    <w:pPr>
      <w:pStyle w:val="Footer"/>
      <w:ind w:left="-144"/>
      <w:jc w:val="right"/>
    </w:pPr>
    <w:r>
      <w:t xml:space="preserve">Version canadienne </w:t>
    </w:r>
    <w:r>
      <w:br/>
      <w:t>Dernière mise à jour : décembre 2022</w:t>
    </w:r>
  </w:p>
  <w:p w:rsidR="007D0A96" w:rsidRDefault="00000000" w14:paraId="548C5554" w14:textId="77777777">
    <w:pPr>
      <w:pStyle w:val="Footer"/>
      <w:ind w:left="-144"/>
    </w:pPr>
    <w:r>
      <w:rPr>
        <w:noProof/>
        <w:lang w:val="en-GB" w:eastAsia="en-GB"/>
      </w:rPr>
      <w:pict w14:anchorId="2E895F96">
        <v:shapetype id="_x0000_t202" coordsize="21600,21600" o:spt="202" path="m,l,21600r21600,l21600,xe">
          <v:stroke joinstyle="miter"/>
          <v:path gradientshapeok="t" o:connecttype="rect"/>
        </v:shapetype>
        <v:shape id="zzmpTrailer_1078_1B"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alt=""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v:textbox inset="0,0,0,0">
            <w:txbxContent>
              <w:p w:rsidR="007D0A96" w:rsidP="007D0A96" w:rsidRDefault="007D0A96" w14:paraId="6724C652" w14:textId="25430E4C">
                <w:pPr>
                  <w:pStyle w:val="MacPacTrailer"/>
                  <w:spacing w:line="20" w:lineRule="exact"/>
                </w:pPr>
              </w:p>
              <w:p w:rsidR="007D0A96" w:rsidRDefault="007D0A96" w14:paraId="08D926E9" w14:textId="25E9A774">
                <w:pPr>
                  <w:pStyle w:val="MacPacTrailer"/>
                </w:pPr>
                <w:r>
                  <w:t>WSLEGAL\058404\00015\38012686v2</w:t>
                </w:r>
              </w:p>
              <w:p w:rsidR="007D0A96" w:rsidP="007D0A96" w:rsidRDefault="007D0A96" w14:paraId="0DB67A6F" w14:textId="024EA220">
                <w:pPr>
                  <w:pStyle w:val="MacPacTrailer"/>
                  <w:spacing w:line="20" w:lineRule="exact"/>
                </w:pPr>
              </w:p>
              <w:p w:rsidR="007D0A96" w:rsidP="007D0A96" w:rsidRDefault="007D0A96" w14:paraId="2C83BA3C" w14:textId="13449EDB">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25F3" w:rsidRDefault="00BC25F3" w14:paraId="10788E28" w14:textId="77777777">
      <w:r>
        <w:separator/>
      </w:r>
    </w:p>
  </w:footnote>
  <w:footnote w:type="continuationSeparator" w:id="0">
    <w:p w:rsidR="00BC25F3" w:rsidRDefault="00BC25F3" w14:paraId="193CE0D7" w14:textId="77777777">
      <w:r>
        <w:continuationSeparator/>
      </w:r>
    </w:p>
  </w:footnote>
  <w:footnote w:type="continuationNotice" w:id="1">
    <w:p w:rsidR="00BC25F3" w:rsidRDefault="00BC25F3" w14:paraId="09A48C3C" w14:textId="77777777"/>
  </w:footnote>
  <w:footnote w:id="2">
    <w:p w:rsidR="0000160C" w:rsidRDefault="00C517ED" w14:paraId="798237D2" w14:textId="7462A5D3">
      <w:pPr>
        <w:pStyle w:val="FootnoteText"/>
      </w:pPr>
      <w:r>
        <w:rPr>
          <w:rStyle w:val="FootnoteReference"/>
        </w:rPr>
        <w:footnoteRef/>
      </w:r>
      <w:r>
        <w:tab/>
        <w:t>La société en commandite sera presque toujours créée avant la clôture initiale de l</w:t>
      </w:r>
      <w:r w:rsidR="00742027">
        <w:t>’</w:t>
      </w:r>
      <w:r>
        <w:t>investissement par les commanditaires, car une société en commandite ne peut être constituée sans un</w:t>
      </w:r>
      <w:r w:rsidR="000D62FC">
        <w:t xml:space="preserve">e convention </w:t>
      </w:r>
      <w:r>
        <w:t>écri</w:t>
      </w:r>
      <w:r w:rsidR="000D62FC">
        <w:t>te</w:t>
      </w:r>
      <w:r>
        <w:t xml:space="preserve"> et </w:t>
      </w:r>
      <w:r w:rsidR="000D62FC">
        <w:t>la convention</w:t>
      </w:r>
      <w:r>
        <w:t xml:space="preserve"> de société en commandite est également requis</w:t>
      </w:r>
      <w:r w:rsidR="000D62FC">
        <w:t>e</w:t>
      </w:r>
      <w:r>
        <w:t xml:space="preserve"> aux fins de l</w:t>
      </w:r>
      <w:r w:rsidR="00742027">
        <w:t>’</w:t>
      </w:r>
      <w:r>
        <w:t>ouverture d</w:t>
      </w:r>
      <w:r w:rsidR="00742027">
        <w:t>’</w:t>
      </w:r>
      <w:r>
        <w:t xml:space="preserve">un compte bancaire et de la conclusion de contrats. Par conséquent, la convention de société en commandite initiale sera habituellement </w:t>
      </w:r>
      <w:r w:rsidR="0082726A">
        <w:t>modifiée</w:t>
      </w:r>
      <w:r w:rsidR="000D62FC">
        <w:t xml:space="preserve"> et </w:t>
      </w:r>
      <w:r w:rsidR="0082726A">
        <w:t>mise à jour</w:t>
      </w:r>
      <w:r>
        <w:t xml:space="preserve"> au moment de la clôture initiale pour y incorporer les modalités négociées de la convention, et le commanditaire initial utilisé pour former l</w:t>
      </w:r>
      <w:r w:rsidR="00742027">
        <w:t>’</w:t>
      </w:r>
      <w:r>
        <w:t>entité sera retiré à titre de commanditaire.</w:t>
      </w:r>
    </w:p>
  </w:footnote>
  <w:footnote w:id="3">
    <w:p w:rsidR="0000160C" w:rsidRDefault="00C517ED" w14:paraId="13A47837" w14:textId="15D2E732">
      <w:pPr>
        <w:pStyle w:val="FootnoteText"/>
      </w:pPr>
      <w:r w:rsidRPr="004B189B">
        <w:rPr>
          <w:rStyle w:val="FootnoteReference"/>
          <w:szCs w:val="24"/>
        </w:rPr>
        <w:footnoteRef/>
      </w:r>
      <w:r>
        <w:tab/>
        <w:t xml:space="preserve">Les parties à </w:t>
      </w:r>
      <w:r w:rsidR="009F38A1">
        <w:t>la Convention</w:t>
      </w:r>
      <w:r>
        <w:t xml:space="preserve"> de société en commandite varieront en fonction des préférences des organisateurs du Fonds et de la structure du Fonds. Par exemple, dans certaines structures, il peut y avoir un associé</w:t>
      </w:r>
      <w:r w:rsidR="00DA39C2">
        <w:t xml:space="preserve"> distinct</w:t>
      </w:r>
      <w:r>
        <w:t xml:space="preserve"> </w:t>
      </w:r>
      <w:r w:rsidR="00DA39C2">
        <w:t>ayant droit aux distributions spéciales</w:t>
      </w:r>
      <w:r>
        <w:t>. La structure peut également comprendre un conseiller ainsi qu</w:t>
      </w:r>
      <w:r w:rsidR="00742027">
        <w:t>’</w:t>
      </w:r>
      <w:r>
        <w:t xml:space="preserve">un gestionnaire. Des conseils fiscaux sur la structure du </w:t>
      </w:r>
      <w:r w:rsidR="00DA39C2">
        <w:t>F</w:t>
      </w:r>
      <w:r>
        <w:t xml:space="preserve">onds, le </w:t>
      </w:r>
      <w:r w:rsidR="00DA39C2">
        <w:t>C</w:t>
      </w:r>
      <w:r>
        <w:t xml:space="preserve">ommandité et/ou le </w:t>
      </w:r>
      <w:r w:rsidR="00DA39C2">
        <w:t>G</w:t>
      </w:r>
      <w:r>
        <w:t xml:space="preserve">estionnaire </w:t>
      </w:r>
      <w:proofErr w:type="gramStart"/>
      <w:r w:rsidR="00DA39C2">
        <w:t>devraient</w:t>
      </w:r>
      <w:proofErr w:type="gramEnd"/>
      <w:r>
        <w:t xml:space="preserve"> être obtenus.</w:t>
      </w:r>
    </w:p>
  </w:footnote>
  <w:footnote w:id="4">
    <w:p w:rsidR="0000160C" w:rsidRDefault="00C517ED" w14:paraId="27A49273" w14:textId="39A0BABC">
      <w:pPr>
        <w:pStyle w:val="FootnoteText"/>
      </w:pPr>
      <w:r w:rsidRPr="001F6E00">
        <w:rPr>
          <w:rStyle w:val="FootnoteReference"/>
          <w:szCs w:val="24"/>
        </w:rPr>
        <w:footnoteRef/>
      </w:r>
      <w:r>
        <w:rPr>
          <w:rStyle w:val="FootnoteReference"/>
        </w:rPr>
        <w:t xml:space="preserve"> </w:t>
      </w:r>
      <w:r>
        <w:rPr>
          <w:rStyle w:val="FootnoteReference"/>
        </w:rPr>
        <w:tab/>
      </w:r>
      <w:r>
        <w:t xml:space="preserve">La structure organisationnelle du </w:t>
      </w:r>
      <w:r w:rsidR="00DA39C2">
        <w:t>C</w:t>
      </w:r>
      <w:r>
        <w:t xml:space="preserve">ommandité peut varier en fonction des préférences des organisateurs du </w:t>
      </w:r>
      <w:r w:rsidR="00DA39C2">
        <w:t>F</w:t>
      </w:r>
      <w:r>
        <w:t xml:space="preserve">onds. Souvent, le </w:t>
      </w:r>
      <w:r w:rsidR="00DA39C2">
        <w:t>C</w:t>
      </w:r>
      <w:r>
        <w:t>ommandité est également organisé en société en commandite.</w:t>
      </w:r>
    </w:p>
  </w:footnote>
  <w:footnote w:id="5">
    <w:p w:rsidR="0000160C" w:rsidRDefault="00C517ED" w14:paraId="6F930FA7" w14:textId="6D94E1A2">
      <w:pPr>
        <w:pStyle w:val="FootnoteText"/>
      </w:pPr>
      <w:r w:rsidRPr="00764AE3">
        <w:rPr>
          <w:rStyle w:val="FootnoteReference"/>
        </w:rPr>
        <w:footnoteRef/>
      </w:r>
      <w:r>
        <w:t xml:space="preserve"> </w:t>
      </w:r>
      <w:r>
        <w:tab/>
        <w:t xml:space="preserve">La présente </w:t>
      </w:r>
      <w:r w:rsidR="00DA39C2">
        <w:t>C</w:t>
      </w:r>
      <w:r>
        <w:t xml:space="preserve">onvention est fondée sur le fait que le </w:t>
      </w:r>
      <w:r w:rsidR="00DA39C2">
        <w:t>C</w:t>
      </w:r>
      <w:r>
        <w:t>ommandité est un résident canadien aux fins de l</w:t>
      </w:r>
      <w:r w:rsidR="00742027">
        <w:t>’</w:t>
      </w:r>
      <w:r>
        <w:t>impôt sur le revenu. Des considérations fiscales différentes s</w:t>
      </w:r>
      <w:r w:rsidR="00742027">
        <w:t>’</w:t>
      </w:r>
      <w:r>
        <w:t xml:space="preserve">appliquent aux sociétés de personnes </w:t>
      </w:r>
      <w:r w:rsidR="00DA39C2">
        <w:t>ayant</w:t>
      </w:r>
      <w:r>
        <w:t xml:space="preserve"> des associés non-résidents.</w:t>
      </w:r>
    </w:p>
  </w:footnote>
  <w:footnote w:id="6">
    <w:p w:rsidR="0000160C" w:rsidRDefault="00C517ED" w14:paraId="77CC7D9D" w14:textId="210D9DA0">
      <w:pPr>
        <w:pStyle w:val="FootnoteText"/>
      </w:pPr>
      <w:r w:rsidRPr="001F6E00">
        <w:rPr>
          <w:rStyle w:val="FootnoteReference"/>
          <w:szCs w:val="24"/>
        </w:rPr>
        <w:footnoteRef/>
      </w:r>
      <w:r>
        <w:t xml:space="preserve"> </w:t>
      </w:r>
      <w:r>
        <w:tab/>
        <w:t xml:space="preserve">La structure organisationnelle du </w:t>
      </w:r>
      <w:r w:rsidR="00DA39C2">
        <w:t>G</w:t>
      </w:r>
      <w:r>
        <w:t>estionnaire peut varier en fonction des préférences des organisateurs du Fonds.</w:t>
      </w:r>
    </w:p>
  </w:footnote>
  <w:footnote w:id="7">
    <w:p w:rsidR="0000160C" w:rsidRDefault="00C517ED" w14:paraId="7AFBEB4A" w14:textId="515D8979">
      <w:pPr>
        <w:pStyle w:val="FootnoteText"/>
      </w:pPr>
      <w:r w:rsidRPr="004B189B">
        <w:rPr>
          <w:rStyle w:val="FootnoteReference"/>
          <w:szCs w:val="24"/>
        </w:rPr>
        <w:footnoteRef/>
      </w:r>
      <w:r>
        <w:t xml:space="preserve"> </w:t>
      </w:r>
      <w:r>
        <w:tab/>
        <w:t xml:space="preserve">Le </w:t>
      </w:r>
      <w:r w:rsidR="00DA39C2">
        <w:t>G</w:t>
      </w:r>
      <w:r>
        <w:t xml:space="preserve">estionnaire est généralement </w:t>
      </w:r>
      <w:proofErr w:type="gramStart"/>
      <w:r>
        <w:t>partie</w:t>
      </w:r>
      <w:proofErr w:type="gramEnd"/>
      <w:r>
        <w:t xml:space="preserve"> à </w:t>
      </w:r>
      <w:r w:rsidR="00DA39C2">
        <w:t>la Convention</w:t>
      </w:r>
      <w:r>
        <w:t xml:space="preserve"> de société en commandite du Fonds.</w:t>
      </w:r>
    </w:p>
  </w:footnote>
  <w:footnote w:id="8">
    <w:p w:rsidR="0000160C" w:rsidRDefault="00C517ED" w14:paraId="2D7E6E72" w14:textId="1A262D5A">
      <w:pPr>
        <w:pStyle w:val="FootnoteText"/>
      </w:pPr>
      <w:r>
        <w:rPr>
          <w:rStyle w:val="FootnoteReference"/>
        </w:rPr>
        <w:footnoteRef/>
      </w:r>
      <w:r>
        <w:t xml:space="preserve"> </w:t>
      </w:r>
      <w:r>
        <w:tab/>
        <w:t xml:space="preserve">Le </w:t>
      </w:r>
      <w:r w:rsidR="00DA39C2">
        <w:t>C</w:t>
      </w:r>
      <w:r>
        <w:t xml:space="preserve">ommandité et/ou le </w:t>
      </w:r>
      <w:r w:rsidR="00DA39C2">
        <w:t>G</w:t>
      </w:r>
      <w:r>
        <w:t xml:space="preserve">estionnaire </w:t>
      </w:r>
      <w:proofErr w:type="gramStart"/>
      <w:r>
        <w:t>peuvent</w:t>
      </w:r>
      <w:proofErr w:type="gramEnd"/>
      <w:r>
        <w:t xml:space="preserve"> être</w:t>
      </w:r>
      <w:r w:rsidR="00E66A70">
        <w:t xml:space="preserve"> tenus de s’</w:t>
      </w:r>
      <w:r>
        <w:t>inscri</w:t>
      </w:r>
      <w:r w:rsidR="00E66A70">
        <w:t>re</w:t>
      </w:r>
      <w:r>
        <w:t xml:space="preserve"> dans une ou plusieurs des catégories d'inscription (en tant que courtier, conseiller et/ou gestionnaire de fonds d'investissement) conformément </w:t>
      </w:r>
      <w:r w:rsidR="0082726A">
        <w:t>au Règlement</w:t>
      </w:r>
      <w:r>
        <w:t xml:space="preserve"> 31-103 </w:t>
      </w:r>
      <w:r w:rsidR="00D02A20">
        <w:t>–</w:t>
      </w:r>
      <w:r>
        <w:t xml:space="preserve"> </w:t>
      </w:r>
      <w:r w:rsidR="00D02A20">
        <w:rPr>
          <w:i/>
        </w:rPr>
        <w:t>Obligations et dispenses d’inscription et les obligations continues des personnes inscrites</w:t>
      </w:r>
      <w:r>
        <w:t xml:space="preserve">. Il existe des exemptions aux exigences </w:t>
      </w:r>
      <w:r w:rsidR="004C0B11">
        <w:t>d’inscription</w:t>
      </w:r>
      <w:r>
        <w:t xml:space="preserve"> dans certaines circonstances. Il </w:t>
      </w:r>
      <w:r w:rsidR="0082726A">
        <w:t>est recommandé</w:t>
      </w:r>
      <w:r>
        <w:t xml:space="preserve"> d</w:t>
      </w:r>
      <w:r w:rsidR="00E66A70">
        <w:t>’</w:t>
      </w:r>
      <w:r>
        <w:t xml:space="preserve">obtenir un avis juridique approprié sur la question de savoir si </w:t>
      </w:r>
      <w:r w:rsidR="004C0B11">
        <w:t>l’inscription</w:t>
      </w:r>
      <w:r>
        <w:t xml:space="preserve"> est nécessaire. Il convient de noter que dans de nombreux cas, en particulier lorsque le </w:t>
      </w:r>
      <w:r w:rsidR="004C0B11">
        <w:t>F</w:t>
      </w:r>
      <w:r>
        <w:t>onds est structuré et géré comme un fonds de capital-investissement ou de capital</w:t>
      </w:r>
      <w:r w:rsidR="004C0B11">
        <w:t xml:space="preserve"> de </w:t>
      </w:r>
      <w:r>
        <w:t xml:space="preserve">risque typique, </w:t>
      </w:r>
      <w:r w:rsidR="004C0B11">
        <w:t>l’inscription</w:t>
      </w:r>
      <w:r>
        <w:t xml:space="preserve"> peut ne pas être nécessaire.</w:t>
      </w:r>
    </w:p>
  </w:footnote>
  <w:footnote w:id="9">
    <w:p w:rsidRPr="00E66A70" w:rsidR="00E66A70" w:rsidRDefault="00E66A70" w14:paraId="397BF3BA" w14:textId="26E4A91D">
      <w:pPr>
        <w:pStyle w:val="FootnoteText"/>
      </w:pPr>
      <w:r>
        <w:rPr>
          <w:rStyle w:val="FootnoteReference"/>
        </w:rPr>
        <w:footnoteRef/>
      </w:r>
      <w:r>
        <w:t xml:space="preserve"> </w:t>
      </w:r>
      <w:r>
        <w:tab/>
        <w:t>La mention à ajouter si la société en commandite est constituée en Ontario.</w:t>
      </w:r>
    </w:p>
  </w:footnote>
  <w:footnote w:id="10">
    <w:p w:rsidR="00E66A70" w:rsidP="00E66A70" w:rsidRDefault="00E66A70" w14:paraId="7E213212" w14:textId="77777777">
      <w:pPr>
        <w:pStyle w:val="FootnoteText"/>
      </w:pPr>
      <w:r>
        <w:rPr>
          <w:rStyle w:val="FootnoteReference"/>
        </w:rPr>
        <w:footnoteRef/>
      </w:r>
      <w:r>
        <w:t xml:space="preserve"> </w:t>
      </w:r>
      <w:r>
        <w:tab/>
        <w:t>La mention à ajouter si la société en commandite est constituée au Québec.</w:t>
      </w:r>
    </w:p>
  </w:footnote>
  <w:footnote w:id="11">
    <w:p w:rsidR="0000160C" w:rsidRDefault="00C517ED" w14:paraId="03AC312D" w14:textId="4757A063">
      <w:pPr>
        <w:pStyle w:val="FootnoteText"/>
      </w:pPr>
      <w:r>
        <w:rPr>
          <w:rStyle w:val="FootnoteReference"/>
        </w:rPr>
        <w:footnoteRef/>
      </w:r>
      <w:r>
        <w:t xml:space="preserve"> </w:t>
      </w:r>
      <w:r>
        <w:tab/>
        <w:t>La notion de contrepartie ne s</w:t>
      </w:r>
      <w:r w:rsidR="00E66A70">
        <w:t>’</w:t>
      </w:r>
      <w:r>
        <w:t>applique pas en droit québécois.</w:t>
      </w:r>
    </w:p>
  </w:footnote>
  <w:footnote w:id="12">
    <w:p w:rsidR="005E02FD" w:rsidP="005E02FD" w:rsidRDefault="005E02FD" w14:paraId="65B73E1B" w14:textId="6752B790">
      <w:pPr>
        <w:pStyle w:val="FootnoteText"/>
        <w:rPr>
          <w:b/>
        </w:rPr>
      </w:pPr>
      <w:r w:rsidRPr="00C856E4">
        <w:rPr>
          <w:rStyle w:val="FootnoteReference"/>
        </w:rPr>
        <w:footnoteRef/>
      </w:r>
      <w:r>
        <w:rPr>
          <w:rStyle w:val="FootnoteReference"/>
        </w:rPr>
        <w:t xml:space="preserve"> </w:t>
      </w:r>
      <w:r>
        <w:rPr>
          <w:rStyle w:val="FootnoteReference"/>
        </w:rPr>
        <w:tab/>
      </w:r>
      <w:r>
        <w:t>Les dispositions relatives au changement de contrôle sont souvent négociées et dépendent de divers facteurs, notamment de la taille et de l</w:t>
      </w:r>
      <w:r w:rsidR="00A70422">
        <w:t>’</w:t>
      </w:r>
      <w:r>
        <w:t>expérience du gestionnaire du Fonds.</w:t>
      </w:r>
    </w:p>
  </w:footnote>
  <w:footnote w:id="13">
    <w:p w:rsidR="005E02FD" w:rsidP="005E02FD" w:rsidRDefault="005E02FD" w14:paraId="41D66EF2" w14:textId="15859B9D">
      <w:pPr>
        <w:pStyle w:val="FootnoteText"/>
      </w:pPr>
      <w:r w:rsidRPr="00764AE3">
        <w:rPr>
          <w:rStyle w:val="FootnoteReference"/>
        </w:rPr>
        <w:footnoteRef/>
      </w:r>
      <w:r>
        <w:t xml:space="preserve"> </w:t>
      </w:r>
      <w:r>
        <w:tab/>
        <w:t>Ce concept est lié aux concepts de Personnes-clés et d</w:t>
      </w:r>
      <w:r w:rsidR="00A70422">
        <w:t>’</w:t>
      </w:r>
      <w:r>
        <w:t>Événements visant les Personnes-clés et à la capacité des Personnes-clés de transférer leur participation dans le Fonds. Voir les notes de bas de page 30 et 31.</w:t>
      </w:r>
    </w:p>
  </w:footnote>
  <w:footnote w:id="14">
    <w:p w:rsidR="005E02FD" w:rsidP="005E02FD" w:rsidRDefault="005E02FD" w14:paraId="431CE2F0" w14:textId="77777777">
      <w:pPr>
        <w:pStyle w:val="FootnoteText"/>
      </w:pPr>
      <w:r>
        <w:rPr>
          <w:rStyle w:val="FootnoteReference"/>
        </w:rPr>
        <w:footnoteRef/>
      </w:r>
      <w:r>
        <w:t xml:space="preserve"> </w:t>
      </w:r>
      <w:r>
        <w:tab/>
        <w:t>Au Québec, le Code civil parle de « commanditaires ».</w:t>
      </w:r>
    </w:p>
  </w:footnote>
  <w:footnote w:id="15">
    <w:p w:rsidR="005E02FD" w:rsidP="005E02FD" w:rsidRDefault="005E02FD" w14:paraId="40A3318E" w14:textId="1A8C0D6F">
      <w:pPr>
        <w:pStyle w:val="FootnoteText"/>
      </w:pPr>
      <w:r w:rsidRPr="00B560A5">
        <w:rPr>
          <w:rStyle w:val="FootnoteReference"/>
          <w:szCs w:val="24"/>
        </w:rPr>
        <w:footnoteRef/>
      </w:r>
      <w:r>
        <w:rPr>
          <w:szCs w:val="24"/>
          <w:vertAlign w:val="superscript"/>
        </w:rPr>
        <w:t xml:space="preserve"> </w:t>
      </w:r>
      <w:r>
        <w:t xml:space="preserve"> </w:t>
      </w:r>
      <w:r>
        <w:tab/>
        <w:t>En règle générale, un Membre du même groupe que le Commandité se retire en tant que Commanditaire en même temps que</w:t>
      </w:r>
      <w:r w:rsidR="00A70422">
        <w:t xml:space="preserve"> l’admission</w:t>
      </w:r>
      <w:r>
        <w:t xml:space="preserve"> </w:t>
      </w:r>
      <w:r w:rsidR="00A70422">
        <w:t>d</w:t>
      </w:r>
      <w:r>
        <w:t>es commanditaires participant à la clôture initiale en tant que commanditaires et que la Convention initiale est modifiée et mise à jour.</w:t>
      </w:r>
    </w:p>
  </w:footnote>
  <w:footnote w:id="16">
    <w:p w:rsidR="005E02FD" w:rsidP="005E02FD" w:rsidRDefault="005E02FD" w14:paraId="3EF32897" w14:textId="4620398D">
      <w:pPr>
        <w:pStyle w:val="FootnoteText"/>
      </w:pPr>
      <w:r w:rsidRPr="004B189B">
        <w:rPr>
          <w:rStyle w:val="FootnoteReference"/>
          <w:szCs w:val="24"/>
        </w:rPr>
        <w:footnoteRef/>
      </w:r>
      <w:r>
        <w:t xml:space="preserve"> </w:t>
      </w:r>
      <w:r>
        <w:tab/>
        <w:t>Cet article et chaque cas de « conduite sujette à destitution » font généralement l</w:t>
      </w:r>
      <w:r w:rsidR="00742027">
        <w:t>’</w:t>
      </w:r>
      <w:r>
        <w:t>objet de négociations. En particulier, certains Commanditaires institutionnels sont fermement convaincus qu</w:t>
      </w:r>
      <w:r w:rsidR="00742027">
        <w:t>’</w:t>
      </w:r>
      <w:r>
        <w:t>il est possible de renvoyer un commandité « pour un motif valable » en se fondant sur une décision préliminaire d</w:t>
      </w:r>
      <w:r w:rsidR="00742027">
        <w:t>’</w:t>
      </w:r>
      <w:r>
        <w:t>un tribunal plutôt que sur un jugement définitif et sans appel, c</w:t>
      </w:r>
      <w:r w:rsidR="00742027">
        <w:t>’</w:t>
      </w:r>
      <w:r>
        <w:t>est-à-dire un jugement à l</w:t>
      </w:r>
      <w:r w:rsidR="00742027">
        <w:t>’</w:t>
      </w:r>
      <w:r>
        <w:t>égard duquel les délais d</w:t>
      </w:r>
      <w:r w:rsidR="00742027">
        <w:t>’</w:t>
      </w:r>
      <w:r>
        <w:t>appel applicables ont expiré. Comme alternative pratique à la possibilité de destituer le Commandité sur la base d</w:t>
      </w:r>
      <w:r w:rsidR="00742027">
        <w:t>’</w:t>
      </w:r>
      <w:r>
        <w:t>une décision judiciaire préliminaire, les Commanditaires institutionnels négocient parfois un « divorce sans faute » ou des droits de destitution et de résiliation « sans motif valable » qui pourraient être utilisés pour destituer le Commandité avec le consentement des Commanditaires (généralement, par une majorité spéciale) et sans attendre une décision judiciaire, si les Commanditaires ont perdu confiance dans le Commandité en raison d</w:t>
      </w:r>
      <w:r w:rsidR="00742027">
        <w:t>’</w:t>
      </w:r>
      <w:r>
        <w:t>un mauvais acte / comportement « pour motif valable ». Voir la note de bas de page 111.</w:t>
      </w:r>
    </w:p>
  </w:footnote>
  <w:footnote w:id="17">
    <w:p w:rsidR="005E02FD" w:rsidP="005E02FD" w:rsidRDefault="005E02FD" w14:paraId="1168FA88" w14:textId="77777777">
      <w:pPr>
        <w:pStyle w:val="FootnoteText"/>
      </w:pPr>
      <w:r>
        <w:rPr>
          <w:rStyle w:val="FootnoteReference"/>
        </w:rPr>
        <w:footnoteRef/>
      </w:r>
      <w:r>
        <w:t xml:space="preserve"> </w:t>
      </w:r>
      <w:r>
        <w:tab/>
        <w:t>Cette mention sera ajoutée si la société en commandite est constituée au Québec.</w:t>
      </w:r>
    </w:p>
  </w:footnote>
  <w:footnote w:id="18">
    <w:p w:rsidR="005E02FD" w:rsidP="005E02FD" w:rsidRDefault="005E02FD" w14:paraId="035FE670" w14:textId="5B9F4AB2">
      <w:pPr>
        <w:pStyle w:val="FootnoteText"/>
      </w:pPr>
      <w:r w:rsidRPr="00936A20">
        <w:rPr>
          <w:rStyle w:val="FootnoteReference"/>
        </w:rPr>
        <w:footnoteRef/>
      </w:r>
      <w:r>
        <w:t xml:space="preserve"> </w:t>
      </w:r>
      <w:r>
        <w:tab/>
        <w:t>Voir les notes de bas de page 13 et 14 concernant l</w:t>
      </w:r>
      <w:r w:rsidR="00742027">
        <w:t>’</w:t>
      </w:r>
      <w:r>
        <w:t>interprétation de « négligence grossière » au Canada.</w:t>
      </w:r>
    </w:p>
  </w:footnote>
  <w:footnote w:id="19">
    <w:p w:rsidRPr="00F94B84" w:rsidR="005E02FD" w:rsidP="005E02FD" w:rsidRDefault="005E02FD" w14:paraId="1117FE8D" w14:textId="77777777">
      <w:pPr>
        <w:pStyle w:val="FootnoteText"/>
        <w:rPr>
          <w:lang w:val="fr-CA"/>
        </w:rPr>
      </w:pPr>
      <w:r>
        <w:rPr>
          <w:rStyle w:val="FootnoteReference"/>
        </w:rPr>
        <w:footnoteRef/>
      </w:r>
      <w:r>
        <w:t xml:space="preserve"> </w:t>
      </w:r>
      <w:r>
        <w:tab/>
        <w:t>Une autre formulation peut être envisagée pour les sociétés en commandite du Québec. Il est recommandé de consulter un conseiller juridique du Québec.</w:t>
      </w:r>
    </w:p>
  </w:footnote>
  <w:footnote w:id="20">
    <w:p w:rsidR="005E02FD" w:rsidP="005E02FD" w:rsidRDefault="005E02FD" w14:paraId="638D6674" w14:textId="0131812F">
      <w:pPr>
        <w:pStyle w:val="FootnoteText"/>
      </w:pPr>
      <w:r>
        <w:rPr>
          <w:rStyle w:val="FootnoteReference"/>
        </w:rPr>
        <w:footnoteRef/>
      </w:r>
      <w:r>
        <w:t xml:space="preserve"> </w:t>
      </w:r>
      <w:r>
        <w:tab/>
        <w:t>Cette date varie généralement entre 12 et 18 mois, avec la possibilité de la prolonger à la discrétion du Commandité avec l</w:t>
      </w:r>
      <w:r w:rsidR="00742027">
        <w:t>’</w:t>
      </w:r>
      <w:r>
        <w:t>approbation du Comité consultatif des Commanditaires.</w:t>
      </w:r>
    </w:p>
  </w:footnote>
  <w:footnote w:id="21">
    <w:p w:rsidR="005E02FD" w:rsidP="005E02FD" w:rsidRDefault="005E02FD" w14:paraId="42A04A6E" w14:textId="77777777">
      <w:pPr>
        <w:pStyle w:val="FootnoteText"/>
        <w:rPr>
          <w:b/>
        </w:rPr>
      </w:pPr>
      <w:r>
        <w:rPr>
          <w:rStyle w:val="FootnoteReference"/>
        </w:rPr>
        <w:footnoteRef/>
      </w:r>
      <w:r>
        <w:t xml:space="preserve"> </w:t>
      </w:r>
      <w:r>
        <w:tab/>
        <w:t>La Date de clôture initiale peut être soit (a) une date fixe, soit (b) la date à laquelle le Commandité est en mesure de lever un certain montant minimum dans les Engagements initiaux.</w:t>
      </w:r>
    </w:p>
  </w:footnote>
  <w:footnote w:id="22">
    <w:p w:rsidR="005E02FD" w:rsidP="005E02FD" w:rsidRDefault="005E02FD" w14:paraId="08608284" w14:textId="21EA21CE">
      <w:pPr>
        <w:pStyle w:val="FootnoteText"/>
      </w:pPr>
      <w:r>
        <w:rPr>
          <w:rStyle w:val="FootnoteReference"/>
        </w:rPr>
        <w:footnoteRef/>
      </w:r>
      <w:r>
        <w:t xml:space="preserve"> </w:t>
      </w:r>
      <w:r>
        <w:tab/>
        <w:t>L</w:t>
      </w:r>
      <w:r w:rsidR="00742027">
        <w:t>’</w:t>
      </w:r>
      <w:r>
        <w:t>exclusion des frais de divertissement et du montant du billet d</w:t>
      </w:r>
      <w:r w:rsidR="00742027">
        <w:t>’</w:t>
      </w:r>
      <w:r>
        <w:t>avion privé peut faire l</w:t>
      </w:r>
      <w:r w:rsidR="00742027">
        <w:t>’</w:t>
      </w:r>
      <w:r>
        <w:t>objet de négociations. De même, le coût de la conformité au processus de la « nation la plus favorisée »/NPF (qui est le processus qui commence après la clôture finale d</w:t>
      </w:r>
      <w:r w:rsidR="00742027">
        <w:t>’</w:t>
      </w:r>
      <w:r>
        <w:t>un fonds et en vertu duquel, de façon générale, tous les commanditaires sont censés recevoir des dispositions substantiellement similaires sur les ententes accessoires, sous réserve de certaines exceptions et exclusions, y compris le montant de l</w:t>
      </w:r>
      <w:r w:rsidR="00742027">
        <w:t>’</w:t>
      </w:r>
      <w:r>
        <w:t xml:space="preserve">engagement et les exigences fiscales, comptables, réglementaires, de déclaration et juridiques propres à certains commanditaires) peut être inclus dans les Dépenses du Fonds courantes, et est sujet à négociation. Voir la section </w:t>
      </w:r>
      <w:r w:rsidRPr="00BD2FE6">
        <w:fldChar w:fldCharType="begin"/>
      </w:r>
      <w:r w:rsidRPr="00BD2FE6">
        <w:instrText xml:space="preserve"> REF _Ref40802388 \r \h  \* MERGEFORMAT </w:instrText>
      </w:r>
      <w:r w:rsidRPr="00BD2FE6">
        <w:fldChar w:fldCharType="separate"/>
      </w:r>
      <w:r w:rsidR="00B50BE2">
        <w:t>20.5(b)</w:t>
      </w:r>
      <w:r w:rsidRPr="00BD2FE6">
        <w:fldChar w:fldCharType="end"/>
      </w:r>
      <w:r>
        <w:t xml:space="preserve"> (</w:t>
      </w:r>
      <w:r>
        <w:rPr>
          <w:i/>
        </w:rPr>
        <w:t>Intégralité de la convention</w:t>
      </w:r>
      <w:r>
        <w:t>) et les notes de bas de page 48 et 161.</w:t>
      </w:r>
    </w:p>
  </w:footnote>
  <w:footnote w:id="23">
    <w:p w:rsidR="005E02FD" w:rsidP="000C4FA4" w:rsidRDefault="005E02FD" w14:paraId="101AABAA" w14:textId="3C80619A">
      <w:pPr>
        <w:pStyle w:val="FootnoteText"/>
      </w:pPr>
      <w:r>
        <w:rPr>
          <w:rStyle w:val="FootnoteReference"/>
        </w:rPr>
        <w:footnoteRef/>
      </w:r>
      <w:r>
        <w:t xml:space="preserve"> </w:t>
      </w:r>
      <w:r>
        <w:tab/>
        <w:t xml:space="preserve">Ce terme est utilisé dans la présente Convention pour calculer les Frais de gestion progressifs (voir l’article </w:t>
      </w:r>
      <w:r>
        <w:fldChar w:fldCharType="begin"/>
      </w:r>
      <w:r>
        <w:instrText xml:space="preserve"> REF _Ref96457888 \r \h </w:instrText>
      </w:r>
      <w:r>
        <w:fldChar w:fldCharType="separate"/>
      </w:r>
      <w:r w:rsidR="00B50BE2">
        <w:t>8.4</w:t>
      </w:r>
      <w:r>
        <w:fldChar w:fldCharType="end"/>
      </w:r>
      <w:r>
        <w:t xml:space="preserve"> (</w:t>
      </w:r>
      <w:r w:rsidRPr="00BD2FE6">
        <w:rPr>
          <w:i/>
        </w:rPr>
        <w:fldChar w:fldCharType="begin"/>
      </w:r>
      <w:r w:rsidRPr="00BD2FE6">
        <w:rPr>
          <w:i/>
        </w:rPr>
        <w:instrText xml:space="preserve"> REF _Ref96457888 \h  \* MERGEFORMAT </w:instrText>
      </w:r>
      <w:r w:rsidRPr="00BD2FE6">
        <w:rPr>
          <w:i/>
        </w:rPr>
      </w:r>
      <w:r w:rsidRPr="00BD2FE6">
        <w:rPr>
          <w:i/>
        </w:rPr>
        <w:fldChar w:fldCharType="separate"/>
      </w:r>
      <w:r w:rsidRPr="00B50BE2" w:rsidR="00B50BE2">
        <w:rPr>
          <w:i/>
        </w:rPr>
        <w:t>Frais de gestion</w:t>
      </w:r>
      <w:r w:rsidR="00B50BE2">
        <w:t>.</w:t>
      </w:r>
      <w:r w:rsidRPr="00BD2FE6">
        <w:fldChar w:fldCharType="end"/>
      </w:r>
      <w:r>
        <w:t>)) et fait souvent l</w:t>
      </w:r>
      <w:r w:rsidR="00742027">
        <w:t>’</w:t>
      </w:r>
      <w:r>
        <w:t>objet de négociations.</w:t>
      </w:r>
    </w:p>
  </w:footnote>
  <w:footnote w:id="24">
    <w:p w:rsidR="005E02FD" w:rsidP="007E6A4A" w:rsidRDefault="005E02FD" w14:paraId="6E503601" w14:textId="77777777">
      <w:pPr>
        <w:pStyle w:val="FootnoteText"/>
      </w:pPr>
      <w:r>
        <w:rPr>
          <w:rStyle w:val="FootnoteReference"/>
        </w:rPr>
        <w:footnoteRef/>
      </w:r>
      <w:r>
        <w:t xml:space="preserve"> </w:t>
      </w:r>
      <w:r>
        <w:tab/>
        <w:t>La structure fiscale est souvent dictée par la rémunération du gestionnaire du Fonds, en particulier les distributions spéciales. Il est courant que le gestionnaire du Fonds établisse un « véhicule de distribution spéciale » distinct ou un « commanditaire » qui est membre du même groupe que le Commandité aux fins de collecter des distributions spéciales. Les gestionnaires du Fonds peuvent procéder ainsi pour la planification fiscale et successorale. Il est recommandé d’obtenir des conseils fiscaux.</w:t>
      </w:r>
    </w:p>
  </w:footnote>
  <w:footnote w:id="25">
    <w:p w:rsidR="005E02FD" w:rsidP="007E6A4A" w:rsidRDefault="005E02FD" w14:paraId="1634C146" w14:textId="54F2CBA4">
      <w:pPr>
        <w:pStyle w:val="FootnoteText"/>
      </w:pPr>
      <w:r w:rsidRPr="00B560A5">
        <w:rPr>
          <w:rStyle w:val="FootnoteReference"/>
          <w:szCs w:val="24"/>
        </w:rPr>
        <w:footnoteRef/>
      </w:r>
      <w:r>
        <w:t xml:space="preserve"> </w:t>
      </w:r>
      <w:r>
        <w:tab/>
        <w:t>Les Commandités peuvent préférer préciser que les Documents du Fonds n</w:t>
      </w:r>
      <w:r w:rsidR="00B83F07">
        <w:t>’</w:t>
      </w:r>
      <w:r>
        <w:t xml:space="preserve">incluent pas les documents d’offre ou exclure ces documents de la clause d’intégralité de la convention à l’article </w:t>
      </w:r>
      <w:r>
        <w:fldChar w:fldCharType="begin"/>
      </w:r>
      <w:r>
        <w:instrText xml:space="preserve"> REF _Ref45622068 \r \h </w:instrText>
      </w:r>
      <w:r>
        <w:fldChar w:fldCharType="separate"/>
      </w:r>
      <w:r w:rsidR="00B50BE2">
        <w:t>20.5(a)</w:t>
      </w:r>
      <w:r>
        <w:fldChar w:fldCharType="end"/>
      </w:r>
      <w:r>
        <w:t xml:space="preserve"> (</w:t>
      </w:r>
      <w:r w:rsidRPr="006D0835">
        <w:rPr>
          <w:i/>
        </w:rPr>
        <w:fldChar w:fldCharType="begin"/>
      </w:r>
      <w:r w:rsidRPr="006D0835">
        <w:rPr>
          <w:i/>
        </w:rPr>
        <w:instrText xml:space="preserve"> REF _Ref113892712 \h  \* MERGEFORMAT </w:instrText>
      </w:r>
      <w:r w:rsidRPr="006D0835">
        <w:rPr>
          <w:i/>
        </w:rPr>
      </w:r>
      <w:r w:rsidRPr="006D0835">
        <w:rPr>
          <w:i/>
        </w:rPr>
        <w:fldChar w:fldCharType="separate"/>
      </w:r>
      <w:r w:rsidRPr="00B50BE2" w:rsidR="00B50BE2">
        <w:rPr>
          <w:i/>
        </w:rPr>
        <w:t>Intégralité de la Convention.</w:t>
      </w:r>
      <w:r w:rsidRPr="006D0835">
        <w:rPr>
          <w:i/>
        </w:rPr>
        <w:fldChar w:fldCharType="end"/>
      </w:r>
      <w:r>
        <w:t xml:space="preserve">), afin de réduire la responsabilité potentielle en cas de fausse déclaration. </w:t>
      </w:r>
    </w:p>
  </w:footnote>
  <w:footnote w:id="26">
    <w:p w:rsidR="005E02FD" w:rsidP="005E02FD" w:rsidRDefault="005E02FD" w14:paraId="3A8E9C89" w14:textId="61FEECFD">
      <w:pPr>
        <w:pStyle w:val="FootnoteText"/>
      </w:pPr>
      <w:r w:rsidRPr="004B189B">
        <w:rPr>
          <w:rStyle w:val="FootnoteReference"/>
          <w:szCs w:val="24"/>
        </w:rPr>
        <w:footnoteRef/>
      </w:r>
      <w:r>
        <w:t xml:space="preserve"> </w:t>
      </w:r>
      <w:r>
        <w:tab/>
        <w:t xml:space="preserve">Cette définition est sujette à négociation.  En règle générale, le Commandité offrira un « droit de dispense » à un Commanditaire qui contreviendrait à une politique écrite interne. Voir l’article </w:t>
      </w:r>
      <w:r>
        <w:fldChar w:fldCharType="begin"/>
      </w:r>
      <w:r>
        <w:instrText xml:space="preserve"> REF _Ref40802008 \r \h </w:instrText>
      </w:r>
      <w:r>
        <w:fldChar w:fldCharType="separate"/>
      </w:r>
      <w:r w:rsidR="00B50BE2">
        <w:t>6.7</w:t>
      </w:r>
      <w:r>
        <w:fldChar w:fldCharType="end"/>
      </w:r>
      <w:r>
        <w:t xml:space="preserve"> (</w:t>
      </w:r>
      <w:r w:rsidRPr="00BD2FE6">
        <w:rPr>
          <w:i/>
        </w:rPr>
        <w:fldChar w:fldCharType="begin"/>
      </w:r>
      <w:r w:rsidRPr="00BD2FE6">
        <w:rPr>
          <w:i/>
        </w:rPr>
        <w:instrText xml:space="preserve"> REF _Ref40802008 \h  \* MERGEFORMAT </w:instrText>
      </w:r>
      <w:r w:rsidRPr="00BD2FE6">
        <w:rPr>
          <w:i/>
        </w:rPr>
      </w:r>
      <w:r w:rsidRPr="00BD2FE6">
        <w:rPr>
          <w:i/>
        </w:rPr>
        <w:fldChar w:fldCharType="separate"/>
      </w:r>
      <w:r w:rsidRPr="00B50BE2" w:rsidR="00B50BE2">
        <w:rPr>
          <w:i/>
        </w:rPr>
        <w:t>Commanditaires dispensés</w:t>
      </w:r>
      <w:r w:rsidR="00B50BE2">
        <w:t>.</w:t>
      </w:r>
      <w:r w:rsidRPr="00BD2FE6">
        <w:fldChar w:fldCharType="end"/>
      </w:r>
      <w:r>
        <w:t xml:space="preserve">) pour les modalités relatives aux droits de dispense. </w:t>
      </w:r>
    </w:p>
  </w:footnote>
  <w:footnote w:id="27">
    <w:p w:rsidR="005E02FD" w:rsidP="005E02FD" w:rsidRDefault="005E02FD" w14:paraId="0C17FA95" w14:textId="3C710E4A">
      <w:pPr>
        <w:pStyle w:val="FootnoteText"/>
      </w:pPr>
      <w:r w:rsidRPr="00B108AE">
        <w:rPr>
          <w:rStyle w:val="FootnoteReference"/>
        </w:rPr>
        <w:footnoteRef/>
      </w:r>
      <w:r>
        <w:t xml:space="preserve"> </w:t>
      </w:r>
      <w:r>
        <w:tab/>
        <w:t>Une telle politique peut inclure, par exemple, une restriction spécifique à l</w:t>
      </w:r>
      <w:r w:rsidR="00ED24D3">
        <w:t>’</w:t>
      </w:r>
      <w:r>
        <w:t xml:space="preserve">investissement ou une politique relative aux facteurs environnementaux, sociaux et de gouvernance (« </w:t>
      </w:r>
      <w:r>
        <w:rPr>
          <w:b/>
        </w:rPr>
        <w:t>ESG</w:t>
      </w:r>
      <w:r>
        <w:t xml:space="preserve"> »).</w:t>
      </w:r>
    </w:p>
  </w:footnote>
  <w:footnote w:id="28">
    <w:p w:rsidR="005E02FD" w:rsidP="005E02FD" w:rsidRDefault="005E02FD" w14:paraId="38E8C8C2" w14:textId="3B236AA4">
      <w:pPr>
        <w:pStyle w:val="FootnoteText"/>
      </w:pPr>
      <w:r>
        <w:rPr>
          <w:rStyle w:val="FootnoteReference"/>
        </w:rPr>
        <w:footnoteRef/>
      </w:r>
      <w:r>
        <w:tab/>
        <w:t>De nombreux investisseurs plus petits et non institutionnels n</w:t>
      </w:r>
      <w:r w:rsidR="00ED24D3">
        <w:t>’</w:t>
      </w:r>
      <w:r>
        <w:t>ont généralement pas besoin de signer une entente accessoire et les commandités essaient de répondre à toutes leurs demandes dans le cadre d'une convention de société en commandite. En règle générale, les investisseurs institutionnels négocient et concluent une entente accessoire avec le commandité qui contient des conditions supplémentaires pour répondre aux intérêts commerciaux, fiscaux et réglementaires uniques de cet investisseur. L’entente accessoire complétera cette convention de société en commandite et, avec les modalités de cette convention de société en commandite, constituera l</w:t>
      </w:r>
      <w:r w:rsidR="00ED24D3">
        <w:t>’</w:t>
      </w:r>
      <w:r>
        <w:t xml:space="preserve">intégralité de cette convention entre cet investisseur et le Fonds. Voir l’article </w:t>
      </w:r>
      <w:r>
        <w:fldChar w:fldCharType="begin"/>
      </w:r>
      <w:r>
        <w:instrText xml:space="preserve"> REF _Ref113892712 \r \h </w:instrText>
      </w:r>
      <w:r>
        <w:fldChar w:fldCharType="separate"/>
      </w:r>
      <w:r w:rsidR="00B50BE2">
        <w:t>20.5</w:t>
      </w:r>
      <w:r>
        <w:fldChar w:fldCharType="end"/>
      </w:r>
      <w:r>
        <w:t xml:space="preserve"> (</w:t>
      </w:r>
      <w:r w:rsidRPr="00856D2F">
        <w:rPr>
          <w:i/>
        </w:rPr>
        <w:fldChar w:fldCharType="begin"/>
      </w:r>
      <w:r w:rsidRPr="00856D2F">
        <w:rPr>
          <w:i/>
        </w:rPr>
        <w:instrText xml:space="preserve"> REF _Ref113892712 \h </w:instrText>
      </w:r>
      <w:r>
        <w:rPr>
          <w:i/>
        </w:rPr>
        <w:instrText xml:space="preserve"> \* MERGEFORMAT </w:instrText>
      </w:r>
      <w:r w:rsidRPr="00856D2F">
        <w:rPr>
          <w:i/>
        </w:rPr>
      </w:r>
      <w:r w:rsidRPr="00856D2F">
        <w:rPr>
          <w:i/>
        </w:rPr>
        <w:fldChar w:fldCharType="separate"/>
      </w:r>
      <w:r w:rsidRPr="00B50BE2" w:rsidR="00B50BE2">
        <w:rPr>
          <w:i/>
        </w:rPr>
        <w:t>Intégralité de la Convention.</w:t>
      </w:r>
      <w:r w:rsidRPr="00856D2F">
        <w:rPr>
          <w:i/>
        </w:rPr>
        <w:fldChar w:fldCharType="end"/>
      </w:r>
      <w:r>
        <w:t>) et la note de bas de page 161. Les gestionnaires de Fonds préfèrent généralement intégrer des droits dans la convention de société en commandite afin de rationaliser les rapports et d</w:t>
      </w:r>
      <w:r w:rsidR="00ED24D3">
        <w:t>’</w:t>
      </w:r>
      <w:r>
        <w:t>éviter les processus complexes de la « nation la plus favorisée » («</w:t>
      </w:r>
      <w:r>
        <w:rPr>
          <w:b/>
        </w:rPr>
        <w:t xml:space="preserve"> NPF</w:t>
      </w:r>
      <w:r>
        <w:t xml:space="preserve"> »). L</w:t>
      </w:r>
      <w:r w:rsidR="00ED24D3">
        <w:t>’</w:t>
      </w:r>
      <w:r>
        <w:t>adhésion à de vastes dispositions NPF qui accordent des droits spéciaux à de nombreux investisseurs peut ne pas être nécessaire ou n’ajouter aucune valeur aux investisseurs, et peut également être difficile pour les gestionnaires de fonds car la manière de les mettre en œuvre n’est pas toujours claire et la mise en œuvre et le respect du processus peuvent s’avérer lourds et onéreux. Compte tenu de tous ces éléments dans chaque cas particulier et en fonction des exigences de divulgation des investisseurs, des restrictions en matière de confidentialité et de la pertinence de ces dispositions, les gestionnaires du Fonds peuvent souhaiter divulguer tout</w:t>
      </w:r>
      <w:r w:rsidR="00ED24D3">
        <w:t>es</w:t>
      </w:r>
      <w:r>
        <w:t xml:space="preserve"> ou</w:t>
      </w:r>
      <w:r w:rsidR="00ED24D3">
        <w:t xml:space="preserve"> une</w:t>
      </w:r>
      <w:r>
        <w:t xml:space="preserve"> partie des ententes accessoires à certains ou à tous les investisseurs.</w:t>
      </w:r>
    </w:p>
  </w:footnote>
  <w:footnote w:id="29">
    <w:p w:rsidR="005E02FD" w:rsidP="005E02FD" w:rsidRDefault="005E02FD" w14:paraId="280905D2" w14:textId="4AD7E69F">
      <w:pPr>
        <w:pStyle w:val="FootnoteText"/>
      </w:pPr>
      <w:r w:rsidRPr="004B189B">
        <w:rPr>
          <w:rStyle w:val="FootnoteReference"/>
          <w:szCs w:val="24"/>
        </w:rPr>
        <w:footnoteRef/>
      </w:r>
      <w:r>
        <w:t xml:space="preserve"> </w:t>
      </w:r>
      <w:r>
        <w:tab/>
        <w:t>Il est très courant d</w:t>
      </w:r>
      <w:r w:rsidR="00ED24D3">
        <w:t>’</w:t>
      </w:r>
      <w:r>
        <w:t>avoir une Entente de gestion séparée entre le Commandité et le Gestionnaire en vertu de laquelle le Commandité délègue certaines tâches relatives à la gestion du Fonds au Gestionnaire. L</w:t>
      </w:r>
      <w:r w:rsidR="00ED24D3">
        <w:t>’</w:t>
      </w:r>
      <w:r>
        <w:t>Entente de gestion régira les modalités de l</w:t>
      </w:r>
      <w:r w:rsidR="00ED24D3">
        <w:t>’</w:t>
      </w:r>
      <w:r>
        <w:t>engagement du Gestionnaire et établira les frais de gestion (et les déductions applicables) qui sont payables au Gestionnaire. Par ailleurs, le Gestionnaire peut être engagé en vertu de la Convention de société en commandite, sans Entente de gestion distincte. Si une Entente de gestion distincte est utilisée, il se peut que le Gestionnaire n</w:t>
      </w:r>
      <w:r w:rsidR="00ED24D3">
        <w:t>’</w:t>
      </w:r>
      <w:r>
        <w:t>ait pas à être partie à la Convention de société en commandite.</w:t>
      </w:r>
    </w:p>
  </w:footnote>
  <w:footnote w:id="30">
    <w:p w:rsidR="005E02FD" w:rsidP="005E02FD" w:rsidRDefault="005E02FD" w14:paraId="05466987" w14:textId="77777777">
      <w:pPr>
        <w:pStyle w:val="FootnoteText"/>
      </w:pPr>
      <w:r>
        <w:rPr>
          <w:rStyle w:val="FootnoteReference"/>
        </w:rPr>
        <w:footnoteRef/>
      </w:r>
      <w:r>
        <w:tab/>
        <w:t>Le Commandité peut vouloir proposer la mise en place et la gestion d'une entité nourricière ou exonérée pour accommoder un ou plusieurs investisseurs avec des exigences légales, fiscales ou réglementaires spécifiques.</w:t>
      </w:r>
    </w:p>
  </w:footnote>
  <w:footnote w:id="31">
    <w:p w:rsidR="007E6A4A" w:rsidP="007E6A4A" w:rsidRDefault="007E6A4A" w14:paraId="79F66389" w14:textId="77777777">
      <w:pPr>
        <w:pStyle w:val="FootnoteText"/>
      </w:pPr>
      <w:r>
        <w:rPr>
          <w:rStyle w:val="FootnoteReference"/>
        </w:rPr>
        <w:footnoteRef/>
      </w:r>
      <w:r>
        <w:rPr>
          <w:b/>
        </w:rPr>
        <w:tab/>
      </w:r>
      <w:r>
        <w:t xml:space="preserve">Les déclencheurs d’un « Événement déclencheur » peuvent varier et sont sujets à négociation. </w:t>
      </w:r>
    </w:p>
  </w:footnote>
  <w:footnote w:id="32">
    <w:p w:rsidR="007E6A4A" w:rsidP="007E6A4A" w:rsidRDefault="007E6A4A" w14:paraId="7C556BA3" w14:textId="77777777">
      <w:pPr>
        <w:pStyle w:val="FootnoteText"/>
      </w:pPr>
      <w:r w:rsidRPr="00B560A5">
        <w:rPr>
          <w:rStyle w:val="FootnoteReference"/>
          <w:szCs w:val="24"/>
        </w:rPr>
        <w:footnoteRef/>
      </w:r>
      <w:r>
        <w:rPr>
          <w:rStyle w:val="FootnoteReference"/>
          <w:szCs w:val="24"/>
        </w:rPr>
        <w:t xml:space="preserve"> </w:t>
      </w:r>
      <w:r>
        <w:rPr>
          <w:rStyle w:val="FootnoteReference"/>
          <w:szCs w:val="24"/>
        </w:rPr>
        <w:tab/>
      </w:r>
      <w:r>
        <w:t>Bien qu'il n'y ait pas de distinction claire entre les termes « Négligence grossière » et « négligence » dans la jurisprudence canadienne, la négligence grossière est encore souvent utilisée dans les contrats de cette nature. Envisagez de définir la négligence grossière en utilisant des concepts intentionnels ou délibérés. Les déclencheurs d’un « Événement déclencheur » peuvent varier et sont sujets à négociation.</w:t>
      </w:r>
    </w:p>
  </w:footnote>
  <w:footnote w:id="33">
    <w:p w:rsidRPr="00F94B84" w:rsidR="007E6A4A" w:rsidP="007E6A4A" w:rsidRDefault="007E6A4A" w14:paraId="740F4991" w14:textId="77777777">
      <w:pPr>
        <w:pStyle w:val="FootnoteText"/>
        <w:rPr>
          <w:lang w:val="fr-CA"/>
        </w:rPr>
      </w:pPr>
      <w:r>
        <w:rPr>
          <w:rStyle w:val="FootnoteReference"/>
        </w:rPr>
        <w:footnoteRef/>
      </w:r>
      <w:r>
        <w:t xml:space="preserve"> </w:t>
      </w:r>
      <w:r>
        <w:tab/>
        <w:t xml:space="preserve">Une autre formulation peut être envisagée pour les sociétés en commandite du Québec. Il est recommandé de consulter un conseiller juridique du Québec. </w:t>
      </w:r>
    </w:p>
  </w:footnote>
  <w:footnote w:id="34">
    <w:p w:rsidR="007E6A4A" w:rsidP="007E6A4A" w:rsidRDefault="007E6A4A" w14:paraId="42C2B0BE" w14:textId="77777777">
      <w:pPr>
        <w:pStyle w:val="FootnoteText"/>
      </w:pPr>
      <w:r w:rsidRPr="00DF2FCD">
        <w:rPr>
          <w:rStyle w:val="FootnoteReference"/>
        </w:rPr>
        <w:footnoteRef/>
      </w:r>
      <w:r>
        <w:rPr>
          <w:rStyle w:val="FootnoteReference"/>
        </w:rPr>
        <w:t xml:space="preserve"> </w:t>
      </w:r>
      <w:r>
        <w:rPr>
          <w:rStyle w:val="FootnoteReference"/>
        </w:rPr>
        <w:tab/>
      </w:r>
      <w:r>
        <w:t>Formulation à modifier conformément à la structure du Commandité/Personne-clé. Chaque Fonds négociera des engagements spécifiques en termes de temps et d’attention de la part de ses Personnes-clés.</w:t>
      </w:r>
    </w:p>
  </w:footnote>
  <w:footnote w:id="35">
    <w:p w:rsidR="001A7D21" w:rsidP="000C4FA4" w:rsidRDefault="001A7D21" w14:paraId="2DBC2E35" w14:textId="77777777">
      <w:pPr>
        <w:pStyle w:val="FootnoteText"/>
      </w:pPr>
      <w:r w:rsidRPr="00B560A5">
        <w:rPr>
          <w:rStyle w:val="FootnoteReference"/>
          <w:szCs w:val="24"/>
        </w:rPr>
        <w:footnoteRef/>
      </w:r>
      <w:r>
        <w:t xml:space="preserve"> </w:t>
      </w:r>
      <w:r>
        <w:tab/>
        <w:t>Les fonds de capital de risque n'ont généralement pas de facilité de crédit.</w:t>
      </w:r>
    </w:p>
  </w:footnote>
  <w:footnote w:id="36">
    <w:p w:rsidR="001A7D21" w:rsidP="001A7D21" w:rsidRDefault="001A7D21" w14:paraId="3E1E0DB1" w14:textId="20F5BF3C">
      <w:pPr>
        <w:pStyle w:val="FootnoteText"/>
      </w:pPr>
      <w:r>
        <w:rPr>
          <w:rStyle w:val="FootnoteReference"/>
        </w:rPr>
        <w:footnoteRef/>
      </w:r>
      <w:r>
        <w:t xml:space="preserve"> </w:t>
      </w:r>
      <w:r>
        <w:tab/>
        <w:t>Les Fonds antérieurs incluent généralement des Fonds antérieurs gérés par le même Gestionnaire de Fonds ayant une stratégie d</w:t>
      </w:r>
      <w:r w:rsidR="00ED24D3">
        <w:t>’</w:t>
      </w:r>
      <w:r>
        <w:t>investissement similaire à celle du Fonds actuel. En règle générale, la Convention de société en commandite prévoit que le capital des Fonds antérieurs doit être presque entièrement déployé ou réservé aux investissements et aux dépenses avant la formation d</w:t>
      </w:r>
      <w:r w:rsidR="00ED24D3">
        <w:t>’</w:t>
      </w:r>
      <w:r>
        <w:t>un nouveau Fonds ayant la même stratégie d</w:t>
      </w:r>
      <w:r w:rsidR="00ED24D3">
        <w:t>’</w:t>
      </w:r>
      <w:r>
        <w:t>investissement.</w:t>
      </w:r>
    </w:p>
  </w:footnote>
  <w:footnote w:id="37">
    <w:p w:rsidR="007E6A4A" w:rsidP="007E6A4A" w:rsidRDefault="007E6A4A" w14:paraId="46D56991" w14:textId="77777777">
      <w:pPr>
        <w:pStyle w:val="FootnoteText"/>
      </w:pPr>
      <w:r w:rsidRPr="004B189B">
        <w:rPr>
          <w:rStyle w:val="FootnoteReference"/>
          <w:szCs w:val="24"/>
        </w:rPr>
        <w:footnoteRef/>
      </w:r>
      <w:r>
        <w:t xml:space="preserve"> </w:t>
      </w:r>
      <w:r>
        <w:tab/>
        <w:t>Les modalités de la Convention de société en commandite énonceront les devoirs du Commandité et prévoient souvent le droit du Commandité de déléguer certains devoirs au Gestionnaire. Le Gestionnaire sera généralement Membre du même groupe que le Commandité.</w:t>
      </w:r>
    </w:p>
  </w:footnote>
  <w:footnote w:id="38">
    <w:p w:rsidR="001A7D21" w:rsidP="001A7D21" w:rsidRDefault="001A7D21" w14:paraId="76B5038E" w14:textId="298322A6">
      <w:pPr>
        <w:pStyle w:val="FootnoteText"/>
      </w:pPr>
      <w:r w:rsidRPr="004B189B">
        <w:rPr>
          <w:rStyle w:val="FootnoteReference"/>
          <w:szCs w:val="24"/>
        </w:rPr>
        <w:footnoteRef/>
      </w:r>
      <w:r>
        <w:t xml:space="preserve"> </w:t>
      </w:r>
      <w:r>
        <w:tab/>
        <w:t>La définition des Investissements temporaires peut être modifiée pour répondre aux objectifs d</w:t>
      </w:r>
      <w:r w:rsidR="00ED24D3">
        <w:t>’</w:t>
      </w:r>
      <w:r>
        <w:t>investissement du Fonds et aux préférences du Commandité.</w:t>
      </w:r>
    </w:p>
  </w:footnote>
  <w:footnote w:id="39">
    <w:p w:rsidR="0000160C" w:rsidRDefault="00C517ED" w14:paraId="7FE72F3C" w14:textId="3E0F37E3">
      <w:pPr>
        <w:pStyle w:val="FootnoteText"/>
      </w:pPr>
      <w:r w:rsidRPr="00B02131">
        <w:rPr>
          <w:rStyle w:val="FootnoteReference"/>
          <w:szCs w:val="24"/>
        </w:rPr>
        <w:footnoteRef/>
      </w:r>
      <w:r>
        <w:t xml:space="preserve"> </w:t>
      </w:r>
      <w:r>
        <w:tab/>
        <w:t>L</w:t>
      </w:r>
      <w:r w:rsidR="00ED24D3">
        <w:t>’</w:t>
      </w:r>
      <w:r>
        <w:t>Ontario et, dans une moindre mesure, le Québec sont couramment utilisés comme juridiction pour la formation de la société en commandite. Toutefois, d</w:t>
      </w:r>
      <w:r w:rsidR="00ED24D3">
        <w:t>’</w:t>
      </w:r>
      <w:r>
        <w:t xml:space="preserve">autres </w:t>
      </w:r>
      <w:r w:rsidR="009563EC">
        <w:t>juridictions</w:t>
      </w:r>
      <w:r>
        <w:t xml:space="preserve"> pourraient être plus appropriées selon les besoins juridiques et administratifs des </w:t>
      </w:r>
      <w:r w:rsidR="009563EC">
        <w:t>associés</w:t>
      </w:r>
      <w:r>
        <w:t>. L</w:t>
      </w:r>
      <w:r w:rsidR="00ED24D3">
        <w:t>’</w:t>
      </w:r>
      <w:r>
        <w:t xml:space="preserve">Ontario exige </w:t>
      </w:r>
      <w:r w:rsidR="009563EC">
        <w:t>uniquement</w:t>
      </w:r>
      <w:r>
        <w:t xml:space="preserve"> le dépôt d</w:t>
      </w:r>
      <w:r w:rsidR="00ED24D3">
        <w:t>’</w:t>
      </w:r>
      <w:r>
        <w:t>une déclaration contenant des renseignements de base sur la société en commandite (ni la divulgation de l</w:t>
      </w:r>
      <w:r w:rsidR="00ED24D3">
        <w:t>’</w:t>
      </w:r>
      <w:r>
        <w:t>identité des commanditaires ni un certificat de société en commandite décrivant les modalités principales de la convention de société en commandite ne sont requis). Le Québec exige le dépôt d</w:t>
      </w:r>
      <w:r w:rsidR="00ED24D3">
        <w:t>’</w:t>
      </w:r>
      <w:r>
        <w:t>une déclaration avec l</w:t>
      </w:r>
      <w:r w:rsidR="00ED24D3">
        <w:t>’</w:t>
      </w:r>
      <w:r>
        <w:t>identité des commanditaires, mais aucun résumé des modalités de la convention de société en commandite n</w:t>
      </w:r>
      <w:r w:rsidR="00ED24D3">
        <w:t>’</w:t>
      </w:r>
      <w:r>
        <w:t>est requis, et peut offrir une protection supérieure en matière de responsabilité limitée pour les commanditaires. Le Manitoba peut offrir une protection supérieure en matière de responsabilité limitée pour les commanditaires selon la structure du Fonds, mais il faut savoir que le défaut de renouveler une société en commandite au Manitoba fait en sorte que cette société en commandite devient une société en nom collectif plutôt qu</w:t>
      </w:r>
      <w:r w:rsidR="00ED24D3">
        <w:t>’</w:t>
      </w:r>
      <w:r>
        <w:t xml:space="preserve">une société en commandite (et que, par conséquent, toutes les parties perdent leur statut de société </w:t>
      </w:r>
      <w:r w:rsidR="005A0148">
        <w:t>à responsabilité limitée</w:t>
      </w:r>
      <w:r>
        <w:t xml:space="preserve">). Examinez attentivement les exigences juridiques de chaque </w:t>
      </w:r>
      <w:r w:rsidR="005A0148">
        <w:t>juridiction</w:t>
      </w:r>
      <w:r>
        <w:t xml:space="preserve"> avant </w:t>
      </w:r>
      <w:r w:rsidR="005A0148">
        <w:t>de choisir celle-ci</w:t>
      </w:r>
      <w:r>
        <w:t xml:space="preserve">. </w:t>
      </w:r>
    </w:p>
  </w:footnote>
  <w:footnote w:id="40">
    <w:p w:rsidR="0000160C" w:rsidRDefault="00C517ED" w14:paraId="630C1139" w14:textId="68F785E7">
      <w:pPr>
        <w:pStyle w:val="FootnoteText"/>
      </w:pPr>
      <w:r>
        <w:rPr>
          <w:rStyle w:val="FootnoteReference"/>
        </w:rPr>
        <w:footnoteRef/>
      </w:r>
      <w:r>
        <w:t xml:space="preserve"> </w:t>
      </w:r>
      <w:r>
        <w:tab/>
        <w:t xml:space="preserve">Les investisseurs peuvent demander au </w:t>
      </w:r>
      <w:r w:rsidR="00851A4C">
        <w:t>C</w:t>
      </w:r>
      <w:r>
        <w:t>ommandité un tableau de structure indiquant toutes les entités, y compris les partenaires d'exploitation.</w:t>
      </w:r>
    </w:p>
  </w:footnote>
  <w:footnote w:id="41">
    <w:p w:rsidR="001A7D21" w:rsidP="001A7D21" w:rsidRDefault="001A7D21" w14:paraId="67C1D56E" w14:textId="278F101E">
      <w:pPr>
        <w:pStyle w:val="FootnoteText"/>
      </w:pPr>
      <w:r>
        <w:rPr>
          <w:rStyle w:val="FootnoteReference"/>
        </w:rPr>
        <w:footnoteRef/>
      </w:r>
      <w:r>
        <w:t xml:space="preserve"> </w:t>
      </w:r>
      <w:r>
        <w:tab/>
        <w:t>Par ailleurs, les Participations des Associés du Fonds peuvent également être exprimés sous la forme d</w:t>
      </w:r>
      <w:proofErr w:type="gramStart"/>
      <w:r w:rsidR="00ED24D3">
        <w:t>’</w:t>
      </w:r>
      <w:r>
        <w:t>«</w:t>
      </w:r>
      <w:proofErr w:type="gramEnd"/>
      <w:r>
        <w:t xml:space="preserve"> unités ». Bien qu</w:t>
      </w:r>
      <w:r w:rsidR="00ED24D3">
        <w:t>’</w:t>
      </w:r>
      <w:r>
        <w:t>il n</w:t>
      </w:r>
      <w:r w:rsidR="00ED24D3">
        <w:t>’</w:t>
      </w:r>
      <w:r>
        <w:t>y ait pas de différence juridique significative, les Unités doivent parfois être attestées par des certificats physiques.</w:t>
      </w:r>
    </w:p>
  </w:footnote>
  <w:footnote w:id="42">
    <w:p w:rsidR="001A7D21" w:rsidP="001A7D21" w:rsidRDefault="001A7D21" w14:paraId="0D2D3A39" w14:textId="504E2F20">
      <w:pPr>
        <w:pStyle w:val="FootnoteText"/>
      </w:pPr>
      <w:r>
        <w:rPr>
          <w:rStyle w:val="FootnoteReference"/>
        </w:rPr>
        <w:footnoteRef/>
      </w:r>
      <w:r>
        <w:tab/>
        <w:t xml:space="preserve">Sous réserve de la préférence du Commandité, le Fonds peut utiliser les NIIF ou les NCECF, auquel cas la définition suivante devrait être utilisée : </w:t>
      </w:r>
      <w:r>
        <w:rPr>
          <w:i/>
        </w:rPr>
        <w:t xml:space="preserve">« NIIF » désigne les Normes internationales </w:t>
      </w:r>
      <w:r w:rsidR="00ED24D3">
        <w:rPr>
          <w:i/>
        </w:rPr>
        <w:t>d’</w:t>
      </w:r>
      <w:r>
        <w:rPr>
          <w:i/>
        </w:rPr>
        <w:t>information financière, telles qu</w:t>
      </w:r>
      <w:r w:rsidR="00ED24D3">
        <w:rPr>
          <w:i/>
        </w:rPr>
        <w:t>’</w:t>
      </w:r>
      <w:r>
        <w:rPr>
          <w:i/>
        </w:rPr>
        <w:t>elles ont été publiées par le Conseil des normes comptables internationales et adoptées par les Comptables professionnels agréés du Canada dans la partie I du Manuel de CPA Canada - Comptabilité</w:t>
      </w:r>
      <w:r>
        <w:t>.</w:t>
      </w:r>
    </w:p>
  </w:footnote>
  <w:footnote w:id="43">
    <w:p w:rsidR="000C4FA4" w:rsidP="000C4FA4" w:rsidRDefault="000C4FA4" w14:paraId="504C778D" w14:textId="57722A59">
      <w:pPr>
        <w:pStyle w:val="FootnoteText"/>
      </w:pPr>
      <w:r w:rsidRPr="00B560A5">
        <w:rPr>
          <w:rStyle w:val="FootnoteReference"/>
          <w:szCs w:val="24"/>
        </w:rPr>
        <w:footnoteRef/>
      </w:r>
      <w:r>
        <w:t xml:space="preserve"> </w:t>
      </w:r>
      <w:r>
        <w:tab/>
        <w:t>La fourchette typique pour la Période d</w:t>
      </w:r>
      <w:r w:rsidR="00ED24D3">
        <w:t>’</w:t>
      </w:r>
      <w:r>
        <w:t>engagement est comprise entre 4 et 6 ans.</w:t>
      </w:r>
    </w:p>
  </w:footnote>
  <w:footnote w:id="44">
    <w:p w:rsidR="000C4FA4" w:rsidP="000C4FA4" w:rsidRDefault="000C4FA4" w14:paraId="20932CEC" w14:textId="7177A59E">
      <w:pPr>
        <w:pStyle w:val="FootnoteText"/>
      </w:pPr>
      <w:r w:rsidRPr="00B560A5">
        <w:rPr>
          <w:rStyle w:val="FootnoteReference"/>
          <w:szCs w:val="24"/>
        </w:rPr>
        <w:footnoteRef/>
      </w:r>
      <w:r>
        <w:t xml:space="preserve"> </w:t>
      </w:r>
      <w:r>
        <w:tab/>
        <w:t>Les Commanditaires peuvent demander le droit de résilier la Période d'engagement par une résolution des Commanditaires sans motif valable. Il s</w:t>
      </w:r>
      <w:r w:rsidR="00ED24D3">
        <w:t>’</w:t>
      </w:r>
      <w:r>
        <w:t>agirait d</w:t>
      </w:r>
      <w:r w:rsidR="00ED24D3">
        <w:t>’</w:t>
      </w:r>
      <w:r>
        <w:t>une disposition favorable aux Commanditaires qui impliquerait l</w:t>
      </w:r>
      <w:r w:rsidR="00ED24D3">
        <w:t>’</w:t>
      </w:r>
      <w:r>
        <w:t>ajout du paragraphe suivant à la définition de « Période d</w:t>
      </w:r>
      <w:r w:rsidR="00ED24D3">
        <w:t>’</w:t>
      </w:r>
      <w:r>
        <w:t xml:space="preserve">engagement » : </w:t>
      </w:r>
      <w:r>
        <w:rPr>
          <w:i/>
        </w:rPr>
        <w:t>(d) la date de remise au Commandité d</w:t>
      </w:r>
      <w:r w:rsidR="00ED24D3">
        <w:rPr>
          <w:i/>
        </w:rPr>
        <w:t>’</w:t>
      </w:r>
      <w:r>
        <w:rPr>
          <w:i/>
        </w:rPr>
        <w:t xml:space="preserve">un avis écrit approuvé par </w:t>
      </w:r>
      <w:r>
        <w:rPr>
          <w:b/>
          <w:i/>
        </w:rPr>
        <w:t xml:space="preserve">[75 - </w:t>
      </w:r>
      <w:r w:rsidRPr="002D29D9">
        <w:rPr>
          <w:bCs/>
          <w:i/>
        </w:rPr>
        <w:t>90] %</w:t>
      </w:r>
      <w:r>
        <w:rPr>
          <w:i/>
        </w:rPr>
        <w:t xml:space="preserve"> en Participations pour résilier la Période d</w:t>
      </w:r>
      <w:r w:rsidR="00ED24D3">
        <w:rPr>
          <w:i/>
        </w:rPr>
        <w:t>’</w:t>
      </w:r>
      <w:r>
        <w:rPr>
          <w:i/>
        </w:rPr>
        <w:t>engagement.</w:t>
      </w:r>
    </w:p>
  </w:footnote>
  <w:footnote w:id="45">
    <w:p w:rsidR="000C4FA4" w:rsidP="000C4FA4" w:rsidRDefault="000C4FA4" w14:paraId="3D6B42D5" w14:textId="1CDE5E30">
      <w:pPr>
        <w:pStyle w:val="FootnoteText"/>
      </w:pPr>
      <w:r>
        <w:rPr>
          <w:rStyle w:val="FootnoteReference"/>
        </w:rPr>
        <w:footnoteRef/>
      </w:r>
      <w:r>
        <w:t xml:space="preserve"> </w:t>
      </w:r>
      <w:r>
        <w:tab/>
        <w:t>Il est courant d’interdire à certains investisseurs d</w:t>
      </w:r>
      <w:r w:rsidR="00ED24D3">
        <w:t>’</w:t>
      </w:r>
      <w:r>
        <w:t>être des Associés du Fonds afin d’éviter que le Fonds et les Commanditaires résidents du Canada soient assujettis à certaines règles fiscales potentiellement défavorables. Les restrictions varient et peuvent devoir être adaptées aux circonstances particulières du Fonds. Par exemple, la restriction selon laquelle tous les Associés doivent être des résidents du Canada peut être éliminée pour les Fonds avec des investisseurs non-résidents, à moins que ces investisseurs n</w:t>
      </w:r>
      <w:r w:rsidR="00ED24D3">
        <w:t>’</w:t>
      </w:r>
      <w:r>
        <w:t>investissent dans un fonds distinct réservé aux investisseurs non-résidents. Il est recommandé d’obtenir des conseils fiscaux.</w:t>
      </w:r>
    </w:p>
  </w:footnote>
  <w:footnote w:id="46">
    <w:p w:rsidR="000C4FA4" w:rsidP="000C4FA4" w:rsidRDefault="000C4FA4" w14:paraId="74FED8BA" w14:textId="6C8B5A8D">
      <w:pPr>
        <w:pStyle w:val="FootnoteText"/>
      </w:pPr>
      <w:r w:rsidRPr="00B560A5">
        <w:rPr>
          <w:rStyle w:val="FootnoteReference"/>
          <w:szCs w:val="24"/>
        </w:rPr>
        <w:footnoteRef/>
      </w:r>
      <w:r>
        <w:rPr>
          <w:rStyle w:val="FootnoteReference"/>
          <w:szCs w:val="24"/>
        </w:rPr>
        <w:t xml:space="preserve"> </w:t>
      </w:r>
      <w:r>
        <w:t xml:space="preserve"> </w:t>
      </w:r>
      <w:r>
        <w:tab/>
        <w:t>Les « Personnes-clés » sont les professionnels de l</w:t>
      </w:r>
      <w:r w:rsidR="00ED24D3">
        <w:t>’</w:t>
      </w:r>
      <w:r>
        <w:t>investissement qui composent l</w:t>
      </w:r>
      <w:r w:rsidR="00ED24D3">
        <w:t>’</w:t>
      </w:r>
      <w:r>
        <w:t>équipe de gestion principale du Commandité. Les investisseurs souhaitent généralement s</w:t>
      </w:r>
      <w:r w:rsidR="00ED24D3">
        <w:t>’</w:t>
      </w:r>
      <w:r>
        <w:t>assurer que certains membres de l</w:t>
      </w:r>
      <w:r w:rsidR="00ED24D3">
        <w:t>’</w:t>
      </w:r>
      <w:r>
        <w:t>équipe de gestion du Fonds gardent le contrôle des activités du Fonds. Les dispositions de la Convention de société en commandite relatives aux Personnes-clés visent à assurer que ces membres de l</w:t>
      </w:r>
      <w:r w:rsidR="00ED24D3">
        <w:t>’</w:t>
      </w:r>
      <w:r>
        <w:t>équipe de gestion continuent d</w:t>
      </w:r>
      <w:r w:rsidR="00ED24D3">
        <w:t>’</w:t>
      </w:r>
      <w:r>
        <w:t>être consacrés au fonctionnement du Fonds. Le nombre précis de Personnes-clés et leurs titres de gestion respectifs varieront en fonction de la stratégie d</w:t>
      </w:r>
      <w:r w:rsidR="00ED24D3">
        <w:t>’</w:t>
      </w:r>
      <w:r>
        <w:t>investissement du Fonds et de la taille et de la structure du Commandité. Souvent, les nouvelles Personnes-clés et les Personnes-clés remplaçantes doivent être approuvées par le Comité consultatif des Commanditaires plutôt que par une Majorité de Participations. L</w:t>
      </w:r>
      <w:r w:rsidR="00ED24D3">
        <w:t>’</w:t>
      </w:r>
      <w:r>
        <w:t>identité et le nombre de Personnes-clés ainsi que le processus d'approbation et de remplacement des Personnes-clés sont souvent négociés.</w:t>
      </w:r>
    </w:p>
  </w:footnote>
  <w:footnote w:id="47">
    <w:p w:rsidR="001A7D21" w:rsidP="001A7D21" w:rsidRDefault="001A7D21" w14:paraId="553ECDF0" w14:textId="4535CA81">
      <w:pPr>
        <w:pStyle w:val="FootnoteText"/>
        <w:rPr>
          <w:b/>
        </w:rPr>
      </w:pPr>
      <w:r w:rsidRPr="004B189B">
        <w:rPr>
          <w:rStyle w:val="FootnoteReference"/>
          <w:szCs w:val="24"/>
        </w:rPr>
        <w:footnoteRef/>
      </w:r>
      <w:r>
        <w:t xml:space="preserve"> </w:t>
      </w:r>
      <w:r>
        <w:tab/>
        <w:t>Ce montant est souvent négocié et tient compte des coûts initiaux de mise en place du Fonds, du Commandité et du Gestionnaire, le cas échéant, et peut être exprimé sous la forme d</w:t>
      </w:r>
      <w:r w:rsidR="00ED24D3">
        <w:t>’</w:t>
      </w:r>
      <w:r>
        <w:t>un montant fixe par opposition à un pourcentage des Engagements globaux. Les dépenses engagées en deçà du plafond seront prises en charge par le Fonds et tout excédent sera couvert par le Commandité. Le plafond correspondra généralement à la levée de fonds recherchée, mais il pourrait y avoir d</w:t>
      </w:r>
      <w:r w:rsidR="00ED24D3">
        <w:t>’</w:t>
      </w:r>
      <w:r>
        <w:t>autres facteurs pertinents (par exemple, la complexité de la structure du fonds, la participation de véhicules parallèles et alternatifs, etc.).</w:t>
      </w:r>
    </w:p>
  </w:footnote>
  <w:footnote w:id="48">
    <w:p w:rsidR="001A7D21" w:rsidP="001A7D21" w:rsidRDefault="001A7D21" w14:paraId="0FDE2ECF" w14:textId="00B60C84">
      <w:pPr>
        <w:pStyle w:val="FootnoteText"/>
      </w:pPr>
      <w:r w:rsidRPr="004B189B">
        <w:rPr>
          <w:rStyle w:val="FootnoteReference"/>
          <w:szCs w:val="24"/>
        </w:rPr>
        <w:footnoteRef/>
      </w:r>
      <w:r>
        <w:t xml:space="preserve"> </w:t>
      </w:r>
      <w:r>
        <w:tab/>
        <w:t>Cette définition comprendra les pays ou les régions géographiques dans lesquels le Fonds peut poursuivre des investissements, conformément aux restrictions en matière d</w:t>
      </w:r>
      <w:r w:rsidR="00ED24D3">
        <w:t>’</w:t>
      </w:r>
      <w:r>
        <w:t xml:space="preserve">investissement énoncées à l’article </w:t>
      </w:r>
      <w:r>
        <w:fldChar w:fldCharType="begin"/>
      </w:r>
      <w:r>
        <w:instrText xml:space="preserve"> REF _Ref40802598 \r \h </w:instrText>
      </w:r>
      <w:r>
        <w:fldChar w:fldCharType="separate"/>
      </w:r>
      <w:r w:rsidR="00B50BE2">
        <w:t>7.1</w:t>
      </w:r>
      <w:r>
        <w:fldChar w:fldCharType="end"/>
      </w:r>
      <w:r>
        <w:t xml:space="preserve"> (</w:t>
      </w:r>
      <w:r w:rsidRPr="00841AFD">
        <w:rPr>
          <w:i/>
        </w:rPr>
        <w:fldChar w:fldCharType="begin"/>
      </w:r>
      <w:r w:rsidRPr="00841AFD">
        <w:rPr>
          <w:i/>
        </w:rPr>
        <w:instrText xml:space="preserve"> REF _Ref40802598 \h  \* MERGEFORMAT </w:instrText>
      </w:r>
      <w:r w:rsidRPr="00841AFD">
        <w:rPr>
          <w:i/>
        </w:rPr>
      </w:r>
      <w:r w:rsidRPr="00841AFD">
        <w:rPr>
          <w:i/>
        </w:rPr>
        <w:fldChar w:fldCharType="separate"/>
      </w:r>
      <w:r w:rsidRPr="00B50BE2" w:rsidR="00B50BE2">
        <w:rPr>
          <w:i/>
        </w:rPr>
        <w:t>Restrictions à l’investissement.</w:t>
      </w:r>
      <w:r w:rsidRPr="00841AFD">
        <w:rPr>
          <w:i/>
        </w:rPr>
        <w:fldChar w:fldCharType="end"/>
      </w:r>
      <w:r>
        <w:t>). Les Fonds opèrent généralement dans une zone géographique spécifique où les Personnes-clés ont de l</w:t>
      </w:r>
      <w:r w:rsidR="00ED24D3">
        <w:t>’</w:t>
      </w:r>
      <w:r>
        <w:t>expérience et des connaissances locales.</w:t>
      </w:r>
    </w:p>
  </w:footnote>
  <w:footnote w:id="49">
    <w:p w:rsidR="001A7D21" w:rsidP="001A7D21" w:rsidRDefault="001A7D21" w14:paraId="1E42D9D1" w14:textId="335FFE83">
      <w:pPr>
        <w:pStyle w:val="FootnoteText"/>
      </w:pPr>
      <w:r w:rsidRPr="004B189B">
        <w:rPr>
          <w:rStyle w:val="FootnoteReference"/>
          <w:szCs w:val="24"/>
        </w:rPr>
        <w:footnoteRef/>
      </w:r>
      <w:r>
        <w:t xml:space="preserve"> </w:t>
      </w:r>
      <w:r>
        <w:tab/>
        <w:t>S</w:t>
      </w:r>
      <w:r w:rsidR="00ED24D3">
        <w:t>’</w:t>
      </w:r>
      <w:r>
        <w:t>il y a un remboursement du capital disponible pour les Commanditaires, dans le cadre de la distribution des fonds aux Commanditaires et au Commandité, les Commanditaires recevront souvent un « rendement privilégié » ou un « montant de rendement minimal » qui est un remboursement initial des montants que les Commanditaires ont versés au Fonds à partir de la date de la contribution jusqu</w:t>
      </w:r>
      <w:r w:rsidR="00ED24D3">
        <w:t>’</w:t>
      </w:r>
      <w:r>
        <w:t>à la date à laquelle ces montants sont remboursés conformément à la première étape de la distribution des fonds (souvent appelée une « cascade »). En règle générale, le taux de rendement privilégié se situe entre 6 % et 8 % et est souvent composé annuellement. Le rendement privilégié est censé représenter le rendement que les Commanditaires auraient pu réaliser à partir d'investissements « sans risque », comme un dépôt à terme. Compte tenu du contexte actuel de faibles taux d</w:t>
      </w:r>
      <w:r w:rsidR="00ED24D3">
        <w:t>’</w:t>
      </w:r>
      <w:r>
        <w:t>intérêt, il y a un certain débat quant à savoir si le</w:t>
      </w:r>
      <w:r>
        <w:rPr>
          <w:rFonts w:cs="Times New Roman"/>
        </w:rPr>
        <w:t xml:space="preserve"> rendement préférentiel standard de 6 à 8 % est approprié en tant que taux « sans risque ».</w:t>
      </w:r>
    </w:p>
  </w:footnote>
  <w:footnote w:id="50">
    <w:p w:rsidR="000C4FA4" w:rsidP="000C4FA4" w:rsidRDefault="000C4FA4" w14:paraId="651FB7B1" w14:textId="0A5994D1">
      <w:pPr>
        <w:pStyle w:val="FootnoteText"/>
      </w:pPr>
      <w:r>
        <w:rPr>
          <w:rStyle w:val="FootnoteReference"/>
        </w:rPr>
        <w:footnoteRef/>
      </w:r>
      <w:r>
        <w:tab/>
        <w:t>La question de savoir si et dans quelle mesure le Commandité a le droit de conserver, pour son propre bénéfice, les Revenus de frais qu</w:t>
      </w:r>
      <w:r w:rsidR="00ED24D3">
        <w:t>’</w:t>
      </w:r>
      <w:r>
        <w:t>il tire des diverses catégories de frais définies dans la définition est souvent négociée.</w:t>
      </w:r>
    </w:p>
  </w:footnote>
  <w:footnote w:id="51">
    <w:p w:rsidR="003038F7" w:rsidP="003038F7" w:rsidRDefault="003038F7" w14:paraId="76283188" w14:textId="1A823255">
      <w:pPr>
        <w:pStyle w:val="FootnoteText"/>
      </w:pPr>
      <w:r>
        <w:rPr>
          <w:rStyle w:val="FootnoteReference"/>
        </w:rPr>
        <w:footnoteRef/>
      </w:r>
      <w:r>
        <w:t xml:space="preserve">  </w:t>
      </w:r>
      <w:r>
        <w:tab/>
        <w:t>Une société de personnes intermédiaire de placement déterminée est assujettie à des règles fiscales défavorables, y compris à l</w:t>
      </w:r>
      <w:r w:rsidR="00960998">
        <w:t>’</w:t>
      </w:r>
      <w:r>
        <w:t>impôt en vertu de la Loi de l</w:t>
      </w:r>
      <w:r w:rsidR="00960998">
        <w:t>’</w:t>
      </w:r>
      <w:r>
        <w:t>impôt au niveau de la société de personnes. En règle générale, le Fonds ne devrait pas être considéré comme une société de personnes intermédiaire de placement déterminée tant qu</w:t>
      </w:r>
      <w:r w:rsidR="00960998">
        <w:t>’</w:t>
      </w:r>
      <w:r>
        <w:t>aucun investissement dans le Fonds (qui comprend les Participations des Associés et tous les droits qui peuvent raisonnablement être considérés comme reproduisant un rendement sur un titre du Fonds ou la valeur d</w:t>
      </w:r>
      <w:r w:rsidR="00960998">
        <w:t>’</w:t>
      </w:r>
      <w:r>
        <w:t>un titre du Fonds) n</w:t>
      </w:r>
      <w:r w:rsidR="00960998">
        <w:t>’</w:t>
      </w:r>
      <w:r>
        <w:t>est coté ou négocié sur une bourse ou un autre marché public. Il est recommandé d’obtenir des conseils fiscaux.</w:t>
      </w:r>
    </w:p>
  </w:footnote>
  <w:footnote w:id="52">
    <w:p w:rsidR="000C4FA4" w:rsidP="000C4FA4" w:rsidRDefault="000C4FA4" w14:paraId="148EE072" w14:textId="7767F33F">
      <w:pPr>
        <w:pStyle w:val="FootnoteText"/>
      </w:pPr>
      <w:r w:rsidRPr="004B189B">
        <w:rPr>
          <w:rStyle w:val="FootnoteReference"/>
          <w:szCs w:val="24"/>
        </w:rPr>
        <w:footnoteRef/>
      </w:r>
      <w:r>
        <w:t xml:space="preserve"> </w:t>
      </w:r>
      <w:r>
        <w:tab/>
        <w:t>Cette définition est susceptible d</w:t>
      </w:r>
      <w:r w:rsidR="00960998">
        <w:t>’</w:t>
      </w:r>
      <w:r>
        <w:t>être modifiée en fonction des restrictions géographiques et des objectifs d</w:t>
      </w:r>
      <w:r w:rsidR="00960998">
        <w:t>’</w:t>
      </w:r>
      <w:r>
        <w:t>investissement du Fonds.</w:t>
      </w:r>
    </w:p>
  </w:footnote>
  <w:footnote w:id="53">
    <w:p w:rsidR="0000160C" w:rsidRDefault="00C517ED" w14:paraId="40468477" w14:textId="5DAB84D1">
      <w:pPr>
        <w:pStyle w:val="FootnoteText"/>
      </w:pPr>
      <w:r w:rsidRPr="004B189B">
        <w:rPr>
          <w:rStyle w:val="FootnoteReference"/>
          <w:szCs w:val="24"/>
        </w:rPr>
        <w:footnoteRef/>
      </w:r>
      <w:r>
        <w:t xml:space="preserve"> </w:t>
      </w:r>
      <w:r>
        <w:tab/>
        <w:t>Envisager l</w:t>
      </w:r>
      <w:r w:rsidR="00960998">
        <w:t>’</w:t>
      </w:r>
      <w:r>
        <w:t>inclusion d</w:t>
      </w:r>
      <w:r w:rsidR="00960998">
        <w:t>’</w:t>
      </w:r>
      <w:r>
        <w:t>une méthode d</w:t>
      </w:r>
      <w:r w:rsidR="00960998">
        <w:t>’</w:t>
      </w:r>
      <w:r>
        <w:t>évaluation spécifique telle que l</w:t>
      </w:r>
      <w:r w:rsidR="00960998">
        <w:t>’</w:t>
      </w:r>
      <w:r>
        <w:t xml:space="preserve">ASC 820 du </w:t>
      </w:r>
      <w:r w:rsidRPr="0056751D">
        <w:rPr>
          <w:i/>
          <w:iCs/>
        </w:rPr>
        <w:t xml:space="preserve">Financial </w:t>
      </w:r>
      <w:proofErr w:type="spellStart"/>
      <w:r w:rsidRPr="0056751D">
        <w:rPr>
          <w:i/>
          <w:iCs/>
        </w:rPr>
        <w:t>Accounting</w:t>
      </w:r>
      <w:proofErr w:type="spellEnd"/>
      <w:r w:rsidRPr="0056751D">
        <w:rPr>
          <w:i/>
          <w:iCs/>
        </w:rPr>
        <w:t xml:space="preserve"> Standards </w:t>
      </w:r>
      <w:proofErr w:type="spellStart"/>
      <w:r w:rsidRPr="0056751D">
        <w:rPr>
          <w:i/>
          <w:iCs/>
        </w:rPr>
        <w:t>Board</w:t>
      </w:r>
      <w:proofErr w:type="spellEnd"/>
      <w:r>
        <w:t xml:space="preserve">, le </w:t>
      </w:r>
      <w:proofErr w:type="spellStart"/>
      <w:r w:rsidRPr="0056751D">
        <w:rPr>
          <w:i/>
          <w:iCs/>
        </w:rPr>
        <w:t>Government</w:t>
      </w:r>
      <w:proofErr w:type="spellEnd"/>
      <w:r w:rsidRPr="0056751D">
        <w:rPr>
          <w:i/>
          <w:iCs/>
        </w:rPr>
        <w:t xml:space="preserve"> </w:t>
      </w:r>
      <w:proofErr w:type="spellStart"/>
      <w:r w:rsidRPr="0056751D">
        <w:rPr>
          <w:i/>
          <w:iCs/>
        </w:rPr>
        <w:t>Accounting</w:t>
      </w:r>
      <w:proofErr w:type="spellEnd"/>
      <w:r w:rsidRPr="0056751D">
        <w:rPr>
          <w:i/>
          <w:iCs/>
        </w:rPr>
        <w:t xml:space="preserve"> Standards </w:t>
      </w:r>
      <w:proofErr w:type="spellStart"/>
      <w:r w:rsidRPr="0056751D">
        <w:rPr>
          <w:i/>
          <w:iCs/>
        </w:rPr>
        <w:t>Board</w:t>
      </w:r>
      <w:proofErr w:type="spellEnd"/>
      <w:r>
        <w:t xml:space="preserve"> ou l</w:t>
      </w:r>
      <w:r w:rsidR="0056751D">
        <w:t xml:space="preserve">e </w:t>
      </w:r>
      <w:r w:rsidRPr="0056751D">
        <w:rPr>
          <w:i/>
          <w:iCs/>
        </w:rPr>
        <w:t xml:space="preserve">International </w:t>
      </w:r>
      <w:proofErr w:type="spellStart"/>
      <w:r w:rsidRPr="0056751D">
        <w:rPr>
          <w:i/>
          <w:iCs/>
        </w:rPr>
        <w:t>Private</w:t>
      </w:r>
      <w:proofErr w:type="spellEnd"/>
      <w:r w:rsidRPr="0056751D">
        <w:rPr>
          <w:i/>
          <w:iCs/>
        </w:rPr>
        <w:t xml:space="preserve"> </w:t>
      </w:r>
      <w:proofErr w:type="spellStart"/>
      <w:r w:rsidRPr="0056751D">
        <w:rPr>
          <w:i/>
          <w:iCs/>
        </w:rPr>
        <w:t>Equity</w:t>
      </w:r>
      <w:proofErr w:type="spellEnd"/>
      <w:r w:rsidRPr="0056751D">
        <w:rPr>
          <w:i/>
          <w:iCs/>
        </w:rPr>
        <w:t xml:space="preserve"> and Venture Capital Valuation</w:t>
      </w:r>
      <w:r>
        <w:t>, selon les principes comptables adoptés par le Fonds.</w:t>
      </w:r>
    </w:p>
  </w:footnote>
  <w:footnote w:id="54">
    <w:p w:rsidR="001A7D21" w:rsidP="001A7D21" w:rsidRDefault="001A7D21" w14:paraId="069FFAF5" w14:textId="37758CC6">
      <w:pPr>
        <w:pStyle w:val="FootnoteText"/>
      </w:pPr>
      <w:r w:rsidRPr="004B189B">
        <w:rPr>
          <w:rStyle w:val="FootnoteReference"/>
          <w:szCs w:val="24"/>
        </w:rPr>
        <w:footnoteRef/>
      </w:r>
      <w:r>
        <w:t xml:space="preserve"> </w:t>
      </w:r>
      <w:r>
        <w:tab/>
        <w:t xml:space="preserve">Voir les commentaires de l’article </w:t>
      </w:r>
      <w:r>
        <w:fldChar w:fldCharType="begin"/>
      </w:r>
      <w:r>
        <w:instrText xml:space="preserve"> REF _Ref113892408 \r \h </w:instrText>
      </w:r>
      <w:r>
        <w:fldChar w:fldCharType="separate"/>
      </w:r>
      <w:r w:rsidR="00B50BE2">
        <w:t>2.7(a)</w:t>
      </w:r>
      <w:r>
        <w:fldChar w:fldCharType="end"/>
      </w:r>
      <w:r>
        <w:t xml:space="preserve"> (</w:t>
      </w:r>
      <w:r w:rsidRPr="00BD2FE6">
        <w:rPr>
          <w:i/>
        </w:rPr>
        <w:fldChar w:fldCharType="begin"/>
      </w:r>
      <w:r w:rsidRPr="00BD2FE6">
        <w:rPr>
          <w:i/>
        </w:rPr>
        <w:instrText xml:space="preserve"> REF _Ref113892407 \h  \* MERGEFORMAT </w:instrText>
      </w:r>
      <w:r w:rsidRPr="00BD2FE6">
        <w:rPr>
          <w:i/>
        </w:rPr>
      </w:r>
      <w:r w:rsidRPr="00BD2FE6">
        <w:rPr>
          <w:i/>
        </w:rPr>
        <w:fldChar w:fldCharType="separate"/>
      </w:r>
      <w:r w:rsidRPr="00B50BE2" w:rsidR="00B50BE2">
        <w:rPr>
          <w:i/>
        </w:rPr>
        <w:t>Véhicules parallèles</w:t>
      </w:r>
      <w:r w:rsidR="00B50BE2">
        <w:t>.</w:t>
      </w:r>
      <w:r w:rsidRPr="00BD2FE6">
        <w:fldChar w:fldCharType="end"/>
      </w:r>
      <w:r>
        <w:t>) concernant l</w:t>
      </w:r>
      <w:r w:rsidR="00960998">
        <w:t>’</w:t>
      </w:r>
      <w:r>
        <w:t>utilisation de véhicules parallèles.</w:t>
      </w:r>
    </w:p>
  </w:footnote>
  <w:footnote w:id="55">
    <w:p w:rsidR="0000160C" w:rsidRDefault="00C517ED" w14:paraId="6C549056" w14:textId="3C042A4E">
      <w:pPr>
        <w:pStyle w:val="FootnoteText"/>
      </w:pPr>
      <w:r>
        <w:rPr>
          <w:rStyle w:val="FootnoteReference"/>
        </w:rPr>
        <w:footnoteRef/>
      </w:r>
      <w:r>
        <w:t xml:space="preserve"> </w:t>
      </w:r>
      <w:r>
        <w:tab/>
        <w:t xml:space="preserve">Le nom du Fonds doit comprendre les mots « société en commandite » ou « </w:t>
      </w:r>
      <w:r w:rsidR="00960998">
        <w:t>S.E.C.</w:t>
      </w:r>
      <w:r>
        <w:t xml:space="preserve"> » ou toute autre expression nécessaire pour se conformer à la législation applicable en matière de société en commandite régissant le Fonds.</w:t>
      </w:r>
    </w:p>
  </w:footnote>
  <w:footnote w:id="56">
    <w:p w:rsidRPr="00960998" w:rsidR="00960998" w:rsidRDefault="00960998" w14:paraId="44ECE74A" w14:textId="544C971C">
      <w:pPr>
        <w:pStyle w:val="FootnoteText"/>
      </w:pPr>
      <w:r>
        <w:rPr>
          <w:rStyle w:val="FootnoteReference"/>
        </w:rPr>
        <w:footnoteRef/>
      </w:r>
      <w:r>
        <w:t xml:space="preserve"> </w:t>
      </w:r>
      <w:r>
        <w:tab/>
        <w:t>Cette phrase sera pertinente que pour les provinces autres qu</w:t>
      </w:r>
      <w:r w:rsidR="0096084C">
        <w:t>’au Québec. Au Québec, le nom d’une entreprise doit respecter la Charte de la langue française et doit donc être en français.</w:t>
      </w:r>
    </w:p>
  </w:footnote>
  <w:footnote w:id="57">
    <w:p w:rsidR="0000160C" w:rsidRDefault="00C517ED" w14:paraId="03321B8C" w14:textId="4E28B10A">
      <w:pPr>
        <w:pStyle w:val="FootnoteText"/>
      </w:pPr>
      <w:r>
        <w:rPr>
          <w:rStyle w:val="FootnoteReference"/>
        </w:rPr>
        <w:footnoteRef/>
      </w:r>
      <w:r>
        <w:t xml:space="preserve"> </w:t>
      </w:r>
      <w:r>
        <w:tab/>
        <w:t xml:space="preserve">En vertu de la </w:t>
      </w:r>
      <w:r>
        <w:rPr>
          <w:i/>
        </w:rPr>
        <w:t xml:space="preserve">Loi sur les sociétés en commandite </w:t>
      </w:r>
      <w:r>
        <w:t>(Ontario), l</w:t>
      </w:r>
      <w:r w:rsidR="0096084C">
        <w:t>’</w:t>
      </w:r>
      <w:r>
        <w:t>utilisation par le Fonds, en son nom, du nom d</w:t>
      </w:r>
      <w:r w:rsidR="0096084C">
        <w:t>’</w:t>
      </w:r>
      <w:r>
        <w:t xml:space="preserve">un </w:t>
      </w:r>
      <w:r w:rsidR="0033537E">
        <w:t>C</w:t>
      </w:r>
      <w:r>
        <w:t xml:space="preserve">ommanditaire pourrait entraîner la perte de la responsabilité limitée de ce </w:t>
      </w:r>
      <w:r w:rsidR="0033537E">
        <w:t>Co</w:t>
      </w:r>
      <w:r>
        <w:t>mmanditaire.</w:t>
      </w:r>
    </w:p>
  </w:footnote>
  <w:footnote w:id="58">
    <w:p w:rsidR="0000160C" w:rsidRDefault="00C517ED" w14:paraId="34577758" w14:textId="46CAD319">
      <w:pPr>
        <w:pStyle w:val="FootnoteText"/>
      </w:pPr>
      <w:r>
        <w:rPr>
          <w:rStyle w:val="FootnoteReference"/>
        </w:rPr>
        <w:footnoteRef/>
      </w:r>
      <w:r>
        <w:t xml:space="preserve"> </w:t>
      </w:r>
      <w:r>
        <w:tab/>
        <w:t>Réviser en c</w:t>
      </w:r>
      <w:r w:rsidR="0033537E">
        <w:t>o</w:t>
      </w:r>
      <w:r>
        <w:t xml:space="preserve">nséquence si </w:t>
      </w:r>
      <w:r w:rsidR="0033537E">
        <w:t>le</w:t>
      </w:r>
      <w:r>
        <w:t xml:space="preserve"> </w:t>
      </w:r>
      <w:r w:rsidR="0033537E">
        <w:t>F</w:t>
      </w:r>
      <w:r>
        <w:t xml:space="preserve">onds, </w:t>
      </w:r>
      <w:r w:rsidR="0033537E">
        <w:t>le C</w:t>
      </w:r>
      <w:r>
        <w:t xml:space="preserve">ommandité ou </w:t>
      </w:r>
      <w:r w:rsidR="0033537E">
        <w:t>le Gestionnaire</w:t>
      </w:r>
      <w:r>
        <w:t xml:space="preserve"> n</w:t>
      </w:r>
      <w:r w:rsidR="0096084C">
        <w:t>’</w:t>
      </w:r>
      <w:r>
        <w:t>est pas établi en vertu de la loi de l</w:t>
      </w:r>
      <w:r w:rsidR="0096084C">
        <w:t>’</w:t>
      </w:r>
      <w:r>
        <w:t xml:space="preserve">Ontario ou de la loi du Québec. Souvent, le </w:t>
      </w:r>
      <w:r w:rsidR="0033537E">
        <w:t>C</w:t>
      </w:r>
      <w:r>
        <w:t xml:space="preserve">ommandité est lui-même </w:t>
      </w:r>
      <w:r w:rsidR="0033537E">
        <w:t>constitué</w:t>
      </w:r>
      <w:r>
        <w:t xml:space="preserve"> en société en commandite. </w:t>
      </w:r>
    </w:p>
  </w:footnote>
  <w:footnote w:id="59">
    <w:p w:rsidR="0000160C" w:rsidRDefault="00C517ED" w14:paraId="1A8A2844" w14:textId="414B542B">
      <w:pPr>
        <w:pStyle w:val="FootnoteText"/>
      </w:pPr>
      <w:r w:rsidRPr="004B189B">
        <w:rPr>
          <w:rStyle w:val="FootnoteReference"/>
          <w:szCs w:val="24"/>
        </w:rPr>
        <w:footnoteRef/>
      </w:r>
      <w:r>
        <w:t xml:space="preserve"> </w:t>
      </w:r>
      <w:r>
        <w:tab/>
        <w:t>Cette disposition sera adaptée aux objectifs spécifiques d</w:t>
      </w:r>
      <w:r w:rsidR="0096084C">
        <w:t>’</w:t>
      </w:r>
      <w:r>
        <w:t xml:space="preserve">investissement du Fonds. Les </w:t>
      </w:r>
      <w:r w:rsidR="0033537E">
        <w:t>C</w:t>
      </w:r>
      <w:r>
        <w:t xml:space="preserve">ommandités souhaitent généralement bénéficier d'une flexibilité maximale, tandis que les </w:t>
      </w:r>
      <w:r w:rsidR="0033537E">
        <w:t>Commanditaires</w:t>
      </w:r>
      <w:r>
        <w:t xml:space="preserve"> souhaitent généralement limiter le </w:t>
      </w:r>
      <w:r w:rsidR="0033537E">
        <w:t>C</w:t>
      </w:r>
      <w:r>
        <w:t xml:space="preserve">ommandité à ses </w:t>
      </w:r>
      <w:r w:rsidR="0033537E">
        <w:t>forces</w:t>
      </w:r>
      <w:r>
        <w:t xml:space="preserve"> perçu</w:t>
      </w:r>
      <w:r w:rsidR="0033537E">
        <w:t>e</w:t>
      </w:r>
      <w:r>
        <w:t>s.</w:t>
      </w:r>
    </w:p>
  </w:footnote>
  <w:footnote w:id="60">
    <w:p w:rsidR="0000160C" w:rsidRDefault="00C517ED" w14:paraId="41377326" w14:textId="2EC1C25E">
      <w:pPr>
        <w:pStyle w:val="FootnoteText"/>
      </w:pPr>
      <w:r w:rsidRPr="004B189B">
        <w:rPr>
          <w:rStyle w:val="FootnoteReference"/>
          <w:szCs w:val="24"/>
        </w:rPr>
        <w:footnoteRef/>
      </w:r>
      <w:r>
        <w:t xml:space="preserve"> </w:t>
      </w:r>
      <w:r>
        <w:tab/>
        <w:t>Cette disposition sera adaptée pour tenir compte de la fin de l</w:t>
      </w:r>
      <w:r w:rsidR="0096084C">
        <w:t>’</w:t>
      </w:r>
      <w:r w:rsidR="0033537E">
        <w:t>e</w:t>
      </w:r>
      <w:r>
        <w:t>xercice</w:t>
      </w:r>
      <w:r w:rsidR="0033537E">
        <w:t xml:space="preserve"> financier</w:t>
      </w:r>
      <w:r>
        <w:t xml:space="preserve"> du Fonds, qui est habituellement le 31 décembre, mais qui </w:t>
      </w:r>
      <w:r w:rsidR="0033537E">
        <w:t>peut</w:t>
      </w:r>
      <w:r>
        <w:t xml:space="preserve"> être n</w:t>
      </w:r>
      <w:r w:rsidR="0096084C">
        <w:t>’</w:t>
      </w:r>
      <w:r>
        <w:t xml:space="preserve">importe </w:t>
      </w:r>
      <w:r w:rsidR="0033537E">
        <w:t>la fin de n’importe quel trimestre fiscal</w:t>
      </w:r>
      <w:r>
        <w:t xml:space="preserve">. </w:t>
      </w:r>
    </w:p>
  </w:footnote>
  <w:footnote w:id="61">
    <w:p w:rsidR="0000160C" w:rsidRDefault="00C517ED" w14:paraId="0749465C" w14:textId="5EA1C3AD">
      <w:pPr>
        <w:pStyle w:val="FootnoteText"/>
      </w:pPr>
      <w:r w:rsidRPr="004B189B">
        <w:rPr>
          <w:rStyle w:val="FootnoteReference"/>
          <w:szCs w:val="24"/>
        </w:rPr>
        <w:footnoteRef/>
      </w:r>
      <w:r>
        <w:t xml:space="preserve"> </w:t>
      </w:r>
      <w:r>
        <w:tab/>
        <w:t xml:space="preserve">Les </w:t>
      </w:r>
      <w:r w:rsidR="00D062E3">
        <w:t>d</w:t>
      </w:r>
      <w:r>
        <w:t>épenses d</w:t>
      </w:r>
      <w:r w:rsidR="00D062E3">
        <w:t>u F</w:t>
      </w:r>
      <w:r>
        <w:t>onds qu</w:t>
      </w:r>
      <w:r w:rsidR="0096084C">
        <w:t>’</w:t>
      </w:r>
      <w:r>
        <w:t xml:space="preserve">il serait plus approprié de qualifier de dépenses du </w:t>
      </w:r>
      <w:r w:rsidR="00D062E3">
        <w:t>C</w:t>
      </w:r>
      <w:r>
        <w:t xml:space="preserve">ommandité peuvent être négociées en dehors de la définition de « </w:t>
      </w:r>
      <w:r w:rsidR="00D062E3">
        <w:t>D</w:t>
      </w:r>
      <w:r>
        <w:t>épenses d</w:t>
      </w:r>
      <w:r w:rsidR="00D062E3">
        <w:t>u</w:t>
      </w:r>
      <w:r>
        <w:t xml:space="preserve"> </w:t>
      </w:r>
      <w:r w:rsidR="00D062E3">
        <w:t>F</w:t>
      </w:r>
      <w:r>
        <w:t xml:space="preserve">onds ». Ces dépenses comprennent généralement le loyer, les salaires, les services publics, les fournitures, les frais généraux du </w:t>
      </w:r>
      <w:r w:rsidR="00D062E3">
        <w:t>Commandité</w:t>
      </w:r>
      <w:r>
        <w:t xml:space="preserve">, la comptabilité, le marketing, la participation à des conférences et les abonnements aux données financières et de marché. De plus, dans la mesure où les </w:t>
      </w:r>
      <w:r w:rsidR="00D062E3">
        <w:t>D</w:t>
      </w:r>
      <w:r>
        <w:t xml:space="preserve">épenses du </w:t>
      </w:r>
      <w:r w:rsidR="00D062E3">
        <w:t>F</w:t>
      </w:r>
      <w:r>
        <w:t xml:space="preserve">onds sont </w:t>
      </w:r>
      <w:r w:rsidR="00D062E3">
        <w:t>encourues</w:t>
      </w:r>
      <w:r>
        <w:t xml:space="preserve"> pour le compte de plus d</w:t>
      </w:r>
      <w:r w:rsidR="0096084C">
        <w:t>’</w:t>
      </w:r>
      <w:r>
        <w:t xml:space="preserve">un fonds géré par le </w:t>
      </w:r>
      <w:r w:rsidR="00D062E3">
        <w:t>C</w:t>
      </w:r>
      <w:r>
        <w:t xml:space="preserve">ommandité ou le </w:t>
      </w:r>
      <w:r w:rsidR="00D062E3">
        <w:t>G</w:t>
      </w:r>
      <w:r>
        <w:t xml:space="preserve">estionnaire, le </w:t>
      </w:r>
      <w:r w:rsidR="00D062E3">
        <w:t>F</w:t>
      </w:r>
      <w:r>
        <w:t>onds ne devrait être responsable que de la partie de ces dépenses qui lui est attribuée, et il y a eu une jurisprudence américaine concernant l</w:t>
      </w:r>
      <w:r w:rsidR="0096084C">
        <w:t>’</w:t>
      </w:r>
      <w:r>
        <w:t xml:space="preserve">application erronée des dépenses. Voir : </w:t>
      </w:r>
      <w:r>
        <w:rPr>
          <w:i/>
        </w:rPr>
        <w:t xml:space="preserve">In the </w:t>
      </w:r>
      <w:proofErr w:type="spellStart"/>
      <w:r>
        <w:rPr>
          <w:i/>
        </w:rPr>
        <w:t>Matter</w:t>
      </w:r>
      <w:proofErr w:type="spellEnd"/>
      <w:r>
        <w:rPr>
          <w:i/>
        </w:rPr>
        <w:t xml:space="preserve"> of </w:t>
      </w:r>
      <w:proofErr w:type="spellStart"/>
      <w:r>
        <w:rPr>
          <w:i/>
        </w:rPr>
        <w:t>Monomoy</w:t>
      </w:r>
      <w:proofErr w:type="spellEnd"/>
      <w:r>
        <w:rPr>
          <w:i/>
        </w:rPr>
        <w:t xml:space="preserve"> Capital Management LP</w:t>
      </w:r>
      <w:r>
        <w:t xml:space="preserve"> (22 avril 2020), IA-5485, en ligne : Securities and Exchange Commission, &lt;https://www.sec.gov/litigation/admin/2020/ia-5485.pdf&gt;; </w:t>
      </w:r>
      <w:r>
        <w:rPr>
          <w:i/>
        </w:rPr>
        <w:t xml:space="preserve">In the </w:t>
      </w:r>
      <w:proofErr w:type="spellStart"/>
      <w:r>
        <w:rPr>
          <w:i/>
        </w:rPr>
        <w:t>Matter</w:t>
      </w:r>
      <w:proofErr w:type="spellEnd"/>
      <w:r>
        <w:rPr>
          <w:i/>
        </w:rPr>
        <w:t xml:space="preserve"> of Rialto Capital Management LLC</w:t>
      </w:r>
      <w:r>
        <w:t xml:space="preserve"> (7 août 2020), IA-5558, en ligne : Securities and Exchange Commission, https://www.sec.gov/litigation/admin/2020/ia-5558.pdf; et</w:t>
      </w:r>
      <w:r>
        <w:rPr>
          <w:i/>
        </w:rPr>
        <w:t xml:space="preserve"> In the </w:t>
      </w:r>
      <w:proofErr w:type="spellStart"/>
      <w:r>
        <w:rPr>
          <w:i/>
        </w:rPr>
        <w:t>Matter</w:t>
      </w:r>
      <w:proofErr w:type="spellEnd"/>
      <w:r>
        <w:rPr>
          <w:i/>
        </w:rPr>
        <w:t xml:space="preserve"> of Old </w:t>
      </w:r>
      <w:proofErr w:type="spellStart"/>
      <w:r>
        <w:rPr>
          <w:i/>
        </w:rPr>
        <w:t>Ironsides</w:t>
      </w:r>
      <w:proofErr w:type="spellEnd"/>
      <w:r>
        <w:rPr>
          <w:i/>
        </w:rPr>
        <w:t xml:space="preserve"> Energy LLC</w:t>
      </w:r>
      <w:r>
        <w:t xml:space="preserve"> (17 avril 2020), IA-5478, en ligne : Securities et Exchange Commission, &lt;https://www.sec.gov/litigation/admin/2020/ia-5478.pdf&gt;.  Les dépenses ont également fait l</w:t>
      </w:r>
      <w:r w:rsidR="0096084C">
        <w:t>’</w:t>
      </w:r>
      <w:r>
        <w:t xml:space="preserve">objet d'une vérification par la Commission des valeurs mobilières de l'Ontario, </w:t>
      </w:r>
      <w:r w:rsidR="001D035C">
        <w:t>parmi d’autres</w:t>
      </w:r>
      <w:r>
        <w:t xml:space="preserve"> autorités provinciales en</w:t>
      </w:r>
      <w:r w:rsidR="001D035C">
        <w:t xml:space="preserve"> matière de</w:t>
      </w:r>
      <w:r>
        <w:t xml:space="preserve"> valeurs mobilières.</w:t>
      </w:r>
    </w:p>
  </w:footnote>
  <w:footnote w:id="62">
    <w:p w:rsidR="0000160C" w:rsidP="0096084C" w:rsidRDefault="00C517ED" w14:paraId="211CEAD3" w14:textId="7AEFAD40">
      <w:pPr>
        <w:pStyle w:val="FootnoteText"/>
      </w:pPr>
      <w:r>
        <w:rPr>
          <w:rStyle w:val="FootnoteReference"/>
        </w:rPr>
        <w:footnoteRef/>
      </w:r>
      <w:r>
        <w:t xml:space="preserve"> </w:t>
      </w:r>
      <w:r w:rsidR="0096084C">
        <w:tab/>
      </w:r>
      <w:r>
        <w:t xml:space="preserve">La définition des </w:t>
      </w:r>
      <w:r w:rsidR="001D035C">
        <w:t>Dépenses</w:t>
      </w:r>
      <w:r>
        <w:t xml:space="preserve"> du </w:t>
      </w:r>
      <w:r w:rsidR="001D035C">
        <w:t>F</w:t>
      </w:r>
      <w:r>
        <w:t>onds peut être modifiée pour inclure d</w:t>
      </w:r>
      <w:r w:rsidR="0096084C">
        <w:t>’</w:t>
      </w:r>
      <w:r>
        <w:t xml:space="preserve">autres </w:t>
      </w:r>
      <w:r w:rsidR="001D035C">
        <w:t>dépenses</w:t>
      </w:r>
      <w:r>
        <w:t xml:space="preserve"> éventuel</w:t>
      </w:r>
      <w:r w:rsidR="001D035C">
        <w:t>le</w:t>
      </w:r>
      <w:r>
        <w:t xml:space="preserve">s, comme le risque de certaines taxes de vente réputées </w:t>
      </w:r>
      <w:r w:rsidR="001D035C">
        <w:t>en fonction de</w:t>
      </w:r>
      <w:r>
        <w:t xml:space="preserve"> la structure des </w:t>
      </w:r>
      <w:r w:rsidR="001D035C">
        <w:t>F</w:t>
      </w:r>
      <w:r>
        <w:t xml:space="preserve">rais de gestion et/ou des </w:t>
      </w:r>
      <w:r w:rsidR="001D035C">
        <w:t>Distributions spéciales</w:t>
      </w:r>
      <w:r>
        <w:t>, sous réserve de négociation.</w:t>
      </w:r>
    </w:p>
  </w:footnote>
  <w:footnote w:id="63">
    <w:p w:rsidR="0000160C" w:rsidRDefault="00C517ED" w14:paraId="6D696B5A" w14:textId="7579AC06">
      <w:pPr>
        <w:pStyle w:val="FootnoteText"/>
        <w:spacing w:after="0"/>
        <w:rPr>
          <w:highlight w:val="yellow"/>
        </w:rPr>
      </w:pPr>
      <w:r w:rsidRPr="004B189B">
        <w:rPr>
          <w:rStyle w:val="FootnoteReference"/>
          <w:szCs w:val="24"/>
        </w:rPr>
        <w:footnoteRef/>
      </w:r>
      <w:r>
        <w:t xml:space="preserve"> </w:t>
      </w:r>
      <w:r>
        <w:tab/>
        <w:t xml:space="preserve">Remplacer par les </w:t>
      </w:r>
      <w:r w:rsidR="00D062E3">
        <w:t>NIIF</w:t>
      </w:r>
      <w:r>
        <w:t>, le cas échéant.</w:t>
      </w:r>
    </w:p>
  </w:footnote>
  <w:footnote w:id="64">
    <w:p w:rsidR="0000160C" w:rsidRDefault="00C517ED" w14:paraId="00485F93" w14:textId="4CF594C7">
      <w:pPr>
        <w:pStyle w:val="FootnoteText"/>
        <w:rPr>
          <w:highlight w:val="yellow"/>
        </w:rPr>
      </w:pPr>
      <w:r w:rsidRPr="004B189B">
        <w:rPr>
          <w:rStyle w:val="FootnoteReference"/>
          <w:szCs w:val="24"/>
        </w:rPr>
        <w:footnoteRef/>
      </w:r>
      <w:r>
        <w:t xml:space="preserve"> </w:t>
      </w:r>
      <w:r>
        <w:tab/>
        <w:t xml:space="preserve">Cette disposition peut être élargie pour inclure une ventilation détaillée de toutes les </w:t>
      </w:r>
      <w:r w:rsidR="00D062E3">
        <w:t>Dépenses organisationnelles</w:t>
      </w:r>
      <w:r>
        <w:t xml:space="preserve">. </w:t>
      </w:r>
    </w:p>
  </w:footnote>
  <w:footnote w:id="65">
    <w:p w:rsidR="0000160C" w:rsidRDefault="00C517ED" w14:paraId="738731E3" w14:textId="7E58BA40">
      <w:pPr>
        <w:pStyle w:val="FootnoteText"/>
      </w:pPr>
      <w:r w:rsidRPr="004B189B">
        <w:rPr>
          <w:rStyle w:val="FootnoteReference"/>
          <w:szCs w:val="24"/>
        </w:rPr>
        <w:footnoteRef/>
      </w:r>
      <w:r>
        <w:tab/>
        <w:t xml:space="preserve">Des </w:t>
      </w:r>
      <w:r w:rsidR="001D035C">
        <w:t>dépenses</w:t>
      </w:r>
      <w:r>
        <w:t xml:space="preserve"> supplémentaires </w:t>
      </w:r>
      <w:r w:rsidR="001D035C">
        <w:t>du</w:t>
      </w:r>
      <w:r>
        <w:t xml:space="preserve"> </w:t>
      </w:r>
      <w:r w:rsidR="001D035C">
        <w:t>C</w:t>
      </w:r>
      <w:r>
        <w:t>ommandité, tel</w:t>
      </w:r>
      <w:r w:rsidR="001D035C">
        <w:t>le</w:t>
      </w:r>
      <w:r>
        <w:t xml:space="preserve">s que </w:t>
      </w:r>
      <w:r w:rsidRPr="001D035C" w:rsidR="001D035C">
        <w:t>le coût de l</w:t>
      </w:r>
      <w:r w:rsidR="006309A7">
        <w:t>’</w:t>
      </w:r>
      <w:r w:rsidRPr="001D035C" w:rsidR="001D035C">
        <w:t xml:space="preserve">administrateur du </w:t>
      </w:r>
      <w:r w:rsidR="001D035C">
        <w:t>F</w:t>
      </w:r>
      <w:r w:rsidRPr="001D035C" w:rsidR="001D035C">
        <w:t xml:space="preserve">onds ou des </w:t>
      </w:r>
      <w:r w:rsidR="001D035C">
        <w:t>dépenses</w:t>
      </w:r>
      <w:r w:rsidRPr="001D035C" w:rsidR="001D035C">
        <w:t xml:space="preserve"> de déplacement supplémentaires, peuvent être ajoutées à cette liste, si elles ont été négociées</w:t>
      </w:r>
      <w:r>
        <w:t xml:space="preserve">. </w:t>
      </w:r>
    </w:p>
  </w:footnote>
  <w:footnote w:id="66">
    <w:p w:rsidR="0000160C" w:rsidRDefault="00C517ED" w14:paraId="2491C71B" w14:textId="693848C1">
      <w:pPr>
        <w:pStyle w:val="FootnoteText"/>
        <w:rPr>
          <w:b/>
        </w:rPr>
      </w:pPr>
      <w:r w:rsidRPr="00214487">
        <w:rPr>
          <w:rStyle w:val="FootnoteReference"/>
        </w:rPr>
        <w:footnoteRef/>
      </w:r>
      <w:r>
        <w:rPr>
          <w:b/>
        </w:rPr>
        <w:tab/>
      </w:r>
      <w:r>
        <w:t xml:space="preserve">Par ailleurs, les frais de placement (mais pas les </w:t>
      </w:r>
      <w:r w:rsidR="001D035C">
        <w:t>dépenses</w:t>
      </w:r>
      <w:r>
        <w:t xml:space="preserve"> d'agent de placement) peuvent être payés par le Fonds, mais </w:t>
      </w:r>
      <w:r w:rsidR="001D035C">
        <w:t>déduits</w:t>
      </w:r>
      <w:r>
        <w:t xml:space="preserve"> </w:t>
      </w:r>
      <w:r w:rsidR="001D035C">
        <w:t>des</w:t>
      </w:r>
      <w:r>
        <w:t xml:space="preserve"> </w:t>
      </w:r>
      <w:r w:rsidR="001D035C">
        <w:t>F</w:t>
      </w:r>
      <w:r>
        <w:t>rais de gestion.</w:t>
      </w:r>
    </w:p>
  </w:footnote>
  <w:footnote w:id="67">
    <w:p w:rsidR="0000160C" w:rsidRDefault="00C517ED" w14:paraId="07901F6B" w14:textId="7AF0CA74">
      <w:pPr>
        <w:pStyle w:val="FootnoteText"/>
      </w:pPr>
      <w:r>
        <w:rPr>
          <w:rStyle w:val="FootnoteReference"/>
        </w:rPr>
        <w:footnoteRef/>
      </w:r>
      <w:r>
        <w:tab/>
      </w:r>
      <w:r w:rsidR="00F65DBE">
        <w:t>Il est recommandé d’obtenir u</w:t>
      </w:r>
      <w:r>
        <w:t xml:space="preserve">n avis juridique approprié quant à la question de savoir si le </w:t>
      </w:r>
      <w:r w:rsidR="00760099">
        <w:t>C</w:t>
      </w:r>
      <w:r>
        <w:t xml:space="preserve">ommandité et/ou le </w:t>
      </w:r>
      <w:r w:rsidR="00760099">
        <w:t>G</w:t>
      </w:r>
      <w:r>
        <w:t xml:space="preserve">estionnaire </w:t>
      </w:r>
      <w:r w:rsidR="009739E2">
        <w:t>devrait</w:t>
      </w:r>
      <w:r>
        <w:t xml:space="preserve"> être inscrit</w:t>
      </w:r>
      <w:r w:rsidR="00EE3A65">
        <w:t>s</w:t>
      </w:r>
      <w:r>
        <w:t xml:space="preserve"> en vertu du Règlement 31-103 - </w:t>
      </w:r>
      <w:r w:rsidR="00760099">
        <w:rPr>
          <w:i/>
        </w:rPr>
        <w:t>O</w:t>
      </w:r>
      <w:r w:rsidRPr="00760099" w:rsidR="00760099">
        <w:rPr>
          <w:i/>
        </w:rPr>
        <w:t>bligations et dispenses d’inscription et les obligations continues des personnes inscrites</w:t>
      </w:r>
      <w:r>
        <w:t xml:space="preserve">.  Voir </w:t>
      </w:r>
      <w:r w:rsidR="00F65DBE">
        <w:t xml:space="preserve">les </w:t>
      </w:r>
      <w:r>
        <w:t xml:space="preserve">notes de bas de page </w:t>
      </w:r>
      <w:r>
        <w:rPr>
          <w:color w:val="000000"/>
        </w:rPr>
        <w:t>7</w:t>
      </w:r>
      <w:r>
        <w:t>, 90 et 96.</w:t>
      </w:r>
    </w:p>
  </w:footnote>
  <w:footnote w:id="68">
    <w:p w:rsidR="0000160C" w:rsidRDefault="00C517ED" w14:paraId="3F11FFB9" w14:textId="713F6F72">
      <w:pPr>
        <w:pStyle w:val="FootnoteText"/>
      </w:pPr>
      <w:r w:rsidRPr="004B189B">
        <w:rPr>
          <w:rStyle w:val="FootnoteReference"/>
          <w:szCs w:val="24"/>
        </w:rPr>
        <w:footnoteRef/>
      </w:r>
      <w:r>
        <w:t xml:space="preserve"> </w:t>
      </w:r>
      <w:r>
        <w:tab/>
        <w:t>Les fonds parallèles sont souvent utilisés au Canada pour les investisseurs non-résidents ou pour accommoder les investisseurs ayant des profils fiscaux ou réglementaires particuliers qui font qu</w:t>
      </w:r>
      <w:r w:rsidR="006309A7">
        <w:t>’</w:t>
      </w:r>
      <w:r>
        <w:t xml:space="preserve">il est inefficace d'investir directement dans le fonds principal. </w:t>
      </w:r>
    </w:p>
  </w:footnote>
  <w:footnote w:id="69">
    <w:p w:rsidR="0000160C" w:rsidRDefault="00C517ED" w14:paraId="308C2A5C" w14:textId="0FD20765">
      <w:pPr>
        <w:pStyle w:val="FootnoteText"/>
      </w:pPr>
      <w:r>
        <w:rPr>
          <w:rStyle w:val="FootnoteReference"/>
        </w:rPr>
        <w:footnoteRef/>
      </w:r>
      <w:r>
        <w:t xml:space="preserve"> </w:t>
      </w:r>
      <w:r>
        <w:tab/>
        <w:t xml:space="preserve">Dans le cadre de la formation de tout </w:t>
      </w:r>
      <w:r w:rsidR="00760099">
        <w:t>V</w:t>
      </w:r>
      <w:r>
        <w:t xml:space="preserve">éhicule alternatif, il est très courant pour le </w:t>
      </w:r>
      <w:r w:rsidR="00760099">
        <w:t>C</w:t>
      </w:r>
      <w:r>
        <w:t>ommandité d</w:t>
      </w:r>
      <w:r w:rsidR="007068EF">
        <w:t>’</w:t>
      </w:r>
      <w:r>
        <w:t>obtenir un avis d</w:t>
      </w:r>
      <w:r w:rsidR="007068EF">
        <w:t>’</w:t>
      </w:r>
      <w:r>
        <w:t xml:space="preserve">un avocat local </w:t>
      </w:r>
      <w:r w:rsidR="00760099">
        <w:t xml:space="preserve">indiquant </w:t>
      </w:r>
      <w:r>
        <w:t xml:space="preserve">substantiellement que la responsabilité limitée des </w:t>
      </w:r>
      <w:r w:rsidR="00760099">
        <w:t>Co</w:t>
      </w:r>
      <w:r>
        <w:t>mmanditaires sera respectée en vertu des lois de cette juridiction.</w:t>
      </w:r>
    </w:p>
  </w:footnote>
  <w:footnote w:id="70">
    <w:p w:rsidR="0000160C" w:rsidRDefault="00C517ED" w14:paraId="0C41D036" w14:textId="3731F878">
      <w:pPr>
        <w:pStyle w:val="FootnoteText"/>
      </w:pPr>
      <w:r w:rsidRPr="004346C1">
        <w:rPr>
          <w:rStyle w:val="FootnoteReference"/>
          <w:szCs w:val="24"/>
        </w:rPr>
        <w:footnoteRef/>
      </w:r>
      <w:r>
        <w:t xml:space="preserve"> </w:t>
      </w:r>
      <w:r>
        <w:tab/>
      </w:r>
      <w:r w:rsidRPr="00760099" w:rsidR="00760099">
        <w:t>Le délai habituel pour ces ajustements est de 60 à 90 jours.</w:t>
      </w:r>
    </w:p>
  </w:footnote>
  <w:footnote w:id="71">
    <w:p w:rsidR="0000160C" w:rsidRDefault="00C517ED" w14:paraId="53DD515A" w14:textId="6C1B09EC">
      <w:pPr>
        <w:pStyle w:val="FootnoteText"/>
      </w:pPr>
      <w:r w:rsidRPr="004346C1">
        <w:rPr>
          <w:rStyle w:val="FootnoteReference"/>
          <w:szCs w:val="24"/>
        </w:rPr>
        <w:footnoteRef/>
      </w:r>
      <w:r>
        <w:t xml:space="preserve"> </w:t>
      </w:r>
      <w:r>
        <w:tab/>
        <w:t xml:space="preserve">En </w:t>
      </w:r>
      <w:r w:rsidR="00760099">
        <w:t>règle générale</w:t>
      </w:r>
      <w:r>
        <w:t xml:space="preserve">, en vertu des diverses lois provinciales régissant les sociétés en commandite au Canada, si un </w:t>
      </w:r>
      <w:r w:rsidR="00760099">
        <w:t>c</w:t>
      </w:r>
      <w:r>
        <w:t xml:space="preserve">ommanditaire participe au </w:t>
      </w:r>
      <w:r w:rsidR="00760099">
        <w:t>« </w:t>
      </w:r>
      <w:r>
        <w:t xml:space="preserve">contrôle » de la société ou de </w:t>
      </w:r>
      <w:r w:rsidR="00760099">
        <w:t>ses activités</w:t>
      </w:r>
      <w:r>
        <w:t>, il peut perdre sa responsabilité limitée. Comme il s</w:t>
      </w:r>
      <w:r w:rsidR="00656824">
        <w:t>’</w:t>
      </w:r>
      <w:r>
        <w:t>agit d</w:t>
      </w:r>
      <w:r w:rsidR="00EC47A5">
        <w:t>’</w:t>
      </w:r>
      <w:r>
        <w:t>une détermination factuelle, cette disposition n</w:t>
      </w:r>
      <w:r w:rsidR="00656824">
        <w:t>’</w:t>
      </w:r>
      <w:r>
        <w:t xml:space="preserve">est pas déterminante en soi. Cette question peut devenir compliquée lorsque des personnes qui travaillent pour le </w:t>
      </w:r>
      <w:r w:rsidR="00760099">
        <w:t>C</w:t>
      </w:r>
      <w:r>
        <w:t xml:space="preserve">ommandité ou le </w:t>
      </w:r>
      <w:r w:rsidR="00760099">
        <w:t>Gestionnaire</w:t>
      </w:r>
      <w:r>
        <w:t xml:space="preserve"> sont également des investisseurs dans la </w:t>
      </w:r>
      <w:r w:rsidR="00760099">
        <w:t>S</w:t>
      </w:r>
      <w:r>
        <w:t xml:space="preserve">ociété en commandite à titre </w:t>
      </w:r>
      <w:r w:rsidR="00760099">
        <w:t>de Commanditaires</w:t>
      </w:r>
      <w:r>
        <w:t xml:space="preserve">. </w:t>
      </w:r>
      <w:r w:rsidR="00760099">
        <w:t>Il est recommandé d’obtenir un avis juridique approprié</w:t>
      </w:r>
      <w:r>
        <w:t>.</w:t>
      </w:r>
    </w:p>
  </w:footnote>
  <w:footnote w:id="72">
    <w:p w:rsidR="0000160C" w:rsidRDefault="00C517ED" w14:paraId="6C86CA33" w14:textId="6D47841C">
      <w:pPr>
        <w:pStyle w:val="FootnoteText"/>
      </w:pPr>
      <w:r>
        <w:rPr>
          <w:rStyle w:val="FootnoteReference"/>
        </w:rPr>
        <w:footnoteRef/>
      </w:r>
      <w:r>
        <w:t xml:space="preserve"> </w:t>
      </w:r>
      <w:r>
        <w:tab/>
        <w:t>Envisagez d</w:t>
      </w:r>
      <w:r w:rsidR="00656824">
        <w:t>’</w:t>
      </w:r>
      <w:r>
        <w:t xml:space="preserve">inclure la phrase entre crochets si la </w:t>
      </w:r>
      <w:r w:rsidR="009D2C00">
        <w:t>S</w:t>
      </w:r>
      <w:r>
        <w:t xml:space="preserve">ociété en commandite est constituée au Québec. </w:t>
      </w:r>
      <w:r w:rsidR="009D2C00">
        <w:t>Il est recommandé de consulter un conseiller juridique du Québec</w:t>
      </w:r>
      <w:r>
        <w:t>.</w:t>
      </w:r>
    </w:p>
  </w:footnote>
  <w:footnote w:id="73">
    <w:p w:rsidR="0000160C" w:rsidRDefault="00C517ED" w14:paraId="0A0804EF" w14:textId="075502BB">
      <w:pPr>
        <w:pStyle w:val="FootnoteText"/>
      </w:pPr>
      <w:r w:rsidRPr="004346C1">
        <w:rPr>
          <w:rStyle w:val="FootnoteReference"/>
          <w:szCs w:val="24"/>
        </w:rPr>
        <w:footnoteRef/>
      </w:r>
      <w:r>
        <w:t xml:space="preserve"> </w:t>
      </w:r>
      <w:r>
        <w:tab/>
        <w:t>Il est courant d</w:t>
      </w:r>
      <w:r w:rsidR="00EC47A5">
        <w:t>’</w:t>
      </w:r>
      <w:r>
        <w:t>inclure des restrictions relatives au statut fiscal du Fonds, afin d</w:t>
      </w:r>
      <w:r w:rsidR="00EC47A5">
        <w:t>’</w:t>
      </w:r>
      <w:r>
        <w:t>éviter que le Fonds ne soit soumis à certaines règles fiscales potentiellement défavorables. L</w:t>
      </w:r>
      <w:r w:rsidR="00EC47A5">
        <w:t>’</w:t>
      </w:r>
      <w:r>
        <w:t>approche adoptée en ce qui concerne l</w:t>
      </w:r>
      <w:r w:rsidR="00EC47A5">
        <w:t>’</w:t>
      </w:r>
      <w:r>
        <w:t>inclusion et l</w:t>
      </w:r>
      <w:r w:rsidR="00EC47A5">
        <w:t>’</w:t>
      </w:r>
      <w:r>
        <w:t xml:space="preserve">étendue de ces restrictions varie et devra peut-être être adaptée aux circonstances particulières du Fonds. Il </w:t>
      </w:r>
      <w:r w:rsidR="009D2C00">
        <w:t>est recommandé</w:t>
      </w:r>
      <w:r>
        <w:t xml:space="preserve"> </w:t>
      </w:r>
      <w:r w:rsidR="009D2C00">
        <w:t>d’</w:t>
      </w:r>
      <w:r>
        <w:t>obtenir des conseils fiscaux.</w:t>
      </w:r>
    </w:p>
  </w:footnote>
  <w:footnote w:id="74">
    <w:p w:rsidR="0000160C" w:rsidRDefault="00C517ED" w14:paraId="70B208C8" w14:textId="573FFEC1">
      <w:pPr>
        <w:pStyle w:val="FootnoteText"/>
      </w:pPr>
      <w:r>
        <w:rPr>
          <w:rStyle w:val="FootnoteReference"/>
        </w:rPr>
        <w:footnoteRef/>
      </w:r>
      <w:r>
        <w:t xml:space="preserve"> </w:t>
      </w:r>
      <w:r>
        <w:tab/>
      </w:r>
      <w:r w:rsidR="009D2C00">
        <w:t>Étant donné que</w:t>
      </w:r>
      <w:r>
        <w:t xml:space="preserve"> ce fonds est désigné comme étant un</w:t>
      </w:r>
      <w:r w:rsidR="009D2C00">
        <w:t>e</w:t>
      </w:r>
      <w:r>
        <w:t xml:space="preserve"> « </w:t>
      </w:r>
      <w:r w:rsidR="009D2C00">
        <w:t>Société de personnes canadienne</w:t>
      </w:r>
      <w:r>
        <w:t xml:space="preserve"> », tous les </w:t>
      </w:r>
      <w:r w:rsidR="009D2C00">
        <w:t>associés</w:t>
      </w:r>
      <w:r>
        <w:t xml:space="preserve"> doivent être des résidents </w:t>
      </w:r>
      <w:r w:rsidR="009D2C00">
        <w:t>du Canada</w:t>
      </w:r>
      <w:r>
        <w:t>. S</w:t>
      </w:r>
      <w:r w:rsidR="00EC47A5">
        <w:t>’</w:t>
      </w:r>
      <w:r>
        <w:t>il y a des investisseurs non-résidents, ils devront investir par l</w:t>
      </w:r>
      <w:r w:rsidR="00EC47A5">
        <w:t>’</w:t>
      </w:r>
      <w:r>
        <w:t xml:space="preserve">intermédiaire d'un </w:t>
      </w:r>
      <w:r w:rsidR="009D2C00">
        <w:t>V</w:t>
      </w:r>
      <w:r>
        <w:t>éhicule parallèle. Des considérations fiscales différentes peuvent s</w:t>
      </w:r>
      <w:r w:rsidR="00EC47A5">
        <w:t>’</w:t>
      </w:r>
      <w:r>
        <w:t xml:space="preserve">appliquer aux sociétés de personnes qui comprennent des associés non-résidents. Il </w:t>
      </w:r>
      <w:r w:rsidR="009D2C00">
        <w:t>est recommandé</w:t>
      </w:r>
      <w:r>
        <w:t xml:space="preserve"> </w:t>
      </w:r>
      <w:r w:rsidR="009D2C00">
        <w:t>d’</w:t>
      </w:r>
      <w:r>
        <w:t>obtenir des conseils fiscaux.</w:t>
      </w:r>
    </w:p>
  </w:footnote>
  <w:footnote w:id="75">
    <w:p w:rsidR="0000160C" w:rsidRDefault="00C517ED" w14:paraId="7907D731" w14:textId="7D15650E">
      <w:pPr>
        <w:pStyle w:val="FootnoteText"/>
      </w:pPr>
      <w:r>
        <w:rPr>
          <w:rStyle w:val="FootnoteReference"/>
        </w:rPr>
        <w:footnoteRef/>
      </w:r>
      <w:r>
        <w:t xml:space="preserve"> </w:t>
      </w:r>
      <w:r>
        <w:tab/>
        <w:t xml:space="preserve">Un fonds peut ou non avoir un « plafond strict ». Souvent, </w:t>
      </w:r>
      <w:r w:rsidRPr="00263E29" w:rsidR="00263E29">
        <w:t xml:space="preserve">un </w:t>
      </w:r>
      <w:r w:rsidR="00263E29">
        <w:t>« plafond strict »</w:t>
      </w:r>
      <w:r w:rsidRPr="00263E29" w:rsidR="00263E29">
        <w:t xml:space="preserve"> fixe du fonds est exigé par les investisseurs institutionnels tels que les fonds de pension.</w:t>
      </w:r>
    </w:p>
  </w:footnote>
  <w:footnote w:id="76">
    <w:p w:rsidR="0000160C" w:rsidRDefault="00C517ED" w14:paraId="3CD75A6D" w14:textId="2FCF4423">
      <w:pPr>
        <w:pStyle w:val="FootnoteText"/>
      </w:pPr>
      <w:r w:rsidRPr="004346C1">
        <w:rPr>
          <w:rStyle w:val="FootnoteReference"/>
          <w:szCs w:val="24"/>
        </w:rPr>
        <w:footnoteRef/>
      </w:r>
      <w:r>
        <w:t xml:space="preserve"> </w:t>
      </w:r>
      <w:r>
        <w:tab/>
        <w:t xml:space="preserve">Il est normal que le </w:t>
      </w:r>
      <w:r w:rsidR="00263E29">
        <w:t>C</w:t>
      </w:r>
      <w:r>
        <w:t xml:space="preserve">ommandité </w:t>
      </w:r>
      <w:r w:rsidR="00263E29">
        <w:t>prenne un engagement</w:t>
      </w:r>
      <w:r>
        <w:t xml:space="preserve"> envers le Fonds soit directement, soit par l</w:t>
      </w:r>
      <w:r w:rsidR="00EC47A5">
        <w:t>’</w:t>
      </w:r>
      <w:r>
        <w:t xml:space="preserve">intermédiaire </w:t>
      </w:r>
      <w:r w:rsidR="00263E29">
        <w:t>de</w:t>
      </w:r>
      <w:r w:rsidR="009739E2">
        <w:t>s</w:t>
      </w:r>
      <w:r w:rsidR="00263E29">
        <w:t xml:space="preserve"> Membres du même groupe</w:t>
      </w:r>
      <w:r w:rsidR="009739E2">
        <w:t xml:space="preserve"> que le Commandité</w:t>
      </w:r>
      <w:r>
        <w:t xml:space="preserve">. En règle générale, le </w:t>
      </w:r>
      <w:r w:rsidR="00263E29">
        <w:t>C</w:t>
      </w:r>
      <w:r>
        <w:t xml:space="preserve">ommandité, le </w:t>
      </w:r>
      <w:r w:rsidR="00263E29">
        <w:t>Gestionnaire</w:t>
      </w:r>
      <w:r>
        <w:t xml:space="preserve"> ou les </w:t>
      </w:r>
      <w:r w:rsidR="00263E29">
        <w:t>P</w:t>
      </w:r>
      <w:r>
        <w:t>ersonnes</w:t>
      </w:r>
      <w:r w:rsidR="00263E29">
        <w:t>-</w:t>
      </w:r>
      <w:r>
        <w:t xml:space="preserve">clés ou </w:t>
      </w:r>
      <w:r w:rsidR="00263E29">
        <w:t>les Membres du même groupe</w:t>
      </w:r>
      <w:r w:rsidR="009739E2">
        <w:t xml:space="preserve"> que </w:t>
      </w:r>
      <w:r w:rsidR="00335434">
        <w:t>l’une des</w:t>
      </w:r>
      <w:r w:rsidR="009739E2">
        <w:t xml:space="preserve"> Personnes précédentes</w:t>
      </w:r>
      <w:r>
        <w:t xml:space="preserve"> seront des commanditaires du Fonds en ce qui concerne de tels engagements. Le montant de cet engagement peut être un montant fixe ou un pourcentage et se situe généralement dans la fourchette de 1 à 2 % des engagements globaux du Fonds. </w:t>
      </w:r>
    </w:p>
  </w:footnote>
  <w:footnote w:id="77">
    <w:p w:rsidR="0000160C" w:rsidRDefault="00C517ED" w14:paraId="2CB4E988" w14:textId="106B33FA">
      <w:pPr>
        <w:pStyle w:val="FootnoteText"/>
      </w:pPr>
      <w:r>
        <w:rPr>
          <w:rStyle w:val="FootnoteReference"/>
        </w:rPr>
        <w:footnoteRef/>
      </w:r>
      <w:r>
        <w:t xml:space="preserve"> </w:t>
      </w:r>
      <w:r>
        <w:tab/>
        <w:t xml:space="preserve">Dans certains cas, le </w:t>
      </w:r>
      <w:r w:rsidR="00263E29">
        <w:t>C</w:t>
      </w:r>
      <w:r>
        <w:t xml:space="preserve">ommandité peut prendre </w:t>
      </w:r>
      <w:r w:rsidR="00263E29">
        <w:t>la totalité ou une</w:t>
      </w:r>
      <w:r>
        <w:t xml:space="preserve"> partie de son engagement dans un </w:t>
      </w:r>
      <w:r w:rsidR="00263E29">
        <w:t>V</w:t>
      </w:r>
      <w:r>
        <w:t xml:space="preserve">éhicule parallèle ou en tant que </w:t>
      </w:r>
      <w:r w:rsidR="00263E29">
        <w:t>Commanditaire</w:t>
      </w:r>
      <w:r>
        <w:t>. Au lieu d</w:t>
      </w:r>
      <w:r w:rsidR="00EC47A5">
        <w:t>’</w:t>
      </w:r>
      <w:r>
        <w:t xml:space="preserve">effectuer des paiements proportionnels à chaque clôture, le </w:t>
      </w:r>
      <w:r w:rsidR="00263E29">
        <w:t>C</w:t>
      </w:r>
      <w:r>
        <w:t xml:space="preserve">ommandité et </w:t>
      </w:r>
      <w:r w:rsidR="00263E29">
        <w:t>les Membres du même groupe</w:t>
      </w:r>
      <w:r w:rsidR="009739E2">
        <w:t xml:space="preserve"> que le Commandité</w:t>
      </w:r>
      <w:r>
        <w:t xml:space="preserve"> peuvent s</w:t>
      </w:r>
      <w:r w:rsidR="00EC47A5">
        <w:t>’</w:t>
      </w:r>
      <w:r>
        <w:t>engager à investir dans le Fonds au plus tard à la clôture finale.</w:t>
      </w:r>
    </w:p>
  </w:footnote>
  <w:footnote w:id="78">
    <w:p w:rsidR="0000160C" w:rsidRDefault="00C517ED" w14:paraId="336FC965" w14:textId="48E5F0F9">
      <w:pPr>
        <w:pStyle w:val="FootnoteText"/>
      </w:pPr>
      <w:r>
        <w:rPr>
          <w:rStyle w:val="FootnoteReference"/>
        </w:rPr>
        <w:footnoteRef/>
      </w:r>
      <w:r>
        <w:tab/>
        <w:t>L</w:t>
      </w:r>
      <w:r w:rsidR="00EC47A5">
        <w:t>’</w:t>
      </w:r>
      <w:r>
        <w:t>approche à l</w:t>
      </w:r>
      <w:r w:rsidR="00EC47A5">
        <w:t>’</w:t>
      </w:r>
      <w:r>
        <w:t xml:space="preserve">égard des </w:t>
      </w:r>
      <w:r w:rsidR="00263E29">
        <w:t>P</w:t>
      </w:r>
      <w:r>
        <w:t xml:space="preserve">ersonnes </w:t>
      </w:r>
      <w:r w:rsidR="002D29D9">
        <w:t>inadmissible</w:t>
      </w:r>
      <w:r>
        <w:t xml:space="preserve">s varie et </w:t>
      </w:r>
      <w:r w:rsidR="00222E93">
        <w:t>peut</w:t>
      </w:r>
      <w:r>
        <w:t xml:space="preserve"> devoir être adaptée aux circonstances particulières du Fonds. Par exemple, certain</w:t>
      </w:r>
      <w:r w:rsidR="00222E93">
        <w:t>e</w:t>
      </w:r>
      <w:r>
        <w:t xml:space="preserve">s </w:t>
      </w:r>
      <w:r w:rsidR="00222E93">
        <w:t>conventions</w:t>
      </w:r>
      <w:r>
        <w:t xml:space="preserve"> de fonds prévoient l</w:t>
      </w:r>
      <w:r w:rsidR="00222E93">
        <w:t xml:space="preserve">’abandon </w:t>
      </w:r>
      <w:r>
        <w:t xml:space="preserve">automatique des </w:t>
      </w:r>
      <w:r w:rsidR="00222E93">
        <w:t>Participations</w:t>
      </w:r>
      <w:r>
        <w:t xml:space="preserve"> par les </w:t>
      </w:r>
      <w:r w:rsidR="00222E93">
        <w:t>Associés</w:t>
      </w:r>
      <w:r>
        <w:t xml:space="preserve"> qui deviennent des </w:t>
      </w:r>
      <w:r w:rsidR="00222E93">
        <w:t>P</w:t>
      </w:r>
      <w:r>
        <w:t xml:space="preserve">ersonnes </w:t>
      </w:r>
      <w:r w:rsidR="002D29D9">
        <w:t>inadmissible</w:t>
      </w:r>
      <w:r w:rsidR="00222E93">
        <w:t>s</w:t>
      </w:r>
      <w:r>
        <w:t xml:space="preserve"> (dans certains cas, à la discrétion du </w:t>
      </w:r>
      <w:r w:rsidR="00222E93">
        <w:t>Commandité</w:t>
      </w:r>
      <w:r>
        <w:t xml:space="preserve">). Les </w:t>
      </w:r>
      <w:r w:rsidR="00222E93">
        <w:t>déclarations</w:t>
      </w:r>
      <w:r>
        <w:t xml:space="preserve">, garanties et engagements concernant le statut du </w:t>
      </w:r>
      <w:r w:rsidR="00222E93">
        <w:t>Commanditaire souscripteur</w:t>
      </w:r>
      <w:r>
        <w:t xml:space="preserve"> en tant que Personne </w:t>
      </w:r>
      <w:r w:rsidR="002D29D9">
        <w:t>inadmissible</w:t>
      </w:r>
      <w:r>
        <w:t xml:space="preserve"> doivent être pris en compte dans </w:t>
      </w:r>
      <w:r w:rsidR="00222E93">
        <w:t>la Convention de souscription</w:t>
      </w:r>
      <w:r>
        <w:t>.</w:t>
      </w:r>
    </w:p>
  </w:footnote>
  <w:footnote w:id="79">
    <w:p w:rsidR="0000160C" w:rsidRDefault="00C517ED" w14:paraId="628DEA00" w14:textId="007A1C9C">
      <w:pPr>
        <w:pStyle w:val="FootnoteText"/>
      </w:pPr>
      <w:r>
        <w:rPr>
          <w:rStyle w:val="FootnoteReference"/>
        </w:rPr>
        <w:footnoteRef/>
      </w:r>
      <w:r>
        <w:t xml:space="preserve"> </w:t>
      </w:r>
      <w:r w:rsidR="00222E93">
        <w:tab/>
      </w:r>
      <w:r>
        <w:t>Envisager d</w:t>
      </w:r>
      <w:r w:rsidR="00EC47A5">
        <w:t>’</w:t>
      </w:r>
      <w:r>
        <w:t>ajouter la disposition suivante pour traiter de la liquidation totale ou partielle d</w:t>
      </w:r>
      <w:r w:rsidR="00EC47A5">
        <w:t>’</w:t>
      </w:r>
      <w:r>
        <w:t xml:space="preserve">un </w:t>
      </w:r>
      <w:r w:rsidR="00222E93">
        <w:t>I</w:t>
      </w:r>
      <w:r>
        <w:t xml:space="preserve">nvestissement de portefeuille avant la </w:t>
      </w:r>
      <w:r w:rsidR="00222E93">
        <w:t>D</w:t>
      </w:r>
      <w:r>
        <w:t xml:space="preserve">ate de clôture finale : </w:t>
      </w:r>
    </w:p>
    <w:p w:rsidR="0000160C" w:rsidRDefault="00C517ED" w14:paraId="7956F8AF" w14:textId="40F886FB">
      <w:pPr>
        <w:pStyle w:val="FootnoteText"/>
        <w:ind w:left="576"/>
      </w:pPr>
      <w:r>
        <w:tab/>
        <w:t xml:space="preserve">« Nonobstant toute disposition </w:t>
      </w:r>
      <w:r w:rsidR="00222E93">
        <w:t>contraire du présent article</w:t>
      </w:r>
      <w:r>
        <w:t xml:space="preserve"> 5.4 (</w:t>
      </w:r>
      <w:r w:rsidRPr="00856D2F">
        <w:rPr>
          <w:i/>
        </w:rPr>
        <w:fldChar w:fldCharType="begin"/>
      </w:r>
      <w:r w:rsidRPr="00856D2F">
        <w:rPr>
          <w:i/>
        </w:rPr>
        <w:instrText xml:space="preserve"> REF _Ref113882647 \h </w:instrText>
      </w:r>
      <w:r>
        <w:rPr>
          <w:i/>
        </w:rPr>
        <w:instrText xml:space="preserve"> \* MERGEFORMAT </w:instrText>
      </w:r>
      <w:r w:rsidRPr="00856D2F">
        <w:rPr>
          <w:i/>
        </w:rPr>
      </w:r>
      <w:r w:rsidRPr="00856D2F">
        <w:rPr>
          <w:i/>
        </w:rPr>
        <w:fldChar w:fldCharType="separate"/>
      </w:r>
      <w:r w:rsidRPr="00B50BE2" w:rsidR="00B50BE2">
        <w:rPr>
          <w:i/>
        </w:rPr>
        <w:t>Clôtures subséquentes.</w:t>
      </w:r>
      <w:r w:rsidRPr="00856D2F">
        <w:rPr>
          <w:i/>
        </w:rPr>
        <w:fldChar w:fldCharType="end"/>
      </w:r>
      <w:r>
        <w:t xml:space="preserve">), si un Investissement de </w:t>
      </w:r>
      <w:r w:rsidR="00222E93">
        <w:t>p</w:t>
      </w:r>
      <w:r>
        <w:t xml:space="preserve">ortefeuille a été réalisé en totalité ou en partie avant la date de </w:t>
      </w:r>
      <w:r w:rsidR="00222E93">
        <w:t>cette</w:t>
      </w:r>
      <w:r>
        <w:t xml:space="preserve"> Clôture </w:t>
      </w:r>
      <w:r w:rsidR="00222E93">
        <w:t>subséquente</w:t>
      </w:r>
      <w:r>
        <w:t>, l</w:t>
      </w:r>
      <w:r w:rsidR="00222E93">
        <w:t xml:space="preserve">’Associé </w:t>
      </w:r>
      <w:r>
        <w:t>d</w:t>
      </w:r>
      <w:r w:rsidR="00222E93">
        <w:t xml:space="preserve">’une </w:t>
      </w:r>
      <w:r>
        <w:t xml:space="preserve">Clôture </w:t>
      </w:r>
      <w:r w:rsidR="00222E93">
        <w:t>subséquente</w:t>
      </w:r>
      <w:r>
        <w:t xml:space="preserve"> ne </w:t>
      </w:r>
      <w:r w:rsidR="00222E93">
        <w:t>doit</w:t>
      </w:r>
      <w:r>
        <w:t xml:space="preserve"> pas</w:t>
      </w:r>
      <w:r w:rsidR="00222E93">
        <w:t xml:space="preserve"> participer</w:t>
      </w:r>
      <w:r>
        <w:t xml:space="preserve"> (y compris en recevant le</w:t>
      </w:r>
      <w:r w:rsidR="00222E93">
        <w:t>s</w:t>
      </w:r>
      <w:r>
        <w:t xml:space="preserve"> produit</w:t>
      </w:r>
      <w:r w:rsidR="00222E93">
        <w:t xml:space="preserve">s </w:t>
      </w:r>
      <w:r>
        <w:t xml:space="preserve">ou les avantages de celui-ci) à cet Investissement de </w:t>
      </w:r>
      <w:r w:rsidR="00222E93">
        <w:t>p</w:t>
      </w:r>
      <w:r>
        <w:t>ortefeuille et il n</w:t>
      </w:r>
      <w:r w:rsidR="00EC47A5">
        <w:t>’</w:t>
      </w:r>
      <w:r>
        <w:t xml:space="preserve">y </w:t>
      </w:r>
      <w:r w:rsidR="00222E93">
        <w:t>a</w:t>
      </w:r>
      <w:r>
        <w:t xml:space="preserve"> aucune obligation pour </w:t>
      </w:r>
      <w:r w:rsidR="00222E93">
        <w:t>cet Associé d’une</w:t>
      </w:r>
      <w:r>
        <w:t xml:space="preserve"> Clôture </w:t>
      </w:r>
      <w:r w:rsidR="00222E93">
        <w:t>subséquente</w:t>
      </w:r>
      <w:r>
        <w:t xml:space="preserve"> de payer sa part proportionnelle des Apports </w:t>
      </w:r>
      <w:r w:rsidR="00222E93">
        <w:t>de</w:t>
      </w:r>
      <w:r>
        <w:t xml:space="preserve"> </w:t>
      </w:r>
      <w:r w:rsidR="00222E93">
        <w:t>c</w:t>
      </w:r>
      <w:r>
        <w:t xml:space="preserve">apital </w:t>
      </w:r>
      <w:r w:rsidR="00E21396">
        <w:t>antérieurs</w:t>
      </w:r>
      <w:r>
        <w:t xml:space="preserve"> ou tout paiement équivalent en intérêts relatif à cet Investissement de </w:t>
      </w:r>
      <w:r w:rsidR="00222E93">
        <w:t>p</w:t>
      </w:r>
      <w:r>
        <w:t>ortefeuille. »</w:t>
      </w:r>
    </w:p>
  </w:footnote>
  <w:footnote w:id="80">
    <w:p w:rsidR="0000160C" w:rsidRDefault="00C517ED" w14:paraId="188F46FD" w14:textId="7D221583">
      <w:pPr>
        <w:pStyle w:val="FootnoteText"/>
      </w:pPr>
      <w:r w:rsidRPr="004346C1">
        <w:rPr>
          <w:rStyle w:val="FootnoteReference"/>
          <w:szCs w:val="24"/>
        </w:rPr>
        <w:footnoteRef/>
      </w:r>
      <w:r>
        <w:t xml:space="preserve"> </w:t>
      </w:r>
      <w:r>
        <w:tab/>
        <w:t xml:space="preserve">Afin d’indemniser les investisseurs qui participent à la </w:t>
      </w:r>
      <w:r w:rsidR="00EC47A5">
        <w:t>C</w:t>
      </w:r>
      <w:r>
        <w:t xml:space="preserve">lôture initiale pour le risque supplémentaire qu’ils prennent en s’engageant tôt auprès du Fonds, les investisseurs qui participent à une </w:t>
      </w:r>
      <w:r w:rsidR="00EC47A5">
        <w:t>C</w:t>
      </w:r>
      <w:r>
        <w:t xml:space="preserve">lôture </w:t>
      </w:r>
      <w:r w:rsidR="00A737FB">
        <w:t>subséquente</w:t>
      </w:r>
      <w:r>
        <w:t xml:space="preserve"> devront généralement payer des intérêts sur leurs </w:t>
      </w:r>
      <w:r w:rsidR="00EC47A5">
        <w:t>E</w:t>
      </w:r>
      <w:r>
        <w:t xml:space="preserve">ngagements calculés à partir de la </w:t>
      </w:r>
      <w:r w:rsidR="00EC47A5">
        <w:t>D</w:t>
      </w:r>
      <w:r>
        <w:t xml:space="preserve">ate de la clôture initiale du Fonds jusqu’à la date de ladite </w:t>
      </w:r>
      <w:r w:rsidR="00EC47A5">
        <w:t>C</w:t>
      </w:r>
      <w:r>
        <w:t xml:space="preserve">lôture </w:t>
      </w:r>
      <w:r w:rsidR="00A737FB">
        <w:t>subséquente</w:t>
      </w:r>
      <w:r>
        <w:t xml:space="preserve">, et ces montants sont généralement distribués aux </w:t>
      </w:r>
      <w:r w:rsidR="00A737FB">
        <w:t>C</w:t>
      </w:r>
      <w:r>
        <w:t xml:space="preserve">ommanditaires qui ont participé à des </w:t>
      </w:r>
      <w:r w:rsidR="00EC47A5">
        <w:t>C</w:t>
      </w:r>
      <w:r>
        <w:t xml:space="preserve">lôtures </w:t>
      </w:r>
      <w:r w:rsidR="00A737FB">
        <w:t>subséquentes</w:t>
      </w:r>
      <w:r>
        <w:t>.</w:t>
      </w:r>
    </w:p>
  </w:footnote>
  <w:footnote w:id="81">
    <w:p w:rsidR="0000160C" w:rsidRDefault="00C517ED" w14:paraId="4BA323AA" w14:textId="2B01E941">
      <w:pPr>
        <w:pStyle w:val="FootnoteText"/>
      </w:pPr>
      <w:r>
        <w:rPr>
          <w:rStyle w:val="FootnoteReference"/>
        </w:rPr>
        <w:footnoteRef/>
      </w:r>
      <w:r>
        <w:t xml:space="preserve"> </w:t>
      </w:r>
      <w:r>
        <w:tab/>
        <w:t xml:space="preserve">Le </w:t>
      </w:r>
      <w:r w:rsidR="00A737FB">
        <w:t>C</w:t>
      </w:r>
      <w:r>
        <w:t xml:space="preserve">ommandité doit tenir compte de la solvabilité des investisseurs non institutionnels qui prennent des engagements et de la charge administrative que représente le </w:t>
      </w:r>
      <w:r w:rsidR="00A737FB">
        <w:t>fait de traiter avec</w:t>
      </w:r>
      <w:r>
        <w:t xml:space="preserve"> des engagements de moindre importance. Pour éviter les problèmes liés aux appels de fonds, il peut être prudent d</w:t>
      </w:r>
      <w:r w:rsidR="00EC47A5">
        <w:t>’</w:t>
      </w:r>
      <w:r>
        <w:t>exiger de certains investisseurs non institutionnels qu</w:t>
      </w:r>
      <w:r w:rsidR="00EC47A5">
        <w:t>’</w:t>
      </w:r>
      <w:r>
        <w:t>ils versent la totalité du montant de l</w:t>
      </w:r>
      <w:r w:rsidR="00EC47A5">
        <w:t>’</w:t>
      </w:r>
      <w:r>
        <w:t xml:space="preserve">engagement </w:t>
      </w:r>
      <w:r w:rsidR="00A737FB">
        <w:t>en</w:t>
      </w:r>
      <w:r>
        <w:t xml:space="preserve"> capital à la </w:t>
      </w:r>
      <w:r w:rsidR="00EC47A5">
        <w:t>C</w:t>
      </w:r>
      <w:r>
        <w:t>lôture initiale (</w:t>
      </w:r>
      <w:r w:rsidR="00A737FB">
        <w:t>sans toutefois c</w:t>
      </w:r>
      <w:r>
        <w:t>onsidérer qu</w:t>
      </w:r>
      <w:r w:rsidR="00EC47A5">
        <w:t>’</w:t>
      </w:r>
      <w:r>
        <w:t>ils ont contribué ou investi aux fins du calcul du TRI du Fonds ou des paiements de distribution) ou qu</w:t>
      </w:r>
      <w:r w:rsidR="00EC47A5">
        <w:t>’</w:t>
      </w:r>
      <w:r>
        <w:t xml:space="preserve">ils le </w:t>
      </w:r>
      <w:r w:rsidR="00694ADB">
        <w:t>conservent</w:t>
      </w:r>
      <w:r>
        <w:t xml:space="preserve"> en </w:t>
      </w:r>
      <w:r w:rsidR="00A737FB">
        <w:t>entiercement</w:t>
      </w:r>
      <w:r>
        <w:t xml:space="preserve"> jusqu</w:t>
      </w:r>
      <w:r w:rsidR="00EC47A5">
        <w:t>’</w:t>
      </w:r>
      <w:r>
        <w:t>à ce qu</w:t>
      </w:r>
      <w:r w:rsidR="00EC47A5">
        <w:t>’</w:t>
      </w:r>
      <w:r>
        <w:t xml:space="preserve">il soit </w:t>
      </w:r>
      <w:r w:rsidR="00694ADB">
        <w:t>versé</w:t>
      </w:r>
      <w:r>
        <w:t>.</w:t>
      </w:r>
    </w:p>
  </w:footnote>
  <w:footnote w:id="82">
    <w:p w:rsidR="0000160C" w:rsidRDefault="00C517ED" w14:paraId="4C9BFCBC" w14:textId="22BA33D9">
      <w:pPr>
        <w:pStyle w:val="FootnoteText"/>
      </w:pPr>
      <w:r w:rsidRPr="004346C1">
        <w:rPr>
          <w:rStyle w:val="FootnoteReference"/>
          <w:szCs w:val="24"/>
        </w:rPr>
        <w:footnoteRef/>
      </w:r>
      <w:r>
        <w:t xml:space="preserve"> </w:t>
      </w:r>
      <w:r>
        <w:tab/>
        <w:t>Afin de conserver sa souplesse dans l</w:t>
      </w:r>
      <w:r w:rsidR="00EC47A5">
        <w:t>’</w:t>
      </w:r>
      <w:r>
        <w:t xml:space="preserve">utilisation des fonds, certaines </w:t>
      </w:r>
      <w:r w:rsidR="00694ADB">
        <w:t>conventions</w:t>
      </w:r>
      <w:r>
        <w:t xml:space="preserve"> de société en commandite prévoient (comme celle-ci) l</w:t>
      </w:r>
      <w:r w:rsidR="00694ADB">
        <w:t>a</w:t>
      </w:r>
      <w:r>
        <w:t xml:space="preserve"> </w:t>
      </w:r>
      <w:r w:rsidR="00694ADB">
        <w:t>restitution</w:t>
      </w:r>
      <w:r>
        <w:t xml:space="preserve"> obligatoire des fonds s</w:t>
      </w:r>
      <w:r w:rsidR="00EC47A5">
        <w:t>’</w:t>
      </w:r>
      <w:r>
        <w:t xml:space="preserve">ils ne sont pas utilisés aux fins prévues initialement, car généralement, la cascade de distribution et le calcul du rendement </w:t>
      </w:r>
      <w:r w:rsidR="00694ADB">
        <w:t>privilégié</w:t>
      </w:r>
      <w:r>
        <w:t xml:space="preserve"> incitent fortement les </w:t>
      </w:r>
      <w:r w:rsidR="00694ADB">
        <w:t>Co</w:t>
      </w:r>
      <w:r>
        <w:t>mmandités à ne pas conserver de</w:t>
      </w:r>
      <w:r w:rsidR="00EC47A5">
        <w:t>s</w:t>
      </w:r>
      <w:r>
        <w:t xml:space="preserve"> fonds inutilisés dans le compte du Fonds pendant une longue période.</w:t>
      </w:r>
    </w:p>
  </w:footnote>
  <w:footnote w:id="83">
    <w:p w:rsidR="0000160C" w:rsidRDefault="00C517ED" w14:paraId="173B992F" w14:textId="0247E441">
      <w:pPr>
        <w:pStyle w:val="FootnoteText"/>
      </w:pPr>
      <w:r>
        <w:rPr>
          <w:rStyle w:val="FootnoteReference"/>
        </w:rPr>
        <w:footnoteRef/>
      </w:r>
      <w:r>
        <w:t xml:space="preserve"> </w:t>
      </w:r>
      <w:r>
        <w:tab/>
        <w:t>Cette disposition est souvent sujette à négociation. Certains investisseurs institutionnels peuvent exiger un plafond (p. ex., 110 % à 130 % des engagements) sur le total des investissements qui sont assujettis au réinvestissement/recyclage. De plus, il existe une variété d</w:t>
      </w:r>
      <w:r w:rsidR="00EC47A5">
        <w:t>’</w:t>
      </w:r>
      <w:r>
        <w:t xml:space="preserve">approches différentes en matière de réinvestissement liées au moment, à la taille et au type de produits qui sont assujettis au réinvestissement. Cela dépend des actifs sous-jacents de chaque fonds et des objectifs de placement de son gestionnaire. Certains fonds peuvent mettre en place des plans de réinvestissement </w:t>
      </w:r>
      <w:r w:rsidR="00FC4CC8">
        <w:t>automatique des distributions</w:t>
      </w:r>
      <w:r>
        <w:t xml:space="preserve">. </w:t>
      </w:r>
    </w:p>
  </w:footnote>
  <w:footnote w:id="84">
    <w:p w:rsidR="0000160C" w:rsidRDefault="00C517ED" w14:paraId="64704E3A" w14:textId="78AE7BF3">
      <w:pPr>
        <w:pStyle w:val="FootnoteText"/>
      </w:pPr>
      <w:r w:rsidRPr="00C8258B">
        <w:rPr>
          <w:rStyle w:val="FootnoteReference"/>
          <w:szCs w:val="24"/>
        </w:rPr>
        <w:footnoteRef/>
      </w:r>
      <w:r>
        <w:rPr>
          <w:rStyle w:val="FootnoteReference"/>
          <w:szCs w:val="24"/>
        </w:rPr>
        <w:t xml:space="preserve"> </w:t>
      </w:r>
      <w:r>
        <w:rPr>
          <w:rStyle w:val="FootnoteReference"/>
          <w:szCs w:val="24"/>
        </w:rPr>
        <w:tab/>
      </w:r>
      <w:r>
        <w:rPr>
          <w:szCs w:val="24"/>
        </w:rPr>
        <w:t xml:space="preserve">Ces </w:t>
      </w:r>
      <w:r w:rsidR="00FC4CC8">
        <w:rPr>
          <w:szCs w:val="24"/>
        </w:rPr>
        <w:t>recours</w:t>
      </w:r>
      <w:r>
        <w:rPr>
          <w:szCs w:val="24"/>
        </w:rPr>
        <w:t xml:space="preserve"> en cas de défaut sont généralement sévères et ne peuvent faire l</w:t>
      </w:r>
      <w:r w:rsidR="00EC47A5">
        <w:rPr>
          <w:szCs w:val="24"/>
        </w:rPr>
        <w:t>’</w:t>
      </w:r>
      <w:r>
        <w:rPr>
          <w:szCs w:val="24"/>
        </w:rPr>
        <w:t>objet de négociations, car le manquement à l</w:t>
      </w:r>
      <w:r w:rsidR="00EC47A5">
        <w:rPr>
          <w:szCs w:val="24"/>
        </w:rPr>
        <w:t>’</w:t>
      </w:r>
      <w:r>
        <w:rPr>
          <w:szCs w:val="24"/>
        </w:rPr>
        <w:t xml:space="preserve">obligation de contribuer constitue une préoccupation importante pour le </w:t>
      </w:r>
      <w:r w:rsidR="00FC4CC8">
        <w:rPr>
          <w:szCs w:val="24"/>
        </w:rPr>
        <w:t>C</w:t>
      </w:r>
      <w:r>
        <w:rPr>
          <w:szCs w:val="24"/>
        </w:rPr>
        <w:t xml:space="preserve">ommandité et le </w:t>
      </w:r>
      <w:r w:rsidR="00FC4CC8">
        <w:rPr>
          <w:szCs w:val="24"/>
        </w:rPr>
        <w:t>F</w:t>
      </w:r>
      <w:r>
        <w:rPr>
          <w:szCs w:val="24"/>
        </w:rPr>
        <w:t xml:space="preserve">onds dans son ensemble.  Le </w:t>
      </w:r>
      <w:r w:rsidR="00FC4CC8">
        <w:rPr>
          <w:szCs w:val="24"/>
        </w:rPr>
        <w:t>C</w:t>
      </w:r>
      <w:r>
        <w:rPr>
          <w:szCs w:val="24"/>
        </w:rPr>
        <w:t>ommandité dispose généralement d</w:t>
      </w:r>
      <w:r w:rsidR="00EC47A5">
        <w:rPr>
          <w:szCs w:val="24"/>
        </w:rPr>
        <w:t>’</w:t>
      </w:r>
      <w:r>
        <w:rPr>
          <w:szCs w:val="24"/>
        </w:rPr>
        <w:t>un large éventail de recours lorsqu</w:t>
      </w:r>
      <w:r w:rsidR="00EC47A5">
        <w:rPr>
          <w:szCs w:val="24"/>
        </w:rPr>
        <w:t>’</w:t>
      </w:r>
      <w:r>
        <w:rPr>
          <w:szCs w:val="24"/>
        </w:rPr>
        <w:t xml:space="preserve">il traite avec des commanditaires défaillants. </w:t>
      </w:r>
    </w:p>
  </w:footnote>
  <w:footnote w:id="85">
    <w:p w:rsidRPr="00F94B84" w:rsidR="0000160C" w:rsidRDefault="00C517ED" w14:paraId="43760314" w14:textId="22C46E79">
      <w:pPr>
        <w:pStyle w:val="FootnoteText"/>
        <w:rPr>
          <w:lang w:val="fr-CA"/>
        </w:rPr>
      </w:pPr>
      <w:r>
        <w:rPr>
          <w:rStyle w:val="FootnoteReference"/>
        </w:rPr>
        <w:footnoteRef/>
      </w:r>
      <w:r>
        <w:t xml:space="preserve"> </w:t>
      </w:r>
      <w:r>
        <w:tab/>
        <w:t xml:space="preserve">Ce libellé pourrait être ajouté si la société en commandite est constituée au Québec. </w:t>
      </w:r>
      <w:r w:rsidR="00FC4CC8">
        <w:t>Il est recommandé de consulter un conseiller juridique au Québec</w:t>
      </w:r>
      <w:r>
        <w:t xml:space="preserve">. </w:t>
      </w:r>
    </w:p>
  </w:footnote>
  <w:footnote w:id="86">
    <w:p w:rsidR="0000160C" w:rsidRDefault="00C517ED" w14:paraId="2160E159" w14:textId="377BE071">
      <w:pPr>
        <w:pStyle w:val="FootnoteText"/>
      </w:pPr>
      <w:r>
        <w:rPr>
          <w:rStyle w:val="FootnoteReference"/>
        </w:rPr>
        <w:footnoteRef/>
      </w:r>
      <w:r>
        <w:t xml:space="preserve"> </w:t>
      </w:r>
      <w:r>
        <w:tab/>
        <w:t xml:space="preserve">Le caractère exécutoire de ce recours </w:t>
      </w:r>
      <w:r w:rsidR="00612664">
        <w:t>en cas de</w:t>
      </w:r>
      <w:r>
        <w:t xml:space="preserve"> défaut ou de cette </w:t>
      </w:r>
      <w:r w:rsidR="00612664">
        <w:t>renonciation</w:t>
      </w:r>
      <w:r>
        <w:t xml:space="preserve"> dans la clause suivante est soumis à la législation applicable en matière d</w:t>
      </w:r>
      <w:r w:rsidR="00EC47A5">
        <w:t>’</w:t>
      </w:r>
      <w:r>
        <w:t xml:space="preserve">insolvabilité. </w:t>
      </w:r>
      <w:r w:rsidR="00612664">
        <w:t>Il est recommandé d’obtenir u</w:t>
      </w:r>
      <w:r>
        <w:t>n avis juridique approprié.</w:t>
      </w:r>
    </w:p>
  </w:footnote>
  <w:footnote w:id="87">
    <w:p w:rsidR="0000160C" w:rsidRDefault="00C517ED" w14:paraId="1CB1C6F6" w14:textId="11BB3847">
      <w:pPr>
        <w:pStyle w:val="FootnoteText"/>
      </w:pPr>
      <w:r w:rsidRPr="00C8258B">
        <w:rPr>
          <w:rStyle w:val="FootnoteReference"/>
          <w:szCs w:val="24"/>
        </w:rPr>
        <w:footnoteRef/>
      </w:r>
      <w:r>
        <w:t xml:space="preserve"> </w:t>
      </w:r>
      <w:r>
        <w:tab/>
        <w:t xml:space="preserve">Certains fonds exigeront une restriction sur les appels de </w:t>
      </w:r>
      <w:r w:rsidR="00612664">
        <w:t>fonds</w:t>
      </w:r>
      <w:r>
        <w:t xml:space="preserve"> supplémentaires nécessaires pour financer les déficits créés par les défauts. Ces restrictions limitent généralement ces appels à 120-130 % du total des </w:t>
      </w:r>
      <w:r w:rsidR="00612664">
        <w:t>A</w:t>
      </w:r>
      <w:r>
        <w:t xml:space="preserve">pports </w:t>
      </w:r>
      <w:r w:rsidR="00612664">
        <w:t>de</w:t>
      </w:r>
      <w:r>
        <w:t xml:space="preserve"> capital que les commanditaires non défaillants étaient initialement tenus de faire avant le </w:t>
      </w:r>
      <w:r w:rsidR="00612664">
        <w:t>versement</w:t>
      </w:r>
      <w:r>
        <w:t xml:space="preserve"> de ces montants supplémentaires et/ou prévoient qu</w:t>
      </w:r>
      <w:r w:rsidR="00EC47A5">
        <w:t>’</w:t>
      </w:r>
      <w:r>
        <w:t xml:space="preserve">en aucun cas les commanditaires non défaillants ne peuvent être tenus de contribuer plus que leur </w:t>
      </w:r>
      <w:r w:rsidR="00612664">
        <w:t>E</w:t>
      </w:r>
      <w:r>
        <w:t>ngagement restant.</w:t>
      </w:r>
    </w:p>
  </w:footnote>
  <w:footnote w:id="88">
    <w:p w:rsidR="0000160C" w:rsidRDefault="00C517ED" w14:paraId="6B2A849C" w14:textId="452F74F7">
      <w:pPr>
        <w:pStyle w:val="FootnoteText"/>
      </w:pPr>
      <w:r>
        <w:rPr>
          <w:rStyle w:val="FootnoteReference"/>
        </w:rPr>
        <w:footnoteRef/>
      </w:r>
      <w:r>
        <w:t xml:space="preserve"> </w:t>
      </w:r>
      <w:r>
        <w:tab/>
        <w:t xml:space="preserve">Le </w:t>
      </w:r>
      <w:r w:rsidR="00612664">
        <w:t>défaut</w:t>
      </w:r>
      <w:r>
        <w:t xml:space="preserve"> d</w:t>
      </w:r>
      <w:r w:rsidR="00EC47A5">
        <w:t>’</w:t>
      </w:r>
      <w:r>
        <w:t xml:space="preserve">un </w:t>
      </w:r>
      <w:r w:rsidR="00612664">
        <w:t>Associé</w:t>
      </w:r>
      <w:r>
        <w:t xml:space="preserve"> affilié constituera un conflit d</w:t>
      </w:r>
      <w:r w:rsidR="00EC47A5">
        <w:t>’</w:t>
      </w:r>
      <w:r>
        <w:t xml:space="preserve">intérêts et les </w:t>
      </w:r>
      <w:r w:rsidR="00EC47A5">
        <w:t>décisions</w:t>
      </w:r>
      <w:r>
        <w:t xml:space="preserve"> du </w:t>
      </w:r>
      <w:r w:rsidR="00612664">
        <w:t>Commandité</w:t>
      </w:r>
      <w:r>
        <w:t xml:space="preserve"> à l</w:t>
      </w:r>
      <w:r w:rsidR="00EC47A5">
        <w:t>’</w:t>
      </w:r>
      <w:r>
        <w:t xml:space="preserve">égard d'un tel </w:t>
      </w:r>
      <w:r w:rsidR="00612664">
        <w:t>défaut</w:t>
      </w:r>
      <w:r>
        <w:t xml:space="preserve"> doivent être soumises au consentement du Comité consultatif de</w:t>
      </w:r>
      <w:r w:rsidR="00612664">
        <w:t>s Commanditaires</w:t>
      </w:r>
      <w:r>
        <w:t>.</w:t>
      </w:r>
    </w:p>
  </w:footnote>
  <w:footnote w:id="89">
    <w:p w:rsidR="0000160C" w:rsidRDefault="00C517ED" w14:paraId="592E4C2E" w14:textId="2CBF1DDB">
      <w:pPr>
        <w:pStyle w:val="FootnoteText"/>
      </w:pPr>
      <w:r w:rsidRPr="00C8258B">
        <w:rPr>
          <w:rStyle w:val="FootnoteReference"/>
          <w:szCs w:val="24"/>
        </w:rPr>
        <w:footnoteRef/>
      </w:r>
      <w:r>
        <w:t xml:space="preserve"> </w:t>
      </w:r>
      <w:r>
        <w:tab/>
        <w:t xml:space="preserve">Les </w:t>
      </w:r>
      <w:r w:rsidR="00612664">
        <w:t>conventions</w:t>
      </w:r>
      <w:r>
        <w:t xml:space="preserve"> de société en commandite comprennent souvent une restriction sur les appels de </w:t>
      </w:r>
      <w:r w:rsidR="00612664">
        <w:t>fonds</w:t>
      </w:r>
      <w:r>
        <w:t xml:space="preserve"> supplémentaires nécessaires pour financer les déficits créés par des </w:t>
      </w:r>
      <w:r w:rsidR="00612664">
        <w:t>dispenses</w:t>
      </w:r>
      <w:r>
        <w:t xml:space="preserve">. Ces restrictions sont généralement limitées à 120-130 % du total des </w:t>
      </w:r>
      <w:r w:rsidR="00612664">
        <w:t>A</w:t>
      </w:r>
      <w:r>
        <w:t xml:space="preserve">pports </w:t>
      </w:r>
      <w:r w:rsidR="00612664">
        <w:t>de</w:t>
      </w:r>
      <w:r>
        <w:t xml:space="preserve"> capital que les commanditaires non défaillants étaient initialement tenus de verser avant le prélèvement de ces montants supplémentaires et/ou prévoient qu</w:t>
      </w:r>
      <w:r w:rsidR="00F62B5F">
        <w:t>’</w:t>
      </w:r>
      <w:r>
        <w:t>en aucun cas ils ne peuvent être tenus de verser plus que leur</w:t>
      </w:r>
      <w:r w:rsidR="00F62B5F">
        <w:t>s</w:t>
      </w:r>
      <w:r>
        <w:t xml:space="preserve"> </w:t>
      </w:r>
      <w:r w:rsidR="00612664">
        <w:t>E</w:t>
      </w:r>
      <w:r>
        <w:t>ngagement</w:t>
      </w:r>
      <w:r w:rsidR="00F62B5F">
        <w:t xml:space="preserve">s </w:t>
      </w:r>
      <w:r>
        <w:t>restant</w:t>
      </w:r>
      <w:r w:rsidR="00F62B5F">
        <w:t>s</w:t>
      </w:r>
      <w:r>
        <w:t xml:space="preserve">. </w:t>
      </w:r>
    </w:p>
  </w:footnote>
  <w:footnote w:id="90">
    <w:p w:rsidR="0000160C" w:rsidRDefault="00C517ED" w14:paraId="602D761F" w14:textId="60989348">
      <w:pPr>
        <w:pStyle w:val="FootnoteText"/>
      </w:pPr>
      <w:r w:rsidRPr="00C8258B">
        <w:rPr>
          <w:rStyle w:val="FootnoteReference"/>
          <w:szCs w:val="24"/>
        </w:rPr>
        <w:footnoteRef/>
      </w:r>
      <w:r>
        <w:t xml:space="preserve"> </w:t>
      </w:r>
      <w:r>
        <w:tab/>
        <w:t xml:space="preserve">De nombreuses </w:t>
      </w:r>
      <w:r w:rsidR="00612664">
        <w:t>conventions</w:t>
      </w:r>
      <w:r>
        <w:t xml:space="preserve"> de société en commandite prévoient que le consentement du </w:t>
      </w:r>
      <w:r w:rsidR="00612664">
        <w:t>C</w:t>
      </w:r>
      <w:r>
        <w:t xml:space="preserve">omité consultatif des </w:t>
      </w:r>
      <w:r w:rsidR="00612664">
        <w:t>Commanditaires</w:t>
      </w:r>
      <w:r>
        <w:t xml:space="preserve"> est assujetti à des limites et que le </w:t>
      </w:r>
      <w:r w:rsidR="00612664">
        <w:t>C</w:t>
      </w:r>
      <w:r>
        <w:t>omité ne peut accorder d</w:t>
      </w:r>
      <w:r w:rsidR="003134DD">
        <w:t>’</w:t>
      </w:r>
      <w:r>
        <w:t>exceptions à l</w:t>
      </w:r>
      <w:r w:rsidR="003134DD">
        <w:t>’</w:t>
      </w:r>
      <w:r>
        <w:t xml:space="preserve">ensemble de cette liste. </w:t>
      </w:r>
    </w:p>
  </w:footnote>
  <w:footnote w:id="91">
    <w:p w:rsidR="0000160C" w:rsidRDefault="00C517ED" w14:paraId="4B19754D" w14:textId="7766B1AC">
      <w:pPr>
        <w:pStyle w:val="FootnoteText"/>
      </w:pPr>
      <w:r>
        <w:rPr>
          <w:rStyle w:val="FootnoteReference"/>
        </w:rPr>
        <w:footnoteRef/>
      </w:r>
      <w:r>
        <w:t xml:space="preserve"> </w:t>
      </w:r>
      <w:r>
        <w:tab/>
      </w:r>
      <w:r>
        <w:rPr>
          <w:rFonts w:cs="Times New Roman"/>
        </w:rPr>
        <w:t xml:space="preserve">Il </w:t>
      </w:r>
      <w:r w:rsidR="00612664">
        <w:rPr>
          <w:rFonts w:cs="Times New Roman"/>
        </w:rPr>
        <w:t>peut</w:t>
      </w:r>
      <w:r>
        <w:rPr>
          <w:rFonts w:cs="Times New Roman"/>
        </w:rPr>
        <w:t xml:space="preserve"> y avoir un certain nombre de restrictions ou de lignes directrices différentes selon le mandat du Fonds. Dans le cas des fonds qui investissent uniquement au Canada, les restrictions géographiques peuvent être décrites par </w:t>
      </w:r>
      <w:r w:rsidR="00612664">
        <w:rPr>
          <w:rFonts w:cs="Times New Roman"/>
        </w:rPr>
        <w:t>toute</w:t>
      </w:r>
      <w:r>
        <w:rPr>
          <w:rFonts w:cs="Times New Roman"/>
        </w:rPr>
        <w:t xml:space="preserve"> combinaison des caractéristiques suivantes : </w:t>
      </w:r>
      <w:bookmarkStart w:name="DocXTextRef58" w:id="355"/>
      <w:r>
        <w:rPr>
          <w:rFonts w:cs="Times New Roman"/>
        </w:rPr>
        <w:t>(i)</w:t>
      </w:r>
      <w:bookmarkEnd w:id="355"/>
      <w:r>
        <w:rPr>
          <w:rFonts w:cs="Times New Roman"/>
        </w:rPr>
        <w:t xml:space="preserve"> siège social situé au Canada, </w:t>
      </w:r>
      <w:bookmarkStart w:name="DocXTextRef59" w:id="356"/>
      <w:r>
        <w:rPr>
          <w:rFonts w:cs="Times New Roman"/>
        </w:rPr>
        <w:t>(ii)</w:t>
      </w:r>
      <w:bookmarkEnd w:id="356"/>
      <w:r>
        <w:rPr>
          <w:rFonts w:cs="Times New Roman"/>
        </w:rPr>
        <w:t xml:space="preserve"> majorité des cadres supérieurs résidant au Canada, </w:t>
      </w:r>
      <w:bookmarkStart w:name="DocXTextRef60" w:id="357"/>
      <w:r>
        <w:rPr>
          <w:rFonts w:cs="Times New Roman"/>
        </w:rPr>
        <w:t>(iii)</w:t>
      </w:r>
      <w:bookmarkEnd w:id="357"/>
      <w:r>
        <w:rPr>
          <w:rFonts w:cs="Times New Roman"/>
        </w:rPr>
        <w:t xml:space="preserve"> majorité des </w:t>
      </w:r>
      <w:r w:rsidR="00612664">
        <w:rPr>
          <w:rFonts w:cs="Times New Roman"/>
        </w:rPr>
        <w:t>activités</w:t>
      </w:r>
      <w:r>
        <w:rPr>
          <w:rFonts w:cs="Times New Roman"/>
        </w:rPr>
        <w:t xml:space="preserve"> situées au Canada, ou </w:t>
      </w:r>
      <w:bookmarkStart w:name="DocXTextRef61" w:id="358"/>
      <w:r>
        <w:rPr>
          <w:rFonts w:cs="Times New Roman"/>
        </w:rPr>
        <w:t>(iv)</w:t>
      </w:r>
      <w:bookmarkEnd w:id="358"/>
      <w:r>
        <w:rPr>
          <w:rFonts w:cs="Times New Roman"/>
        </w:rPr>
        <w:t xml:space="preserve"> majorité des employés à temps plein situés au Canada. </w:t>
      </w:r>
    </w:p>
  </w:footnote>
  <w:footnote w:id="92">
    <w:p w:rsidR="0000160C" w:rsidRDefault="00C517ED" w14:paraId="2AB5F659" w14:textId="47592EF5">
      <w:pPr>
        <w:pStyle w:val="FootnoteText"/>
      </w:pPr>
      <w:r>
        <w:rPr>
          <w:rStyle w:val="FootnoteReference"/>
        </w:rPr>
        <w:footnoteRef/>
      </w:r>
      <w:r>
        <w:t xml:space="preserve"> </w:t>
      </w:r>
      <w:r>
        <w:tab/>
        <w:t xml:space="preserve">La plupart des </w:t>
      </w:r>
      <w:r w:rsidR="00612664">
        <w:t>conventions</w:t>
      </w:r>
      <w:r>
        <w:t xml:space="preserve"> de société en commandite comportent des restrictions sur les </w:t>
      </w:r>
      <w:r w:rsidR="00612664">
        <w:t>investissements</w:t>
      </w:r>
      <w:r>
        <w:t xml:space="preserve"> dans des </w:t>
      </w:r>
      <w:r w:rsidR="00612664">
        <w:t>Investissements</w:t>
      </w:r>
      <w:r>
        <w:t xml:space="preserve"> de suivi après la </w:t>
      </w:r>
      <w:r w:rsidR="00612664">
        <w:t>P</w:t>
      </w:r>
      <w:r>
        <w:t>ériode d'engagement (et certain</w:t>
      </w:r>
      <w:r w:rsidR="00612664">
        <w:t xml:space="preserve">es conventions </w:t>
      </w:r>
      <w:r>
        <w:t xml:space="preserve">de société en commandite comportent des restrictions sur les </w:t>
      </w:r>
      <w:r w:rsidR="00612664">
        <w:t>Investissements</w:t>
      </w:r>
      <w:r>
        <w:t xml:space="preserve"> de suivi pendant la </w:t>
      </w:r>
      <w:r w:rsidR="00612664">
        <w:t>P</w:t>
      </w:r>
      <w:r>
        <w:t>ériode d'engagement), et pour certains fonds et certains investisseurs institutionnels, il peut s</w:t>
      </w:r>
      <w:r w:rsidR="003134DD">
        <w:t>’</w:t>
      </w:r>
      <w:r>
        <w:t>agir d</w:t>
      </w:r>
      <w:r w:rsidR="003134DD">
        <w:t>’</w:t>
      </w:r>
      <w:r>
        <w:t>un point négociable. Les fonds de capital</w:t>
      </w:r>
      <w:r w:rsidR="00612664">
        <w:t xml:space="preserve"> de </w:t>
      </w:r>
      <w:r>
        <w:t>risque ont généralement une part plus importante d</w:t>
      </w:r>
      <w:r w:rsidR="003134DD">
        <w:t>’</w:t>
      </w:r>
      <w:r>
        <w:t xml:space="preserve">environ 40 % dans les </w:t>
      </w:r>
      <w:r w:rsidR="00612664">
        <w:t>I</w:t>
      </w:r>
      <w:r>
        <w:t>nvestissements de suivi.</w:t>
      </w:r>
    </w:p>
  </w:footnote>
  <w:footnote w:id="93">
    <w:p w:rsidRPr="003C48DB" w:rsidR="0000160C" w:rsidRDefault="00C517ED" w14:paraId="21B872F9" w14:textId="5DC9364B">
      <w:pPr>
        <w:pStyle w:val="FootnoteText"/>
        <w:rPr>
          <w:iCs/>
        </w:rPr>
      </w:pPr>
      <w:r>
        <w:rPr>
          <w:rStyle w:val="FootnoteReference"/>
        </w:rPr>
        <w:footnoteRef/>
      </w:r>
      <w:r>
        <w:t xml:space="preserve"> </w:t>
      </w:r>
      <w:r>
        <w:tab/>
        <w:t>Si un fonds est constitué dans le but d</w:t>
      </w:r>
      <w:r w:rsidR="003134DD">
        <w:t>’</w:t>
      </w:r>
      <w:r>
        <w:t xml:space="preserve">investir dans </w:t>
      </w:r>
      <w:r w:rsidR="006F2A81">
        <w:t>des titres cotés</w:t>
      </w:r>
      <w:r>
        <w:t xml:space="preserve"> en bourse, le gestionnaire ou le commanditaire du </w:t>
      </w:r>
      <w:r w:rsidR="006F2A81">
        <w:t>F</w:t>
      </w:r>
      <w:r>
        <w:t xml:space="preserve">onds devrait </w:t>
      </w:r>
      <w:r w:rsidR="006F2A81">
        <w:t>prendre en compte l</w:t>
      </w:r>
      <w:r>
        <w:t>es questions d</w:t>
      </w:r>
      <w:r w:rsidR="003134DD">
        <w:t>’</w:t>
      </w:r>
      <w:r>
        <w:t xml:space="preserve">inscription en vertu des lois canadiennes sur les valeurs mobilières qui </w:t>
      </w:r>
      <w:r w:rsidR="006F2A81">
        <w:t>peuvent en résulter</w:t>
      </w:r>
      <w:r>
        <w:t xml:space="preserve">.  </w:t>
      </w:r>
      <w:r w:rsidR="006F2A81">
        <w:t>Il est recommandé d’obtenir u</w:t>
      </w:r>
      <w:r>
        <w:t>n avis juridique approprié. Les fonds de capital</w:t>
      </w:r>
      <w:r w:rsidR="006F2A81">
        <w:t xml:space="preserve"> de </w:t>
      </w:r>
      <w:r>
        <w:t>risque et les véritables fonds de capital-investissement n</w:t>
      </w:r>
      <w:r w:rsidR="003134DD">
        <w:t>’</w:t>
      </w:r>
      <w:r>
        <w:t>investissent généralement pas dans des titres cotés en bourse et ne déclenchent généralement pas d</w:t>
      </w:r>
      <w:r w:rsidR="003134DD">
        <w:t>’</w:t>
      </w:r>
      <w:r>
        <w:t xml:space="preserve">obligation </w:t>
      </w:r>
      <w:r w:rsidR="006C03CC">
        <w:t>d’inscription</w:t>
      </w:r>
      <w:r>
        <w:t xml:space="preserve">. Voir le Règlement 31-103 - </w:t>
      </w:r>
      <w:r w:rsidRPr="00612664" w:rsidR="00612664">
        <w:rPr>
          <w:i/>
        </w:rPr>
        <w:t>Obligations et dispenses d'inscription et les obligations continues des personnes inscrites</w:t>
      </w:r>
      <w:r w:rsidR="00612664">
        <w:rPr>
          <w:i/>
        </w:rPr>
        <w:t xml:space="preserve"> </w:t>
      </w:r>
      <w:r>
        <w:t xml:space="preserve">et la </w:t>
      </w:r>
      <w:r w:rsidR="006C03CC">
        <w:t>P</w:t>
      </w:r>
      <w:r>
        <w:t xml:space="preserve">olitique complémentaire 31-103CP </w:t>
      </w:r>
      <w:r w:rsidRPr="003C48DB" w:rsidR="003C48DB">
        <w:rPr>
          <w:i/>
        </w:rPr>
        <w:t xml:space="preserve">Registration </w:t>
      </w:r>
      <w:proofErr w:type="spellStart"/>
      <w:r w:rsidRPr="003C48DB" w:rsidR="003C48DB">
        <w:rPr>
          <w:i/>
        </w:rPr>
        <w:t>Requirements</w:t>
      </w:r>
      <w:proofErr w:type="spellEnd"/>
      <w:r w:rsidRPr="003C48DB" w:rsidR="003C48DB">
        <w:rPr>
          <w:i/>
        </w:rPr>
        <w:t xml:space="preserve">, Exemptions and </w:t>
      </w:r>
      <w:proofErr w:type="spellStart"/>
      <w:r w:rsidRPr="003C48DB" w:rsidR="003C48DB">
        <w:rPr>
          <w:i/>
        </w:rPr>
        <w:t>Ongoing</w:t>
      </w:r>
      <w:proofErr w:type="spellEnd"/>
      <w:r w:rsidRPr="003C48DB" w:rsidR="003C48DB">
        <w:rPr>
          <w:i/>
        </w:rPr>
        <w:t xml:space="preserve"> Registrant Obligations</w:t>
      </w:r>
      <w:r w:rsidR="003C48DB">
        <w:rPr>
          <w:iCs/>
        </w:rPr>
        <w:t>.</w:t>
      </w:r>
    </w:p>
  </w:footnote>
  <w:footnote w:id="94">
    <w:p w:rsidR="0000160C" w:rsidRDefault="00C517ED" w14:paraId="3C1F8E9A" w14:textId="1872FE09">
      <w:pPr>
        <w:pStyle w:val="FootnoteText"/>
      </w:pPr>
      <w:r>
        <w:rPr>
          <w:rStyle w:val="FootnoteReference"/>
        </w:rPr>
        <w:footnoteRef/>
      </w:r>
      <w:r>
        <w:tab/>
        <w:t>L</w:t>
      </w:r>
      <w:r w:rsidR="003C48DB">
        <w:t>’</w:t>
      </w:r>
      <w:r>
        <w:t xml:space="preserve">ESG est un domaine émergent et la plupart des investisseurs institutionnels ont adopté des politiques ESG et des exigences de </w:t>
      </w:r>
      <w:r w:rsidR="005243C3">
        <w:t>divulgation</w:t>
      </w:r>
      <w:r>
        <w:t xml:space="preserve"> interne.</w:t>
      </w:r>
    </w:p>
  </w:footnote>
  <w:footnote w:id="95">
    <w:p w:rsidR="0000160C" w:rsidRDefault="00C517ED" w14:paraId="21AE831D" w14:textId="54FA8AC9">
      <w:pPr>
        <w:pStyle w:val="FootnoteText"/>
      </w:pPr>
      <w:r w:rsidRPr="002B4668">
        <w:rPr>
          <w:rStyle w:val="FootnoteReference"/>
          <w:szCs w:val="24"/>
        </w:rPr>
        <w:footnoteRef/>
      </w:r>
      <w:r>
        <w:t xml:space="preserve"> </w:t>
      </w:r>
      <w:r>
        <w:tab/>
        <w:t>Les limites d</w:t>
      </w:r>
      <w:r w:rsidR="003C48DB">
        <w:t>’</w:t>
      </w:r>
      <w:r>
        <w:t>emprunt peuvent varier selon le type de fonds (c.-à-d. la catégorie d</w:t>
      </w:r>
      <w:r w:rsidR="003C48DB">
        <w:t>’</w:t>
      </w:r>
      <w:r>
        <w:t>actifs sous-jacente) et la capacité d</w:t>
      </w:r>
      <w:r w:rsidR="003C48DB">
        <w:t>’</w:t>
      </w:r>
      <w:r>
        <w:t>un fonds de fournir des garanties aux prêteurs pour les facilités de souscription et les facilités de crédit et d</w:t>
      </w:r>
      <w:r w:rsidR="003C48DB">
        <w:t>’</w:t>
      </w:r>
      <w:r>
        <w:t>investissement. Les fonds de capital</w:t>
      </w:r>
      <w:r w:rsidR="006C03CC">
        <w:t xml:space="preserve"> de </w:t>
      </w:r>
      <w:r>
        <w:t>risque ne disposent généralement pas de facilités de crédit.</w:t>
      </w:r>
    </w:p>
  </w:footnote>
  <w:footnote w:id="96">
    <w:p w:rsidR="0000160C" w:rsidRDefault="00C517ED" w14:paraId="3EE8A8DB" w14:textId="7105F27D">
      <w:pPr>
        <w:pStyle w:val="FootnoteText"/>
      </w:pPr>
      <w:r>
        <w:rPr>
          <w:rStyle w:val="FootnoteReference"/>
        </w:rPr>
        <w:footnoteRef/>
      </w:r>
      <w:r>
        <w:t xml:space="preserve"> </w:t>
      </w:r>
      <w:r>
        <w:tab/>
        <w:t xml:space="preserve">Souvent, </w:t>
      </w:r>
      <w:r w:rsidR="006C03CC">
        <w:t>les Véhicules parallèles</w:t>
      </w:r>
      <w:r>
        <w:t xml:space="preserve"> partager</w:t>
      </w:r>
      <w:r w:rsidR="006C03CC">
        <w:t>ont</w:t>
      </w:r>
      <w:r>
        <w:t xml:space="preserve"> une facilité de crédit avec le </w:t>
      </w:r>
      <w:r w:rsidR="006C03CC">
        <w:t>Fonds</w:t>
      </w:r>
      <w:r>
        <w:t>.</w:t>
      </w:r>
    </w:p>
  </w:footnote>
  <w:footnote w:id="97">
    <w:p w:rsidR="0000160C" w:rsidRDefault="00C517ED" w14:paraId="7EA2B1AC" w14:textId="57865F72">
      <w:pPr>
        <w:pStyle w:val="FootnoteText"/>
      </w:pPr>
      <w:r>
        <w:rPr>
          <w:rStyle w:val="FootnoteReference"/>
        </w:rPr>
        <w:footnoteRef/>
      </w:r>
      <w:r>
        <w:tab/>
        <w:t xml:space="preserve">À adapter </w:t>
      </w:r>
      <w:r w:rsidR="006C03CC">
        <w:t>en fonction de chaque fonds</w:t>
      </w:r>
      <w:r>
        <w:t xml:space="preserve">. Certains gestionnaires ou prêteurs peuvent exiger que </w:t>
      </w:r>
      <w:r w:rsidR="006C03CC">
        <w:t>la Convention</w:t>
      </w:r>
      <w:r>
        <w:t xml:space="preserve"> de société en commandite précise les renseignements que les </w:t>
      </w:r>
      <w:r w:rsidR="006C03CC">
        <w:t>C</w:t>
      </w:r>
      <w:r>
        <w:t xml:space="preserve">ommanditaires doivent fournir aux prêteurs. Dans un tel cas, aucun </w:t>
      </w:r>
      <w:r w:rsidR="006C03CC">
        <w:t>C</w:t>
      </w:r>
      <w:r>
        <w:t xml:space="preserve">ommanditaire ne devrait être tenu, sans son consentement écrit préalable, de divulguer des informations qui ne sont pas accessibles au public ni </w:t>
      </w:r>
      <w:r w:rsidR="006C03CC">
        <w:t>de signer</w:t>
      </w:r>
      <w:r>
        <w:t xml:space="preserve"> d</w:t>
      </w:r>
      <w:r w:rsidR="003C48DB">
        <w:t>’</w:t>
      </w:r>
      <w:r>
        <w:t>autres documents autres que pour confirmer son montant d</w:t>
      </w:r>
      <w:r w:rsidR="003C48DB">
        <w:t>’</w:t>
      </w:r>
      <w:r w:rsidR="006C03CC">
        <w:t>E</w:t>
      </w:r>
      <w:r>
        <w:t xml:space="preserve">ngagement et le capital non versé restant. En outre, les investisseurs institutionnels, en particulier, veulent s’assurer qu’aucune charge administrative ou autre ne leur est imposée en raison des activités d’emprunt d’un </w:t>
      </w:r>
      <w:r w:rsidR="00503D13">
        <w:t>F</w:t>
      </w:r>
      <w:r>
        <w:t>onds et cherchent souvent à obtenir</w:t>
      </w:r>
      <w:r w:rsidR="00503D13">
        <w:t xml:space="preserve"> une</w:t>
      </w:r>
      <w:r>
        <w:t xml:space="preserve"> confirmation à cet égard dans </w:t>
      </w:r>
      <w:r w:rsidR="00503D13">
        <w:t>la Convention</w:t>
      </w:r>
      <w:r>
        <w:t xml:space="preserve"> de société en commandite ou dans une </w:t>
      </w:r>
      <w:r w:rsidR="00503D13">
        <w:t>entente accessoire</w:t>
      </w:r>
      <w:r>
        <w:t>.</w:t>
      </w:r>
    </w:p>
  </w:footnote>
  <w:footnote w:id="98">
    <w:p w:rsidR="0000160C" w:rsidRDefault="00C517ED" w14:paraId="428704B4" w14:textId="2E7D4104">
      <w:pPr>
        <w:pStyle w:val="FootnoteText"/>
      </w:pPr>
      <w:r>
        <w:rPr>
          <w:rStyle w:val="FootnoteReference"/>
        </w:rPr>
        <w:footnoteRef/>
      </w:r>
      <w:r>
        <w:tab/>
        <w:t>Certain</w:t>
      </w:r>
      <w:r w:rsidR="00503D13">
        <w:t xml:space="preserve">es conventions </w:t>
      </w:r>
      <w:r>
        <w:t xml:space="preserve">de société en commandite incluent certaines déclarations et garanties du </w:t>
      </w:r>
      <w:r w:rsidR="00503D13">
        <w:t>C</w:t>
      </w:r>
      <w:r>
        <w:t xml:space="preserve">ommandité.  </w:t>
      </w:r>
    </w:p>
  </w:footnote>
  <w:footnote w:id="99">
    <w:p w:rsidR="0000160C" w:rsidRDefault="00C517ED" w14:paraId="50CC328C" w14:textId="03AFED7A">
      <w:pPr>
        <w:pStyle w:val="FootnoteText"/>
      </w:pPr>
      <w:r w:rsidRPr="00C8258B">
        <w:rPr>
          <w:rStyle w:val="FootnoteReference"/>
          <w:szCs w:val="24"/>
        </w:rPr>
        <w:footnoteRef/>
      </w:r>
      <w:r>
        <w:tab/>
        <w:t xml:space="preserve">Bien que cela ne soit pas </w:t>
      </w:r>
      <w:r w:rsidR="00503D13">
        <w:t>habituel</w:t>
      </w:r>
      <w:r>
        <w:t xml:space="preserve">, </w:t>
      </w:r>
      <w:r w:rsidR="00503D13">
        <w:t>la Convention</w:t>
      </w:r>
      <w:r>
        <w:t xml:space="preserve"> de société en commandite peut prévoir que le </w:t>
      </w:r>
      <w:r w:rsidR="00503D13">
        <w:t>C</w:t>
      </w:r>
      <w:r>
        <w:t xml:space="preserve">ommandité conserve des fonctions de gestion liées </w:t>
      </w:r>
      <w:r w:rsidR="00503D13">
        <w:t xml:space="preserve">à l’exploitation </w:t>
      </w:r>
      <w:r>
        <w:t xml:space="preserve">du </w:t>
      </w:r>
      <w:r w:rsidR="00503D13">
        <w:t>F</w:t>
      </w:r>
      <w:r>
        <w:t xml:space="preserve">onds au lieu de déléguer ces responsabilités à un </w:t>
      </w:r>
      <w:r w:rsidR="00503D13">
        <w:t>G</w:t>
      </w:r>
      <w:r>
        <w:t>estionnaire par le biais d</w:t>
      </w:r>
      <w:r w:rsidR="003C48DB">
        <w:t>’</w:t>
      </w:r>
      <w:r>
        <w:t>un</w:t>
      </w:r>
      <w:r w:rsidR="00503D13">
        <w:t>e entente de</w:t>
      </w:r>
      <w:r>
        <w:t xml:space="preserve"> gestion des </w:t>
      </w:r>
      <w:r w:rsidR="00503D13">
        <w:t>investissements</w:t>
      </w:r>
      <w:r>
        <w:t xml:space="preserve">. </w:t>
      </w:r>
      <w:r w:rsidR="00503D13">
        <w:t>En règle générale</w:t>
      </w:r>
      <w:r>
        <w:t>, le consentement du commanditaire est requis pour modifier toute disposition importante de l</w:t>
      </w:r>
      <w:r w:rsidR="003C48DB">
        <w:t>’</w:t>
      </w:r>
      <w:r w:rsidR="00503D13">
        <w:t>E</w:t>
      </w:r>
      <w:r>
        <w:t xml:space="preserve">ntente de gestion. La délégation au </w:t>
      </w:r>
      <w:r w:rsidR="00503D13">
        <w:t>G</w:t>
      </w:r>
      <w:r>
        <w:t>estionnaire des décisions d</w:t>
      </w:r>
      <w:r w:rsidR="00503D13">
        <w:t xml:space="preserve">’investissement </w:t>
      </w:r>
      <w:r>
        <w:t>peut déclencher des problèmes d</w:t>
      </w:r>
      <w:r w:rsidR="003C48DB">
        <w:t>’</w:t>
      </w:r>
      <w:r>
        <w:t xml:space="preserve">inscription en vertu des lois canadiennes sur les valeurs mobilières. </w:t>
      </w:r>
      <w:r w:rsidR="00503D13">
        <w:t>Il est recommandé d’obtenir u</w:t>
      </w:r>
      <w:r>
        <w:t xml:space="preserve">n avis juridique approprié. Voir </w:t>
      </w:r>
      <w:r w:rsidR="00503D13">
        <w:t xml:space="preserve">les </w:t>
      </w:r>
      <w:r>
        <w:t xml:space="preserve">notes de bas de page </w:t>
      </w:r>
      <w:r>
        <w:rPr>
          <w:color w:val="000000"/>
        </w:rPr>
        <w:t>7</w:t>
      </w:r>
      <w:r>
        <w:t xml:space="preserve">, </w:t>
      </w:r>
      <w:r>
        <w:rPr>
          <w:color w:val="000000"/>
        </w:rPr>
        <w:t>64</w:t>
      </w:r>
      <w:r>
        <w:t xml:space="preserve"> et 90.</w:t>
      </w:r>
    </w:p>
  </w:footnote>
  <w:footnote w:id="100">
    <w:p w:rsidR="0000160C" w:rsidRDefault="00C517ED" w14:paraId="44BC17CD" w14:textId="21EF4CCC">
      <w:pPr>
        <w:pStyle w:val="FootnoteText"/>
      </w:pPr>
      <w:r>
        <w:rPr>
          <w:rStyle w:val="FootnoteReference"/>
        </w:rPr>
        <w:footnoteRef/>
      </w:r>
      <w:r>
        <w:t xml:space="preserve"> </w:t>
      </w:r>
      <w:r>
        <w:tab/>
        <w:t xml:space="preserve">Le </w:t>
      </w:r>
      <w:r w:rsidR="00503D13">
        <w:t>C</w:t>
      </w:r>
      <w:r>
        <w:t xml:space="preserve">ommandité a </w:t>
      </w:r>
      <w:r w:rsidR="00503D13">
        <w:t>le devoir</w:t>
      </w:r>
      <w:r>
        <w:t xml:space="preserve"> de gérer la société en commandite et conserve généralement de vastes pouvoirs pour ce faire, y compris le pouvoir de déléguer certaines fonctions au </w:t>
      </w:r>
      <w:r w:rsidR="00503D13">
        <w:t>Gestionnaire</w:t>
      </w:r>
      <w:r>
        <w:t xml:space="preserve"> ou à d</w:t>
      </w:r>
      <w:r w:rsidR="003C48DB">
        <w:t>’</w:t>
      </w:r>
      <w:r>
        <w:t xml:space="preserve">autres </w:t>
      </w:r>
      <w:r w:rsidR="00503D13">
        <w:t>P</w:t>
      </w:r>
      <w:r>
        <w:t>ersonnes.</w:t>
      </w:r>
    </w:p>
  </w:footnote>
  <w:footnote w:id="101">
    <w:p w:rsidR="0000160C" w:rsidRDefault="00C517ED" w14:paraId="7EE9DF5F" w14:textId="4356FEA8">
      <w:pPr>
        <w:pStyle w:val="FootnoteText"/>
      </w:pPr>
      <w:r w:rsidRPr="00C8258B">
        <w:rPr>
          <w:rStyle w:val="FootnoteReference"/>
          <w:szCs w:val="24"/>
        </w:rPr>
        <w:footnoteRef/>
      </w:r>
      <w:r>
        <w:t xml:space="preserve"> </w:t>
      </w:r>
      <w:r>
        <w:tab/>
        <w:t>Selon les objectifs d</w:t>
      </w:r>
      <w:r w:rsidR="003C48DB">
        <w:t>’</w:t>
      </w:r>
      <w:r>
        <w:t>investissement du Fonds, cette disposition pourrait être élargie pour inclure d</w:t>
      </w:r>
      <w:r w:rsidR="003C48DB">
        <w:t>’</w:t>
      </w:r>
      <w:r>
        <w:t xml:space="preserve">autres tiers </w:t>
      </w:r>
      <w:r w:rsidR="00503D13">
        <w:t>prestataires</w:t>
      </w:r>
      <w:r>
        <w:t xml:space="preserve"> de services comme des ingénieurs, des conseillers en marketing ou d</w:t>
      </w:r>
      <w:r w:rsidR="003C48DB">
        <w:t>’</w:t>
      </w:r>
      <w:r>
        <w:t>autres conseillers professionnels.</w:t>
      </w:r>
    </w:p>
  </w:footnote>
  <w:footnote w:id="102">
    <w:p w:rsidR="0000160C" w:rsidRDefault="00C517ED" w14:paraId="6D2B3FC9" w14:textId="355F3A6B">
      <w:pPr>
        <w:pStyle w:val="FootnoteText"/>
      </w:pPr>
      <w:r>
        <w:rPr>
          <w:rStyle w:val="FootnoteReference"/>
        </w:rPr>
        <w:footnoteRef/>
      </w:r>
      <w:r>
        <w:t xml:space="preserve"> </w:t>
      </w:r>
      <w:r>
        <w:tab/>
        <w:t xml:space="preserve">La </w:t>
      </w:r>
      <w:r w:rsidR="00503D13">
        <w:t>D</w:t>
      </w:r>
      <w:r>
        <w:t>ate de clôture initiale peut être appropriée pour certains fonds.</w:t>
      </w:r>
    </w:p>
  </w:footnote>
  <w:footnote w:id="103">
    <w:p w:rsidR="0000160C" w:rsidRDefault="00C517ED" w14:paraId="2F3B0106" w14:textId="3073E23F">
      <w:pPr>
        <w:pStyle w:val="FootnoteText"/>
      </w:pPr>
      <w:r w:rsidRPr="00DA1E59">
        <w:rPr>
          <w:rStyle w:val="FootnoteReference"/>
          <w:szCs w:val="24"/>
        </w:rPr>
        <w:footnoteRef/>
      </w:r>
      <w:r>
        <w:rPr>
          <w:b/>
        </w:rPr>
        <w:t xml:space="preserve"> </w:t>
      </w:r>
      <w:r>
        <w:rPr>
          <w:b/>
        </w:rPr>
        <w:tab/>
      </w:r>
      <w:r>
        <w:t xml:space="preserve">Le paiement </w:t>
      </w:r>
      <w:r w:rsidR="00503D13">
        <w:t>des F</w:t>
      </w:r>
      <w:r>
        <w:t xml:space="preserve">rais de gestion </w:t>
      </w:r>
      <w:r w:rsidR="00503D13">
        <w:t xml:space="preserve">annuellement ou semestriellement à l’avance </w:t>
      </w:r>
      <w:r>
        <w:t>peut être approprié pour certains fonds.</w:t>
      </w:r>
    </w:p>
  </w:footnote>
  <w:footnote w:id="104">
    <w:p w:rsidR="0000160C" w:rsidRDefault="00C517ED" w14:paraId="05A31887" w14:textId="58D863F0">
      <w:pPr>
        <w:pStyle w:val="FootnoteText"/>
      </w:pPr>
      <w:r w:rsidRPr="006F3E38">
        <w:rPr>
          <w:rStyle w:val="FootnoteReference"/>
          <w:szCs w:val="24"/>
        </w:rPr>
        <w:footnoteRef/>
      </w:r>
      <w:r>
        <w:t xml:space="preserve"> </w:t>
      </w:r>
      <w:r>
        <w:tab/>
        <w:t xml:space="preserve">Le Fonds paiera généralement des </w:t>
      </w:r>
      <w:r w:rsidR="00503D13">
        <w:t>F</w:t>
      </w:r>
      <w:r>
        <w:t xml:space="preserve">rais de gestion au </w:t>
      </w:r>
      <w:r w:rsidR="00503D13">
        <w:t>C</w:t>
      </w:r>
      <w:r>
        <w:t xml:space="preserve">ommandité ou au </w:t>
      </w:r>
      <w:r w:rsidR="00503D13">
        <w:t>G</w:t>
      </w:r>
      <w:r>
        <w:t xml:space="preserve">estionnaire pour couvrir les dépenses de gestion du Fonds.  Au cours de la </w:t>
      </w:r>
      <w:r w:rsidR="00503D13">
        <w:t>p</w:t>
      </w:r>
      <w:r>
        <w:t xml:space="preserve">ériode d'engagement, les frais de gestion se situent généralement entre 1,5 % et 2,5 % du total des engagements en capital </w:t>
      </w:r>
      <w:r w:rsidR="00503D13">
        <w:t>du</w:t>
      </w:r>
      <w:r>
        <w:t xml:space="preserve"> Fonds. </w:t>
      </w:r>
      <w:r w:rsidR="00503D13">
        <w:t>Après la fin</w:t>
      </w:r>
      <w:r>
        <w:t xml:space="preserve"> de la période d'engagement, le montant des </w:t>
      </w:r>
      <w:r w:rsidR="00503D13">
        <w:t>F</w:t>
      </w:r>
      <w:r>
        <w:t xml:space="preserve">rais de gestion est souvent </w:t>
      </w:r>
      <w:r w:rsidR="00503D13">
        <w:t>revu à la baisse</w:t>
      </w:r>
      <w:r>
        <w:t>, les frais étant calculés sur la base du capital investi net du Fonds, c</w:t>
      </w:r>
      <w:r w:rsidR="00D43372">
        <w:t>’</w:t>
      </w:r>
      <w:r>
        <w:t xml:space="preserve">est-à-dire du montant du capital effectivement déployé, </w:t>
      </w:r>
      <w:r w:rsidR="00E73574">
        <w:t xml:space="preserve">et représentant également </w:t>
      </w:r>
      <w:r>
        <w:t xml:space="preserve">un pourcentage </w:t>
      </w:r>
      <w:r w:rsidR="00E73574">
        <w:t>moins élevé</w:t>
      </w:r>
      <w:r>
        <w:t xml:space="preserve">, parfois </w:t>
      </w:r>
      <w:r w:rsidR="00E73574">
        <w:t>réduit</w:t>
      </w:r>
      <w:r>
        <w:t xml:space="preserve"> au fil du temps. L</w:t>
      </w:r>
      <w:r w:rsidR="00E73574">
        <w:t>’objectif des</w:t>
      </w:r>
      <w:r>
        <w:t xml:space="preserve"> frais de gestion </w:t>
      </w:r>
      <w:r w:rsidR="00E73574">
        <w:t>est</w:t>
      </w:r>
      <w:r>
        <w:t xml:space="preserve"> de financer les frais généraux </w:t>
      </w:r>
      <w:r w:rsidR="00E73574">
        <w:t>liés à la gestion</w:t>
      </w:r>
      <w:r>
        <w:t xml:space="preserve"> du Fonds (« pour garder les lumières allumées »). Il s</w:t>
      </w:r>
      <w:r w:rsidR="00D43372">
        <w:t>’</w:t>
      </w:r>
      <w:r>
        <w:t>agit souvent d</w:t>
      </w:r>
      <w:r w:rsidR="00D43372">
        <w:t>’</w:t>
      </w:r>
      <w:r>
        <w:t>un</w:t>
      </w:r>
      <w:r w:rsidR="00E73574">
        <w:t xml:space="preserve">e modalité </w:t>
      </w:r>
      <w:r>
        <w:t>négocié</w:t>
      </w:r>
      <w:r w:rsidR="00E73574">
        <w:t>e</w:t>
      </w:r>
      <w:r>
        <w:t>.</w:t>
      </w:r>
    </w:p>
  </w:footnote>
  <w:footnote w:id="105">
    <w:p w:rsidR="0000160C" w:rsidRDefault="00C517ED" w14:paraId="5CF0A23F" w14:textId="0BA72AEA">
      <w:pPr>
        <w:pStyle w:val="FootnoteText"/>
        <w:rPr>
          <w:b/>
        </w:rPr>
      </w:pPr>
      <w:r w:rsidRPr="00482039">
        <w:rPr>
          <w:rStyle w:val="FootnoteReference"/>
          <w:szCs w:val="24"/>
        </w:rPr>
        <w:footnoteRef/>
      </w:r>
      <w:r>
        <w:t xml:space="preserve"> </w:t>
      </w:r>
      <w:r>
        <w:tab/>
        <w:t>Un</w:t>
      </w:r>
      <w:r w:rsidR="00E73574">
        <w:t>e</w:t>
      </w:r>
      <w:r>
        <w:t xml:space="preserve"> </w:t>
      </w:r>
      <w:r w:rsidR="00E73574">
        <w:t>modalité</w:t>
      </w:r>
      <w:r>
        <w:t xml:space="preserve"> plus favorable pour le </w:t>
      </w:r>
      <w:r w:rsidR="00E73574">
        <w:t>G</w:t>
      </w:r>
      <w:r>
        <w:t xml:space="preserve">estionnaire </w:t>
      </w:r>
      <w:r w:rsidR="00E73574">
        <w:t>impliquerait</w:t>
      </w:r>
      <w:r>
        <w:t xml:space="preserve"> une définition des investissements « </w:t>
      </w:r>
      <w:r w:rsidR="00E73574">
        <w:t>Dépréciés</w:t>
      </w:r>
      <w:r>
        <w:t xml:space="preserve"> de façon permanente » qui signifie</w:t>
      </w:r>
      <w:r w:rsidR="00E73574">
        <w:t>rait</w:t>
      </w:r>
      <w:r>
        <w:t xml:space="preserve"> uniquement les investissements entièrement </w:t>
      </w:r>
      <w:r w:rsidR="00E73574">
        <w:t>dépréciés</w:t>
      </w:r>
      <w:r>
        <w:t xml:space="preserve"> ou qui n</w:t>
      </w:r>
      <w:r w:rsidR="00E73574">
        <w:t xml:space="preserve">’inclurait </w:t>
      </w:r>
      <w:r>
        <w:t xml:space="preserve">pas du tout de définition des investissements </w:t>
      </w:r>
      <w:r w:rsidR="00E73574">
        <w:t>dépréciés</w:t>
      </w:r>
      <w:r>
        <w:t xml:space="preserve"> de </w:t>
      </w:r>
      <w:r w:rsidR="005243C3">
        <w:t>manière</w:t>
      </w:r>
      <w:r>
        <w:t xml:space="preserve"> permanente.</w:t>
      </w:r>
    </w:p>
  </w:footnote>
  <w:footnote w:id="106">
    <w:p w:rsidR="0000160C" w:rsidRDefault="00C517ED" w14:paraId="168D355D" w14:textId="3F4C490C">
      <w:pPr>
        <w:pStyle w:val="FootnoteText"/>
      </w:pPr>
      <w:r>
        <w:rPr>
          <w:rStyle w:val="FootnoteReference"/>
        </w:rPr>
        <w:footnoteRef/>
      </w:r>
      <w:r>
        <w:tab/>
        <w:t>Cette disposition n</w:t>
      </w:r>
      <w:r w:rsidR="00D43372">
        <w:t>’</w:t>
      </w:r>
      <w:r>
        <w:t>est pas incluse dans tous les fonds, mais elle est assez courante si le fonds c</w:t>
      </w:r>
      <w:r w:rsidR="00D43372">
        <w:t>omporte</w:t>
      </w:r>
      <w:r>
        <w:t xml:space="preserve"> des investisseurs institutionnels.</w:t>
      </w:r>
    </w:p>
  </w:footnote>
  <w:footnote w:id="107">
    <w:p w:rsidR="0000160C" w:rsidRDefault="00C517ED" w14:paraId="4244E888" w14:textId="654F4E64">
      <w:pPr>
        <w:pStyle w:val="FootnoteText"/>
      </w:pPr>
      <w:r w:rsidRPr="00C8258B">
        <w:rPr>
          <w:rStyle w:val="FootnoteReference"/>
          <w:szCs w:val="24"/>
        </w:rPr>
        <w:footnoteRef/>
      </w:r>
      <w:r>
        <w:t xml:space="preserve"> </w:t>
      </w:r>
      <w:r>
        <w:tab/>
        <w:t xml:space="preserve">Ce pourcentage </w:t>
      </w:r>
      <w:r w:rsidR="00E73574">
        <w:t>se situe</w:t>
      </w:r>
      <w:r>
        <w:t xml:space="preserve"> généralement entre 70 % et 90 %. Il est courant qu</w:t>
      </w:r>
      <w:r w:rsidR="009A429E">
        <w:t>’</w:t>
      </w:r>
      <w:r>
        <w:t>un fonds ne prélève jamais 100 % du capital engagé.</w:t>
      </w:r>
    </w:p>
  </w:footnote>
  <w:footnote w:id="108">
    <w:p w:rsidR="0000160C" w:rsidRDefault="00C517ED" w14:paraId="689988A3" w14:textId="4832F4D4">
      <w:pPr>
        <w:pStyle w:val="FootnoteText"/>
      </w:pPr>
      <w:r>
        <w:rPr>
          <w:rStyle w:val="FootnoteReference"/>
        </w:rPr>
        <w:footnoteRef/>
      </w:r>
      <w:r>
        <w:t xml:space="preserve"> </w:t>
      </w:r>
      <w:r>
        <w:tab/>
        <w:t xml:space="preserve">Pour certains fonds, le marketing ou la clôture </w:t>
      </w:r>
      <w:r w:rsidR="00E73574">
        <w:t>peut</w:t>
      </w:r>
      <w:r>
        <w:t xml:space="preserve"> être le déclencheur approprié. </w:t>
      </w:r>
    </w:p>
  </w:footnote>
  <w:footnote w:id="109">
    <w:p w:rsidR="0000160C" w:rsidRDefault="00C517ED" w14:paraId="651BD03F" w14:textId="4C267B96">
      <w:pPr>
        <w:pStyle w:val="FootnoteText"/>
      </w:pPr>
      <w:r>
        <w:rPr>
          <w:rStyle w:val="FootnoteReference"/>
        </w:rPr>
        <w:footnoteRef/>
      </w:r>
      <w:r>
        <w:t xml:space="preserve"> </w:t>
      </w:r>
      <w:r>
        <w:tab/>
        <w:t xml:space="preserve">Les investisseurs peuvent vouloir interdire au </w:t>
      </w:r>
      <w:r w:rsidR="00302DFD">
        <w:t>G</w:t>
      </w:r>
      <w:r>
        <w:t xml:space="preserve">estionnaire de constituer un </w:t>
      </w:r>
      <w:r w:rsidR="00302DFD">
        <w:t>F</w:t>
      </w:r>
      <w:r>
        <w:t xml:space="preserve">onds </w:t>
      </w:r>
      <w:r w:rsidR="00302DFD">
        <w:t>de remplacement</w:t>
      </w:r>
      <w:r>
        <w:t xml:space="preserve"> </w:t>
      </w:r>
      <w:r w:rsidR="00302DFD">
        <w:t>tant que le</w:t>
      </w:r>
      <w:r>
        <w:t xml:space="preserve"> </w:t>
      </w:r>
      <w:r w:rsidR="00302DFD">
        <w:t>F</w:t>
      </w:r>
      <w:r>
        <w:t xml:space="preserve">onds </w:t>
      </w:r>
      <w:r w:rsidR="00302DFD">
        <w:t>n’est pas</w:t>
      </w:r>
      <w:r>
        <w:t xml:space="preserve"> entièrement investi. En revanche, le </w:t>
      </w:r>
      <w:r w:rsidR="00302DFD">
        <w:t>G</w:t>
      </w:r>
      <w:r>
        <w:t xml:space="preserve">estionnaire peut vouloir lancer un processus de collecte de fonds </w:t>
      </w:r>
      <w:r w:rsidR="00302DFD">
        <w:t>subséquent</w:t>
      </w:r>
      <w:r>
        <w:t xml:space="preserve"> bien avant la fin de la période d'engagement d</w:t>
      </w:r>
      <w:r w:rsidR="009A429E">
        <w:t>’</w:t>
      </w:r>
      <w:r>
        <w:t xml:space="preserve">un fonds existant. </w:t>
      </w:r>
      <w:r w:rsidR="00302DFD">
        <w:t>Étant donné</w:t>
      </w:r>
      <w:r>
        <w:t xml:space="preserve"> l</w:t>
      </w:r>
      <w:r w:rsidR="009A429E">
        <w:t>’</w:t>
      </w:r>
      <w:r>
        <w:t xml:space="preserve">importance de permettre à un </w:t>
      </w:r>
      <w:r w:rsidR="00302DFD">
        <w:t>G</w:t>
      </w:r>
      <w:r>
        <w:t xml:space="preserve">estionnaire de créer un </w:t>
      </w:r>
      <w:r w:rsidR="00302DFD">
        <w:t>f</w:t>
      </w:r>
      <w:r>
        <w:t xml:space="preserve">onds ultérieur avec des objectifs d'investissement </w:t>
      </w:r>
      <w:r w:rsidR="00302DFD">
        <w:t>substantiellement</w:t>
      </w:r>
      <w:r>
        <w:t xml:space="preserve"> similaires avant l</w:t>
      </w:r>
      <w:r w:rsidR="009A429E">
        <w:t>’</w:t>
      </w:r>
      <w:r>
        <w:t>expiration de la période d</w:t>
      </w:r>
      <w:r w:rsidR="009A429E">
        <w:t>’</w:t>
      </w:r>
      <w:r>
        <w:t xml:space="preserve">investissement ou avant que le seuil requis de capital investi ne soit atteint, les investisseurs institutionnels exigent généralement un vote des commanditaires plutôt que du </w:t>
      </w:r>
      <w:r w:rsidR="00302DFD">
        <w:t>C</w:t>
      </w:r>
      <w:r>
        <w:t>omité consultatif d</w:t>
      </w:r>
      <w:r w:rsidR="00302DFD">
        <w:t>es Commanditaires</w:t>
      </w:r>
      <w:r>
        <w:t>.</w:t>
      </w:r>
    </w:p>
  </w:footnote>
  <w:footnote w:id="110">
    <w:p w:rsidR="0000160C" w:rsidRDefault="00C517ED" w14:paraId="7710E477" w14:textId="59812377">
      <w:pPr>
        <w:pStyle w:val="FootnoteText"/>
      </w:pPr>
      <w:r>
        <w:rPr>
          <w:rStyle w:val="FootnoteReference"/>
        </w:rPr>
        <w:footnoteRef/>
      </w:r>
      <w:r>
        <w:t xml:space="preserve"> </w:t>
      </w:r>
      <w:r>
        <w:tab/>
        <w:t xml:space="preserve">Les gestionnaires de </w:t>
      </w:r>
      <w:r w:rsidR="00302DFD">
        <w:t>F</w:t>
      </w:r>
      <w:r>
        <w:t>onds peuvent offrir des possibilités d</w:t>
      </w:r>
      <w:r w:rsidR="00302DFD">
        <w:t>’</w:t>
      </w:r>
      <w:r>
        <w:t>investissement</w:t>
      </w:r>
      <w:r w:rsidR="00302DFD">
        <w:t xml:space="preserve"> conjoint</w:t>
      </w:r>
      <w:r>
        <w:t xml:space="preserve"> </w:t>
      </w:r>
      <w:r w:rsidR="00302DFD">
        <w:t>aux</w:t>
      </w:r>
      <w:r>
        <w:t xml:space="preserve"> commanditaires si le gestionnaire de </w:t>
      </w:r>
      <w:r w:rsidR="00302DFD">
        <w:t>F</w:t>
      </w:r>
      <w:r>
        <w:t>onds identifie des possibilités d</w:t>
      </w:r>
      <w:r w:rsidR="00302DFD">
        <w:t xml:space="preserve">’investissement </w:t>
      </w:r>
      <w:r>
        <w:t>supérieures à la capacité d</w:t>
      </w:r>
      <w:r w:rsidR="009A429E">
        <w:t>’</w:t>
      </w:r>
      <w:r>
        <w:t xml:space="preserve">investissement du </w:t>
      </w:r>
      <w:r w:rsidR="00302DFD">
        <w:t>F</w:t>
      </w:r>
      <w:r>
        <w:t>onds.  Les conditions économiques des investissements</w:t>
      </w:r>
      <w:r w:rsidR="00302DFD">
        <w:t xml:space="preserve"> conjoints</w:t>
      </w:r>
      <w:r>
        <w:t xml:space="preserve"> ne sont généralement pas incluses dans </w:t>
      </w:r>
      <w:r w:rsidR="00302DFD">
        <w:t>la Convention</w:t>
      </w:r>
      <w:r>
        <w:t xml:space="preserve"> de société en commandite et peuvent plutôt être incluses dans une </w:t>
      </w:r>
      <w:r w:rsidR="00302DFD">
        <w:t>entente accessoire</w:t>
      </w:r>
      <w:r>
        <w:t>, et font l</w:t>
      </w:r>
      <w:r w:rsidR="009A429E">
        <w:t>’</w:t>
      </w:r>
      <w:r>
        <w:t>objet de négociations distinctes (y compris tout</w:t>
      </w:r>
      <w:r w:rsidR="00302DFD">
        <w:t xml:space="preserve">e entente </w:t>
      </w:r>
      <w:r>
        <w:t xml:space="preserve">par le gestionnaire du </w:t>
      </w:r>
      <w:r w:rsidR="00302DFD">
        <w:t>F</w:t>
      </w:r>
      <w:r>
        <w:t xml:space="preserve">onds pour gérer un investissement </w:t>
      </w:r>
      <w:r w:rsidR="00302DFD">
        <w:t xml:space="preserve">conjoint </w:t>
      </w:r>
      <w:r>
        <w:t xml:space="preserve">sur une base « sans frais/sans </w:t>
      </w:r>
      <w:r w:rsidR="009A429E">
        <w:t xml:space="preserve">contrepartie </w:t>
      </w:r>
      <w:r>
        <w:t>»). En règle générale, les investissements</w:t>
      </w:r>
      <w:r w:rsidR="00E15AD9">
        <w:t xml:space="preserve"> conjoints</w:t>
      </w:r>
      <w:r>
        <w:t xml:space="preserve"> sont expressément autorisés en vertu de la </w:t>
      </w:r>
      <w:r w:rsidR="00E15AD9">
        <w:t>C</w:t>
      </w:r>
      <w:r>
        <w:t>onvention de société en commandite et sont réputés ne pas représenter un conflit d'intérêts, à condition qu</w:t>
      </w:r>
      <w:r w:rsidR="009A429E">
        <w:t>’</w:t>
      </w:r>
      <w:r>
        <w:t xml:space="preserve">ils soient effectués conformément à la </w:t>
      </w:r>
      <w:r w:rsidR="00E15AD9">
        <w:t>C</w:t>
      </w:r>
      <w:r>
        <w:t>onvention de société en commandite. Cependant, les investissements</w:t>
      </w:r>
      <w:r w:rsidR="00E15AD9">
        <w:t xml:space="preserve"> conjoints</w:t>
      </w:r>
      <w:r>
        <w:t xml:space="preserve"> des gestionnaires de </w:t>
      </w:r>
      <w:r w:rsidR="00E15AD9">
        <w:t>F</w:t>
      </w:r>
      <w:r>
        <w:t>onds émergents sont parfois soumis à l</w:t>
      </w:r>
      <w:r w:rsidR="009A429E">
        <w:t>’</w:t>
      </w:r>
      <w:r>
        <w:t xml:space="preserve">approbation du </w:t>
      </w:r>
      <w:r w:rsidR="00E15AD9">
        <w:t>C</w:t>
      </w:r>
      <w:r>
        <w:t>omité consultatif d</w:t>
      </w:r>
      <w:r w:rsidR="00E15AD9">
        <w:t>es Commanditaires</w:t>
      </w:r>
      <w:r>
        <w:t>.</w:t>
      </w:r>
    </w:p>
  </w:footnote>
  <w:footnote w:id="111">
    <w:p w:rsidR="0000160C" w:rsidRDefault="00C517ED" w14:paraId="5E19926E" w14:textId="1FF489CC">
      <w:pPr>
        <w:pStyle w:val="FootnoteText"/>
      </w:pPr>
      <w:r w:rsidRPr="00CA1612">
        <w:rPr>
          <w:rStyle w:val="FootnoteReference"/>
          <w:szCs w:val="24"/>
        </w:rPr>
        <w:footnoteRef/>
      </w:r>
      <w:r>
        <w:t xml:space="preserve"> </w:t>
      </w:r>
      <w:r>
        <w:tab/>
        <w:t xml:space="preserve">Si le </w:t>
      </w:r>
      <w:r w:rsidR="00E15AD9">
        <w:t>C</w:t>
      </w:r>
      <w:r>
        <w:t>ommandité a une politique d</w:t>
      </w:r>
      <w:r w:rsidR="00E15AD9">
        <w:t>’</w:t>
      </w:r>
      <w:r>
        <w:t>investissement</w:t>
      </w:r>
      <w:r w:rsidR="00E15AD9">
        <w:t xml:space="preserve"> conjoint</w:t>
      </w:r>
      <w:r>
        <w:t>, tous les investissements</w:t>
      </w:r>
      <w:r w:rsidR="00E15AD9">
        <w:t xml:space="preserve"> conjoints</w:t>
      </w:r>
      <w:r>
        <w:t xml:space="preserve"> doivent être effectués conformément à cette politique.</w:t>
      </w:r>
    </w:p>
  </w:footnote>
  <w:footnote w:id="112">
    <w:p w:rsidR="0000160C" w:rsidRDefault="00C517ED" w14:paraId="161360B4" w14:textId="731C80C0">
      <w:pPr>
        <w:pStyle w:val="FootnoteText"/>
      </w:pPr>
      <w:r>
        <w:rPr>
          <w:rStyle w:val="FootnoteReference"/>
        </w:rPr>
        <w:footnoteRef/>
      </w:r>
      <w:r>
        <w:t xml:space="preserve"> </w:t>
      </w:r>
      <w:r>
        <w:tab/>
        <w:t>Cette disposition s</w:t>
      </w:r>
      <w:r w:rsidR="009A429E">
        <w:t>’</w:t>
      </w:r>
      <w:r>
        <w:t xml:space="preserve">applique </w:t>
      </w:r>
      <w:r w:rsidR="00E15AD9">
        <w:t xml:space="preserve">dans le cas </w:t>
      </w:r>
      <w:r>
        <w:t xml:space="preserve">de fonds multiples gérés par le même gestionnaire et </w:t>
      </w:r>
      <w:r w:rsidR="00E15AD9">
        <w:t>les membres du même groupe</w:t>
      </w:r>
      <w:r w:rsidR="00335434">
        <w:t xml:space="preserve"> que le gestionnaire</w:t>
      </w:r>
      <w:r>
        <w:t>. Dans ces circonstances, il convient d</w:t>
      </w:r>
      <w:r w:rsidR="009A429E">
        <w:t>’</w:t>
      </w:r>
      <w:r>
        <w:t>envisager de donner la priorité à l</w:t>
      </w:r>
      <w:r w:rsidR="009A429E">
        <w:t>’</w:t>
      </w:r>
      <w:r>
        <w:t>attribution des possibilités d</w:t>
      </w:r>
      <w:r w:rsidR="009A429E">
        <w:t>’</w:t>
      </w:r>
      <w:r>
        <w:t xml:space="preserve">investissement entre les </w:t>
      </w:r>
      <w:r w:rsidR="00E15AD9">
        <w:t>F</w:t>
      </w:r>
      <w:r>
        <w:t xml:space="preserve">onds antérieurs et le </w:t>
      </w:r>
      <w:r w:rsidR="00E15AD9">
        <w:t>F</w:t>
      </w:r>
      <w:r>
        <w:t xml:space="preserve">onds, et de déterminer si le </w:t>
      </w:r>
      <w:r w:rsidR="00E15AD9">
        <w:t>C</w:t>
      </w:r>
      <w:r>
        <w:t xml:space="preserve">omité consultatif </w:t>
      </w:r>
      <w:r w:rsidR="00E15AD9">
        <w:t>des Commanditaires</w:t>
      </w:r>
      <w:r>
        <w:t xml:space="preserve"> devrait participer à l</w:t>
      </w:r>
      <w:r w:rsidR="009A429E">
        <w:t>’</w:t>
      </w:r>
      <w:r>
        <w:t>approbation de l</w:t>
      </w:r>
      <w:r w:rsidR="009A429E">
        <w:t>’</w:t>
      </w:r>
      <w:r>
        <w:t>attribution des possibilités d</w:t>
      </w:r>
      <w:r w:rsidR="009A429E">
        <w:t>’</w:t>
      </w:r>
      <w:r>
        <w:t>investissement entre plusieurs fonds.</w:t>
      </w:r>
    </w:p>
  </w:footnote>
  <w:footnote w:id="113">
    <w:p w:rsidR="0000160C" w:rsidRDefault="00C517ED" w14:paraId="00718B99" w14:textId="5CFBFD24">
      <w:pPr>
        <w:pStyle w:val="FootnoteText"/>
      </w:pPr>
      <w:r>
        <w:rPr>
          <w:rStyle w:val="FootnoteReference"/>
        </w:rPr>
        <w:footnoteRef/>
      </w:r>
      <w:r>
        <w:t xml:space="preserve"> </w:t>
      </w:r>
      <w:r>
        <w:tab/>
        <w:t xml:space="preserve">Pour certains </w:t>
      </w:r>
      <w:r w:rsidR="00E15AD9">
        <w:t>C</w:t>
      </w:r>
      <w:r>
        <w:t>ommandités, une interdiction générale des transactions conflictuelles sans l</w:t>
      </w:r>
      <w:r w:rsidR="009A429E">
        <w:t>’</w:t>
      </w:r>
      <w:r>
        <w:t xml:space="preserve">approbation du </w:t>
      </w:r>
      <w:r w:rsidR="00E15AD9">
        <w:t>C</w:t>
      </w:r>
      <w:r>
        <w:t xml:space="preserve">omité consultatif </w:t>
      </w:r>
      <w:r w:rsidR="00E15AD9">
        <w:t>des Commanditaires</w:t>
      </w:r>
      <w:r>
        <w:t xml:space="preserve"> </w:t>
      </w:r>
      <w:r w:rsidR="00E15AD9">
        <w:t>ne sera pas pratique</w:t>
      </w:r>
      <w:r>
        <w:t>, de sorte qu</w:t>
      </w:r>
      <w:r w:rsidR="009A429E">
        <w:t>’</w:t>
      </w:r>
      <w:r>
        <w:t xml:space="preserve">il peut être nécessaire de préciser si, quand et comment le </w:t>
      </w:r>
      <w:r w:rsidR="00E15AD9">
        <w:t>C</w:t>
      </w:r>
      <w:r>
        <w:t xml:space="preserve">ommandité et le </w:t>
      </w:r>
      <w:r w:rsidR="00E15AD9">
        <w:t>G</w:t>
      </w:r>
      <w:r>
        <w:t>estionnaire seront autorisés à s</w:t>
      </w:r>
      <w:r w:rsidR="009A429E">
        <w:t>’</w:t>
      </w:r>
      <w:r>
        <w:t>engager dans une transaction conflictuelle et si des transactions spécifiques devraient être expressément autorisées. Dans la plupart des cas, il serait approprié d</w:t>
      </w:r>
      <w:r w:rsidR="009A429E">
        <w:t>’</w:t>
      </w:r>
      <w:r>
        <w:t xml:space="preserve">interdire les transactions entre le Fonds et le </w:t>
      </w:r>
      <w:r w:rsidR="00E15AD9">
        <w:t>C</w:t>
      </w:r>
      <w:r>
        <w:t xml:space="preserve">ommandité ou </w:t>
      </w:r>
      <w:r w:rsidR="00E15AD9">
        <w:t>les Membres du même groupe</w:t>
      </w:r>
      <w:r w:rsidR="00335434">
        <w:t xml:space="preserve"> que le Commandité</w:t>
      </w:r>
      <w:r>
        <w:t xml:space="preserve"> sans l</w:t>
      </w:r>
      <w:r w:rsidR="009A429E">
        <w:t>’</w:t>
      </w:r>
      <w:r>
        <w:t xml:space="preserve">accord écrit préalable du </w:t>
      </w:r>
      <w:r w:rsidR="00E85D20">
        <w:t>C</w:t>
      </w:r>
      <w:r>
        <w:t>omité consultatif d</w:t>
      </w:r>
      <w:r w:rsidR="00E85D20">
        <w:t>es Commanditaires</w:t>
      </w:r>
      <w:r>
        <w:t xml:space="preserve">. </w:t>
      </w:r>
    </w:p>
  </w:footnote>
  <w:footnote w:id="114">
    <w:p w:rsidR="0000160C" w:rsidRDefault="00C517ED" w14:paraId="1F051485" w14:textId="6419D9CB">
      <w:pPr>
        <w:pStyle w:val="FootnoteText"/>
      </w:pPr>
      <w:r w:rsidRPr="00C8258B">
        <w:rPr>
          <w:rStyle w:val="FootnoteReference"/>
          <w:szCs w:val="24"/>
        </w:rPr>
        <w:footnoteRef/>
      </w:r>
      <w:r>
        <w:rPr>
          <w:rStyle w:val="FootnoteReference"/>
          <w:szCs w:val="24"/>
        </w:rPr>
        <w:t xml:space="preserve"> </w:t>
      </w:r>
      <w:r>
        <w:rPr>
          <w:rStyle w:val="FootnoteReference"/>
          <w:szCs w:val="24"/>
        </w:rPr>
        <w:tab/>
      </w:r>
      <w:r>
        <w:t xml:space="preserve">Ce droit de </w:t>
      </w:r>
      <w:r w:rsidR="00E85D20">
        <w:t>« </w:t>
      </w:r>
      <w:r>
        <w:t>divorce sans faute</w:t>
      </w:r>
      <w:r w:rsidR="00E85D20">
        <w:t> »</w:t>
      </w:r>
      <w:r>
        <w:t xml:space="preserve"> ou de </w:t>
      </w:r>
      <w:r w:rsidR="00E85D20">
        <w:t>destitution</w:t>
      </w:r>
      <w:r>
        <w:t xml:space="preserve"> </w:t>
      </w:r>
      <w:r w:rsidR="00E85D20">
        <w:t>« </w:t>
      </w:r>
      <w:r>
        <w:t>sans motif valable</w:t>
      </w:r>
      <w:r w:rsidR="00E85D20">
        <w:t> »</w:t>
      </w:r>
      <w:r>
        <w:t xml:space="preserve"> n</w:t>
      </w:r>
      <w:r w:rsidR="009A429E">
        <w:t>’</w:t>
      </w:r>
      <w:r>
        <w:t>est pas un</w:t>
      </w:r>
      <w:r w:rsidR="00E85D20">
        <w:t>e modalité</w:t>
      </w:r>
      <w:r>
        <w:t xml:space="preserve"> standard et est souvent négocié</w:t>
      </w:r>
      <w:r>
        <w:rPr>
          <w:b/>
        </w:rPr>
        <w:t xml:space="preserve">. </w:t>
      </w:r>
      <w:r>
        <w:t>Le seuil d</w:t>
      </w:r>
      <w:r w:rsidR="009A429E">
        <w:t>’</w:t>
      </w:r>
      <w:r>
        <w:t xml:space="preserve">approbation et le moment où il peut être exercé sont souvent deux </w:t>
      </w:r>
      <w:r w:rsidR="00E85D20">
        <w:t>modalités</w:t>
      </w:r>
      <w:r>
        <w:t xml:space="preserve"> qui sont négocié</w:t>
      </w:r>
      <w:r w:rsidR="00E85D20">
        <w:t>e</w:t>
      </w:r>
      <w:r>
        <w:t xml:space="preserve">s. </w:t>
      </w:r>
      <w:r w:rsidR="00E85D20">
        <w:t>É</w:t>
      </w:r>
      <w:r>
        <w:t>tant donné que l</w:t>
      </w:r>
      <w:r w:rsidR="009A429E">
        <w:t>’</w:t>
      </w:r>
      <w:r>
        <w:t xml:space="preserve">établissement </w:t>
      </w:r>
      <w:r w:rsidR="00E85D20">
        <w:t>du « motif valable »</w:t>
      </w:r>
      <w:r>
        <w:t xml:space="preserve"> peut être difficile, coûteux et long, les </w:t>
      </w:r>
      <w:r w:rsidR="002D5DA5">
        <w:t>C</w:t>
      </w:r>
      <w:r>
        <w:t>ommanditaires ont parfois besoin d</w:t>
      </w:r>
      <w:r w:rsidR="009A429E">
        <w:t>’</w:t>
      </w:r>
      <w:r>
        <w:t xml:space="preserve">une alternative pour retirer le </w:t>
      </w:r>
      <w:r w:rsidR="002D5DA5">
        <w:t>C</w:t>
      </w:r>
      <w:r>
        <w:t>ommandité s</w:t>
      </w:r>
      <w:r w:rsidR="009A429E">
        <w:t>’</w:t>
      </w:r>
      <w:r>
        <w:t>ils ont perdu confiance en lui.</w:t>
      </w:r>
      <w:r>
        <w:rPr>
          <w:b/>
        </w:rPr>
        <w:t xml:space="preserve"> </w:t>
      </w:r>
      <w:r>
        <w:t xml:space="preserve">La rémunération du </w:t>
      </w:r>
      <w:r w:rsidR="002D5DA5">
        <w:t>C</w:t>
      </w:r>
      <w:r>
        <w:t xml:space="preserve">ommandité et du </w:t>
      </w:r>
      <w:r w:rsidR="002D5DA5">
        <w:t>Gestionnaire</w:t>
      </w:r>
      <w:r>
        <w:t xml:space="preserve"> et le traitement de l</w:t>
      </w:r>
      <w:r w:rsidR="009A429E">
        <w:t>’</w:t>
      </w:r>
      <w:r>
        <w:t xml:space="preserve">engagement du </w:t>
      </w:r>
      <w:r w:rsidR="002D5DA5">
        <w:t>C</w:t>
      </w:r>
      <w:r>
        <w:t xml:space="preserve">ommandité sont également souvent négociés dans le cadre de ces dispositions de </w:t>
      </w:r>
      <w:r w:rsidR="002D5DA5">
        <w:t>destitution</w:t>
      </w:r>
      <w:r>
        <w:t xml:space="preserve">. Voir </w:t>
      </w:r>
      <w:r w:rsidR="002D5DA5">
        <w:t xml:space="preserve">la </w:t>
      </w:r>
      <w:r>
        <w:t>note</w:t>
      </w:r>
      <w:r w:rsidR="002D5DA5">
        <w:t xml:space="preserve"> de bas de page</w:t>
      </w:r>
      <w:r>
        <w:t xml:space="preserve"> 44.</w:t>
      </w:r>
    </w:p>
  </w:footnote>
  <w:footnote w:id="115">
    <w:p w:rsidR="0000160C" w:rsidRDefault="00C517ED" w14:paraId="20F1050A" w14:textId="64DF5D51">
      <w:pPr>
        <w:pStyle w:val="FootnoteText"/>
      </w:pPr>
      <w:r>
        <w:rPr>
          <w:rStyle w:val="FootnoteReference"/>
        </w:rPr>
        <w:footnoteRef/>
      </w:r>
      <w:r>
        <w:t xml:space="preserve"> </w:t>
      </w:r>
      <w:r w:rsidR="004F41A7">
        <w:tab/>
      </w:r>
      <w:r>
        <w:t>Notez qu'il s</w:t>
      </w:r>
      <w:r w:rsidR="009A429E">
        <w:t>’</w:t>
      </w:r>
      <w:r>
        <w:t>agit d</w:t>
      </w:r>
      <w:r w:rsidR="009A429E">
        <w:t>’</w:t>
      </w:r>
      <w:r>
        <w:t>un</w:t>
      </w:r>
      <w:r w:rsidR="004F41A7">
        <w:t xml:space="preserve">e modalité </w:t>
      </w:r>
      <w:r>
        <w:t xml:space="preserve">relativement favorable aux </w:t>
      </w:r>
      <w:r w:rsidR="004F41A7">
        <w:t>Commanditaires</w:t>
      </w:r>
      <w:r>
        <w:t xml:space="preserve"> et qu</w:t>
      </w:r>
      <w:r w:rsidR="009A429E">
        <w:t>’</w:t>
      </w:r>
      <w:r w:rsidR="004F41A7">
        <w:t>elle</w:t>
      </w:r>
      <w:r>
        <w:t xml:space="preserve"> est souvent négocié</w:t>
      </w:r>
      <w:r w:rsidR="004F41A7">
        <w:t>e</w:t>
      </w:r>
      <w:r>
        <w:t xml:space="preserve">. Un </w:t>
      </w:r>
      <w:r w:rsidR="004F41A7">
        <w:t>C</w:t>
      </w:r>
      <w:r>
        <w:t xml:space="preserve">ommandité </w:t>
      </w:r>
      <w:r w:rsidR="004F41A7">
        <w:t>destitué</w:t>
      </w:r>
      <w:r>
        <w:t xml:space="preserve"> de ses fonctions pour un motif valable peut avoir droit à des distributions </w:t>
      </w:r>
      <w:r w:rsidR="004F41A7">
        <w:t>de Distributions spéciales</w:t>
      </w:r>
      <w:r>
        <w:t xml:space="preserve"> relativement à des investissements effectués avant sa démission sur une base réduite (généralement, 30 % à 60 % de </w:t>
      </w:r>
      <w:r w:rsidR="004F41A7">
        <w:t>réduction</w:t>
      </w:r>
      <w:r>
        <w:t xml:space="preserve"> sur le montant auquel le </w:t>
      </w:r>
      <w:r w:rsidR="004F41A7">
        <w:t>C</w:t>
      </w:r>
      <w:r>
        <w:t xml:space="preserve">ommandité aurait </w:t>
      </w:r>
      <w:r w:rsidR="004F41A7">
        <w:t>autrement eu</w:t>
      </w:r>
      <w:r>
        <w:t xml:space="preserve"> droit).</w:t>
      </w:r>
    </w:p>
  </w:footnote>
  <w:footnote w:id="116">
    <w:p w:rsidR="0000160C" w:rsidRDefault="00C517ED" w14:paraId="595B23FD" w14:textId="522BC01F">
      <w:pPr>
        <w:pStyle w:val="FootnoteText"/>
        <w:rPr>
          <w:b/>
        </w:rPr>
      </w:pPr>
      <w:r>
        <w:rPr>
          <w:rStyle w:val="FootnoteReference"/>
        </w:rPr>
        <w:footnoteRef/>
      </w:r>
      <w:r>
        <w:t xml:space="preserve"> </w:t>
      </w:r>
      <w:r>
        <w:tab/>
        <w:t xml:space="preserve">Dans certains cas, </w:t>
      </w:r>
      <w:r w:rsidR="004F41A7">
        <w:t>la destitution</w:t>
      </w:r>
      <w:r>
        <w:t xml:space="preserve"> sans motif valable ne peut être autorisée qu</w:t>
      </w:r>
      <w:r w:rsidR="009A429E">
        <w:t>’</w:t>
      </w:r>
      <w:r>
        <w:t>après un an ou deux</w:t>
      </w:r>
      <w:r w:rsidR="009A429E">
        <w:t xml:space="preserve"> ans</w:t>
      </w:r>
      <w:r>
        <w:t xml:space="preserve">. De plus, le </w:t>
      </w:r>
      <w:r w:rsidR="004F41A7">
        <w:t>Gestionnaire</w:t>
      </w:r>
      <w:r>
        <w:t>/</w:t>
      </w:r>
      <w:r w:rsidR="004F41A7">
        <w:t>Commandité</w:t>
      </w:r>
      <w:r>
        <w:t xml:space="preserve"> a généralement le droit de percevoir des </w:t>
      </w:r>
      <w:r w:rsidR="004F41A7">
        <w:t>F</w:t>
      </w:r>
      <w:r>
        <w:t xml:space="preserve">rais de gestion de 12 mois si </w:t>
      </w:r>
      <w:r w:rsidR="004F41A7">
        <w:t>le Commandité</w:t>
      </w:r>
      <w:r>
        <w:t xml:space="preserve"> est </w:t>
      </w:r>
      <w:r w:rsidR="004F41A7">
        <w:t>destitué</w:t>
      </w:r>
      <w:r>
        <w:t xml:space="preserve"> sans motif valable.</w:t>
      </w:r>
    </w:p>
  </w:footnote>
  <w:footnote w:id="117">
    <w:p w:rsidR="0000160C" w:rsidRDefault="00C517ED" w14:paraId="188090D1" w14:textId="303AA051">
      <w:pPr>
        <w:pStyle w:val="FootnoteText"/>
      </w:pPr>
      <w:r>
        <w:rPr>
          <w:rStyle w:val="FootnoteReference"/>
        </w:rPr>
        <w:footnoteRef/>
      </w:r>
      <w:r>
        <w:t xml:space="preserve">   Si le </w:t>
      </w:r>
      <w:r w:rsidR="004F41A7">
        <w:t>C</w:t>
      </w:r>
      <w:r>
        <w:t xml:space="preserve">ommandité est </w:t>
      </w:r>
      <w:r w:rsidR="004F41A7">
        <w:t>destitué</w:t>
      </w:r>
      <w:r>
        <w:t xml:space="preserve"> sans motif valable, le </w:t>
      </w:r>
      <w:r w:rsidR="004F41A7">
        <w:t>C</w:t>
      </w:r>
      <w:r>
        <w:t xml:space="preserve">ommandité a généralement le droit de conserver une </w:t>
      </w:r>
      <w:r w:rsidR="004F41A7">
        <w:t>portion</w:t>
      </w:r>
      <w:r>
        <w:t xml:space="preserve"> de ses </w:t>
      </w:r>
      <w:r w:rsidR="004F41A7">
        <w:t>Distributions spéciales</w:t>
      </w:r>
      <w:r>
        <w:t xml:space="preserve"> sur les </w:t>
      </w:r>
      <w:r w:rsidR="004F41A7">
        <w:t>investissements</w:t>
      </w:r>
      <w:r>
        <w:t xml:space="preserve"> </w:t>
      </w:r>
      <w:r w:rsidR="004F41A7">
        <w:t>faits</w:t>
      </w:r>
      <w:r>
        <w:t xml:space="preserve"> avant sa </w:t>
      </w:r>
      <w:r w:rsidR="004F41A7">
        <w:t>destitution</w:t>
      </w:r>
      <w:r>
        <w:t xml:space="preserve">. Toutefois, ces distributions futures </w:t>
      </w:r>
      <w:r w:rsidR="004F41A7">
        <w:t>de Distributions spéciales</w:t>
      </w:r>
      <w:r>
        <w:t xml:space="preserve"> au </w:t>
      </w:r>
      <w:r w:rsidR="004F41A7">
        <w:t>C</w:t>
      </w:r>
      <w:r>
        <w:t xml:space="preserve">ommandité relativement à des investissements </w:t>
      </w:r>
      <w:r w:rsidR="004F41A7">
        <w:t>faits</w:t>
      </w:r>
      <w:r>
        <w:t xml:space="preserve"> avant la date de </w:t>
      </w:r>
      <w:r w:rsidR="004F41A7">
        <w:t>destitution</w:t>
      </w:r>
      <w:r>
        <w:t xml:space="preserve"> du </w:t>
      </w:r>
      <w:r w:rsidR="004F41A7">
        <w:t>C</w:t>
      </w:r>
      <w:r>
        <w:t>ommandité sont généralement rédui</w:t>
      </w:r>
      <w:r w:rsidR="004F41A7">
        <w:t>tes</w:t>
      </w:r>
      <w:r>
        <w:t xml:space="preserve"> de 20 % à 60 %. Parfois, cette réduction peut varier en fonction d</w:t>
      </w:r>
      <w:r w:rsidR="009A429E">
        <w:t>’</w:t>
      </w:r>
      <w:r>
        <w:t>une échelle d</w:t>
      </w:r>
      <w:r w:rsidR="009A429E">
        <w:t>’</w:t>
      </w:r>
      <w:r>
        <w:t xml:space="preserve">acquisition, de sorte que plus le </w:t>
      </w:r>
      <w:r w:rsidR="004F41A7">
        <w:t>C</w:t>
      </w:r>
      <w:r>
        <w:t xml:space="preserve">ommandité </w:t>
      </w:r>
      <w:r w:rsidR="004F41A7">
        <w:t>a été longtemps</w:t>
      </w:r>
      <w:r>
        <w:t xml:space="preserve"> le </w:t>
      </w:r>
      <w:r w:rsidR="004F41A7">
        <w:t>C</w:t>
      </w:r>
      <w:r>
        <w:t xml:space="preserve">ommandité du Fonds, plus les distributions auxquelles il aura droit après sa </w:t>
      </w:r>
      <w:r w:rsidR="004F41A7">
        <w:t>destitution</w:t>
      </w:r>
      <w:r>
        <w:t xml:space="preserve"> seront importantes. </w:t>
      </w:r>
      <w:r w:rsidR="004F41A7">
        <w:t>Ce point</w:t>
      </w:r>
      <w:r>
        <w:t xml:space="preserve"> fait souvent l</w:t>
      </w:r>
      <w:r w:rsidR="009A429E">
        <w:t>’</w:t>
      </w:r>
      <w:r>
        <w:t>objet de négociations.</w:t>
      </w:r>
    </w:p>
  </w:footnote>
  <w:footnote w:id="118">
    <w:p w:rsidRPr="00F94B84" w:rsidR="0000160C" w:rsidRDefault="00C517ED" w14:paraId="1740734D" w14:textId="77777777">
      <w:pPr>
        <w:pStyle w:val="FootnoteText"/>
        <w:rPr>
          <w:lang w:val="fr-CA"/>
        </w:rPr>
      </w:pPr>
      <w:r>
        <w:rPr>
          <w:rStyle w:val="FootnoteReference"/>
        </w:rPr>
        <w:footnoteRef/>
      </w:r>
      <w:r>
        <w:t xml:space="preserve"> </w:t>
      </w:r>
      <w:r>
        <w:tab/>
        <w:t xml:space="preserve">Au Québec, se référer au concept de « mandataire » tel que défini dans le Code civil. </w:t>
      </w:r>
    </w:p>
  </w:footnote>
  <w:footnote w:id="119">
    <w:p w:rsidR="0000160C" w:rsidRDefault="00C517ED" w14:paraId="1E940E7E" w14:textId="301618DF">
      <w:pPr>
        <w:pStyle w:val="FootnoteText"/>
      </w:pPr>
      <w:r w:rsidRPr="00027352">
        <w:rPr>
          <w:rStyle w:val="FootnoteReference"/>
        </w:rPr>
        <w:footnoteRef/>
      </w:r>
      <w:r>
        <w:tab/>
        <w:t xml:space="preserve">En règle générale, </w:t>
      </w:r>
      <w:r w:rsidR="004F41A7">
        <w:t>le Commandité</w:t>
      </w:r>
      <w:r>
        <w:t xml:space="preserve"> sortant et le </w:t>
      </w:r>
      <w:r w:rsidR="004F41A7">
        <w:t>G</w:t>
      </w:r>
      <w:r>
        <w:t xml:space="preserve">estionnaire conviennent de coopérer avec la </w:t>
      </w:r>
      <w:r w:rsidR="004F41A7">
        <w:t xml:space="preserve">nouvelle </w:t>
      </w:r>
      <w:r>
        <w:t xml:space="preserve">direction lors de la </w:t>
      </w:r>
      <w:r w:rsidR="004F41A7">
        <w:t>destitution</w:t>
      </w:r>
      <w:r>
        <w:t xml:space="preserve"> </w:t>
      </w:r>
      <w:r w:rsidR="004F41A7">
        <w:t xml:space="preserve">du Commandité </w:t>
      </w:r>
      <w:r>
        <w:t xml:space="preserve">afin de faciliter la transition des activités du </w:t>
      </w:r>
      <w:r w:rsidR="004F41A7">
        <w:t>F</w:t>
      </w:r>
      <w:r>
        <w:t xml:space="preserve">onds. La formulation de cette disposition et la norme à laquelle le </w:t>
      </w:r>
      <w:r w:rsidR="004F41A7">
        <w:t>C</w:t>
      </w:r>
      <w:r>
        <w:t>ommandité</w:t>
      </w:r>
      <w:r w:rsidR="004F41A7">
        <w:t xml:space="preserve"> sortant</w:t>
      </w:r>
      <w:r>
        <w:t xml:space="preserve"> et le </w:t>
      </w:r>
      <w:r w:rsidR="004F41A7">
        <w:t>Gestionnaire</w:t>
      </w:r>
      <w:r>
        <w:t xml:space="preserve"> sont tenus </w:t>
      </w:r>
      <w:r w:rsidR="004F41A7">
        <w:t>varient</w:t>
      </w:r>
      <w:r>
        <w:t xml:space="preserve">. Le Fonds et </w:t>
      </w:r>
      <w:r w:rsidR="004F41A7">
        <w:t>le Commandité</w:t>
      </w:r>
      <w:r>
        <w:t xml:space="preserve"> </w:t>
      </w:r>
      <w:r w:rsidR="004F41A7">
        <w:t>remplaçant</w:t>
      </w:r>
      <w:r>
        <w:t xml:space="preserve"> demandent souvent au </w:t>
      </w:r>
      <w:r w:rsidR="004F41A7">
        <w:t>C</w:t>
      </w:r>
      <w:r>
        <w:t xml:space="preserve">ommandité sortant de renoncer à toutes les réclamations.  </w:t>
      </w:r>
    </w:p>
  </w:footnote>
  <w:footnote w:id="120">
    <w:p w:rsidR="0000160C" w:rsidRDefault="00C517ED" w14:paraId="30FCB01F" w14:textId="2D67A8B1">
      <w:pPr>
        <w:pStyle w:val="FootnoteText"/>
      </w:pPr>
      <w:r w:rsidRPr="00027352">
        <w:rPr>
          <w:rStyle w:val="FootnoteReference"/>
        </w:rPr>
        <w:footnoteRef/>
      </w:r>
      <w:r>
        <w:tab/>
        <w:t xml:space="preserve">Voir </w:t>
      </w:r>
      <w:r w:rsidR="004F41A7">
        <w:t xml:space="preserve">la </w:t>
      </w:r>
      <w:r>
        <w:t>note</w:t>
      </w:r>
      <w:r w:rsidR="004F41A7">
        <w:t xml:space="preserve"> de bas de page</w:t>
      </w:r>
      <w:r>
        <w:t xml:space="preserve"> 114 ci-dessus.</w:t>
      </w:r>
    </w:p>
  </w:footnote>
  <w:footnote w:id="121">
    <w:p w:rsidR="0000160C" w:rsidRDefault="00C517ED" w14:paraId="68FD5F83" w14:textId="479EE1D2">
      <w:pPr>
        <w:pStyle w:val="FootnoteText"/>
      </w:pPr>
      <w:r w:rsidRPr="00027352">
        <w:rPr>
          <w:rStyle w:val="FootnoteReference"/>
        </w:rPr>
        <w:footnoteRef/>
      </w:r>
      <w:r>
        <w:tab/>
      </w:r>
      <w:r w:rsidR="004F41A7">
        <w:t xml:space="preserve">Le délai habituel </w:t>
      </w:r>
      <w:r w:rsidR="005933FC">
        <w:t>varie entre</w:t>
      </w:r>
      <w:r w:rsidR="004F41A7">
        <w:t xml:space="preserve"> 90 </w:t>
      </w:r>
      <w:r w:rsidR="005933FC">
        <w:t>et</w:t>
      </w:r>
      <w:r w:rsidR="004F41A7">
        <w:t xml:space="preserve"> 120 jours</w:t>
      </w:r>
      <w:r>
        <w:t>.</w:t>
      </w:r>
    </w:p>
  </w:footnote>
  <w:footnote w:id="122">
    <w:p w:rsidR="0000160C" w:rsidRDefault="00C517ED" w14:paraId="5B462504" w14:textId="35CB3CAE">
      <w:pPr>
        <w:pStyle w:val="FootnoteText"/>
      </w:pPr>
      <w:r>
        <w:rPr>
          <w:rStyle w:val="FootnoteReference"/>
        </w:rPr>
        <w:footnoteRef/>
      </w:r>
      <w:r>
        <w:t xml:space="preserve"> </w:t>
      </w:r>
      <w:r>
        <w:tab/>
        <w:t>Les investissements de portefeuille dans lesquels le Fonds peut investir après la période d</w:t>
      </w:r>
      <w:r w:rsidR="005933FC">
        <w:t>’</w:t>
      </w:r>
      <w:r>
        <w:t>investissement font souvent l</w:t>
      </w:r>
      <w:r w:rsidR="005933FC">
        <w:t>’</w:t>
      </w:r>
      <w:r>
        <w:t>objet de négociations, car certains investisseurs institutionnels peuvent chercher à n</w:t>
      </w:r>
      <w:r w:rsidR="005933FC">
        <w:t>’</w:t>
      </w:r>
      <w:r>
        <w:t>autoriser que les investissements qui font l</w:t>
      </w:r>
      <w:r w:rsidR="005933FC">
        <w:t>’</w:t>
      </w:r>
      <w:r>
        <w:t>objet d</w:t>
      </w:r>
      <w:r w:rsidR="005933FC">
        <w:t>’</w:t>
      </w:r>
      <w:r>
        <w:t>un accord exécutoire conclu avant la fin ou la suspension de la période d</w:t>
      </w:r>
      <w:r w:rsidR="005933FC">
        <w:t>’</w:t>
      </w:r>
      <w:r>
        <w:t>investissement.</w:t>
      </w:r>
    </w:p>
  </w:footnote>
  <w:footnote w:id="123">
    <w:p w:rsidR="0000160C" w:rsidRDefault="00C517ED" w14:paraId="2D06F108" w14:textId="09A5BC4E">
      <w:pPr>
        <w:pStyle w:val="FootnoteText"/>
      </w:pPr>
      <w:r>
        <w:rPr>
          <w:rStyle w:val="FootnoteReference"/>
        </w:rPr>
        <w:footnoteRef/>
      </w:r>
      <w:r>
        <w:t xml:space="preserve"> </w:t>
      </w:r>
      <w:r>
        <w:tab/>
        <w:t xml:space="preserve">Les membres du </w:t>
      </w:r>
      <w:r w:rsidR="004F41A7">
        <w:t>C</w:t>
      </w:r>
      <w:r>
        <w:t xml:space="preserve">omité consultatif </w:t>
      </w:r>
      <w:r w:rsidR="004F41A7">
        <w:t>des Commanditaires</w:t>
      </w:r>
      <w:r>
        <w:t xml:space="preserve"> perdront </w:t>
      </w:r>
      <w:r w:rsidR="009E209F">
        <w:t>leur statut de</w:t>
      </w:r>
      <w:r>
        <w:t xml:space="preserve"> responsabilité limitée s</w:t>
      </w:r>
      <w:r w:rsidR="00B025A3">
        <w:t>’</w:t>
      </w:r>
      <w:r>
        <w:t xml:space="preserve">ils prennent part au contrôle des activités ou des affaires du Fonds. Cette question est abordée dans </w:t>
      </w:r>
      <w:r w:rsidR="009E209F">
        <w:t>à l’article</w:t>
      </w:r>
      <w:r>
        <w:t xml:space="preserve"> </w:t>
      </w:r>
      <w:r>
        <w:fldChar w:fldCharType="begin"/>
      </w:r>
      <w:r>
        <w:instrText xml:space="preserve">  REF _Ref113892420 \w \h \* MERGEFORMAT </w:instrText>
      </w:r>
      <w:r>
        <w:fldChar w:fldCharType="separate"/>
      </w:r>
      <w:r w:rsidRPr="00B50BE2" w:rsidR="00B50BE2">
        <w:rPr>
          <w:color w:val="000000"/>
        </w:rPr>
        <w:t>3.2</w:t>
      </w:r>
      <w:r>
        <w:fldChar w:fldCharType="end"/>
      </w:r>
      <w:r>
        <w:t xml:space="preserve"> (</w:t>
      </w:r>
      <w:r w:rsidRPr="00856D2F">
        <w:rPr>
          <w:i/>
        </w:rPr>
        <w:fldChar w:fldCharType="begin"/>
      </w:r>
      <w:r w:rsidRPr="00856D2F">
        <w:rPr>
          <w:i/>
        </w:rPr>
        <w:instrText xml:space="preserve"> REF _Ref113892420 \h </w:instrText>
      </w:r>
      <w:r>
        <w:rPr>
          <w:i/>
        </w:rPr>
        <w:instrText xml:space="preserve"> \* MERGEFORMAT </w:instrText>
      </w:r>
      <w:r w:rsidRPr="00856D2F">
        <w:rPr>
          <w:i/>
        </w:rPr>
      </w:r>
      <w:r w:rsidRPr="00856D2F">
        <w:rPr>
          <w:i/>
        </w:rPr>
        <w:fldChar w:fldCharType="separate"/>
      </w:r>
      <w:r w:rsidRPr="00B50BE2" w:rsidR="00B50BE2">
        <w:rPr>
          <w:i/>
        </w:rPr>
        <w:t>Commanditaires.</w:t>
      </w:r>
      <w:r w:rsidRPr="00856D2F">
        <w:rPr>
          <w:i/>
        </w:rPr>
        <w:fldChar w:fldCharType="end"/>
      </w:r>
      <w:r>
        <w:t xml:space="preserve">). </w:t>
      </w:r>
    </w:p>
  </w:footnote>
  <w:footnote w:id="124">
    <w:p w:rsidR="0000160C" w:rsidRDefault="00C517ED" w14:paraId="7E598CEE" w14:textId="2D2BFD38">
      <w:pPr>
        <w:pStyle w:val="FootnoteText"/>
      </w:pPr>
      <w:r>
        <w:rPr>
          <w:rStyle w:val="FootnoteReference"/>
        </w:rPr>
        <w:footnoteRef/>
      </w:r>
      <w:r>
        <w:t xml:space="preserve"> </w:t>
      </w:r>
      <w:r>
        <w:tab/>
        <w:t xml:space="preserve">Les membres du </w:t>
      </w:r>
      <w:r w:rsidR="009E209F">
        <w:t>C</w:t>
      </w:r>
      <w:r>
        <w:t xml:space="preserve">omité consultatif </w:t>
      </w:r>
      <w:r w:rsidR="009E209F">
        <w:t>des Commanditaires</w:t>
      </w:r>
      <w:r>
        <w:t xml:space="preserve"> sont soumis à un devoir de bonne foi. Ils sont également assujettis à un</w:t>
      </w:r>
      <w:r w:rsidR="009E209F">
        <w:t xml:space="preserve"> devoir </w:t>
      </w:r>
      <w:r>
        <w:t xml:space="preserve">de confidentialité en </w:t>
      </w:r>
      <w:proofErr w:type="spellStart"/>
      <w:r w:rsidRPr="00B025A3">
        <w:rPr>
          <w:i/>
          <w:iCs/>
        </w:rPr>
        <w:t>common</w:t>
      </w:r>
      <w:proofErr w:type="spellEnd"/>
      <w:r w:rsidRPr="00B025A3">
        <w:rPr>
          <w:i/>
          <w:iCs/>
        </w:rPr>
        <w:t xml:space="preserve"> </w:t>
      </w:r>
      <w:proofErr w:type="spellStart"/>
      <w:r w:rsidRPr="00B025A3">
        <w:rPr>
          <w:i/>
          <w:iCs/>
        </w:rPr>
        <w:t>law</w:t>
      </w:r>
      <w:proofErr w:type="spellEnd"/>
      <w:r>
        <w:t>, ainsi qu</w:t>
      </w:r>
      <w:r w:rsidR="00B025A3">
        <w:t>’</w:t>
      </w:r>
      <w:r>
        <w:t>indirectement (puisqu</w:t>
      </w:r>
      <w:r w:rsidR="00B025A3">
        <w:t>’</w:t>
      </w:r>
      <w:r>
        <w:t xml:space="preserve">ils ne sont pas directement </w:t>
      </w:r>
      <w:proofErr w:type="gramStart"/>
      <w:r>
        <w:t>parties</w:t>
      </w:r>
      <w:proofErr w:type="gramEnd"/>
      <w:r>
        <w:t xml:space="preserve"> </w:t>
      </w:r>
      <w:r w:rsidR="009E209F">
        <w:t>à la présent</w:t>
      </w:r>
      <w:r w:rsidR="00EE3A65">
        <w:t>e</w:t>
      </w:r>
      <w:r w:rsidR="009E209F">
        <w:t xml:space="preserve"> Convention</w:t>
      </w:r>
      <w:r>
        <w:t>) en vertu de l</w:t>
      </w:r>
      <w:r w:rsidR="00B025A3">
        <w:t>’</w:t>
      </w:r>
      <w:r>
        <w:t xml:space="preserve">article </w:t>
      </w:r>
      <w:r>
        <w:fldChar w:fldCharType="begin"/>
      </w:r>
      <w:r>
        <w:instrText xml:space="preserve"> REF _Ref113892699 \n \h </w:instrText>
      </w:r>
      <w:r>
        <w:fldChar w:fldCharType="separate"/>
      </w:r>
      <w:r w:rsidR="00B50BE2">
        <w:t>20.1</w:t>
      </w:r>
      <w:r>
        <w:fldChar w:fldCharType="end"/>
      </w:r>
      <w:r>
        <w:t xml:space="preserve"> (</w:t>
      </w:r>
      <w:r>
        <w:fldChar w:fldCharType="begin"/>
      </w:r>
      <w:r>
        <w:instrText xml:space="preserve"> REF _Ref113892699 \h  \* MERGEFORMAT </w:instrText>
      </w:r>
      <w:r>
        <w:fldChar w:fldCharType="separate"/>
      </w:r>
      <w:r w:rsidRPr="00B50BE2" w:rsidR="00B50BE2">
        <w:rPr>
          <w:i/>
        </w:rPr>
        <w:t>Confidentialité.</w:t>
      </w:r>
      <w:r>
        <w:fldChar w:fldCharType="end"/>
      </w:r>
      <w:r>
        <w:t xml:space="preserve">) </w:t>
      </w:r>
      <w:r w:rsidR="00E536D5">
        <w:t>de la présente Convention</w:t>
      </w:r>
      <w:r>
        <w:t xml:space="preserve">. </w:t>
      </w:r>
    </w:p>
  </w:footnote>
  <w:footnote w:id="125">
    <w:p w:rsidR="0000160C" w:rsidRDefault="00C517ED" w14:paraId="4C807C2C" w14:textId="22E844A6">
      <w:pPr>
        <w:pStyle w:val="FootnoteText"/>
      </w:pPr>
      <w:r>
        <w:rPr>
          <w:rStyle w:val="FootnoteReference"/>
        </w:rPr>
        <w:footnoteRef/>
      </w:r>
      <w:r>
        <w:t xml:space="preserve"> Les </w:t>
      </w:r>
      <w:r w:rsidR="009E209F">
        <w:t>C</w:t>
      </w:r>
      <w:r>
        <w:t xml:space="preserve">ommandités peuvent envisager </w:t>
      </w:r>
      <w:r w:rsidR="009E209F">
        <w:t>d’aviser</w:t>
      </w:r>
      <w:r>
        <w:t xml:space="preserve"> </w:t>
      </w:r>
      <w:r w:rsidR="009E209F">
        <w:t>les Commanditaires de la totalité</w:t>
      </w:r>
      <w:r>
        <w:t xml:space="preserve"> ou </w:t>
      </w:r>
      <w:r w:rsidR="009E209F">
        <w:t xml:space="preserve">d’une </w:t>
      </w:r>
      <w:r>
        <w:t>partie de ces questions.</w:t>
      </w:r>
    </w:p>
  </w:footnote>
  <w:footnote w:id="126">
    <w:p w:rsidR="0000160C" w:rsidRDefault="00C517ED" w14:paraId="78288B9B" w14:textId="7CD8228B">
      <w:pPr>
        <w:pStyle w:val="FootnoteText"/>
      </w:pPr>
      <w:r>
        <w:rPr>
          <w:rStyle w:val="FootnoteReference"/>
        </w:rPr>
        <w:footnoteRef/>
      </w:r>
      <w:r>
        <w:tab/>
        <w:t xml:space="preserve">Ces dispositions sont souvent négociées avec les </w:t>
      </w:r>
      <w:r w:rsidR="009E209F">
        <w:t>P</w:t>
      </w:r>
      <w:r>
        <w:t>ersonnes</w:t>
      </w:r>
      <w:r w:rsidR="009E209F">
        <w:t>-</w:t>
      </w:r>
      <w:r>
        <w:t xml:space="preserve">clés. </w:t>
      </w:r>
    </w:p>
  </w:footnote>
  <w:footnote w:id="127">
    <w:p w:rsidR="0000160C" w:rsidRDefault="00C517ED" w14:paraId="4680C187" w14:textId="36985C14">
      <w:pPr>
        <w:pStyle w:val="FootnoteText"/>
      </w:pPr>
      <w:r>
        <w:rPr>
          <w:rStyle w:val="FootnoteReference"/>
        </w:rPr>
        <w:footnoteRef/>
      </w:r>
      <w:r>
        <w:t xml:space="preserve"> </w:t>
      </w:r>
      <w:r w:rsidR="009E209F">
        <w:tab/>
      </w:r>
      <w:r>
        <w:t>Parfois, un seuil d</w:t>
      </w:r>
      <w:r w:rsidR="00B025A3">
        <w:t>’</w:t>
      </w:r>
      <w:r>
        <w:t>approbation plus élevé est requis (p. ex., 2/</w:t>
      </w:r>
      <w:bookmarkStart w:name="DocXTextRef115" w:id="635"/>
      <w:r>
        <w:t>3</w:t>
      </w:r>
      <w:bookmarkEnd w:id="635"/>
      <w:r>
        <w:t xml:space="preserve"> des membres du </w:t>
      </w:r>
      <w:r w:rsidR="009E209F">
        <w:t>C</w:t>
      </w:r>
      <w:r>
        <w:t xml:space="preserve">omité consultatif </w:t>
      </w:r>
      <w:r w:rsidR="009E209F">
        <w:t>des Commanditaires</w:t>
      </w:r>
      <w:r>
        <w:t>) pour les décisions particulièrement importantes.</w:t>
      </w:r>
    </w:p>
  </w:footnote>
  <w:footnote w:id="128">
    <w:p w:rsidR="0000160C" w:rsidRDefault="00C517ED" w14:paraId="548D3A93" w14:textId="1499BDB6">
      <w:pPr>
        <w:pStyle w:val="FootnoteText"/>
      </w:pPr>
      <w:r>
        <w:rPr>
          <w:rStyle w:val="FootnoteReference"/>
        </w:rPr>
        <w:footnoteRef/>
      </w:r>
      <w:r>
        <w:t xml:space="preserve"> </w:t>
      </w:r>
      <w:r>
        <w:tab/>
        <w:t xml:space="preserve">Le </w:t>
      </w:r>
      <w:r w:rsidR="009E209F">
        <w:t>C</w:t>
      </w:r>
      <w:r>
        <w:t xml:space="preserve">omité consultatif </w:t>
      </w:r>
      <w:r w:rsidR="009E209F">
        <w:t>des Commanditaires</w:t>
      </w:r>
      <w:r>
        <w:t xml:space="preserve"> peut décider qu</w:t>
      </w:r>
      <w:r w:rsidR="00B025A3">
        <w:t>’</w:t>
      </w:r>
      <w:r>
        <w:t>il est nécessaire de retenir les services d</w:t>
      </w:r>
      <w:r w:rsidR="00B025A3">
        <w:t>’</w:t>
      </w:r>
      <w:r>
        <w:t>un conseiller juridique ou d</w:t>
      </w:r>
      <w:r w:rsidR="00B025A3">
        <w:t>’</w:t>
      </w:r>
      <w:r>
        <w:t xml:space="preserve">autres conseillers. Le coût de ces conseillers devrait être une dépense du </w:t>
      </w:r>
      <w:r w:rsidR="009E209F">
        <w:t>Fonds</w:t>
      </w:r>
      <w:r>
        <w:t xml:space="preserve"> soumise à un plafond raisonnable. Les dépenses qui excèdent ce plafond seraient prises en charge par les membres du </w:t>
      </w:r>
      <w:r w:rsidR="009E209F">
        <w:t>C</w:t>
      </w:r>
      <w:r>
        <w:t>omité consultatif de</w:t>
      </w:r>
      <w:r w:rsidR="009E209F">
        <w:t xml:space="preserve">s Commanditaires </w:t>
      </w:r>
      <w:r>
        <w:t xml:space="preserve">ou les </w:t>
      </w:r>
      <w:r w:rsidR="009E209F">
        <w:t>C</w:t>
      </w:r>
      <w:r>
        <w:t>ommanditaires qui les ont nommés.</w:t>
      </w:r>
    </w:p>
  </w:footnote>
  <w:footnote w:id="129">
    <w:p w:rsidR="0000160C" w:rsidRDefault="00C517ED" w14:paraId="490CEDC5" w14:textId="50C89937">
      <w:pPr>
        <w:pStyle w:val="FootnoteText"/>
      </w:pPr>
      <w:r>
        <w:rPr>
          <w:rStyle w:val="FootnoteReference"/>
        </w:rPr>
        <w:footnoteRef/>
      </w:r>
      <w:r>
        <w:tab/>
        <w:t>Les exigences en matière d</w:t>
      </w:r>
      <w:r w:rsidR="00B025A3">
        <w:t>’</w:t>
      </w:r>
      <w:r>
        <w:t xml:space="preserve">assurance pour les membres du </w:t>
      </w:r>
      <w:r w:rsidR="009E209F">
        <w:t>C</w:t>
      </w:r>
      <w:r>
        <w:t xml:space="preserve">omité consultatif </w:t>
      </w:r>
      <w:r w:rsidR="009E209F">
        <w:t>des Commanditaires</w:t>
      </w:r>
      <w:r>
        <w:t xml:space="preserve"> sont souvent négociées pour des fonds </w:t>
      </w:r>
      <w:r w:rsidR="009E209F">
        <w:t xml:space="preserve">de petite taille </w:t>
      </w:r>
      <w:r>
        <w:t xml:space="preserve">ou </w:t>
      </w:r>
      <w:r w:rsidR="009E209F">
        <w:t>des nouveaux fonds</w:t>
      </w:r>
      <w:r>
        <w:t xml:space="preserve">, et peuvent devenir une obligation post-clôture du </w:t>
      </w:r>
      <w:r w:rsidR="009E209F">
        <w:t>C</w:t>
      </w:r>
      <w:r>
        <w:t>ommandité.</w:t>
      </w:r>
    </w:p>
  </w:footnote>
  <w:footnote w:id="130">
    <w:p w:rsidR="0000160C" w:rsidRDefault="00C517ED" w14:paraId="100A8CA4" w14:textId="1050CEC1">
      <w:pPr>
        <w:pStyle w:val="FootnoteText"/>
      </w:pPr>
      <w:r>
        <w:rPr>
          <w:rStyle w:val="FootnoteReference"/>
        </w:rPr>
        <w:footnoteRef/>
      </w:r>
      <w:r>
        <w:tab/>
        <w:t xml:space="preserve">Les fonds </w:t>
      </w:r>
      <w:r w:rsidR="009E209F">
        <w:t>peuvent envisager</w:t>
      </w:r>
      <w:r>
        <w:t xml:space="preserve"> de prévoir une certaine souplesse pour reporter les distributions, compte tenu des considérations relatives à l</w:t>
      </w:r>
      <w:r w:rsidR="00040C15">
        <w:t>’</w:t>
      </w:r>
      <w:r>
        <w:t xml:space="preserve">impôt sur le revenu. Les </w:t>
      </w:r>
      <w:r w:rsidR="009E209F">
        <w:t>C</w:t>
      </w:r>
      <w:r>
        <w:t xml:space="preserve">ommanditaires qui sont imposables voudront recevoir le revenu le plus tôt possible, car ils ont des impôts à payer </w:t>
      </w:r>
      <w:r w:rsidR="009E209F">
        <w:t>puis</w:t>
      </w:r>
      <w:r>
        <w:t xml:space="preserve">que le </w:t>
      </w:r>
      <w:r w:rsidR="009E209F">
        <w:t>F</w:t>
      </w:r>
      <w:r>
        <w:t xml:space="preserve">onds (une société en commandite) est une entité intermédiaire aux fins </w:t>
      </w:r>
      <w:r w:rsidR="00040C15">
        <w:t xml:space="preserve">du calcul </w:t>
      </w:r>
      <w:r>
        <w:t>de l'impôt.</w:t>
      </w:r>
    </w:p>
  </w:footnote>
  <w:footnote w:id="131">
    <w:p w:rsidR="0000160C" w:rsidRDefault="00C517ED" w14:paraId="7FC21C88" w14:textId="44658860">
      <w:pPr>
        <w:pStyle w:val="FootnoteText"/>
      </w:pPr>
      <w:r>
        <w:rPr>
          <w:rStyle w:val="FootnoteReference"/>
        </w:rPr>
        <w:footnoteRef/>
      </w:r>
      <w:r>
        <w:t xml:space="preserve"> </w:t>
      </w:r>
      <w:r>
        <w:tab/>
        <w:t xml:space="preserve">Les </w:t>
      </w:r>
      <w:r w:rsidR="009E209F">
        <w:t>distributions spéciales</w:t>
      </w:r>
      <w:r>
        <w:t xml:space="preserve"> sont généralement payables en deux étapes : une fois que les </w:t>
      </w:r>
      <w:r w:rsidR="009E209F">
        <w:t>C</w:t>
      </w:r>
      <w:r>
        <w:t xml:space="preserve">ommanditaires ont reçu leur rendement du capital et leur rendement </w:t>
      </w:r>
      <w:r w:rsidR="00181C81">
        <w:t>privilégié</w:t>
      </w:r>
      <w:r>
        <w:t xml:space="preserve">, le </w:t>
      </w:r>
      <w:r w:rsidR="00181C81">
        <w:t>C</w:t>
      </w:r>
      <w:r>
        <w:t xml:space="preserve">ommandité (ou le bénéficiaire </w:t>
      </w:r>
      <w:r w:rsidR="00181C81">
        <w:t>des distributions spéciales</w:t>
      </w:r>
      <w:r>
        <w:t xml:space="preserve">) reçoit un paiement de « rattrapage » (généralement 50 % - 100 % des distributions qui dépassent le rendement du capital et le rendement </w:t>
      </w:r>
      <w:r w:rsidR="00181C81">
        <w:t>privilégié</w:t>
      </w:r>
      <w:r>
        <w:t xml:space="preserve">). Tout pourcentage de rattrapage inférieur à 100 % impliquera un paiement simultané aux </w:t>
      </w:r>
      <w:r w:rsidR="00181C81">
        <w:t>C</w:t>
      </w:r>
      <w:r>
        <w:t>ommanditaires pendant la période de rattrapage.</w:t>
      </w:r>
      <w:r>
        <w:rPr>
          <w:rFonts w:ascii="Calibri" w:hAnsi="Calibri" w:cs="Calibri"/>
          <w:sz w:val="20"/>
        </w:rPr>
        <w:t xml:space="preserve"> </w:t>
      </w:r>
      <w:r>
        <w:t xml:space="preserve">Une fois le rattrapage terminé, le bénéficiaire des </w:t>
      </w:r>
      <w:r w:rsidR="00181C81">
        <w:t>distributions spéciales</w:t>
      </w:r>
      <w:r>
        <w:t xml:space="preserve"> aura reçu les </w:t>
      </w:r>
      <w:r w:rsidR="00181C81">
        <w:t>distributions spéciales</w:t>
      </w:r>
      <w:r>
        <w:t xml:space="preserve"> qui lui ont été attribué</w:t>
      </w:r>
      <w:r w:rsidR="00181C81">
        <w:t>e</w:t>
      </w:r>
      <w:r>
        <w:t>s (c</w:t>
      </w:r>
      <w:r w:rsidR="00181C81">
        <w:t>’est-à-dire les</w:t>
      </w:r>
      <w:r>
        <w:t xml:space="preserve"> 20 % standard) sur tous les bénéfices distribués à ce jour, et une fois les paiements de rattrapage effectués, les bénéfices sont ensuite </w:t>
      </w:r>
      <w:r w:rsidR="00181C81">
        <w:t>répartis</w:t>
      </w:r>
      <w:r>
        <w:t xml:space="preserve"> en fonction du pourcentage des </w:t>
      </w:r>
      <w:r w:rsidR="00181C81">
        <w:t xml:space="preserve">distributions spéciales suivant </w:t>
      </w:r>
      <w:r>
        <w:t>(c</w:t>
      </w:r>
      <w:r w:rsidR="00181C81">
        <w:t>’est-à-dire</w:t>
      </w:r>
      <w:r>
        <w:t xml:space="preserve"> 80 % </w:t>
      </w:r>
      <w:r w:rsidR="00181C81">
        <w:t>aux</w:t>
      </w:r>
      <w:r>
        <w:t xml:space="preserve"> </w:t>
      </w:r>
      <w:r w:rsidR="00181C81">
        <w:t>C</w:t>
      </w:r>
      <w:r>
        <w:t xml:space="preserve">ommanditaires et 20 % </w:t>
      </w:r>
      <w:r w:rsidR="00181C81">
        <w:t>au</w:t>
      </w:r>
      <w:r>
        <w:t xml:space="preserve"> bénéficiaire des </w:t>
      </w:r>
      <w:r w:rsidR="00181C81">
        <w:t>distributions spéciales</w:t>
      </w:r>
      <w:r>
        <w:t>). Il n'y a pas de rattrapage si le Fonds n</w:t>
      </w:r>
      <w:r w:rsidR="00040C15">
        <w:t>’</w:t>
      </w:r>
      <w:r>
        <w:t>a pas d</w:t>
      </w:r>
      <w:r w:rsidR="00040C15">
        <w:t>’</w:t>
      </w:r>
      <w:r>
        <w:t xml:space="preserve">exigence de rendement </w:t>
      </w:r>
      <w:r w:rsidR="00181C81">
        <w:t>privilégié</w:t>
      </w:r>
      <w:r>
        <w:t xml:space="preserve">. La cascade utilisée pour le Fonds dans </w:t>
      </w:r>
      <w:r w:rsidR="00181C81">
        <w:t>la présente Convention</w:t>
      </w:r>
      <w:r>
        <w:t xml:space="preserve"> prévoit le </w:t>
      </w:r>
      <w:r w:rsidR="00650804">
        <w:t>remboursement</w:t>
      </w:r>
      <w:r>
        <w:t xml:space="preserve"> du capital investi sur une base « </w:t>
      </w:r>
      <w:r w:rsidR="00181C81">
        <w:t>ensemble du fonds</w:t>
      </w:r>
      <w:r>
        <w:t xml:space="preserve"> » ou « </w:t>
      </w:r>
      <w:r w:rsidR="00181C81">
        <w:t>globalité</w:t>
      </w:r>
      <w:r>
        <w:t xml:space="preserve"> » (également appelée « cascade européenne »), ce qui signifie que les investisseurs recevront </w:t>
      </w:r>
      <w:r w:rsidR="00650804">
        <w:t>tous les apports de capital</w:t>
      </w:r>
      <w:r>
        <w:t xml:space="preserve"> (et un rendement </w:t>
      </w:r>
      <w:r w:rsidR="00650804">
        <w:t>privilégié</w:t>
      </w:r>
      <w:r>
        <w:t xml:space="preserve">, le cas échéant) avant que tout rendement ne soit distribué au </w:t>
      </w:r>
      <w:r w:rsidR="00650804">
        <w:t>C</w:t>
      </w:r>
      <w:r>
        <w:t xml:space="preserve">ommandité. Toutefois, certains fonds vont </w:t>
      </w:r>
      <w:r w:rsidR="00650804">
        <w:t>rembourser</w:t>
      </w:r>
      <w:r>
        <w:t xml:space="preserve"> le capital investi sur une base « investissement par investissement » (également appelée « </w:t>
      </w:r>
      <w:r w:rsidR="00650804">
        <w:t>cascade</w:t>
      </w:r>
      <w:r>
        <w:t xml:space="preserve"> américaine »).</w:t>
      </w:r>
    </w:p>
  </w:footnote>
  <w:footnote w:id="132">
    <w:p w:rsidR="0000160C" w:rsidRDefault="00C517ED" w14:paraId="54CD8D02" w14:textId="622A8234">
      <w:pPr>
        <w:pStyle w:val="FootnoteText"/>
      </w:pPr>
      <w:r w:rsidRPr="00A40BC0">
        <w:rPr>
          <w:rStyle w:val="FootnoteReference"/>
        </w:rPr>
        <w:footnoteRef/>
      </w:r>
      <w:r>
        <w:t xml:space="preserve"> </w:t>
      </w:r>
      <w:r>
        <w:tab/>
        <w:t xml:space="preserve">La répartition standard des bénéfices sur </w:t>
      </w:r>
      <w:r w:rsidR="00650804">
        <w:t>distributions spéciales</w:t>
      </w:r>
      <w:r>
        <w:t xml:space="preserve"> entre les associés (après le </w:t>
      </w:r>
      <w:r w:rsidR="00650804">
        <w:t>remboursement</w:t>
      </w:r>
      <w:r>
        <w:t xml:space="preserve"> du capital, le rendement </w:t>
      </w:r>
      <w:r w:rsidR="00650804">
        <w:t>privilégié</w:t>
      </w:r>
      <w:r>
        <w:t xml:space="preserve"> et le rattrapage, le cas échéant) est une distribution de 80 % aux </w:t>
      </w:r>
      <w:r w:rsidR="00650804">
        <w:t>C</w:t>
      </w:r>
      <w:r>
        <w:t xml:space="preserve">ommanditaires et de 20 % des </w:t>
      </w:r>
      <w:r w:rsidR="00650804">
        <w:t>distributions spéciales</w:t>
      </w:r>
      <w:r>
        <w:t xml:space="preserve"> au </w:t>
      </w:r>
      <w:r w:rsidR="00650804">
        <w:t>C</w:t>
      </w:r>
      <w:r>
        <w:t>ommandité.</w:t>
      </w:r>
    </w:p>
  </w:footnote>
  <w:footnote w:id="133">
    <w:p w:rsidRPr="00F94B84" w:rsidR="0000160C" w:rsidRDefault="00C517ED" w14:paraId="6CA76C73" w14:textId="77777777">
      <w:pPr>
        <w:pStyle w:val="FootnoteText"/>
        <w:rPr>
          <w:lang w:val="fr-CA"/>
        </w:rPr>
      </w:pPr>
      <w:r>
        <w:rPr>
          <w:rStyle w:val="FootnoteReference"/>
        </w:rPr>
        <w:footnoteRef/>
      </w:r>
      <w:r>
        <w:t xml:space="preserve"> </w:t>
      </w:r>
      <w:r>
        <w:tab/>
        <w:t>Le libellé sera ajouté si la société en commandite est constituée au Québec.</w:t>
      </w:r>
    </w:p>
  </w:footnote>
  <w:footnote w:id="134">
    <w:p w:rsidR="0000160C" w:rsidRDefault="00C517ED" w14:paraId="6DF8791A" w14:textId="09274F92">
      <w:pPr>
        <w:pStyle w:val="FootnoteText"/>
      </w:pPr>
      <w:r>
        <w:rPr>
          <w:rStyle w:val="FootnoteReference"/>
        </w:rPr>
        <w:footnoteRef/>
      </w:r>
      <w:r>
        <w:t xml:space="preserve"> </w:t>
      </w:r>
      <w:r>
        <w:tab/>
        <w:t xml:space="preserve">Ce mécanisme permet au Fonds (en tant que société en commandite) de verser des liquidités aux </w:t>
      </w:r>
      <w:r w:rsidR="00650804">
        <w:t>C</w:t>
      </w:r>
      <w:r>
        <w:t>ommanditaires aux fins du paiement de leurs impôts et peut s</w:t>
      </w:r>
      <w:r w:rsidR="00040C15">
        <w:t>’</w:t>
      </w:r>
      <w:r>
        <w:t xml:space="preserve">avérer nécessaire étant donné que les revenus du Fonds sont généralement imposés au </w:t>
      </w:r>
      <w:r>
        <w:rPr>
          <w:i/>
        </w:rPr>
        <w:t>niveau</w:t>
      </w:r>
      <w:r>
        <w:t xml:space="preserve"> </w:t>
      </w:r>
      <w:r w:rsidRPr="00650804" w:rsidR="00650804">
        <w:rPr>
          <w:i/>
          <w:iCs/>
        </w:rPr>
        <w:t>des</w:t>
      </w:r>
      <w:r>
        <w:rPr>
          <w:i/>
        </w:rPr>
        <w:t xml:space="preserve"> </w:t>
      </w:r>
      <w:r w:rsidR="00650804">
        <w:rPr>
          <w:i/>
        </w:rPr>
        <w:t>associés</w:t>
      </w:r>
      <w:r>
        <w:t xml:space="preserve"> alors que les liquidités sont accumulées au </w:t>
      </w:r>
      <w:r>
        <w:rPr>
          <w:i/>
        </w:rPr>
        <w:t>niveau de</w:t>
      </w:r>
      <w:r>
        <w:t xml:space="preserve"> </w:t>
      </w:r>
      <w:r w:rsidRPr="00650804">
        <w:rPr>
          <w:i/>
          <w:iCs/>
        </w:rPr>
        <w:t>la</w:t>
      </w:r>
      <w:r>
        <w:rPr>
          <w:i/>
        </w:rPr>
        <w:t xml:space="preserve"> société en commandite</w:t>
      </w:r>
      <w:r>
        <w:t>.</w:t>
      </w:r>
    </w:p>
  </w:footnote>
  <w:footnote w:id="135">
    <w:p w:rsidR="0000160C" w:rsidRDefault="00C517ED" w14:paraId="704AC810" w14:textId="322DFA62">
      <w:pPr>
        <w:pStyle w:val="FootnoteText"/>
      </w:pPr>
      <w:r>
        <w:rPr>
          <w:rStyle w:val="FootnoteReference"/>
        </w:rPr>
        <w:footnoteRef/>
      </w:r>
      <w:r>
        <w:tab/>
        <w:t>La portée de l</w:t>
      </w:r>
      <w:r w:rsidR="00040C15">
        <w:t>’</w:t>
      </w:r>
      <w:r>
        <w:t>indemnité de retenue est sujette à négociation. La retenue ne s</w:t>
      </w:r>
      <w:r w:rsidR="00040C15">
        <w:t>’</w:t>
      </w:r>
      <w:r>
        <w:t>applique qu</w:t>
      </w:r>
      <w:r w:rsidR="00040C15">
        <w:t>’</w:t>
      </w:r>
      <w:r>
        <w:t xml:space="preserve">aux </w:t>
      </w:r>
      <w:r w:rsidR="005A44DD">
        <w:t>C</w:t>
      </w:r>
      <w:r>
        <w:t xml:space="preserve">ommanditaires qui ne résident pas au Canada </w:t>
      </w:r>
      <w:r w:rsidR="005A44DD">
        <w:t>à des fins fiscales</w:t>
      </w:r>
      <w:r>
        <w:t>.</w:t>
      </w:r>
    </w:p>
  </w:footnote>
  <w:footnote w:id="136">
    <w:p w:rsidR="0000160C" w:rsidRDefault="00C517ED" w14:paraId="7FEA041F" w14:textId="4C2FC5D0">
      <w:pPr>
        <w:pStyle w:val="FootnoteText"/>
      </w:pPr>
      <w:r>
        <w:rPr>
          <w:rStyle w:val="FootnoteReference"/>
        </w:rPr>
        <w:footnoteRef/>
      </w:r>
      <w:r>
        <w:t xml:space="preserve"> </w:t>
      </w:r>
      <w:r>
        <w:tab/>
        <w:t xml:space="preserve">Cette exigence est associée à une cascade « </w:t>
      </w:r>
      <w:r w:rsidR="005A44DD">
        <w:t>ensemble du fonds</w:t>
      </w:r>
      <w:r>
        <w:t xml:space="preserve"> » et ne serait pas requise dans un fonds où les distributions du </w:t>
      </w:r>
      <w:r w:rsidR="005A44DD">
        <w:t>C</w:t>
      </w:r>
      <w:r>
        <w:t xml:space="preserve">ommandité sont calculées investissement par investissement. Voir </w:t>
      </w:r>
      <w:r w:rsidR="005A44DD">
        <w:t xml:space="preserve">la </w:t>
      </w:r>
      <w:r>
        <w:t>note</w:t>
      </w:r>
      <w:r w:rsidR="005A44DD">
        <w:t xml:space="preserve"> de bas de page</w:t>
      </w:r>
      <w:r>
        <w:t xml:space="preserve"> 128. </w:t>
      </w:r>
    </w:p>
  </w:footnote>
  <w:footnote w:id="137">
    <w:p w:rsidR="0000160C" w:rsidRDefault="00C517ED" w14:paraId="4FAD1245" w14:textId="702B3996">
      <w:pPr>
        <w:pStyle w:val="FootnoteText"/>
      </w:pPr>
      <w:r>
        <w:rPr>
          <w:rStyle w:val="FootnoteReference"/>
        </w:rPr>
        <w:footnoteRef/>
      </w:r>
      <w:r>
        <w:t xml:space="preserve"> </w:t>
      </w:r>
      <w:r>
        <w:tab/>
        <w:t>S</w:t>
      </w:r>
      <w:r w:rsidR="00040C15">
        <w:t>’</w:t>
      </w:r>
      <w:r>
        <w:t xml:space="preserve">il y a un </w:t>
      </w:r>
      <w:r w:rsidR="005A44DD">
        <w:t>entiercement</w:t>
      </w:r>
      <w:r>
        <w:t xml:space="preserve">, en général, entre 50 % et 100 % des distributions </w:t>
      </w:r>
      <w:r w:rsidR="005A44DD">
        <w:t>du Commandité</w:t>
      </w:r>
      <w:r>
        <w:t xml:space="preserve"> doivent être </w:t>
      </w:r>
      <w:r w:rsidR="005A44DD">
        <w:t>entiercées</w:t>
      </w:r>
      <w:r>
        <w:t>. Cependant, notez que le concept d</w:t>
      </w:r>
      <w:r w:rsidR="005A44DD">
        <w:t xml:space="preserve">’entiercement </w:t>
      </w:r>
      <w:r>
        <w:t>devient de plus en plus rare.</w:t>
      </w:r>
    </w:p>
  </w:footnote>
  <w:footnote w:id="138">
    <w:p w:rsidR="0000160C" w:rsidRDefault="00C517ED" w14:paraId="3DA2C865" w14:textId="27E3BDD9">
      <w:pPr>
        <w:pStyle w:val="FootnoteText"/>
      </w:pPr>
      <w:r>
        <w:rPr>
          <w:rStyle w:val="FootnoteReference"/>
        </w:rPr>
        <w:footnoteRef/>
      </w:r>
      <w:r>
        <w:t xml:space="preserve"> </w:t>
      </w:r>
      <w:r>
        <w:tab/>
        <w:t xml:space="preserve">Une solution de rechange </w:t>
      </w:r>
      <w:r w:rsidR="005A44DD">
        <w:t xml:space="preserve">à l’entiercement </w:t>
      </w:r>
      <w:r>
        <w:t xml:space="preserve">des distributions </w:t>
      </w:r>
      <w:r w:rsidR="005A44DD">
        <w:t>de distributions spéciales</w:t>
      </w:r>
      <w:r>
        <w:t xml:space="preserve"> </w:t>
      </w:r>
      <w:r w:rsidR="005A44DD">
        <w:t>du Commandité</w:t>
      </w:r>
      <w:r>
        <w:t xml:space="preserve"> qui est fréquemment utilisée est une garantie par les bénéficiaires </w:t>
      </w:r>
      <w:r w:rsidR="005A44DD">
        <w:t>de distributions spéciales</w:t>
      </w:r>
      <w:r>
        <w:t xml:space="preserve"> (généralement les </w:t>
      </w:r>
      <w:r w:rsidR="005A44DD">
        <w:t>P</w:t>
      </w:r>
      <w:r>
        <w:t>ersonnes</w:t>
      </w:r>
      <w:r w:rsidR="005A44DD">
        <w:t>-</w:t>
      </w:r>
      <w:r>
        <w:t xml:space="preserve">clés et autres cadres supérieurs du </w:t>
      </w:r>
      <w:r w:rsidR="005A44DD">
        <w:t>sponsor</w:t>
      </w:r>
      <w:r>
        <w:t>/</w:t>
      </w:r>
      <w:r w:rsidR="005A44DD">
        <w:t>G</w:t>
      </w:r>
      <w:r>
        <w:t xml:space="preserve">estionnaire), sur une base </w:t>
      </w:r>
      <w:r w:rsidR="005A44DD">
        <w:t>solidaire</w:t>
      </w:r>
      <w:r>
        <w:t xml:space="preserve"> (ou conjointe au Québec), de 100 % de l</w:t>
      </w:r>
      <w:r w:rsidR="00040C15">
        <w:t>’</w:t>
      </w:r>
      <w:r>
        <w:t xml:space="preserve">obligation de rembourser les distributions </w:t>
      </w:r>
      <w:r w:rsidR="005A44DD">
        <w:t>de distributions spéciales</w:t>
      </w:r>
      <w:r>
        <w:t xml:space="preserve"> en trop. Si une garantie est fournie, toutes les signatures des garants doivent figurer dans </w:t>
      </w:r>
      <w:r w:rsidR="005A44DD">
        <w:t>la présente Convention</w:t>
      </w:r>
      <w:r>
        <w:t xml:space="preserve"> ou dans une garantie </w:t>
      </w:r>
      <w:r w:rsidR="005A44DD">
        <w:t>distincte</w:t>
      </w:r>
      <w:r>
        <w:t xml:space="preserve">. </w:t>
      </w:r>
    </w:p>
  </w:footnote>
  <w:footnote w:id="139">
    <w:p w:rsidR="0000160C" w:rsidRDefault="00C517ED" w14:paraId="28EE90AD" w14:textId="6190C0D1">
      <w:pPr>
        <w:pStyle w:val="FootnoteText"/>
      </w:pPr>
      <w:r w:rsidRPr="006C6001">
        <w:rPr>
          <w:rStyle w:val="FootnoteReference"/>
        </w:rPr>
        <w:footnoteRef/>
      </w:r>
      <w:r>
        <w:rPr>
          <w:rStyle w:val="FootnoteReference"/>
        </w:rPr>
        <w:t xml:space="preserve"> </w:t>
      </w:r>
      <w:r>
        <w:rPr>
          <w:rStyle w:val="FootnoteReference"/>
        </w:rPr>
        <w:tab/>
      </w:r>
      <w:r>
        <w:t xml:space="preserve">Cela suppose </w:t>
      </w:r>
      <w:r w:rsidR="005A44DD">
        <w:t>que le Commandité soit organisé en société de personnes</w:t>
      </w:r>
      <w:r>
        <w:t>.</w:t>
      </w:r>
    </w:p>
  </w:footnote>
  <w:footnote w:id="140">
    <w:p w:rsidR="0000160C" w:rsidRDefault="00C517ED" w14:paraId="63310959" w14:textId="5AD088B1">
      <w:pPr>
        <w:pStyle w:val="FootnoteText"/>
      </w:pPr>
      <w:r w:rsidRPr="006C6001">
        <w:rPr>
          <w:rStyle w:val="FootnoteReference"/>
          <w:szCs w:val="24"/>
        </w:rPr>
        <w:footnoteRef/>
      </w:r>
      <w:r>
        <w:t xml:space="preserve"> </w:t>
      </w:r>
      <w:r>
        <w:tab/>
      </w:r>
      <w:r w:rsidR="005A44DD">
        <w:t>En règle générale</w:t>
      </w:r>
      <w:r>
        <w:t xml:space="preserve">, cette responsabilité est solidaire (ou </w:t>
      </w:r>
      <w:r w:rsidR="005A44DD">
        <w:t>conjointe</w:t>
      </w:r>
      <w:r>
        <w:t xml:space="preserve"> au Québec) et non </w:t>
      </w:r>
      <w:r w:rsidR="005A44DD">
        <w:t>conjointe et solidaire</w:t>
      </w:r>
      <w:r>
        <w:t xml:space="preserve"> (ou solidaire au Québec). Le libellé </w:t>
      </w:r>
      <w:r w:rsidR="005A44DD">
        <w:t>varie selon</w:t>
      </w:r>
      <w:r>
        <w:t xml:space="preserve"> que la société en commandite est constituée en Ontario ou au Québec.</w:t>
      </w:r>
    </w:p>
  </w:footnote>
  <w:footnote w:id="141">
    <w:p w:rsidR="0000160C" w:rsidRDefault="00C517ED" w14:paraId="6B4086A1" w14:textId="3B8D21CF">
      <w:pPr>
        <w:pStyle w:val="FootnoteText"/>
        <w:keepLines/>
      </w:pPr>
      <w:r>
        <w:rPr>
          <w:rStyle w:val="FootnoteReference"/>
        </w:rPr>
        <w:footnoteRef/>
      </w:r>
      <w:r>
        <w:tab/>
      </w:r>
      <w:r w:rsidR="005A44DD">
        <w:t>Alternativement</w:t>
      </w:r>
      <w:r>
        <w:t xml:space="preserve">, le </w:t>
      </w:r>
      <w:r w:rsidR="005A44DD">
        <w:t>C</w:t>
      </w:r>
      <w:r>
        <w:t xml:space="preserve">ommandité peut fournir un tel engagement dans ses documents organisationnels ou le libellé peut être révisé pour exiger que chaque bénéficiaire des </w:t>
      </w:r>
      <w:r w:rsidR="005A44DD">
        <w:t>distributions spéciales</w:t>
      </w:r>
      <w:r>
        <w:t xml:space="preserve"> </w:t>
      </w:r>
      <w:r w:rsidR="005A44DD">
        <w:t>rembourse</w:t>
      </w:r>
      <w:r>
        <w:t xml:space="preserve"> les distributions et, en ce qui concerne cette obligation, devienne signataire de </w:t>
      </w:r>
      <w:r w:rsidR="005A44DD">
        <w:t>la Convention</w:t>
      </w:r>
      <w:r>
        <w:t xml:space="preserve">. Dans les deux cas, le </w:t>
      </w:r>
      <w:r w:rsidR="005A44DD">
        <w:t>C</w:t>
      </w:r>
      <w:r>
        <w:t>ommandité doit fournir des copies de l</w:t>
      </w:r>
      <w:r w:rsidR="00040C15">
        <w:t>’</w:t>
      </w:r>
      <w:r>
        <w:t>engagement (généralement sous la forme d</w:t>
      </w:r>
      <w:r w:rsidR="00040C15">
        <w:t>’</w:t>
      </w:r>
      <w:r>
        <w:t xml:space="preserve">une garantie personnelle) ou d'un extrait des documents organisationnels du </w:t>
      </w:r>
      <w:r w:rsidR="005A44DD">
        <w:t>C</w:t>
      </w:r>
      <w:r>
        <w:t xml:space="preserve">ommandité, ainsi que des preuves des signatures de tous les bénéficiaires des </w:t>
      </w:r>
      <w:r w:rsidR="005A44DD">
        <w:t>distributions spéciales</w:t>
      </w:r>
      <w:r>
        <w:t>.</w:t>
      </w:r>
    </w:p>
  </w:footnote>
  <w:footnote w:id="142">
    <w:p w:rsidR="0000160C" w:rsidRDefault="00C517ED" w14:paraId="2579AC86" w14:textId="4ABC6A7D">
      <w:pPr>
        <w:pStyle w:val="FootnoteText"/>
      </w:pPr>
      <w:r w:rsidRPr="0081509B">
        <w:rPr>
          <w:rStyle w:val="FootnoteReference"/>
        </w:rPr>
        <w:footnoteRef/>
      </w:r>
      <w:r>
        <w:t xml:space="preserve"> </w:t>
      </w:r>
      <w:r>
        <w:tab/>
        <w:t xml:space="preserve">Remplacer par les </w:t>
      </w:r>
      <w:r w:rsidR="005A44DD">
        <w:t>NIIF</w:t>
      </w:r>
      <w:r>
        <w:t>, le cas échéant.</w:t>
      </w:r>
    </w:p>
  </w:footnote>
  <w:footnote w:id="143">
    <w:p w:rsidR="0000160C" w:rsidRDefault="00C517ED" w14:paraId="47DC6905" w14:textId="45E94E90">
      <w:pPr>
        <w:pStyle w:val="FootnoteText"/>
      </w:pPr>
      <w:r>
        <w:rPr>
          <w:rStyle w:val="FootnoteReference"/>
        </w:rPr>
        <w:footnoteRef/>
      </w:r>
      <w:r>
        <w:t xml:space="preserve"> </w:t>
      </w:r>
      <w:r>
        <w:tab/>
      </w:r>
      <w:r w:rsidR="005A44DD">
        <w:t>L’objectif de cette disposition est</w:t>
      </w:r>
      <w:r>
        <w:t xml:space="preserve"> de confirmer que les associés ont convenu de produire leurs déclarations de revenus conformément à l</w:t>
      </w:r>
      <w:r w:rsidR="000B49C6">
        <w:t xml:space="preserve">’attribution </w:t>
      </w:r>
      <w:r>
        <w:t xml:space="preserve">des revenus et des pertes du Fonds. Toutefois, il </w:t>
      </w:r>
      <w:r w:rsidR="000B49C6">
        <w:t>est de la responsabilité</w:t>
      </w:r>
      <w:r>
        <w:t xml:space="preserve"> </w:t>
      </w:r>
      <w:r w:rsidR="000B49C6">
        <w:t>de</w:t>
      </w:r>
      <w:r>
        <w:t xml:space="preserve"> chaque associé de produire correctement ses déclarations de revenus.</w:t>
      </w:r>
    </w:p>
  </w:footnote>
  <w:footnote w:id="144">
    <w:p w:rsidR="0000160C" w:rsidRDefault="00C517ED" w14:paraId="6DB5C493" w14:textId="4FBEB433">
      <w:pPr>
        <w:pStyle w:val="FootnoteText"/>
      </w:pPr>
      <w:r>
        <w:rPr>
          <w:rStyle w:val="FootnoteReference"/>
        </w:rPr>
        <w:footnoteRef/>
      </w:r>
      <w:r>
        <w:tab/>
        <w:t>Si le Fonds prévoit faire des investissements à l</w:t>
      </w:r>
      <w:r w:rsidR="00040C15">
        <w:t>’</w:t>
      </w:r>
      <w:r>
        <w:t>extérieur du Canada, songez à inclure des dispositions comme celles de l</w:t>
      </w:r>
      <w:r w:rsidR="000B49C6">
        <w:t xml:space="preserve">’article </w:t>
      </w:r>
      <w:r w:rsidRPr="00A40BC0">
        <w:fldChar w:fldCharType="begin"/>
      </w:r>
      <w:r w:rsidRPr="00A40BC0">
        <w:instrText xml:space="preserve">  REF _Ref113892614 \w \h \* MERGEFORMAT </w:instrText>
      </w:r>
      <w:r w:rsidRPr="00A40BC0">
        <w:fldChar w:fldCharType="separate"/>
      </w:r>
      <w:r w:rsidRPr="00B50BE2" w:rsidR="00B50BE2">
        <w:rPr>
          <w:color w:val="000000"/>
        </w:rPr>
        <w:t>14.14</w:t>
      </w:r>
      <w:r w:rsidRPr="00A40BC0">
        <w:fldChar w:fldCharType="end"/>
      </w:r>
      <w:r>
        <w:t xml:space="preserve"> (</w:t>
      </w:r>
      <w:r w:rsidRPr="00A40BC0">
        <w:rPr>
          <w:i/>
        </w:rPr>
        <w:fldChar w:fldCharType="begin"/>
      </w:r>
      <w:r w:rsidRPr="00A40BC0">
        <w:rPr>
          <w:i/>
        </w:rPr>
        <w:instrText xml:space="preserve"> REF _Ref113892614 \h  \* MERGEFORMAT </w:instrText>
      </w:r>
      <w:r w:rsidRPr="00A40BC0">
        <w:rPr>
          <w:i/>
        </w:rPr>
      </w:r>
      <w:r w:rsidRPr="00A40BC0">
        <w:rPr>
          <w:i/>
        </w:rPr>
        <w:fldChar w:fldCharType="separate"/>
      </w:r>
      <w:r w:rsidRPr="00B50BE2" w:rsidR="00B50BE2">
        <w:rPr>
          <w:i/>
        </w:rPr>
        <w:t>Considérations fiscales.</w:t>
      </w:r>
      <w:r w:rsidRPr="00A40BC0">
        <w:rPr>
          <w:i/>
        </w:rPr>
        <w:fldChar w:fldCharType="end"/>
      </w:r>
      <w:r>
        <w:t xml:space="preserve">), confirmant que le Fonds </w:t>
      </w:r>
      <w:proofErr w:type="gramStart"/>
      <w:r w:rsidR="000B49C6">
        <w:t>fera</w:t>
      </w:r>
      <w:proofErr w:type="gramEnd"/>
      <w:r>
        <w:t xml:space="preserve"> des efforts raisonnables pour éviter des conséquences fiscales défavorables pour les </w:t>
      </w:r>
      <w:r w:rsidR="000B49C6">
        <w:t>C</w:t>
      </w:r>
      <w:r>
        <w:t xml:space="preserve">ommanditaires, notamment par le recours à des structures de </w:t>
      </w:r>
      <w:r w:rsidR="000B49C6">
        <w:t>sociétés exonérées</w:t>
      </w:r>
      <w:r>
        <w:t xml:space="preserve"> ou à des fonds parallèles. Des restrictions supplémentaires peuvent être appropriées en fonction de la situation particulière du Fonds et de ses investisseurs, y compris en ce qui concerne les investisseurs exonérés d</w:t>
      </w:r>
      <w:r w:rsidR="00040C15">
        <w:t>’</w:t>
      </w:r>
      <w:r>
        <w:t xml:space="preserve">impôt ou les juridictions particulières dans lesquelles les investissements sont </w:t>
      </w:r>
      <w:r w:rsidR="000B49C6">
        <w:t>faits</w:t>
      </w:r>
      <w:r>
        <w:t xml:space="preserve">. Il </w:t>
      </w:r>
      <w:r w:rsidR="000B49C6">
        <w:t>est recommandé</w:t>
      </w:r>
      <w:r>
        <w:t xml:space="preserve"> </w:t>
      </w:r>
      <w:r w:rsidR="000B49C6">
        <w:t>d’</w:t>
      </w:r>
      <w:r>
        <w:t>obtenir des conseils fiscaux.</w:t>
      </w:r>
    </w:p>
  </w:footnote>
  <w:footnote w:id="145">
    <w:p w:rsidR="0000160C" w:rsidRDefault="00C517ED" w14:paraId="365BF438" w14:textId="1F9E0DDA">
      <w:pPr>
        <w:pStyle w:val="FootnoteText"/>
      </w:pPr>
      <w:r>
        <w:rPr>
          <w:rStyle w:val="FootnoteReference"/>
        </w:rPr>
        <w:footnoteRef/>
      </w:r>
      <w:r>
        <w:t xml:space="preserve"> </w:t>
      </w:r>
      <w:r>
        <w:tab/>
        <w:t xml:space="preserve">L'article </w:t>
      </w:r>
      <w:bookmarkStart w:name="DocXTextRef142" w:id="764"/>
      <w:r>
        <w:t>4</w:t>
      </w:r>
      <w:bookmarkEnd w:id="764"/>
      <w:r>
        <w:t xml:space="preserve"> de la </w:t>
      </w:r>
      <w:r>
        <w:rPr>
          <w:i/>
        </w:rPr>
        <w:t>Loi sur les sociétés en commandite</w:t>
      </w:r>
      <w:r>
        <w:t xml:space="preserve"> (Ontario) exige que le </w:t>
      </w:r>
      <w:r w:rsidR="004B404C">
        <w:t>C</w:t>
      </w:r>
      <w:r>
        <w:t xml:space="preserve">ommandité tienne un registre à jour des </w:t>
      </w:r>
      <w:r w:rsidR="004B404C">
        <w:t>C</w:t>
      </w:r>
      <w:r>
        <w:t>ommanditaires du Fonds à son établissement</w:t>
      </w:r>
      <w:r w:rsidR="004B404C">
        <w:t xml:space="preserve"> principal</w:t>
      </w:r>
      <w:r>
        <w:t xml:space="preserve"> en Ontario. En vertu du paragraphe </w:t>
      </w:r>
      <w:bookmarkStart w:name="DocXTextRef143" w:id="765"/>
      <w:r>
        <w:t>4(3)</w:t>
      </w:r>
      <w:bookmarkEnd w:id="765"/>
      <w:r>
        <w:t xml:space="preserve"> de la </w:t>
      </w:r>
      <w:r>
        <w:rPr>
          <w:i/>
        </w:rPr>
        <w:t>Loi sur les sociétés en commandite</w:t>
      </w:r>
      <w:r>
        <w:t xml:space="preserve"> (Ontario), toute personne a le droit de revoir les noms des </w:t>
      </w:r>
      <w:r w:rsidR="004B404C">
        <w:t>c</w:t>
      </w:r>
      <w:r>
        <w:t>ommanditaires pendant les heures normales d</w:t>
      </w:r>
      <w:r w:rsidR="00040C15">
        <w:t>’</w:t>
      </w:r>
      <w:r>
        <w:t>ouverture et d</w:t>
      </w:r>
      <w:r w:rsidR="00040C15">
        <w:t>’</w:t>
      </w:r>
      <w:r>
        <w:t>en faire des copies.</w:t>
      </w:r>
    </w:p>
  </w:footnote>
  <w:footnote w:id="146">
    <w:p w:rsidR="0000160C" w:rsidRDefault="00C517ED" w14:paraId="00B4D4DA" w14:textId="0098B601">
      <w:pPr>
        <w:pStyle w:val="FootnoteText"/>
        <w:rPr>
          <w:b/>
          <w:highlight w:val="yellow"/>
        </w:rPr>
      </w:pPr>
      <w:r>
        <w:rPr>
          <w:rStyle w:val="FootnoteReference"/>
        </w:rPr>
        <w:footnoteRef/>
      </w:r>
      <w:r>
        <w:t xml:space="preserve"> </w:t>
      </w:r>
      <w:r>
        <w:tab/>
        <w:t>S</w:t>
      </w:r>
      <w:r w:rsidR="00040C15">
        <w:t>’</w:t>
      </w:r>
      <w:r>
        <w:t xml:space="preserve">il existe des </w:t>
      </w:r>
      <w:r w:rsidR="004B404C">
        <w:t>V</w:t>
      </w:r>
      <w:r>
        <w:t xml:space="preserve">éhicules parallèles, les </w:t>
      </w:r>
      <w:r w:rsidR="004B404C">
        <w:t xml:space="preserve">Commanditaires </w:t>
      </w:r>
      <w:r>
        <w:t xml:space="preserve">doivent avoir accès au registre de tout </w:t>
      </w:r>
      <w:r w:rsidR="004B404C">
        <w:t>V</w:t>
      </w:r>
      <w:r>
        <w:t>éhicule parallèle.</w:t>
      </w:r>
    </w:p>
  </w:footnote>
  <w:footnote w:id="147">
    <w:p w:rsidR="0000160C" w:rsidRDefault="00C517ED" w14:paraId="34564DC4" w14:textId="4EFFD6F0">
      <w:pPr>
        <w:pStyle w:val="FootnoteText"/>
      </w:pPr>
      <w:r w:rsidRPr="00F017B9">
        <w:rPr>
          <w:rStyle w:val="FootnoteReference"/>
        </w:rPr>
        <w:footnoteRef/>
      </w:r>
      <w:r>
        <w:t xml:space="preserve"> </w:t>
      </w:r>
      <w:r>
        <w:tab/>
        <w:t xml:space="preserve">Remplacer par les </w:t>
      </w:r>
      <w:r w:rsidR="004B404C">
        <w:t>NIIF</w:t>
      </w:r>
      <w:r>
        <w:t>, le cas échéant.</w:t>
      </w:r>
    </w:p>
  </w:footnote>
  <w:footnote w:id="148">
    <w:p w:rsidR="0000160C" w:rsidRDefault="00C517ED" w14:paraId="6DF2363D" w14:textId="3F5920FD">
      <w:pPr>
        <w:pStyle w:val="FootnoteText"/>
        <w:rPr>
          <w:highlight w:val="yellow"/>
        </w:rPr>
      </w:pPr>
      <w:r w:rsidRPr="00F017B9">
        <w:rPr>
          <w:rStyle w:val="FootnoteReference"/>
        </w:rPr>
        <w:footnoteRef/>
      </w:r>
      <w:r>
        <w:t xml:space="preserve"> </w:t>
      </w:r>
      <w:r>
        <w:tab/>
        <w:t xml:space="preserve">Remplacer par les </w:t>
      </w:r>
      <w:r w:rsidR="004B404C">
        <w:t>NIIF</w:t>
      </w:r>
      <w:r>
        <w:t>, le cas échéant.</w:t>
      </w:r>
    </w:p>
  </w:footnote>
  <w:footnote w:id="149">
    <w:p w:rsidR="0000160C" w:rsidRDefault="00C517ED" w14:paraId="0017A5EE" w14:textId="46B76312">
      <w:pPr>
        <w:pStyle w:val="FootnoteText"/>
      </w:pPr>
      <w:r>
        <w:rPr>
          <w:rStyle w:val="FootnoteReference"/>
        </w:rPr>
        <w:footnoteRef/>
      </w:r>
      <w:r>
        <w:t xml:space="preserve"> </w:t>
      </w:r>
      <w:r>
        <w:tab/>
        <w:t xml:space="preserve">Voir </w:t>
      </w:r>
      <w:r w:rsidR="004B404C">
        <w:t>la note de bas de page</w:t>
      </w:r>
      <w:r>
        <w:t xml:space="preserve"> 91 ci-dessus. Les investisseurs institutionnels sont de plus en plus souvent tenus de se conformer aux critères ESG et de communiquer des </w:t>
      </w:r>
      <w:r w:rsidR="004B404C">
        <w:t>rapports à ce sujet</w:t>
      </w:r>
      <w:r>
        <w:t>.</w:t>
      </w:r>
    </w:p>
  </w:footnote>
  <w:footnote w:id="150">
    <w:p w:rsidR="0000160C" w:rsidRDefault="00C517ED" w14:paraId="26455C93" w14:textId="2D5B40EC">
      <w:pPr>
        <w:pStyle w:val="FootnoteText"/>
      </w:pPr>
      <w:r>
        <w:rPr>
          <w:rStyle w:val="FootnoteReference"/>
        </w:rPr>
        <w:footnoteRef/>
      </w:r>
      <w:r>
        <w:t xml:space="preserve"> </w:t>
      </w:r>
      <w:r>
        <w:tab/>
        <w:t>En vertu d</w:t>
      </w:r>
      <w:r w:rsidR="00FF46FD">
        <w:t>e l’article</w:t>
      </w:r>
      <w:r>
        <w:t xml:space="preserve"> </w:t>
      </w:r>
      <w:bookmarkStart w:name="DocXTextRef163" w:id="824"/>
      <w:r>
        <w:t>16(3)</w:t>
      </w:r>
      <w:bookmarkEnd w:id="824"/>
      <w:r>
        <w:t xml:space="preserve"> de la </w:t>
      </w:r>
      <w:r w:rsidRPr="00FF46FD">
        <w:rPr>
          <w:i/>
          <w:iCs/>
        </w:rPr>
        <w:t>Loi sur les</w:t>
      </w:r>
      <w:r>
        <w:t xml:space="preserve"> </w:t>
      </w:r>
      <w:r>
        <w:rPr>
          <w:i/>
        </w:rPr>
        <w:t>sociétés en commandite</w:t>
      </w:r>
      <w:r>
        <w:t xml:space="preserve"> (Ontario), un commanditaire est tenu de </w:t>
      </w:r>
      <w:r w:rsidR="00B85702">
        <w:t>rembourser</w:t>
      </w:r>
      <w:r>
        <w:t xml:space="preserve"> à la société en commandite ou à ses créanciers </w:t>
      </w:r>
      <w:r w:rsidR="00B85702">
        <w:t>les sommes</w:t>
      </w:r>
      <w:r>
        <w:t xml:space="preserve"> qu</w:t>
      </w:r>
      <w:r w:rsidR="00040C15">
        <w:t>’</w:t>
      </w:r>
      <w:r>
        <w:t>il a reçu</w:t>
      </w:r>
      <w:r w:rsidR="00B85702">
        <w:t>es</w:t>
      </w:r>
      <w:r>
        <w:t xml:space="preserve"> pour payer les créanciers dans certaines circonstances. </w:t>
      </w:r>
      <w:r w:rsidR="00B85702">
        <w:t>Il est recommandé d’obtenir u</w:t>
      </w:r>
      <w:r>
        <w:t>n avis juridique approprié.</w:t>
      </w:r>
    </w:p>
  </w:footnote>
  <w:footnote w:id="151">
    <w:p w:rsidR="0000160C" w:rsidRDefault="00C517ED" w14:paraId="4DFD4753" w14:textId="7D01A0E6">
      <w:pPr>
        <w:pStyle w:val="FootnoteText"/>
      </w:pPr>
      <w:r>
        <w:rPr>
          <w:rStyle w:val="FootnoteReference"/>
        </w:rPr>
        <w:footnoteRef/>
      </w:r>
      <w:r>
        <w:t xml:space="preserve"> </w:t>
      </w:r>
      <w:r>
        <w:tab/>
      </w:r>
      <w:r w:rsidR="008D08A6">
        <w:t>La convention de souscription</w:t>
      </w:r>
      <w:r>
        <w:t xml:space="preserve"> du Fonds devrait contenir des déclarations et des garanties standard concernant le statut du </w:t>
      </w:r>
      <w:r w:rsidR="008D08A6">
        <w:t>C</w:t>
      </w:r>
      <w:r>
        <w:t>essionnaire pour s</w:t>
      </w:r>
      <w:r w:rsidR="008D08A6">
        <w:t>’</w:t>
      </w:r>
      <w:r>
        <w:t xml:space="preserve">assurer que le transfert est </w:t>
      </w:r>
      <w:r w:rsidR="008D08A6">
        <w:t>fait</w:t>
      </w:r>
      <w:r>
        <w:t xml:space="preserve"> conformément </w:t>
      </w:r>
      <w:r w:rsidR="008D08A6">
        <w:t>à la législation applicable en matière de valeurs mobilières</w:t>
      </w:r>
      <w:r>
        <w:t>.</w:t>
      </w:r>
    </w:p>
  </w:footnote>
  <w:footnote w:id="152">
    <w:p w:rsidR="0000160C" w:rsidRDefault="00C517ED" w14:paraId="08A60D0D" w14:textId="7C950CA0">
      <w:pPr>
        <w:pStyle w:val="FootnoteText"/>
      </w:pPr>
      <w:r>
        <w:rPr>
          <w:rStyle w:val="FootnoteReference"/>
        </w:rPr>
        <w:footnoteRef/>
      </w:r>
      <w:r>
        <w:t xml:space="preserve"> </w:t>
      </w:r>
      <w:r>
        <w:tab/>
        <w:t xml:space="preserve">Le </w:t>
      </w:r>
      <w:r w:rsidR="008D08A6">
        <w:t>C</w:t>
      </w:r>
      <w:r>
        <w:t xml:space="preserve">ommandité peut </w:t>
      </w:r>
      <w:r w:rsidR="008D08A6">
        <w:t>exiger</w:t>
      </w:r>
      <w:r>
        <w:t xml:space="preserve"> l</w:t>
      </w:r>
      <w:r w:rsidR="00040C15">
        <w:t>’</w:t>
      </w:r>
      <w:r>
        <w:t>avis d</w:t>
      </w:r>
      <w:r w:rsidR="00040C15">
        <w:t>’</w:t>
      </w:r>
      <w:r>
        <w:t xml:space="preserve">un avocat satisfaisant pour le </w:t>
      </w:r>
      <w:r w:rsidR="008D08A6">
        <w:t>C</w:t>
      </w:r>
      <w:r>
        <w:t>ommandité, agissant raisonnablement, à l</w:t>
      </w:r>
      <w:r w:rsidR="00040C15">
        <w:t>’</w:t>
      </w:r>
      <w:r>
        <w:t xml:space="preserve">effet que le transfert est </w:t>
      </w:r>
      <w:r w:rsidR="008D08A6">
        <w:t>fait</w:t>
      </w:r>
      <w:r>
        <w:t xml:space="preserve"> conformément aux lois sur les valeurs mobilières</w:t>
      </w:r>
      <w:r w:rsidR="008D08A6">
        <w:t xml:space="preserve"> applicables</w:t>
      </w:r>
      <w:r>
        <w:t xml:space="preserve"> </w:t>
      </w:r>
      <w:proofErr w:type="gramStart"/>
      <w:r>
        <w:t xml:space="preserve">et </w:t>
      </w:r>
      <w:r w:rsidR="008D08A6">
        <w:t xml:space="preserve"> qu’il</w:t>
      </w:r>
      <w:proofErr w:type="gramEnd"/>
      <w:r w:rsidR="008D08A6">
        <w:t xml:space="preserve"> </w:t>
      </w:r>
      <w:r>
        <w:t>ne soumettra pas le Fonds à une réglementation supplémentaire de quelque nature que ce soit.</w:t>
      </w:r>
    </w:p>
  </w:footnote>
  <w:footnote w:id="153">
    <w:p w:rsidR="0000160C" w:rsidRDefault="00C517ED" w14:paraId="654F73A7" w14:textId="2AABBF6F">
      <w:pPr>
        <w:pStyle w:val="FootnoteText"/>
      </w:pPr>
      <w:r>
        <w:rPr>
          <w:rStyle w:val="FootnoteReference"/>
        </w:rPr>
        <w:footnoteRef/>
      </w:r>
      <w:r>
        <w:t xml:space="preserve"> </w:t>
      </w:r>
      <w:r>
        <w:tab/>
        <w:t>Le seuil d</w:t>
      </w:r>
      <w:r w:rsidR="00040C15">
        <w:t>’</w:t>
      </w:r>
      <w:r>
        <w:t xml:space="preserve">approbation de ces questions par les </w:t>
      </w:r>
      <w:r w:rsidR="008D08A6">
        <w:t>C</w:t>
      </w:r>
      <w:r>
        <w:t>ommanditaires varie généralement de 80 % à 100 %.</w:t>
      </w:r>
    </w:p>
  </w:footnote>
  <w:footnote w:id="154">
    <w:p w:rsidR="0000160C" w:rsidRDefault="00C517ED" w14:paraId="3414B5E5" w14:textId="21DDC96F">
      <w:pPr>
        <w:pStyle w:val="FootnoteText"/>
      </w:pPr>
      <w:r>
        <w:rPr>
          <w:rStyle w:val="FootnoteReference"/>
        </w:rPr>
        <w:footnoteRef/>
      </w:r>
      <w:r>
        <w:t xml:space="preserve"> </w:t>
      </w:r>
      <w:r>
        <w:tab/>
        <w:t xml:space="preserve">Les restrictions concernant les </w:t>
      </w:r>
      <w:r w:rsidR="008D08A6">
        <w:t>P</w:t>
      </w:r>
      <w:r>
        <w:t xml:space="preserve">ersonnes </w:t>
      </w:r>
      <w:r w:rsidR="002D29D9">
        <w:t>inadmissible</w:t>
      </w:r>
      <w:r>
        <w:t xml:space="preserve">s varient. Par exemple, dans certains fonds, le </w:t>
      </w:r>
      <w:r w:rsidR="008D08A6">
        <w:t>C</w:t>
      </w:r>
      <w:r>
        <w:t>ommandité peut avoir le pouvoir discrétionnaire d</w:t>
      </w:r>
      <w:r w:rsidR="00040C15">
        <w:t>’</w:t>
      </w:r>
      <w:r>
        <w:t xml:space="preserve">autoriser le transfert </w:t>
      </w:r>
      <w:r w:rsidR="008D08A6">
        <w:t>de participations</w:t>
      </w:r>
      <w:r>
        <w:t xml:space="preserve"> de commanditaire</w:t>
      </w:r>
      <w:r w:rsidR="008D08A6">
        <w:t>s</w:t>
      </w:r>
      <w:r>
        <w:t xml:space="preserve"> à des personnes </w:t>
      </w:r>
      <w:r w:rsidR="002D29D9">
        <w:t>inadmissible</w:t>
      </w:r>
      <w:r>
        <w:t>s.</w:t>
      </w:r>
    </w:p>
  </w:footnote>
  <w:footnote w:id="155">
    <w:p w:rsidR="0000160C" w:rsidRDefault="00C517ED" w14:paraId="1992DF12" w14:textId="5C467DF6">
      <w:pPr>
        <w:pStyle w:val="FootnoteText"/>
      </w:pPr>
      <w:r>
        <w:rPr>
          <w:rStyle w:val="FootnoteReference"/>
        </w:rPr>
        <w:footnoteRef/>
      </w:r>
      <w:r>
        <w:t xml:space="preserve"> </w:t>
      </w:r>
      <w:r>
        <w:tab/>
      </w:r>
      <w:r w:rsidR="005A44DD">
        <w:t>En règle générale</w:t>
      </w:r>
      <w:r>
        <w:t xml:space="preserve">, les fonds ont une durée de huit à dix ans, le </w:t>
      </w:r>
      <w:r w:rsidR="008D08A6">
        <w:t>C</w:t>
      </w:r>
      <w:r>
        <w:t>ommandité ayant le droit de la prolonger jusqu</w:t>
      </w:r>
      <w:r w:rsidR="00040C15">
        <w:t>’</w:t>
      </w:r>
      <w:r>
        <w:t>à deux périodes d</w:t>
      </w:r>
      <w:r w:rsidR="00040C15">
        <w:t>’</w:t>
      </w:r>
      <w:r>
        <w:t>un an, la deuxième prolongation ou toute prolongation subséquente nécessitant parfois l</w:t>
      </w:r>
      <w:r w:rsidR="00040C15">
        <w:t>’</w:t>
      </w:r>
      <w:r>
        <w:t xml:space="preserve">approbation du </w:t>
      </w:r>
      <w:r w:rsidR="008D08A6">
        <w:t>C</w:t>
      </w:r>
      <w:r>
        <w:t xml:space="preserve">omité consultatif </w:t>
      </w:r>
      <w:r w:rsidR="008D08A6">
        <w:t>des Commanditaires</w:t>
      </w:r>
      <w:r>
        <w:t xml:space="preserve"> ou l</w:t>
      </w:r>
      <w:r w:rsidR="00040C15">
        <w:t>’</w:t>
      </w:r>
      <w:r>
        <w:t>approbation d</w:t>
      </w:r>
      <w:r w:rsidR="00040C15">
        <w:t>’</w:t>
      </w:r>
      <w:r>
        <w:t xml:space="preserve">un certain pourcentage des </w:t>
      </w:r>
      <w:r w:rsidR="008D08A6">
        <w:t>C</w:t>
      </w:r>
      <w:r>
        <w:t xml:space="preserve">ommanditaires. </w:t>
      </w:r>
      <w:r w:rsidR="008D08A6">
        <w:t>Ce point</w:t>
      </w:r>
      <w:r>
        <w:t xml:space="preserve"> fait l</w:t>
      </w:r>
      <w:r w:rsidR="00040C15">
        <w:t>’</w:t>
      </w:r>
      <w:r>
        <w:t>objet de négociations.</w:t>
      </w:r>
    </w:p>
  </w:footnote>
  <w:footnote w:id="156">
    <w:p w:rsidR="0000160C" w:rsidRDefault="00C517ED" w14:paraId="328476F4" w14:textId="7D28F519">
      <w:pPr>
        <w:pStyle w:val="FootnoteText"/>
      </w:pPr>
      <w:r>
        <w:rPr>
          <w:rStyle w:val="FootnoteReference"/>
        </w:rPr>
        <w:footnoteRef/>
      </w:r>
      <w:r>
        <w:t xml:space="preserve"> </w:t>
      </w:r>
      <w:r>
        <w:tab/>
      </w:r>
      <w:r w:rsidR="008D08A6">
        <w:t>À l’expiration de sa Durée</w:t>
      </w:r>
      <w:r>
        <w:t xml:space="preserve">, </w:t>
      </w:r>
      <w:r w:rsidR="008D08A6">
        <w:t>le Fonds</w:t>
      </w:r>
      <w:r>
        <w:t xml:space="preserve"> sera liquidé et ses actifs restants (après paiement </w:t>
      </w:r>
      <w:r w:rsidR="008D08A6">
        <w:t xml:space="preserve">ou mise en réserve </w:t>
      </w:r>
      <w:r>
        <w:t>de tou</w:t>
      </w:r>
      <w:r w:rsidR="008D08A6">
        <w:t>tes</w:t>
      </w:r>
      <w:r>
        <w:t xml:space="preserve"> les </w:t>
      </w:r>
      <w:r w:rsidR="008D08A6">
        <w:t>dettes</w:t>
      </w:r>
      <w:r>
        <w:t xml:space="preserve">) seront distribués à ses </w:t>
      </w:r>
      <w:r w:rsidR="008D08A6">
        <w:t>Associés</w:t>
      </w:r>
      <w:r>
        <w:t>.</w:t>
      </w:r>
    </w:p>
  </w:footnote>
  <w:footnote w:id="157">
    <w:p w:rsidR="0000160C" w:rsidRDefault="00C517ED" w14:paraId="1ED43813" w14:textId="1BEE9143">
      <w:pPr>
        <w:pStyle w:val="FootnoteText"/>
      </w:pPr>
      <w:r>
        <w:rPr>
          <w:rStyle w:val="FootnoteReference"/>
        </w:rPr>
        <w:footnoteRef/>
      </w:r>
      <w:r>
        <w:t xml:space="preserve"> </w:t>
      </w:r>
      <w:r>
        <w:tab/>
        <w:t>50 % est un seuil typique. Il varie de 50 % à 75 %. Parfois, certains types de décisions peuvent être assujettis à un seuil plus élevé. Voir l</w:t>
      </w:r>
      <w:r w:rsidR="008D08A6">
        <w:t xml:space="preserve">’article </w:t>
      </w:r>
      <w:r>
        <w:fldChar w:fldCharType="begin"/>
      </w:r>
      <w:r>
        <w:instrText xml:space="preserve"> REF _Ref40806459 \w \h </w:instrText>
      </w:r>
      <w:r>
        <w:fldChar w:fldCharType="separate"/>
      </w:r>
      <w:r w:rsidR="00B50BE2">
        <w:t>19.3</w:t>
      </w:r>
      <w:r>
        <w:fldChar w:fldCharType="end"/>
      </w:r>
      <w:r>
        <w:t xml:space="preserve"> (</w:t>
      </w:r>
      <w:r w:rsidRPr="00856D2F">
        <w:rPr>
          <w:i/>
        </w:rPr>
        <w:fldChar w:fldCharType="begin"/>
      </w:r>
      <w:r w:rsidRPr="00856D2F">
        <w:rPr>
          <w:i/>
        </w:rPr>
        <w:instrText xml:space="preserve"> REF _Ref40806459 \h </w:instrText>
      </w:r>
      <w:r>
        <w:rPr>
          <w:i/>
        </w:rPr>
        <w:instrText xml:space="preserve"> \* MERGEFORMAT </w:instrText>
      </w:r>
      <w:r w:rsidRPr="00856D2F">
        <w:rPr>
          <w:i/>
        </w:rPr>
      </w:r>
      <w:r w:rsidRPr="00856D2F">
        <w:rPr>
          <w:i/>
        </w:rPr>
        <w:fldChar w:fldCharType="separate"/>
      </w:r>
      <w:r w:rsidRPr="00B50BE2" w:rsidR="00B50BE2">
        <w:rPr>
          <w:i/>
        </w:rPr>
        <w:t>Certaines modifications nécessitant un consentement spécifique.</w:t>
      </w:r>
      <w:r w:rsidRPr="00856D2F">
        <w:rPr>
          <w:i/>
        </w:rPr>
        <w:fldChar w:fldCharType="end"/>
      </w:r>
      <w:r>
        <w:t>).</w:t>
      </w:r>
    </w:p>
  </w:footnote>
  <w:footnote w:id="158">
    <w:p w:rsidR="0000160C" w:rsidRDefault="00C517ED" w14:paraId="4E77E4AD" w14:textId="354C8EDF">
      <w:pPr>
        <w:pStyle w:val="FootnoteText"/>
      </w:pPr>
      <w:r>
        <w:rPr>
          <w:rStyle w:val="FootnoteReference"/>
        </w:rPr>
        <w:footnoteRef/>
      </w:r>
      <w:r>
        <w:t xml:space="preserve"> </w:t>
      </w:r>
      <w:r>
        <w:tab/>
      </w:r>
      <w:r w:rsidR="005A44DD">
        <w:t>En règle générale</w:t>
      </w:r>
      <w:r>
        <w:t xml:space="preserve">, les </w:t>
      </w:r>
      <w:r w:rsidR="008D08A6">
        <w:t>C</w:t>
      </w:r>
      <w:r>
        <w:t>ommanditaires doivent obtenir une approbation de 85 % à 100 % pour modifier cet article régissant les modifications.</w:t>
      </w:r>
    </w:p>
  </w:footnote>
  <w:footnote w:id="159">
    <w:p w:rsidR="0000160C" w:rsidRDefault="00C517ED" w14:paraId="688CAE64" w14:textId="78E8B4DD">
      <w:pPr>
        <w:pStyle w:val="FootnoteText"/>
      </w:pPr>
      <w:r w:rsidRPr="00051E5A">
        <w:rPr>
          <w:rStyle w:val="FootnoteReference"/>
        </w:rPr>
        <w:footnoteRef/>
      </w:r>
      <w:r>
        <w:t xml:space="preserve"> </w:t>
      </w:r>
      <w:r>
        <w:tab/>
        <w:t xml:space="preserve">En règle générale, </w:t>
      </w:r>
      <w:r w:rsidR="008D08A6">
        <w:t xml:space="preserve">les Commanditaires doivent obtenir </w:t>
      </w:r>
      <w:r>
        <w:t xml:space="preserve">une approbation de 66,7 % à 90 % par pour modifier ces articles de </w:t>
      </w:r>
      <w:r w:rsidR="008D08A6">
        <w:t>la Convention</w:t>
      </w:r>
      <w:r>
        <w:t xml:space="preserve">. </w:t>
      </w:r>
    </w:p>
  </w:footnote>
  <w:footnote w:id="160">
    <w:p w:rsidR="0000160C" w:rsidRDefault="00C517ED" w14:paraId="780B2198" w14:textId="34EF2228">
      <w:pPr>
        <w:pStyle w:val="FootnoteText"/>
      </w:pPr>
      <w:r>
        <w:rPr>
          <w:rStyle w:val="FootnoteReference"/>
        </w:rPr>
        <w:footnoteRef/>
      </w:r>
      <w:r>
        <w:t xml:space="preserve"> </w:t>
      </w:r>
      <w:r>
        <w:tab/>
        <w:t xml:space="preserve">Étant donné que les </w:t>
      </w:r>
      <w:r w:rsidR="006A2A4C">
        <w:t>C</w:t>
      </w:r>
      <w:r>
        <w:t xml:space="preserve">ommanditaires ne signent généralement pas </w:t>
      </w:r>
      <w:r w:rsidR="006A2A4C">
        <w:t>la présente Convention</w:t>
      </w:r>
      <w:r>
        <w:t>, la procuration (ou un</w:t>
      </w:r>
      <w:r w:rsidR="006A2A4C">
        <w:t xml:space="preserve"> renvoi </w:t>
      </w:r>
      <w:r>
        <w:t>l</w:t>
      </w:r>
      <w:r w:rsidR="00310CBA">
        <w:t>’</w:t>
      </w:r>
      <w:r>
        <w:t xml:space="preserve">autorisant) doit être incluse dans </w:t>
      </w:r>
      <w:r w:rsidR="006A2A4C">
        <w:t>la Convention de souscription</w:t>
      </w:r>
      <w:r>
        <w:t xml:space="preserve">. Les procurations sont soumises à leur propre législation. </w:t>
      </w:r>
      <w:r w:rsidR="006A2A4C">
        <w:t>Il est recommandé d’obtenir u</w:t>
      </w:r>
      <w:r>
        <w:t>n avis juridique approprié.</w:t>
      </w:r>
    </w:p>
  </w:footnote>
  <w:footnote w:id="161">
    <w:p w:rsidR="0000160C" w:rsidRDefault="00C517ED" w14:paraId="5E14BA4E" w14:textId="1F784726">
      <w:pPr>
        <w:pStyle w:val="FootnoteText"/>
      </w:pPr>
      <w:r>
        <w:rPr>
          <w:rStyle w:val="FootnoteReference"/>
        </w:rPr>
        <w:footnoteRef/>
      </w:r>
      <w:r>
        <w:t xml:space="preserve"> </w:t>
      </w:r>
      <w:r>
        <w:tab/>
        <w:t xml:space="preserve">Ces dispositions sont généralement négociées avec les investisseurs institutionnels dans des </w:t>
      </w:r>
      <w:r w:rsidR="006A2A4C">
        <w:t>ententes accessoires</w:t>
      </w:r>
      <w:r>
        <w:t xml:space="preserve">. </w:t>
      </w:r>
      <w:r w:rsidRPr="006A2A4C" w:rsidR="006A2A4C">
        <w:t xml:space="preserve">De nombreux investisseurs institutionnels ont des obligations </w:t>
      </w:r>
      <w:r w:rsidR="006A2A4C">
        <w:t>publiques de publication de rapports</w:t>
      </w:r>
      <w:r w:rsidRPr="006A2A4C" w:rsidR="006A2A4C">
        <w:t xml:space="preserve"> qui les obligent à publier certain</w:t>
      </w:r>
      <w:r w:rsidR="006A2A4C">
        <w:t xml:space="preserve">s renseignements </w:t>
      </w:r>
      <w:r w:rsidRPr="006A2A4C" w:rsidR="006A2A4C">
        <w:t>relati</w:t>
      </w:r>
      <w:r w:rsidR="006A2A4C">
        <w:t>f</w:t>
      </w:r>
      <w:r w:rsidRPr="006A2A4C" w:rsidR="006A2A4C">
        <w:t>s au Fonds et à ses investissements.</w:t>
      </w:r>
    </w:p>
  </w:footnote>
  <w:footnote w:id="162">
    <w:p w:rsidR="0000160C" w:rsidRDefault="00C517ED" w14:paraId="5C3C265D" w14:textId="175892D0">
      <w:pPr>
        <w:pStyle w:val="FootnoteText"/>
      </w:pPr>
      <w:r>
        <w:rPr>
          <w:rStyle w:val="FootnoteReference"/>
        </w:rPr>
        <w:footnoteRef/>
      </w:r>
      <w:r>
        <w:t xml:space="preserve"> </w:t>
      </w:r>
      <w:r>
        <w:tab/>
        <w:t xml:space="preserve">Les investisseurs assujettis aux </w:t>
      </w:r>
      <w:r w:rsidR="006A2A4C">
        <w:t>L</w:t>
      </w:r>
      <w:r>
        <w:t xml:space="preserve">ois sur les </w:t>
      </w:r>
      <w:r w:rsidR="006A2A4C">
        <w:t>archives</w:t>
      </w:r>
      <w:r>
        <w:t xml:space="preserve"> publi</w:t>
      </w:r>
      <w:r w:rsidR="006A2A4C">
        <w:t>que</w:t>
      </w:r>
      <w:r>
        <w:t xml:space="preserve">s (telles que définies) </w:t>
      </w:r>
      <w:r w:rsidRPr="006A2A4C" w:rsidR="006A2A4C">
        <w:t xml:space="preserve">devront utiliser des termes spécifiques dans leurs </w:t>
      </w:r>
      <w:r w:rsidR="00310CBA">
        <w:t>E</w:t>
      </w:r>
      <w:r w:rsidR="006A2A4C">
        <w:t>ntentes accessoires</w:t>
      </w:r>
      <w:r>
        <w:t>.</w:t>
      </w:r>
    </w:p>
  </w:footnote>
  <w:footnote w:id="163">
    <w:p w:rsidR="0000160C" w:rsidRDefault="00C517ED" w14:paraId="0A98AA6F" w14:textId="73AA2C76">
      <w:pPr>
        <w:pStyle w:val="FootnoteText"/>
      </w:pPr>
      <w:r w:rsidRPr="00E045DB">
        <w:rPr>
          <w:rStyle w:val="FootnoteReference"/>
        </w:rPr>
        <w:footnoteRef/>
      </w:r>
      <w:r>
        <w:t xml:space="preserve"> </w:t>
      </w:r>
      <w:r>
        <w:tab/>
      </w:r>
      <w:r w:rsidRPr="006A2A4C" w:rsidR="006A2A4C">
        <w:t xml:space="preserve">En règle générale, les investisseurs institutionnels négocient et concluent des </w:t>
      </w:r>
      <w:r w:rsidR="006A2A4C">
        <w:t>ententes accessoires</w:t>
      </w:r>
      <w:r w:rsidRPr="006A2A4C" w:rsidR="006A2A4C">
        <w:t xml:space="preserve"> avec le </w:t>
      </w:r>
      <w:r w:rsidR="00304C67">
        <w:t>c</w:t>
      </w:r>
      <w:r w:rsidRPr="006A2A4C" w:rsidR="006A2A4C">
        <w:t>ommandité, qui contiennent des conditions supplémentaires pour répondre aux intérêts commerciaux, fiscaux et réglementaires particuliers de l</w:t>
      </w:r>
      <w:r w:rsidR="00304C67">
        <w:t>’</w:t>
      </w:r>
      <w:r w:rsidRPr="006A2A4C" w:rsidR="006A2A4C">
        <w:t>investisseur en question. Toutefois, de nombreux investisseurs plus petits et non institutionnels n</w:t>
      </w:r>
      <w:r w:rsidR="00304C67">
        <w:t>’</w:t>
      </w:r>
      <w:r w:rsidRPr="006A2A4C" w:rsidR="006A2A4C">
        <w:t xml:space="preserve">ont généralement pas besoin de conclure une </w:t>
      </w:r>
      <w:r w:rsidR="006A2A4C">
        <w:t>entente accessoire</w:t>
      </w:r>
      <w:r w:rsidRPr="006A2A4C" w:rsidR="006A2A4C">
        <w:t xml:space="preserve"> et les commandités essaient de répondre à toutes leurs demandes dans un</w:t>
      </w:r>
      <w:r w:rsidR="006A2A4C">
        <w:t xml:space="preserve">e Convention </w:t>
      </w:r>
      <w:r w:rsidRPr="006A2A4C" w:rsidR="006A2A4C">
        <w:t xml:space="preserve">de société en commandite. Si les </w:t>
      </w:r>
      <w:r w:rsidR="006A2A4C">
        <w:t>ententes accessoires</w:t>
      </w:r>
      <w:r w:rsidRPr="006A2A4C" w:rsidR="006A2A4C">
        <w:t xml:space="preserve"> sont négociées, une disposition </w:t>
      </w:r>
      <w:r w:rsidR="006A2A4C">
        <w:t>de</w:t>
      </w:r>
      <w:r w:rsidRPr="006A2A4C" w:rsidR="006A2A4C">
        <w:t xml:space="preserve"> </w:t>
      </w:r>
      <w:r w:rsidR="00F65DBE">
        <w:t>« </w:t>
      </w:r>
      <w:r w:rsidRPr="006A2A4C" w:rsidR="006A2A4C">
        <w:t>NPF</w:t>
      </w:r>
      <w:r w:rsidR="006A2A4C">
        <w:t xml:space="preserve"> économique</w:t>
      </w:r>
      <w:r w:rsidR="00F65DBE">
        <w:t> »</w:t>
      </w:r>
      <w:r w:rsidRPr="006A2A4C" w:rsidR="006A2A4C">
        <w:t xml:space="preserve"> est typique, mais pas universelle.  La </w:t>
      </w:r>
      <w:r w:rsidR="00F65DBE">
        <w:t>« </w:t>
      </w:r>
      <w:r w:rsidRPr="006A2A4C" w:rsidR="006A2A4C">
        <w:t>NPF économique</w:t>
      </w:r>
      <w:r w:rsidR="00F65DBE">
        <w:t> »</w:t>
      </w:r>
      <w:r w:rsidRPr="006A2A4C" w:rsidR="006A2A4C">
        <w:t xml:space="preserve"> limite la portée du processus de NPF en fonction de l</w:t>
      </w:r>
      <w:r w:rsidR="00304C67">
        <w:t>’</w:t>
      </w:r>
      <w:r w:rsidRPr="006A2A4C" w:rsidR="006A2A4C">
        <w:t xml:space="preserve">importance des engagements en capital des investisseurs dans le fonds et exige que le commandité accorde à chaque investisseur toute condition de </w:t>
      </w:r>
      <w:r w:rsidR="006A6E9E">
        <w:t>l’entente accessoire</w:t>
      </w:r>
      <w:r w:rsidRPr="006A2A4C" w:rsidR="006A2A4C">
        <w:t xml:space="preserve"> qui a été accordée à un ou plusieurs investisseurs ayant un engagement en capital égal ou inférieur à celui de cet investisseur, sous réserve de certaines dérogations telles que celles mentionnées dans cette disposition. Voir</w:t>
      </w:r>
      <w:r w:rsidR="006A6E9E">
        <w:t xml:space="preserve"> la</w:t>
      </w:r>
      <w:r w:rsidRPr="006A2A4C" w:rsidR="006A2A4C">
        <w:t xml:space="preserve"> note de bas de page 48.</w:t>
      </w:r>
    </w:p>
  </w:footnote>
  <w:footnote w:id="164">
    <w:p w:rsidRPr="00F94B84" w:rsidR="0000160C" w:rsidRDefault="00C517ED" w14:paraId="1DCF2657" w14:textId="77777777">
      <w:pPr>
        <w:pStyle w:val="FootnoteText"/>
        <w:rPr>
          <w:lang w:val="fr-CA"/>
        </w:rPr>
      </w:pPr>
      <w:r>
        <w:rPr>
          <w:rStyle w:val="FootnoteReference"/>
        </w:rPr>
        <w:footnoteRef/>
      </w:r>
      <w:r>
        <w:t xml:space="preserve"> </w:t>
      </w:r>
      <w:r>
        <w:tab/>
        <w:t>Le libellé dépendra du fait que la société en commandite est constituée en Ontario ou au Québec.</w:t>
      </w:r>
    </w:p>
  </w:footnote>
  <w:footnote w:id="165">
    <w:p w:rsidR="0000160C" w:rsidRDefault="00C517ED" w14:paraId="2EFE8C0F" w14:textId="25912681">
      <w:pPr>
        <w:pStyle w:val="FootnoteText"/>
      </w:pPr>
      <w:r>
        <w:rPr>
          <w:rStyle w:val="FootnoteReference"/>
        </w:rPr>
        <w:footnoteRef/>
      </w:r>
      <w:r>
        <w:t xml:space="preserve"> </w:t>
      </w:r>
      <w:r>
        <w:tab/>
        <w:t xml:space="preserve">Voir </w:t>
      </w:r>
      <w:r w:rsidR="006A6E9E">
        <w:t>la note de bas de page</w:t>
      </w:r>
      <w:r>
        <w:t xml:space="preserve"> 10. L</w:t>
      </w:r>
      <w:r w:rsidR="00304C67">
        <w:t>’</w:t>
      </w:r>
      <w:r>
        <w:t xml:space="preserve">Ontario ou, dans une moindre mesure, le Québec est couramment utilisé comme juridiction pour la formation de la société en commandite. </w:t>
      </w:r>
      <w:r w:rsidR="006A6E9E">
        <w:t>Toutefois</w:t>
      </w:r>
      <w:r>
        <w:t>, d</w:t>
      </w:r>
      <w:r w:rsidR="00304C67">
        <w:t>’</w:t>
      </w:r>
      <w:r>
        <w:t xml:space="preserve">autres juridictions peuvent être plus appropriées en fonction des besoins juridiques (en particulier les aspects de responsabilité limitée) et administratifs des </w:t>
      </w:r>
      <w:r w:rsidR="006A6E9E">
        <w:t>associés</w:t>
      </w:r>
      <w:r>
        <w:t>.</w:t>
      </w:r>
    </w:p>
  </w:footnote>
  <w:footnote w:id="166">
    <w:p w:rsidR="0000160C" w:rsidRDefault="00C517ED" w14:paraId="764FD49E" w14:textId="152E8A72">
      <w:pPr>
        <w:pStyle w:val="FootnoteText"/>
      </w:pPr>
      <w:r>
        <w:rPr>
          <w:rStyle w:val="FootnoteReference"/>
        </w:rPr>
        <w:footnoteRef/>
      </w:r>
      <w:r>
        <w:t xml:space="preserve"> </w:t>
      </w:r>
      <w:r>
        <w:tab/>
      </w:r>
      <w:r w:rsidRPr="006A6E9E" w:rsidR="006A6E9E">
        <w:t xml:space="preserve">Le </w:t>
      </w:r>
      <w:r w:rsidR="006A6E9E">
        <w:t>G</w:t>
      </w:r>
      <w:r w:rsidRPr="006A6E9E" w:rsidR="006A6E9E">
        <w:t>estionnaire peut ne pas être tenu d</w:t>
      </w:r>
      <w:r w:rsidR="0096084C">
        <w:t>’</w:t>
      </w:r>
      <w:r w:rsidRPr="006A6E9E" w:rsidR="006A6E9E">
        <w:t xml:space="preserve">être partie </w:t>
      </w:r>
      <w:r w:rsidR="006A6E9E">
        <w:t>à la présente Convention</w:t>
      </w:r>
      <w:r w:rsidRPr="006A6E9E" w:rsidR="006A6E9E">
        <w:t xml:space="preserve"> si un</w:t>
      </w:r>
      <w:r w:rsidR="006A6E9E">
        <w:t xml:space="preserve">e Entente </w:t>
      </w:r>
      <w:r w:rsidRPr="006A6E9E" w:rsidR="006A6E9E">
        <w:t>de gestion distinct</w:t>
      </w:r>
      <w:r w:rsidR="006A6E9E">
        <w:t>e</w:t>
      </w:r>
      <w:r w:rsidRPr="006A6E9E" w:rsidR="006A6E9E">
        <w:t xml:space="preserve"> a été conclu</w:t>
      </w:r>
      <w:r w:rsidR="006A6E9E">
        <w:t>e</w:t>
      </w:r>
      <w:r w:rsidRPr="006A6E9E" w:rsidR="006A6E9E">
        <w:t xml:space="preserve">.  Voir </w:t>
      </w:r>
      <w:r w:rsidR="006A6E9E">
        <w:t>la note de bas de page</w:t>
      </w:r>
      <w:r w:rsidRPr="006A6E9E" w:rsidR="006A6E9E">
        <w:t xml:space="preserve"> 33. Les garants peuvent avoir besoin d'être parties à cet</w:t>
      </w:r>
      <w:r w:rsidR="006A6E9E">
        <w:t>te entente</w:t>
      </w:r>
      <w:r w:rsidRPr="006A6E9E" w:rsidR="006A6E9E">
        <w:t xml:space="preserve">. Voir </w:t>
      </w:r>
      <w:r w:rsidR="006A6E9E">
        <w:t>la note de bas de page</w:t>
      </w:r>
      <w:r w:rsidRPr="006A6E9E" w:rsidR="006A6E9E">
        <w:t xml:space="preserve"> 135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6174DE76" w14:textId="77777777">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848943"/>
      <w:docPartObj>
        <w:docPartGallery w:val="Page Numbers (Top of Page)"/>
        <w:docPartUnique/>
      </w:docPartObj>
    </w:sdtPr>
    <w:sdtEndPr>
      <w:rPr>
        <w:noProof/>
      </w:rPr>
    </w:sdtEndPr>
    <w:sdtContent>
      <w:p w:rsidR="0000160C" w:rsidRDefault="00C517ED" w14:paraId="6BF528FA" w14:textId="77777777">
        <w:pPr>
          <w:pStyle w:val="Header"/>
          <w:jc w:val="center"/>
        </w:pPr>
        <w:r>
          <w:fldChar w:fldCharType="begin"/>
        </w:r>
        <w:r>
          <w:instrText xml:space="preserve"> PAGE   \* MERGEFORMAT </w:instrText>
        </w:r>
        <w:r>
          <w:fldChar w:fldCharType="separate"/>
        </w:r>
        <w:r>
          <w:rPr>
            <w:noProof/>
          </w:rPr>
          <w:t>iv</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0FE9CAC8" w14:textId="77777777">
    <w:pPr>
      <w:tabs>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512330"/>
      <w:docPartObj>
        <w:docPartGallery w:val="Page Numbers (Top of Page)"/>
        <w:docPartUnique/>
      </w:docPartObj>
    </w:sdtPr>
    <w:sdtEndPr>
      <w:rPr>
        <w:noProof/>
      </w:rPr>
    </w:sdtEndPr>
    <w:sdtContent>
      <w:p w:rsidR="0000160C" w:rsidRDefault="00C517ED" w14:paraId="1D506596" w14:textId="77777777">
        <w:pPr>
          <w:pStyle w:val="Header"/>
          <w:jc w:val="center"/>
        </w:pPr>
        <w:r>
          <w:fldChar w:fldCharType="begin"/>
        </w:r>
        <w:r>
          <w:instrText xml:space="preserve"> PAGE   \* MERGEFORMAT </w:instrText>
        </w:r>
        <w:r>
          <w:fldChar w:fldCharType="separate"/>
        </w:r>
        <w:r>
          <w:rPr>
            <w:noProof/>
          </w:rPr>
          <w:t>48</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6CD5998B" w14:textId="77777777">
    <w:pPr>
      <w:tabs>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4629C581" w14:textId="77777777">
    <w:pPr>
      <w:tabs>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2564C881" w14:textId="77777777">
    <w:pPr>
      <w:tabs>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7B13" w:rsidRDefault="00957B13" w14:paraId="34D512D6" w14:textId="77777777">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32D1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54A0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20F8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0ECB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E42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201F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240A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5C4D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AA37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FC90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67B4"/>
    <w:multiLevelType w:val="multilevel"/>
    <w:tmpl w:val="5F326C76"/>
    <w:name w:val="ArtBJSty"/>
    <w:lvl w:ilvl="0">
      <w:start w:val="1"/>
      <w:numFmt w:val="decimal"/>
      <w:pStyle w:val="ArtBJStyL1"/>
      <w:suff w:val="nothing"/>
      <w:lvlText w:val="Article %1"/>
      <w:lvlJc w:val="left"/>
      <w:pPr>
        <w:tabs>
          <w:tab w:val="num" w:pos="6120"/>
        </w:tabs>
        <w:ind w:left="540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ArtBJStyL2"/>
      <w:isLgl/>
      <w:lvlText w:val="%1.%2"/>
      <w:lvlJc w:val="left"/>
      <w:pPr>
        <w:tabs>
          <w:tab w:val="num" w:pos="720"/>
        </w:tabs>
        <w:ind w:left="720" w:hanging="720"/>
      </w:pPr>
      <w:rPr>
        <w:b/>
        <w:i w:val="0"/>
        <w:caps w:val="0"/>
        <w:strike w:val="0"/>
        <w:dstrike w:val="0"/>
        <w:outline w:val="0"/>
        <w:shadow w:val="0"/>
        <w:emboss w:val="0"/>
        <w:imprint w:val="0"/>
        <w:vanish w:val="0"/>
        <w:color w:val="auto"/>
        <w:sz w:val="22"/>
        <w:szCs w:val="22"/>
        <w:u w:val="none"/>
        <w:effect w:val="none"/>
        <w:vertAlign w:val="baseline"/>
      </w:rPr>
    </w:lvl>
    <w:lvl w:ilvl="2">
      <w:start w:val="1"/>
      <w:numFmt w:val="lowerLetter"/>
      <w:pStyle w:val="ArtBJSty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ArtBJSty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ArtBJSty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ArtBJSty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ArtBJSty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ArtBJStyL8"/>
      <w:lvlText w:val="%8)"/>
      <w:lvlJc w:val="left"/>
      <w:pPr>
        <w:tabs>
          <w:tab w:val="num" w:pos="5040"/>
        </w:tabs>
        <w:ind w:left="5040" w:hanging="720"/>
      </w:pPr>
      <w:rPr>
        <w:b w:val="0"/>
        <w:i w:val="0"/>
        <w:caps w:val="0"/>
        <w:strike w:val="0"/>
        <w:dstrike w:val="0"/>
        <w:outline w:val="0"/>
        <w:shadow w:val="0"/>
        <w:emboss w:val="0"/>
        <w:imprint w:val="0"/>
        <w:vanish w:val="0"/>
        <w:color w:val="auto"/>
        <w:u w:val="none"/>
        <w:effect w:val="none"/>
        <w:vertAlign w:val="baseline"/>
      </w:rPr>
    </w:lvl>
    <w:lvl w:ilvl="8">
      <w:start w:val="1"/>
      <w:numFmt w:val="lowerRoman"/>
      <w:lvlText w:val="%9."/>
      <w:lvlJc w:val="left"/>
      <w:pPr>
        <w:tabs>
          <w:tab w:val="num" w:pos="3240"/>
        </w:tabs>
        <w:ind w:left="3240" w:hanging="360"/>
      </w:pPr>
    </w:lvl>
  </w:abstractNum>
  <w:abstractNum w:abstractNumId="11" w15:restartNumberingAfterBreak="0">
    <w:nsid w:val="1C121DF6"/>
    <w:multiLevelType w:val="multilevel"/>
    <w:tmpl w:val="176CCA7E"/>
    <w:name w:val="zzmpArticle||Article|2|4|1|4|0|41||1|0|33||1|0|32||1|0|32||1|0|32||1|0|32||1|0|32||1|0|32||1|0|32||"/>
    <w:lvl w:ilvl="0">
      <w:start w:val="1"/>
      <w:numFmt w:val="decimal"/>
      <w:pStyle w:val="ArticleL1"/>
      <w:suff w:val="nothing"/>
      <w:lvlText w:val="ARTICLE %1"/>
      <w:lvlJc w:val="left"/>
      <w:pPr>
        <w:tabs>
          <w:tab w:val="num" w:pos="720"/>
        </w:tabs>
        <w:ind w:left="0" w:firstLine="0"/>
      </w:pPr>
      <w:rPr>
        <w:rFonts w:ascii="Times New Roman" w:hAnsi="Times New Roman" w:cs="Times New Roman"/>
        <w:b/>
        <w:i w:val="0"/>
        <w:sz w:val="22"/>
        <w:u w:val="none"/>
      </w:rPr>
    </w:lvl>
    <w:lvl w:ilvl="1">
      <w:start w:val="1"/>
      <w:numFmt w:val="decimal"/>
      <w:pStyle w:val="ArticleL2"/>
      <w:lvlText w:val="%1.%2"/>
      <w:lvlJc w:val="left"/>
      <w:pPr>
        <w:tabs>
          <w:tab w:val="num" w:pos="720"/>
        </w:tabs>
        <w:ind w:left="720" w:hanging="720"/>
      </w:pPr>
      <w:rPr>
        <w:rFonts w:ascii="Times New Roman" w:hAnsi="Times New Roman" w:cs="Times New Roman"/>
        <w:b/>
        <w:i w:val="0"/>
        <w:caps w:val="0"/>
        <w:smallCaps w:val="0"/>
        <w:strike w:val="0"/>
        <w:dstrike w:val="0"/>
        <w:vanish w:val="0"/>
        <w:color w:val="000000"/>
        <w:sz w:val="22"/>
        <w:u w:val="none"/>
        <w:effect w:val="none"/>
        <w:vertAlign w:val="baseline"/>
      </w:rPr>
    </w:lvl>
    <w:lvl w:ilvl="2">
      <w:start w:val="1"/>
      <w:numFmt w:val="lowerLetter"/>
      <w:pStyle w:val="ArticleL3"/>
      <w:lvlText w:val="(%3)"/>
      <w:lvlJc w:val="left"/>
      <w:pPr>
        <w:tabs>
          <w:tab w:val="num" w:pos="1440"/>
        </w:tabs>
        <w:ind w:left="144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3">
      <w:start w:val="1"/>
      <w:numFmt w:val="lowerRoman"/>
      <w:pStyle w:val="ArticleL4"/>
      <w:lvlText w:val="(%4)"/>
      <w:lvlJc w:val="left"/>
      <w:pPr>
        <w:tabs>
          <w:tab w:val="num" w:pos="2160"/>
        </w:tabs>
        <w:ind w:left="2160" w:hanging="720"/>
      </w:pPr>
      <w:rPr>
        <w:rFonts w:ascii="Times New Roman" w:hAnsi="Times New Roman" w:cs="Times New Roman"/>
        <w:b w:val="0"/>
        <w:i w:val="0"/>
        <w:caps w:val="0"/>
        <w:smallCaps w:val="0"/>
        <w:strike w:val="0"/>
        <w:dstrike w:val="0"/>
        <w:vanish w:val="0"/>
        <w:color w:val="auto"/>
        <w:sz w:val="22"/>
        <w:u w:val="none"/>
        <w:effect w:val="none"/>
        <w:vertAlign w:val="baseline"/>
      </w:rPr>
    </w:lvl>
    <w:lvl w:ilvl="4">
      <w:start w:val="1"/>
      <w:numFmt w:val="upperLetter"/>
      <w:pStyle w:val="ArticleL5"/>
      <w:lvlText w:val="(%5)"/>
      <w:lvlJc w:val="left"/>
      <w:pPr>
        <w:tabs>
          <w:tab w:val="num" w:pos="2880"/>
        </w:tabs>
        <w:ind w:left="288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5">
      <w:start w:val="1"/>
      <w:numFmt w:val="none"/>
      <w:lvlRestart w:val="0"/>
      <w:pStyle w:val="ArticleL6"/>
      <w:lvlText w:val=""/>
      <w:lvlJc w:val="left"/>
      <w:pPr>
        <w:tabs>
          <w:tab w:val="num" w:pos="720"/>
        </w:tabs>
        <w:ind w:left="72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6">
      <w:start w:val="1"/>
      <w:numFmt w:val="decimal"/>
      <w:pStyle w:val="ArticleL7"/>
      <w:lvlText w:val="(%7)"/>
      <w:lvlJc w:val="left"/>
      <w:pPr>
        <w:tabs>
          <w:tab w:val="num" w:pos="3600"/>
        </w:tabs>
        <w:ind w:left="360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7">
      <w:start w:val="1"/>
      <w:numFmt w:val="upperRoman"/>
      <w:pStyle w:val="ArticleL8"/>
      <w:lvlText w:val="%8."/>
      <w:lvlJc w:val="left"/>
      <w:pPr>
        <w:tabs>
          <w:tab w:val="num" w:pos="5040"/>
        </w:tabs>
        <w:ind w:left="5040" w:hanging="720"/>
      </w:pPr>
      <w:rPr>
        <w:rFonts w:ascii="Times New Roman" w:hAnsi="Times New Roman" w:cs="Times New Roman"/>
        <w:b w:val="0"/>
        <w:i w:val="0"/>
        <w:caps w:val="0"/>
        <w:smallCaps w:val="0"/>
        <w:strike w:val="0"/>
        <w:dstrike w:val="0"/>
        <w:vanish w:val="0"/>
        <w:color w:val="000000"/>
        <w:sz w:val="22"/>
        <w:u w:val="none"/>
        <w:effect w:val="none"/>
        <w:vertAlign w:val="baseline"/>
      </w:rPr>
    </w:lvl>
    <w:lvl w:ilvl="8">
      <w:start w:val="1"/>
      <w:numFmt w:val="lowerLetter"/>
      <w:pStyle w:val="ArticleL9"/>
      <w:lvlText w:val="%9."/>
      <w:lvlJc w:val="left"/>
      <w:pPr>
        <w:tabs>
          <w:tab w:val="num" w:pos="5760"/>
        </w:tabs>
        <w:ind w:left="5760" w:hanging="720"/>
      </w:pPr>
      <w:rPr>
        <w:rFonts w:ascii="Times New Roman" w:hAnsi="Times New Roman" w:cs="Times New Roman"/>
        <w:b w:val="0"/>
        <w:i w:val="0"/>
        <w:caps w:val="0"/>
        <w:smallCaps w:val="0"/>
        <w:strike w:val="0"/>
        <w:dstrike w:val="0"/>
        <w:vanish w:val="0"/>
        <w:color w:val="000000"/>
        <w:sz w:val="22"/>
        <w:u w:val="none"/>
        <w:effect w:val="none"/>
        <w:vertAlign w:val="baseline"/>
      </w:rPr>
    </w:lvl>
  </w:abstractNum>
  <w:abstractNum w:abstractNumId="12" w15:restartNumberingAfterBreak="0">
    <w:nsid w:val="20B56C50"/>
    <w:multiLevelType w:val="hybridMultilevel"/>
    <w:tmpl w:val="07D836A6"/>
    <w:lvl w:ilvl="0" w:tplc="37340DDA">
      <w:start w:val="1"/>
      <w:numFmt w:val="lowerLetter"/>
      <w:lvlText w:val="%1)"/>
      <w:lvlJc w:val="left"/>
      <w:pPr>
        <w:ind w:left="720" w:hanging="360"/>
      </w:pPr>
    </w:lvl>
    <w:lvl w:ilvl="1" w:tplc="E7E83176" w:tentative="1">
      <w:start w:val="1"/>
      <w:numFmt w:val="lowerLetter"/>
      <w:lvlText w:val="%2."/>
      <w:lvlJc w:val="left"/>
      <w:pPr>
        <w:ind w:left="1440" w:hanging="360"/>
      </w:pPr>
    </w:lvl>
    <w:lvl w:ilvl="2" w:tplc="C44C173C" w:tentative="1">
      <w:start w:val="1"/>
      <w:numFmt w:val="lowerRoman"/>
      <w:lvlText w:val="%3."/>
      <w:lvlJc w:val="right"/>
      <w:pPr>
        <w:ind w:left="2160" w:hanging="180"/>
      </w:pPr>
    </w:lvl>
    <w:lvl w:ilvl="3" w:tplc="CA42F3CA" w:tentative="1">
      <w:start w:val="1"/>
      <w:numFmt w:val="decimal"/>
      <w:lvlText w:val="%4."/>
      <w:lvlJc w:val="left"/>
      <w:pPr>
        <w:ind w:left="2880" w:hanging="360"/>
      </w:pPr>
    </w:lvl>
    <w:lvl w:ilvl="4" w:tplc="39F60B82" w:tentative="1">
      <w:start w:val="1"/>
      <w:numFmt w:val="lowerLetter"/>
      <w:lvlText w:val="%5."/>
      <w:lvlJc w:val="left"/>
      <w:pPr>
        <w:ind w:left="3600" w:hanging="360"/>
      </w:pPr>
    </w:lvl>
    <w:lvl w:ilvl="5" w:tplc="F9DE4B40" w:tentative="1">
      <w:start w:val="1"/>
      <w:numFmt w:val="lowerRoman"/>
      <w:lvlText w:val="%6."/>
      <w:lvlJc w:val="right"/>
      <w:pPr>
        <w:ind w:left="4320" w:hanging="180"/>
      </w:pPr>
    </w:lvl>
    <w:lvl w:ilvl="6" w:tplc="29EE060C" w:tentative="1">
      <w:start w:val="1"/>
      <w:numFmt w:val="decimal"/>
      <w:lvlText w:val="%7."/>
      <w:lvlJc w:val="left"/>
      <w:pPr>
        <w:ind w:left="5040" w:hanging="360"/>
      </w:pPr>
    </w:lvl>
    <w:lvl w:ilvl="7" w:tplc="6D5E1EF8" w:tentative="1">
      <w:start w:val="1"/>
      <w:numFmt w:val="lowerLetter"/>
      <w:lvlText w:val="%8."/>
      <w:lvlJc w:val="left"/>
      <w:pPr>
        <w:ind w:left="5760" w:hanging="360"/>
      </w:pPr>
    </w:lvl>
    <w:lvl w:ilvl="8" w:tplc="6918380A" w:tentative="1">
      <w:start w:val="1"/>
      <w:numFmt w:val="lowerRoman"/>
      <w:lvlText w:val="%9."/>
      <w:lvlJc w:val="right"/>
      <w:pPr>
        <w:ind w:left="6480" w:hanging="180"/>
      </w:pPr>
    </w:lvl>
  </w:abstractNum>
  <w:abstractNum w:abstractNumId="13" w15:restartNumberingAfterBreak="0">
    <w:nsid w:val="36046B3C"/>
    <w:multiLevelType w:val="multilevel"/>
    <w:tmpl w:val="ACD030F6"/>
    <w:lvl w:ilvl="0">
      <w:start w:val="1"/>
      <w:numFmt w:val="upperRoman"/>
      <w:pStyle w:val="Article2L1"/>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0"/>
      </w:pPr>
      <w:rPr>
        <w:rFonts w:hint="default"/>
        <w:b w:val="0"/>
        <w:i w:val="0"/>
        <w:caps w:val="0"/>
        <w:smallCaps w:val="0"/>
        <w:u w:val="none"/>
      </w:rPr>
    </w:lvl>
    <w:lvl w:ilvl="2">
      <w:start w:val="1"/>
      <w:numFmt w:val="lowerLetter"/>
      <w:pStyle w:val="Article2L2"/>
      <w:lvlText w:val="(%3)"/>
      <w:lvlJc w:val="left"/>
      <w:pPr>
        <w:tabs>
          <w:tab w:val="num" w:pos="830"/>
        </w:tabs>
        <w:ind w:left="83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Article2L4"/>
      <w:lvlText w:val="(%4)"/>
      <w:lvlJc w:val="right"/>
      <w:pPr>
        <w:tabs>
          <w:tab w:val="num" w:pos="2160"/>
        </w:tabs>
        <w:ind w:left="2160" w:hanging="720"/>
      </w:pPr>
      <w:rPr>
        <w:rFonts w:hint="default"/>
        <w:b w:val="0"/>
        <w:i w:val="0"/>
        <w:caps w:val="0"/>
        <w:smallCaps w:val="0"/>
        <w:u w:val="none"/>
      </w:rPr>
    </w:lvl>
    <w:lvl w:ilvl="4">
      <w:start w:val="1"/>
      <w:numFmt w:val="lowerLetter"/>
      <w:pStyle w:val="Article2L3"/>
      <w:lvlText w:val="(%5)"/>
      <w:lvlJc w:val="left"/>
      <w:pPr>
        <w:tabs>
          <w:tab w:val="num" w:pos="3024"/>
        </w:tabs>
        <w:ind w:left="3024" w:hanging="720"/>
      </w:pPr>
      <w:rPr>
        <w:rFonts w:cs="Times New Roman" w:hint="default"/>
        <w:b w:val="0"/>
        <w:i w:val="0"/>
        <w:caps w:val="0"/>
        <w:smallCaps w:val="0"/>
        <w:u w:val="none"/>
      </w:rPr>
    </w:lvl>
    <w:lvl w:ilvl="5">
      <w:start w:val="1"/>
      <w:numFmt w:val="upperRoman"/>
      <w:lvlText w:val="(%6)"/>
      <w:lvlJc w:val="right"/>
      <w:pPr>
        <w:tabs>
          <w:tab w:val="num" w:pos="3888"/>
        </w:tabs>
        <w:ind w:left="3888" w:hanging="432"/>
      </w:pPr>
      <w:rPr>
        <w:rFonts w:hint="default"/>
        <w:b w:val="0"/>
        <w:i w:val="0"/>
        <w:caps w:val="0"/>
        <w:smallCaps w:val="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5" w15:restartNumberingAfterBreak="0">
    <w:nsid w:val="3A370DD9"/>
    <w:multiLevelType w:val="multilevel"/>
    <w:tmpl w:val="50EE4B3E"/>
    <w:name w:val="HB"/>
    <w:lvl w:ilvl="0">
      <w:start w:val="1"/>
      <w:numFmt w:val="decimal"/>
      <w:pStyle w:val="HBARTL1"/>
      <w:suff w:val="nothing"/>
      <w:lvlText w:val="Article %1"/>
      <w:lvlJc w:val="left"/>
      <w:pPr>
        <w:ind w:left="0" w:firstLine="0"/>
      </w:pPr>
      <w:rPr>
        <w:rFonts w:ascii="Times New Roman Bold" w:hAnsi="Times New Roman Bold" w:hint="default"/>
        <w:b/>
        <w:i w:val="0"/>
        <w:caps/>
        <w:sz w:val="24"/>
      </w:rPr>
    </w:lvl>
    <w:lvl w:ilvl="1">
      <w:start w:val="1"/>
      <w:numFmt w:val="decimal"/>
      <w:pStyle w:val="HBARTL2"/>
      <w:lvlText w:val="%1.%2"/>
      <w:lvlJc w:val="left"/>
      <w:pPr>
        <w:tabs>
          <w:tab w:val="num" w:pos="720"/>
        </w:tabs>
        <w:ind w:left="0" w:firstLine="0"/>
      </w:pPr>
      <w:rPr>
        <w:rFonts w:ascii="Times New Roman Bold" w:hAnsi="Times New Roman Bold" w:hint="default"/>
        <w:b/>
        <w:i w:val="0"/>
        <w:sz w:val="24"/>
      </w:rPr>
    </w:lvl>
    <w:lvl w:ilvl="2">
      <w:start w:val="1"/>
      <w:numFmt w:val="lowerLetter"/>
      <w:pStyle w:val="HBARTL3"/>
      <w:lvlText w:val="(%3)"/>
      <w:lvlJc w:val="left"/>
      <w:pPr>
        <w:tabs>
          <w:tab w:val="num" w:pos="1440"/>
        </w:tabs>
        <w:ind w:left="1440" w:hanging="1440"/>
      </w:pPr>
      <w:rPr>
        <w:rFonts w:ascii="Times New Roman" w:hAnsi="Times New Roman" w:hint="default"/>
        <w:b w:val="0"/>
        <w:i w:val="0"/>
        <w:sz w:val="24"/>
      </w:rPr>
    </w:lvl>
    <w:lvl w:ilvl="3">
      <w:start w:val="1"/>
      <w:numFmt w:val="lowerRoman"/>
      <w:pStyle w:val="HBARTL4"/>
      <w:lvlText w:val="(%4)"/>
      <w:lvlJc w:val="left"/>
      <w:pPr>
        <w:ind w:left="2160" w:hanging="720"/>
      </w:pPr>
      <w:rPr>
        <w:rFonts w:ascii="Times New Roman" w:hAnsi="Times New Roman" w:hint="default"/>
        <w:b w:val="0"/>
        <w:i w:val="0"/>
        <w:sz w:val="24"/>
      </w:rPr>
    </w:lvl>
    <w:lvl w:ilvl="4">
      <w:start w:val="1"/>
      <w:numFmt w:val="upperLetter"/>
      <w:pStyle w:val="HBARTL5"/>
      <w:lvlText w:val="(%5)"/>
      <w:lvlJc w:val="left"/>
      <w:pPr>
        <w:ind w:left="2880" w:hanging="720"/>
      </w:pPr>
      <w:rPr>
        <w:rFonts w:ascii="Times New Roman" w:hAnsi="Times New Roman" w:hint="default"/>
        <w:b w:val="0"/>
        <w:i w:val="0"/>
        <w:sz w:val="24"/>
      </w:rPr>
    </w:lvl>
    <w:lvl w:ilvl="5">
      <w:start w:val="1"/>
      <w:numFmt w:val="decimal"/>
      <w:pStyle w:val="HBARTL6"/>
      <w:lvlText w:val="(%6)"/>
      <w:lvlJc w:val="left"/>
      <w:pPr>
        <w:ind w:left="3600" w:hanging="720"/>
      </w:pPr>
      <w:rPr>
        <w:rFonts w:ascii="Times New Roman" w:hAnsi="Times New Roman" w:hint="default"/>
        <w:b w:val="0"/>
        <w:i w:val="0"/>
        <w:sz w:val="24"/>
      </w:rPr>
    </w:lvl>
    <w:lvl w:ilvl="6">
      <w:start w:val="1"/>
      <w:numFmt w:val="upperLetter"/>
      <w:lvlRestart w:val="0"/>
      <w:suff w:val="nothing"/>
      <w:lvlText w:val="Schedule %7"/>
      <w:lvlJc w:val="left"/>
      <w:pPr>
        <w:ind w:left="0" w:firstLine="0"/>
      </w:pPr>
      <w:rPr>
        <w:rFonts w:hint="default"/>
      </w:rPr>
    </w:lvl>
    <w:lvl w:ilvl="7">
      <w:start w:val="1"/>
      <w:numFmt w:val="lowerLetter"/>
      <w:pStyle w:val="HBARTL8"/>
      <w:lvlText w:val="%8."/>
      <w:lvlJc w:val="left"/>
      <w:pPr>
        <w:tabs>
          <w:tab w:val="num" w:pos="5040"/>
        </w:tabs>
        <w:ind w:left="5040" w:hanging="720"/>
      </w:pPr>
      <w:rPr>
        <w:rFonts w:hint="default"/>
      </w:rPr>
    </w:lvl>
    <w:lvl w:ilvl="8">
      <w:start w:val="1"/>
      <w:numFmt w:val="lowerRoman"/>
      <w:pStyle w:val="HBARTL9"/>
      <w:lvlText w:val="%9."/>
      <w:lvlJc w:val="left"/>
      <w:pPr>
        <w:tabs>
          <w:tab w:val="num" w:pos="5760"/>
        </w:tabs>
        <w:ind w:left="5760" w:hanging="720"/>
      </w:pPr>
      <w:rPr>
        <w:rFonts w:hint="default"/>
      </w:rPr>
    </w:lvl>
  </w:abstractNum>
  <w:abstractNum w:abstractNumId="16"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9D4AAF"/>
    <w:multiLevelType w:val="multilevel"/>
    <w:tmpl w:val="5A5E236A"/>
    <w:name w:val="Article5"/>
    <w:lvl w:ilvl="0">
      <w:start w:val="1"/>
      <w:numFmt w:val="decimal"/>
      <w:pStyle w:val="Article5L1"/>
      <w:lvlText w:val="%1."/>
      <w:lvlJc w:val="left"/>
      <w:pPr>
        <w:tabs>
          <w:tab w:val="num" w:pos="720"/>
        </w:tabs>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5L2"/>
      <w:lvlText w:val="%1.%2"/>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5L3"/>
      <w:lvlText w:val="%1.%2.%3"/>
      <w:lvlJc w:val="left"/>
      <w:pPr>
        <w:tabs>
          <w:tab w:val="num" w:pos="1571"/>
        </w:tabs>
        <w:ind w:left="-589"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5L4"/>
      <w:lvlText w:val="%1.%2.%3.%4"/>
      <w:lvlJc w:val="left"/>
      <w:pPr>
        <w:tabs>
          <w:tab w:val="num" w:pos="4320"/>
        </w:tabs>
        <w:ind w:left="108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5L5"/>
      <w:lvlText w:val="%1.%2.%3.%4.%5"/>
      <w:lvlJc w:val="left"/>
      <w:pPr>
        <w:tabs>
          <w:tab w:val="num" w:pos="4608"/>
        </w:tabs>
        <w:ind w:left="0" w:firstLine="3168"/>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5L6"/>
      <w:lvlText w:val="(%6)"/>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5L7"/>
      <w:lvlText w:val="(%7)"/>
      <w:lvlJc w:val="left"/>
      <w:pPr>
        <w:tabs>
          <w:tab w:val="num" w:pos="2160"/>
        </w:tabs>
        <w:ind w:left="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rticle5L8"/>
      <w:lvlText w:val="(%8)"/>
      <w:lvlJc w:val="left"/>
      <w:pPr>
        <w:tabs>
          <w:tab w:val="num" w:pos="3600"/>
        </w:tabs>
        <w:ind w:left="0" w:firstLine="288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760AF4"/>
    <w:multiLevelType w:val="hybridMultilevel"/>
    <w:tmpl w:val="0FB62D18"/>
    <w:lvl w:ilvl="0" w:tplc="D288374C">
      <w:start w:val="1"/>
      <w:numFmt w:val="upperLetter"/>
      <w:lvlText w:val="%1."/>
      <w:lvlJc w:val="center"/>
      <w:pPr>
        <w:ind w:left="1440" w:hanging="360"/>
      </w:pPr>
      <w:rPr>
        <w:rFonts w:hint="default"/>
        <w:b w:val="0"/>
      </w:rPr>
    </w:lvl>
    <w:lvl w:ilvl="1" w:tplc="B346FF3E" w:tentative="1">
      <w:start w:val="1"/>
      <w:numFmt w:val="lowerLetter"/>
      <w:lvlText w:val="%2."/>
      <w:lvlJc w:val="left"/>
      <w:pPr>
        <w:ind w:left="2160" w:hanging="360"/>
      </w:pPr>
    </w:lvl>
    <w:lvl w:ilvl="2" w:tplc="817ABB24" w:tentative="1">
      <w:start w:val="1"/>
      <w:numFmt w:val="lowerRoman"/>
      <w:lvlText w:val="%3."/>
      <w:lvlJc w:val="right"/>
      <w:pPr>
        <w:ind w:left="2880" w:hanging="180"/>
      </w:pPr>
    </w:lvl>
    <w:lvl w:ilvl="3" w:tplc="DCE2685C" w:tentative="1">
      <w:start w:val="1"/>
      <w:numFmt w:val="decimal"/>
      <w:lvlText w:val="%4."/>
      <w:lvlJc w:val="left"/>
      <w:pPr>
        <w:ind w:left="3600" w:hanging="360"/>
      </w:pPr>
    </w:lvl>
    <w:lvl w:ilvl="4" w:tplc="14E263F6" w:tentative="1">
      <w:start w:val="1"/>
      <w:numFmt w:val="lowerLetter"/>
      <w:lvlText w:val="%5."/>
      <w:lvlJc w:val="left"/>
      <w:pPr>
        <w:ind w:left="4320" w:hanging="360"/>
      </w:pPr>
    </w:lvl>
    <w:lvl w:ilvl="5" w:tplc="6DA26CF4" w:tentative="1">
      <w:start w:val="1"/>
      <w:numFmt w:val="lowerRoman"/>
      <w:lvlText w:val="%6."/>
      <w:lvlJc w:val="right"/>
      <w:pPr>
        <w:ind w:left="5040" w:hanging="180"/>
      </w:pPr>
    </w:lvl>
    <w:lvl w:ilvl="6" w:tplc="56E8916C" w:tentative="1">
      <w:start w:val="1"/>
      <w:numFmt w:val="decimal"/>
      <w:lvlText w:val="%7."/>
      <w:lvlJc w:val="left"/>
      <w:pPr>
        <w:ind w:left="5760" w:hanging="360"/>
      </w:pPr>
    </w:lvl>
    <w:lvl w:ilvl="7" w:tplc="48FA288A" w:tentative="1">
      <w:start w:val="1"/>
      <w:numFmt w:val="lowerLetter"/>
      <w:lvlText w:val="%8."/>
      <w:lvlJc w:val="left"/>
      <w:pPr>
        <w:ind w:left="6480" w:hanging="360"/>
      </w:pPr>
    </w:lvl>
    <w:lvl w:ilvl="8" w:tplc="C2327928" w:tentative="1">
      <w:start w:val="1"/>
      <w:numFmt w:val="lowerRoman"/>
      <w:lvlText w:val="%9."/>
      <w:lvlJc w:val="right"/>
      <w:pPr>
        <w:ind w:left="7200" w:hanging="180"/>
      </w:pPr>
    </w:lvl>
  </w:abstractNum>
  <w:abstractNum w:abstractNumId="19" w15:restartNumberingAfterBreak="0">
    <w:nsid w:val="4D01696E"/>
    <w:multiLevelType w:val="hybridMultilevel"/>
    <w:tmpl w:val="E79A838A"/>
    <w:lvl w:ilvl="0" w:tplc="59BE4EB4">
      <w:start w:val="1"/>
      <w:numFmt w:val="decimal"/>
      <w:lvlText w:val="%1."/>
      <w:lvlJc w:val="left"/>
      <w:pPr>
        <w:ind w:left="720" w:hanging="360"/>
      </w:pPr>
    </w:lvl>
    <w:lvl w:ilvl="1" w:tplc="D34A5E58">
      <w:start w:val="1"/>
      <w:numFmt w:val="lowerLetter"/>
      <w:lvlText w:val="%2."/>
      <w:lvlJc w:val="left"/>
      <w:pPr>
        <w:ind w:left="1440" w:hanging="360"/>
      </w:pPr>
    </w:lvl>
    <w:lvl w:ilvl="2" w:tplc="C6484C78">
      <w:start w:val="1"/>
      <w:numFmt w:val="lowerRoman"/>
      <w:lvlText w:val="%3."/>
      <w:lvlJc w:val="right"/>
      <w:pPr>
        <w:ind w:left="2160" w:hanging="180"/>
      </w:pPr>
    </w:lvl>
    <w:lvl w:ilvl="3" w:tplc="0F162DD0">
      <w:start w:val="1"/>
      <w:numFmt w:val="decimal"/>
      <w:lvlText w:val="%4."/>
      <w:lvlJc w:val="left"/>
      <w:pPr>
        <w:ind w:left="2880" w:hanging="360"/>
      </w:pPr>
    </w:lvl>
    <w:lvl w:ilvl="4" w:tplc="CE4E34E0">
      <w:start w:val="1"/>
      <w:numFmt w:val="lowerLetter"/>
      <w:lvlText w:val="%5."/>
      <w:lvlJc w:val="left"/>
      <w:pPr>
        <w:ind w:left="3600" w:hanging="360"/>
      </w:pPr>
    </w:lvl>
    <w:lvl w:ilvl="5" w:tplc="F848A396">
      <w:start w:val="1"/>
      <w:numFmt w:val="lowerRoman"/>
      <w:lvlText w:val="%6."/>
      <w:lvlJc w:val="right"/>
      <w:pPr>
        <w:ind w:left="4320" w:hanging="180"/>
      </w:pPr>
    </w:lvl>
    <w:lvl w:ilvl="6" w:tplc="45147EC0">
      <w:start w:val="1"/>
      <w:numFmt w:val="decimal"/>
      <w:lvlText w:val="%7."/>
      <w:lvlJc w:val="left"/>
      <w:pPr>
        <w:ind w:left="5040" w:hanging="360"/>
      </w:pPr>
    </w:lvl>
    <w:lvl w:ilvl="7" w:tplc="EEB069B4">
      <w:start w:val="1"/>
      <w:numFmt w:val="lowerLetter"/>
      <w:lvlText w:val="%8."/>
      <w:lvlJc w:val="left"/>
      <w:pPr>
        <w:ind w:left="5760" w:hanging="360"/>
      </w:pPr>
    </w:lvl>
    <w:lvl w:ilvl="8" w:tplc="B5D08984">
      <w:start w:val="1"/>
      <w:numFmt w:val="lowerRoman"/>
      <w:lvlText w:val="%9."/>
      <w:lvlJc w:val="right"/>
      <w:pPr>
        <w:ind w:left="6480" w:hanging="180"/>
      </w:pPr>
    </w:lvl>
  </w:abstractNum>
  <w:abstractNum w:abstractNumId="20" w15:restartNumberingAfterBreak="0">
    <w:nsid w:val="55B54E77"/>
    <w:multiLevelType w:val="hybridMultilevel"/>
    <w:tmpl w:val="E97490DA"/>
    <w:lvl w:ilvl="0" w:tplc="BBF4371E">
      <w:start w:val="1"/>
      <w:numFmt w:val="upperLetter"/>
      <w:lvlText w:val="%1."/>
      <w:lvlJc w:val="center"/>
      <w:pPr>
        <w:ind w:left="1440" w:hanging="360"/>
      </w:pPr>
      <w:rPr>
        <w:rFonts w:hint="default"/>
      </w:rPr>
    </w:lvl>
    <w:lvl w:ilvl="1" w:tplc="EBBE972A" w:tentative="1">
      <w:start w:val="1"/>
      <w:numFmt w:val="lowerLetter"/>
      <w:lvlText w:val="%2."/>
      <w:lvlJc w:val="left"/>
      <w:pPr>
        <w:ind w:left="2160" w:hanging="360"/>
      </w:pPr>
    </w:lvl>
    <w:lvl w:ilvl="2" w:tplc="CD0A8688" w:tentative="1">
      <w:start w:val="1"/>
      <w:numFmt w:val="lowerRoman"/>
      <w:lvlText w:val="%3."/>
      <w:lvlJc w:val="right"/>
      <w:pPr>
        <w:ind w:left="2880" w:hanging="180"/>
      </w:pPr>
    </w:lvl>
    <w:lvl w:ilvl="3" w:tplc="87462030" w:tentative="1">
      <w:start w:val="1"/>
      <w:numFmt w:val="decimal"/>
      <w:lvlText w:val="%4."/>
      <w:lvlJc w:val="left"/>
      <w:pPr>
        <w:ind w:left="3600" w:hanging="360"/>
      </w:pPr>
    </w:lvl>
    <w:lvl w:ilvl="4" w:tplc="534AA16C" w:tentative="1">
      <w:start w:val="1"/>
      <w:numFmt w:val="lowerLetter"/>
      <w:lvlText w:val="%5."/>
      <w:lvlJc w:val="left"/>
      <w:pPr>
        <w:ind w:left="4320" w:hanging="360"/>
      </w:pPr>
    </w:lvl>
    <w:lvl w:ilvl="5" w:tplc="35F68B8A" w:tentative="1">
      <w:start w:val="1"/>
      <w:numFmt w:val="lowerRoman"/>
      <w:lvlText w:val="%6."/>
      <w:lvlJc w:val="right"/>
      <w:pPr>
        <w:ind w:left="5040" w:hanging="180"/>
      </w:pPr>
    </w:lvl>
    <w:lvl w:ilvl="6" w:tplc="A226FDDC" w:tentative="1">
      <w:start w:val="1"/>
      <w:numFmt w:val="decimal"/>
      <w:lvlText w:val="%7."/>
      <w:lvlJc w:val="left"/>
      <w:pPr>
        <w:ind w:left="5760" w:hanging="360"/>
      </w:pPr>
    </w:lvl>
    <w:lvl w:ilvl="7" w:tplc="69660B78" w:tentative="1">
      <w:start w:val="1"/>
      <w:numFmt w:val="lowerLetter"/>
      <w:lvlText w:val="%8."/>
      <w:lvlJc w:val="left"/>
      <w:pPr>
        <w:ind w:left="6480" w:hanging="360"/>
      </w:pPr>
    </w:lvl>
    <w:lvl w:ilvl="8" w:tplc="4EF45F7E" w:tentative="1">
      <w:start w:val="1"/>
      <w:numFmt w:val="lowerRoman"/>
      <w:lvlText w:val="%9."/>
      <w:lvlJc w:val="right"/>
      <w:pPr>
        <w:ind w:left="7200" w:hanging="180"/>
      </w:pPr>
    </w:lvl>
  </w:abstractNum>
  <w:abstractNum w:abstractNumId="21" w15:restartNumberingAfterBreak="0">
    <w:nsid w:val="59403699"/>
    <w:multiLevelType w:val="multilevel"/>
    <w:tmpl w:val="2AB6E278"/>
    <w:name w:val="zzmpMultiLevel||Multi-Level|2|4|1|1|2|32||1|0|0||1|0|0||1|0|0||1|0|0||1|0|0||1|0|0||1|0|0||1|0|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szCs w:val="24"/>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4"/>
        <w:szCs w:val="24"/>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2"/>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2"/>
        <w:u w:val="none"/>
      </w:rPr>
    </w:lvl>
    <w:lvl w:ilvl="4">
      <w:start w:val="36"/>
      <w:numFmt w:val="decimal"/>
      <w:pStyle w:val="MultiLevelL5"/>
      <w:lvlText w:val="%5."/>
      <w:lvlJc w:val="left"/>
      <w:pPr>
        <w:tabs>
          <w:tab w:val="num" w:pos="720"/>
        </w:tabs>
        <w:ind w:left="720" w:hanging="720"/>
      </w:pPr>
      <w:rPr>
        <w:rFonts w:ascii="Times New Roman" w:hAnsi="Times New Roman" w:cs="Times New Roman"/>
        <w:b w:val="0"/>
        <w:i w:val="0"/>
        <w:caps w:val="0"/>
        <w:sz w:val="22"/>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2"/>
        <w:u w:val="none"/>
      </w:rPr>
    </w:lvl>
    <w:lvl w:ilvl="8">
      <w:start w:val="1"/>
      <w:numFmt w:val="bullet"/>
      <w:lvlRestart w:val="0"/>
      <w:pStyle w:val="MultiLevelL9"/>
      <w:lvlText w:val="·"/>
      <w:lvlJc w:val="left"/>
      <w:pPr>
        <w:tabs>
          <w:tab w:val="num" w:pos="6480"/>
        </w:tabs>
        <w:ind w:left="6480" w:hanging="720"/>
      </w:pPr>
      <w:rPr>
        <w:rFonts w:ascii="Times New Roman" w:hAnsi="Times New Roman" w:cs="Times New Roman" w:hint="default"/>
        <w:b w:val="0"/>
        <w:i w:val="0"/>
        <w:caps w:val="0"/>
        <w:sz w:val="22"/>
        <w:u w:val="none"/>
      </w:rPr>
    </w:lvl>
  </w:abstractNum>
  <w:abstractNum w:abstractNumId="22" w15:restartNumberingAfterBreak="0">
    <w:nsid w:val="5E2D25F8"/>
    <w:multiLevelType w:val="hybridMultilevel"/>
    <w:tmpl w:val="C3D67844"/>
    <w:lvl w:ilvl="0" w:tplc="006A2388">
      <w:start w:val="1"/>
      <w:numFmt w:val="decimal"/>
      <w:lvlText w:val="%1."/>
      <w:lvlJc w:val="left"/>
      <w:pPr>
        <w:ind w:left="720" w:hanging="360"/>
      </w:pPr>
    </w:lvl>
    <w:lvl w:ilvl="1" w:tplc="682E1060" w:tentative="1">
      <w:start w:val="1"/>
      <w:numFmt w:val="lowerLetter"/>
      <w:lvlText w:val="%2."/>
      <w:lvlJc w:val="left"/>
      <w:pPr>
        <w:ind w:left="1440" w:hanging="360"/>
      </w:pPr>
    </w:lvl>
    <w:lvl w:ilvl="2" w:tplc="745C674A" w:tentative="1">
      <w:start w:val="1"/>
      <w:numFmt w:val="lowerRoman"/>
      <w:lvlText w:val="%3."/>
      <w:lvlJc w:val="right"/>
      <w:pPr>
        <w:ind w:left="2160" w:hanging="180"/>
      </w:pPr>
    </w:lvl>
    <w:lvl w:ilvl="3" w:tplc="098CB8AC" w:tentative="1">
      <w:start w:val="1"/>
      <w:numFmt w:val="decimal"/>
      <w:lvlText w:val="%4."/>
      <w:lvlJc w:val="left"/>
      <w:pPr>
        <w:ind w:left="2880" w:hanging="360"/>
      </w:pPr>
    </w:lvl>
    <w:lvl w:ilvl="4" w:tplc="32425F70" w:tentative="1">
      <w:start w:val="1"/>
      <w:numFmt w:val="lowerLetter"/>
      <w:lvlText w:val="%5."/>
      <w:lvlJc w:val="left"/>
      <w:pPr>
        <w:ind w:left="3600" w:hanging="360"/>
      </w:pPr>
    </w:lvl>
    <w:lvl w:ilvl="5" w:tplc="AD04FB62" w:tentative="1">
      <w:start w:val="1"/>
      <w:numFmt w:val="lowerRoman"/>
      <w:lvlText w:val="%6."/>
      <w:lvlJc w:val="right"/>
      <w:pPr>
        <w:ind w:left="4320" w:hanging="180"/>
      </w:pPr>
    </w:lvl>
    <w:lvl w:ilvl="6" w:tplc="A020760A" w:tentative="1">
      <w:start w:val="1"/>
      <w:numFmt w:val="decimal"/>
      <w:lvlText w:val="%7."/>
      <w:lvlJc w:val="left"/>
      <w:pPr>
        <w:ind w:left="5040" w:hanging="360"/>
      </w:pPr>
    </w:lvl>
    <w:lvl w:ilvl="7" w:tplc="FB9AF29E" w:tentative="1">
      <w:start w:val="1"/>
      <w:numFmt w:val="lowerLetter"/>
      <w:lvlText w:val="%8."/>
      <w:lvlJc w:val="left"/>
      <w:pPr>
        <w:ind w:left="5760" w:hanging="360"/>
      </w:pPr>
    </w:lvl>
    <w:lvl w:ilvl="8" w:tplc="4BB832F4" w:tentative="1">
      <w:start w:val="1"/>
      <w:numFmt w:val="lowerRoman"/>
      <w:lvlText w:val="%9."/>
      <w:lvlJc w:val="right"/>
      <w:pPr>
        <w:ind w:left="6480" w:hanging="180"/>
      </w:pPr>
    </w:lvl>
  </w:abstractNum>
  <w:abstractNum w:abstractNumId="23" w15:restartNumberingAfterBreak="0">
    <w:nsid w:val="5FB74C45"/>
    <w:multiLevelType w:val="hybridMultilevel"/>
    <w:tmpl w:val="9084B560"/>
    <w:lvl w:ilvl="0" w:tplc="50787CE8">
      <w:start w:val="1"/>
      <w:numFmt w:val="decimal"/>
      <w:lvlText w:val="%1."/>
      <w:lvlJc w:val="left"/>
      <w:pPr>
        <w:ind w:left="720" w:hanging="360"/>
      </w:pPr>
    </w:lvl>
    <w:lvl w:ilvl="1" w:tplc="645A3B00" w:tentative="1">
      <w:start w:val="1"/>
      <w:numFmt w:val="lowerLetter"/>
      <w:lvlText w:val="%2."/>
      <w:lvlJc w:val="left"/>
      <w:pPr>
        <w:ind w:left="1440" w:hanging="360"/>
      </w:pPr>
    </w:lvl>
    <w:lvl w:ilvl="2" w:tplc="BB7C1AB4" w:tentative="1">
      <w:start w:val="1"/>
      <w:numFmt w:val="lowerRoman"/>
      <w:lvlText w:val="%3."/>
      <w:lvlJc w:val="right"/>
      <w:pPr>
        <w:ind w:left="2160" w:hanging="180"/>
      </w:pPr>
    </w:lvl>
    <w:lvl w:ilvl="3" w:tplc="BB820FAE" w:tentative="1">
      <w:start w:val="1"/>
      <w:numFmt w:val="decimal"/>
      <w:lvlText w:val="%4."/>
      <w:lvlJc w:val="left"/>
      <w:pPr>
        <w:ind w:left="2880" w:hanging="360"/>
      </w:pPr>
    </w:lvl>
    <w:lvl w:ilvl="4" w:tplc="C93CA8F8" w:tentative="1">
      <w:start w:val="1"/>
      <w:numFmt w:val="lowerLetter"/>
      <w:lvlText w:val="%5."/>
      <w:lvlJc w:val="left"/>
      <w:pPr>
        <w:ind w:left="3600" w:hanging="360"/>
      </w:pPr>
    </w:lvl>
    <w:lvl w:ilvl="5" w:tplc="9BA0F65C" w:tentative="1">
      <w:start w:val="1"/>
      <w:numFmt w:val="lowerRoman"/>
      <w:lvlText w:val="%6."/>
      <w:lvlJc w:val="right"/>
      <w:pPr>
        <w:ind w:left="4320" w:hanging="180"/>
      </w:pPr>
    </w:lvl>
    <w:lvl w:ilvl="6" w:tplc="E9F60544" w:tentative="1">
      <w:start w:val="1"/>
      <w:numFmt w:val="decimal"/>
      <w:lvlText w:val="%7."/>
      <w:lvlJc w:val="left"/>
      <w:pPr>
        <w:ind w:left="5040" w:hanging="360"/>
      </w:pPr>
    </w:lvl>
    <w:lvl w:ilvl="7" w:tplc="4C664A68" w:tentative="1">
      <w:start w:val="1"/>
      <w:numFmt w:val="lowerLetter"/>
      <w:lvlText w:val="%8."/>
      <w:lvlJc w:val="left"/>
      <w:pPr>
        <w:ind w:left="5760" w:hanging="360"/>
      </w:pPr>
    </w:lvl>
    <w:lvl w:ilvl="8" w:tplc="C6E8573E" w:tentative="1">
      <w:start w:val="1"/>
      <w:numFmt w:val="lowerRoman"/>
      <w:lvlText w:val="%9."/>
      <w:lvlJc w:val="right"/>
      <w:pPr>
        <w:ind w:left="6480" w:hanging="180"/>
      </w:pPr>
    </w:lvl>
  </w:abstractNum>
  <w:abstractNum w:abstractNumId="24" w15:restartNumberingAfterBreak="0">
    <w:nsid w:val="632F5909"/>
    <w:multiLevelType w:val="multilevel"/>
    <w:tmpl w:val="2C787CBC"/>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5520801">
    <w:abstractNumId w:val="14"/>
  </w:num>
  <w:num w:numId="2" w16cid:durableId="2008752435">
    <w:abstractNumId w:val="16"/>
  </w:num>
  <w:num w:numId="3" w16cid:durableId="565142972">
    <w:abstractNumId w:val="25"/>
  </w:num>
  <w:num w:numId="4" w16cid:durableId="2007634498">
    <w:abstractNumId w:val="10"/>
  </w:num>
  <w:num w:numId="5" w16cid:durableId="634799103">
    <w:abstractNumId w:val="17"/>
  </w:num>
  <w:num w:numId="6" w16cid:durableId="1103184821">
    <w:abstractNumId w:val="24"/>
  </w:num>
  <w:num w:numId="7" w16cid:durableId="2076197785">
    <w:abstractNumId w:val="20"/>
  </w:num>
  <w:num w:numId="8" w16cid:durableId="107437365">
    <w:abstractNumId w:val="18"/>
  </w:num>
  <w:num w:numId="9" w16cid:durableId="343898122">
    <w:abstractNumId w:val="9"/>
  </w:num>
  <w:num w:numId="10" w16cid:durableId="1252548926">
    <w:abstractNumId w:val="7"/>
  </w:num>
  <w:num w:numId="11" w16cid:durableId="1897474833">
    <w:abstractNumId w:val="6"/>
  </w:num>
  <w:num w:numId="12" w16cid:durableId="730616950">
    <w:abstractNumId w:val="5"/>
  </w:num>
  <w:num w:numId="13" w16cid:durableId="1676689638">
    <w:abstractNumId w:val="4"/>
  </w:num>
  <w:num w:numId="14" w16cid:durableId="918296418">
    <w:abstractNumId w:val="8"/>
  </w:num>
  <w:num w:numId="15" w16cid:durableId="234046582">
    <w:abstractNumId w:val="3"/>
  </w:num>
  <w:num w:numId="16" w16cid:durableId="953026441">
    <w:abstractNumId w:val="2"/>
  </w:num>
  <w:num w:numId="17" w16cid:durableId="1229028263">
    <w:abstractNumId w:val="1"/>
  </w:num>
  <w:num w:numId="18" w16cid:durableId="451289764">
    <w:abstractNumId w:val="0"/>
  </w:num>
  <w:num w:numId="19" w16cid:durableId="80222225">
    <w:abstractNumId w:val="15"/>
  </w:num>
  <w:num w:numId="20" w16cid:durableId="563181625">
    <w:abstractNumId w:val="10"/>
  </w:num>
  <w:num w:numId="21" w16cid:durableId="144593631">
    <w:abstractNumId w:val="10"/>
  </w:num>
  <w:num w:numId="22" w16cid:durableId="171379993">
    <w:abstractNumId w:val="10"/>
  </w:num>
  <w:num w:numId="23" w16cid:durableId="1857381265">
    <w:abstractNumId w:val="10"/>
  </w:num>
  <w:num w:numId="24" w16cid:durableId="2132086403">
    <w:abstractNumId w:val="10"/>
  </w:num>
  <w:num w:numId="25" w16cid:durableId="1344671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1047253">
    <w:abstractNumId w:val="10"/>
  </w:num>
  <w:num w:numId="27" w16cid:durableId="169834196">
    <w:abstractNumId w:val="10"/>
  </w:num>
  <w:num w:numId="28" w16cid:durableId="376202570">
    <w:abstractNumId w:val="19"/>
  </w:num>
  <w:num w:numId="29" w16cid:durableId="1679653878">
    <w:abstractNumId w:val="23"/>
  </w:num>
  <w:num w:numId="30" w16cid:durableId="1027607245">
    <w:abstractNumId w:val="22"/>
  </w:num>
  <w:num w:numId="31" w16cid:durableId="1332218143">
    <w:abstractNumId w:val="12"/>
  </w:num>
  <w:num w:numId="32" w16cid:durableId="1876383856">
    <w:abstractNumId w:val="13"/>
  </w:num>
  <w:num w:numId="33" w16cid:durableId="1144548638">
    <w:abstractNumId w:val="11"/>
  </w:num>
  <w:num w:numId="34" w16cid:durableId="1706638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0083565">
    <w:abstractNumId w:val="10"/>
  </w:num>
  <w:num w:numId="36" w16cid:durableId="977223214">
    <w:abstractNumId w:val="10"/>
  </w:num>
  <w:num w:numId="37" w16cid:durableId="1987394070">
    <w:abstractNumId w:val="10"/>
  </w:num>
  <w:num w:numId="38" w16cid:durableId="1565331602">
    <w:abstractNumId w:val="10"/>
  </w:num>
  <w:num w:numId="39" w16cid:durableId="593785826">
    <w:abstractNumId w:val="10"/>
  </w:num>
  <w:num w:numId="40" w16cid:durableId="14697809">
    <w:abstractNumId w:val="21"/>
  </w:num>
  <w:num w:numId="41" w16cid:durableId="2142069725">
    <w:abstractNumId w:val="10"/>
  </w:num>
  <w:num w:numId="42" w16cid:durableId="1150559507">
    <w:abstractNumId w:val="10"/>
  </w:num>
  <w:num w:numId="43" w16cid:durableId="439881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9006420">
    <w:abstractNumId w:val="10"/>
  </w:num>
  <w:num w:numId="45" w16cid:durableId="287199304">
    <w:abstractNumId w:val="10"/>
  </w:num>
  <w:num w:numId="46" w16cid:durableId="524439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4037703">
    <w:abstractNumId w:val="11"/>
  </w:num>
  <w:num w:numId="48" w16cid:durableId="124742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3684235">
    <w:abstractNumId w:val="10"/>
  </w:num>
  <w:num w:numId="50" w16cid:durableId="10135331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1770214">
    <w:abstractNumId w:val="10"/>
  </w:num>
  <w:num w:numId="52" w16cid:durableId="69311218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7"/>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D"/>
    <w:rsid w:val="0000015E"/>
    <w:rsid w:val="00000B7B"/>
    <w:rsid w:val="00000DE6"/>
    <w:rsid w:val="0000160C"/>
    <w:rsid w:val="00001B7C"/>
    <w:rsid w:val="0000274F"/>
    <w:rsid w:val="00003A97"/>
    <w:rsid w:val="00003DCA"/>
    <w:rsid w:val="000066D9"/>
    <w:rsid w:val="00006B25"/>
    <w:rsid w:val="00007284"/>
    <w:rsid w:val="000106E9"/>
    <w:rsid w:val="00010888"/>
    <w:rsid w:val="00011516"/>
    <w:rsid w:val="00011949"/>
    <w:rsid w:val="0001258B"/>
    <w:rsid w:val="000128EC"/>
    <w:rsid w:val="0001457F"/>
    <w:rsid w:val="00015478"/>
    <w:rsid w:val="00015A3E"/>
    <w:rsid w:val="000166AE"/>
    <w:rsid w:val="00023149"/>
    <w:rsid w:val="000248AB"/>
    <w:rsid w:val="0002505D"/>
    <w:rsid w:val="000255B9"/>
    <w:rsid w:val="00025703"/>
    <w:rsid w:val="00026159"/>
    <w:rsid w:val="000263C7"/>
    <w:rsid w:val="00026FB5"/>
    <w:rsid w:val="00027352"/>
    <w:rsid w:val="00027A2C"/>
    <w:rsid w:val="00032391"/>
    <w:rsid w:val="00033198"/>
    <w:rsid w:val="00033A0D"/>
    <w:rsid w:val="00034A85"/>
    <w:rsid w:val="000368CB"/>
    <w:rsid w:val="00040C15"/>
    <w:rsid w:val="000411B6"/>
    <w:rsid w:val="000432AB"/>
    <w:rsid w:val="00043670"/>
    <w:rsid w:val="00043B41"/>
    <w:rsid w:val="0004419C"/>
    <w:rsid w:val="000453F0"/>
    <w:rsid w:val="00046A2F"/>
    <w:rsid w:val="00051CCA"/>
    <w:rsid w:val="00051E5A"/>
    <w:rsid w:val="000521B5"/>
    <w:rsid w:val="00056374"/>
    <w:rsid w:val="00056F97"/>
    <w:rsid w:val="0005758E"/>
    <w:rsid w:val="00063FE0"/>
    <w:rsid w:val="00064DB4"/>
    <w:rsid w:val="000650F5"/>
    <w:rsid w:val="000673ED"/>
    <w:rsid w:val="00071969"/>
    <w:rsid w:val="00072A67"/>
    <w:rsid w:val="00072EC4"/>
    <w:rsid w:val="0007337C"/>
    <w:rsid w:val="00073D72"/>
    <w:rsid w:val="000751E8"/>
    <w:rsid w:val="00075B2A"/>
    <w:rsid w:val="00075FBD"/>
    <w:rsid w:val="00077A4A"/>
    <w:rsid w:val="00080D63"/>
    <w:rsid w:val="00081EA2"/>
    <w:rsid w:val="000826D6"/>
    <w:rsid w:val="00082BD9"/>
    <w:rsid w:val="00085844"/>
    <w:rsid w:val="0008657A"/>
    <w:rsid w:val="0008762F"/>
    <w:rsid w:val="00087666"/>
    <w:rsid w:val="00090486"/>
    <w:rsid w:val="00090F8F"/>
    <w:rsid w:val="00091C41"/>
    <w:rsid w:val="000930C9"/>
    <w:rsid w:val="0009387B"/>
    <w:rsid w:val="00094530"/>
    <w:rsid w:val="00094DC1"/>
    <w:rsid w:val="000A2A48"/>
    <w:rsid w:val="000A40F9"/>
    <w:rsid w:val="000A5490"/>
    <w:rsid w:val="000A68A3"/>
    <w:rsid w:val="000A714B"/>
    <w:rsid w:val="000A7FE0"/>
    <w:rsid w:val="000B03FF"/>
    <w:rsid w:val="000B0A87"/>
    <w:rsid w:val="000B3C5F"/>
    <w:rsid w:val="000B49C6"/>
    <w:rsid w:val="000B5460"/>
    <w:rsid w:val="000B5B0B"/>
    <w:rsid w:val="000B5BB7"/>
    <w:rsid w:val="000B5C8A"/>
    <w:rsid w:val="000C0145"/>
    <w:rsid w:val="000C091D"/>
    <w:rsid w:val="000C289F"/>
    <w:rsid w:val="000C4FA4"/>
    <w:rsid w:val="000C5116"/>
    <w:rsid w:val="000C5E31"/>
    <w:rsid w:val="000C6416"/>
    <w:rsid w:val="000C67A9"/>
    <w:rsid w:val="000D1459"/>
    <w:rsid w:val="000D1A10"/>
    <w:rsid w:val="000D36CE"/>
    <w:rsid w:val="000D4D7C"/>
    <w:rsid w:val="000D531A"/>
    <w:rsid w:val="000D62FC"/>
    <w:rsid w:val="000D74B4"/>
    <w:rsid w:val="000E0339"/>
    <w:rsid w:val="000E17D7"/>
    <w:rsid w:val="000E2329"/>
    <w:rsid w:val="000E6501"/>
    <w:rsid w:val="000E7910"/>
    <w:rsid w:val="000E7BB7"/>
    <w:rsid w:val="000F268D"/>
    <w:rsid w:val="000F42C2"/>
    <w:rsid w:val="000F692A"/>
    <w:rsid w:val="000F7B8F"/>
    <w:rsid w:val="00101FF9"/>
    <w:rsid w:val="0010233A"/>
    <w:rsid w:val="001025A5"/>
    <w:rsid w:val="001037AC"/>
    <w:rsid w:val="00110D12"/>
    <w:rsid w:val="001112E6"/>
    <w:rsid w:val="00111D18"/>
    <w:rsid w:val="00113DD9"/>
    <w:rsid w:val="00113F22"/>
    <w:rsid w:val="001151F0"/>
    <w:rsid w:val="0011613F"/>
    <w:rsid w:val="00117A02"/>
    <w:rsid w:val="00121574"/>
    <w:rsid w:val="001238E2"/>
    <w:rsid w:val="00124ED8"/>
    <w:rsid w:val="001264C7"/>
    <w:rsid w:val="00127E69"/>
    <w:rsid w:val="00133578"/>
    <w:rsid w:val="00133612"/>
    <w:rsid w:val="00134D9F"/>
    <w:rsid w:val="00135ED5"/>
    <w:rsid w:val="001373B7"/>
    <w:rsid w:val="00140041"/>
    <w:rsid w:val="001417EF"/>
    <w:rsid w:val="001454EA"/>
    <w:rsid w:val="001469D3"/>
    <w:rsid w:val="001476F1"/>
    <w:rsid w:val="00152FB4"/>
    <w:rsid w:val="001546C9"/>
    <w:rsid w:val="00154E9C"/>
    <w:rsid w:val="001572B0"/>
    <w:rsid w:val="00160C62"/>
    <w:rsid w:val="001618B9"/>
    <w:rsid w:val="001623C3"/>
    <w:rsid w:val="001623ED"/>
    <w:rsid w:val="0016492D"/>
    <w:rsid w:val="00165A36"/>
    <w:rsid w:val="00165A95"/>
    <w:rsid w:val="0016613F"/>
    <w:rsid w:val="001677E7"/>
    <w:rsid w:val="00167D67"/>
    <w:rsid w:val="001708DF"/>
    <w:rsid w:val="001727A6"/>
    <w:rsid w:val="001729A7"/>
    <w:rsid w:val="0017498F"/>
    <w:rsid w:val="00175A91"/>
    <w:rsid w:val="0017645D"/>
    <w:rsid w:val="00177F4E"/>
    <w:rsid w:val="0018072B"/>
    <w:rsid w:val="00181070"/>
    <w:rsid w:val="00181267"/>
    <w:rsid w:val="00181438"/>
    <w:rsid w:val="00181C81"/>
    <w:rsid w:val="00182371"/>
    <w:rsid w:val="001826B7"/>
    <w:rsid w:val="001842C5"/>
    <w:rsid w:val="001848FC"/>
    <w:rsid w:val="00184A18"/>
    <w:rsid w:val="00185797"/>
    <w:rsid w:val="00187FB2"/>
    <w:rsid w:val="00193FE8"/>
    <w:rsid w:val="00194F53"/>
    <w:rsid w:val="001A1A3F"/>
    <w:rsid w:val="001A26A5"/>
    <w:rsid w:val="001A61AA"/>
    <w:rsid w:val="001A7D21"/>
    <w:rsid w:val="001B1419"/>
    <w:rsid w:val="001B1DC0"/>
    <w:rsid w:val="001B27C4"/>
    <w:rsid w:val="001B4B46"/>
    <w:rsid w:val="001B4CF1"/>
    <w:rsid w:val="001B4E6E"/>
    <w:rsid w:val="001C01B7"/>
    <w:rsid w:val="001C4200"/>
    <w:rsid w:val="001C640C"/>
    <w:rsid w:val="001C6625"/>
    <w:rsid w:val="001C6899"/>
    <w:rsid w:val="001D035C"/>
    <w:rsid w:val="001D1D02"/>
    <w:rsid w:val="001D3087"/>
    <w:rsid w:val="001D3650"/>
    <w:rsid w:val="001D3F81"/>
    <w:rsid w:val="001D592E"/>
    <w:rsid w:val="001D6FD0"/>
    <w:rsid w:val="001E0399"/>
    <w:rsid w:val="001E31E0"/>
    <w:rsid w:val="001E33BF"/>
    <w:rsid w:val="001E5568"/>
    <w:rsid w:val="001E57B2"/>
    <w:rsid w:val="001E648F"/>
    <w:rsid w:val="001E65D2"/>
    <w:rsid w:val="001E73FD"/>
    <w:rsid w:val="001F17FD"/>
    <w:rsid w:val="001F2125"/>
    <w:rsid w:val="001F2796"/>
    <w:rsid w:val="001F412A"/>
    <w:rsid w:val="001F5C18"/>
    <w:rsid w:val="001F6E00"/>
    <w:rsid w:val="002006E1"/>
    <w:rsid w:val="00200E49"/>
    <w:rsid w:val="002034D3"/>
    <w:rsid w:val="002041B5"/>
    <w:rsid w:val="00205367"/>
    <w:rsid w:val="00207B21"/>
    <w:rsid w:val="00210208"/>
    <w:rsid w:val="00210874"/>
    <w:rsid w:val="00212005"/>
    <w:rsid w:val="00214487"/>
    <w:rsid w:val="00222350"/>
    <w:rsid w:val="00222E93"/>
    <w:rsid w:val="002242BE"/>
    <w:rsid w:val="00224641"/>
    <w:rsid w:val="00225C59"/>
    <w:rsid w:val="00226F06"/>
    <w:rsid w:val="00230844"/>
    <w:rsid w:val="00234EAA"/>
    <w:rsid w:val="00235007"/>
    <w:rsid w:val="002355B8"/>
    <w:rsid w:val="002360CE"/>
    <w:rsid w:val="00237C66"/>
    <w:rsid w:val="00240913"/>
    <w:rsid w:val="0024110C"/>
    <w:rsid w:val="00245318"/>
    <w:rsid w:val="00247437"/>
    <w:rsid w:val="00247620"/>
    <w:rsid w:val="002509FC"/>
    <w:rsid w:val="00250BD8"/>
    <w:rsid w:val="00250E32"/>
    <w:rsid w:val="002523F1"/>
    <w:rsid w:val="002528A0"/>
    <w:rsid w:val="0025334F"/>
    <w:rsid w:val="0025413B"/>
    <w:rsid w:val="002557D1"/>
    <w:rsid w:val="00255B5A"/>
    <w:rsid w:val="00263E29"/>
    <w:rsid w:val="00265E0D"/>
    <w:rsid w:val="0026623A"/>
    <w:rsid w:val="00275300"/>
    <w:rsid w:val="00275F6E"/>
    <w:rsid w:val="00280E84"/>
    <w:rsid w:val="002817F8"/>
    <w:rsid w:val="00282FC3"/>
    <w:rsid w:val="00283712"/>
    <w:rsid w:val="00283BF0"/>
    <w:rsid w:val="0028501E"/>
    <w:rsid w:val="0028764C"/>
    <w:rsid w:val="00287766"/>
    <w:rsid w:val="00287C65"/>
    <w:rsid w:val="002928C2"/>
    <w:rsid w:val="002929AC"/>
    <w:rsid w:val="00293A2F"/>
    <w:rsid w:val="00293FEC"/>
    <w:rsid w:val="0029405A"/>
    <w:rsid w:val="0029415D"/>
    <w:rsid w:val="00295C09"/>
    <w:rsid w:val="00296108"/>
    <w:rsid w:val="00296B85"/>
    <w:rsid w:val="002A0586"/>
    <w:rsid w:val="002A0AEC"/>
    <w:rsid w:val="002A0EB1"/>
    <w:rsid w:val="002A15A7"/>
    <w:rsid w:val="002A1AE2"/>
    <w:rsid w:val="002A348B"/>
    <w:rsid w:val="002A5A84"/>
    <w:rsid w:val="002A6710"/>
    <w:rsid w:val="002B15C0"/>
    <w:rsid w:val="002B1722"/>
    <w:rsid w:val="002B24D7"/>
    <w:rsid w:val="002B2551"/>
    <w:rsid w:val="002B42A2"/>
    <w:rsid w:val="002B44E3"/>
    <w:rsid w:val="002B5797"/>
    <w:rsid w:val="002B70AE"/>
    <w:rsid w:val="002B710F"/>
    <w:rsid w:val="002B790C"/>
    <w:rsid w:val="002C0446"/>
    <w:rsid w:val="002C0926"/>
    <w:rsid w:val="002C163D"/>
    <w:rsid w:val="002C2B34"/>
    <w:rsid w:val="002C35A6"/>
    <w:rsid w:val="002C35DB"/>
    <w:rsid w:val="002C574F"/>
    <w:rsid w:val="002C5AA2"/>
    <w:rsid w:val="002C5DE9"/>
    <w:rsid w:val="002C5E77"/>
    <w:rsid w:val="002C7ECD"/>
    <w:rsid w:val="002D16CD"/>
    <w:rsid w:val="002D221D"/>
    <w:rsid w:val="002D29D9"/>
    <w:rsid w:val="002D5DA5"/>
    <w:rsid w:val="002D5ECE"/>
    <w:rsid w:val="002E0386"/>
    <w:rsid w:val="002E176C"/>
    <w:rsid w:val="002E7BFE"/>
    <w:rsid w:val="002F056E"/>
    <w:rsid w:val="002F142D"/>
    <w:rsid w:val="002F3A76"/>
    <w:rsid w:val="002F3ADD"/>
    <w:rsid w:val="002F49AF"/>
    <w:rsid w:val="002F4A28"/>
    <w:rsid w:val="002F4F98"/>
    <w:rsid w:val="002F6438"/>
    <w:rsid w:val="0030130E"/>
    <w:rsid w:val="00302DFD"/>
    <w:rsid w:val="003038F7"/>
    <w:rsid w:val="003044BD"/>
    <w:rsid w:val="003049E8"/>
    <w:rsid w:val="00304C67"/>
    <w:rsid w:val="0030567D"/>
    <w:rsid w:val="00305A13"/>
    <w:rsid w:val="00305DEF"/>
    <w:rsid w:val="00305E89"/>
    <w:rsid w:val="00307CEF"/>
    <w:rsid w:val="003101EE"/>
    <w:rsid w:val="00310CBA"/>
    <w:rsid w:val="003110EA"/>
    <w:rsid w:val="00311AAF"/>
    <w:rsid w:val="00312208"/>
    <w:rsid w:val="003125B3"/>
    <w:rsid w:val="00312BAC"/>
    <w:rsid w:val="00312F4E"/>
    <w:rsid w:val="003134DD"/>
    <w:rsid w:val="0031391D"/>
    <w:rsid w:val="00314DB7"/>
    <w:rsid w:val="00314ED8"/>
    <w:rsid w:val="00316337"/>
    <w:rsid w:val="0031681D"/>
    <w:rsid w:val="003201C2"/>
    <w:rsid w:val="00320662"/>
    <w:rsid w:val="0032072F"/>
    <w:rsid w:val="00321087"/>
    <w:rsid w:val="003212AB"/>
    <w:rsid w:val="003218B7"/>
    <w:rsid w:val="0032258C"/>
    <w:rsid w:val="003227D8"/>
    <w:rsid w:val="00322B21"/>
    <w:rsid w:val="0032553C"/>
    <w:rsid w:val="00326580"/>
    <w:rsid w:val="003278C2"/>
    <w:rsid w:val="00327D17"/>
    <w:rsid w:val="003303DE"/>
    <w:rsid w:val="003304CE"/>
    <w:rsid w:val="00330D43"/>
    <w:rsid w:val="0033114A"/>
    <w:rsid w:val="00331633"/>
    <w:rsid w:val="0033167C"/>
    <w:rsid w:val="00331D88"/>
    <w:rsid w:val="0033275E"/>
    <w:rsid w:val="003334B2"/>
    <w:rsid w:val="003335F6"/>
    <w:rsid w:val="00333872"/>
    <w:rsid w:val="00333A6A"/>
    <w:rsid w:val="0033428C"/>
    <w:rsid w:val="0033537E"/>
    <w:rsid w:val="00335434"/>
    <w:rsid w:val="0033614A"/>
    <w:rsid w:val="003375F1"/>
    <w:rsid w:val="003376D9"/>
    <w:rsid w:val="00340FE9"/>
    <w:rsid w:val="0034116E"/>
    <w:rsid w:val="003413A4"/>
    <w:rsid w:val="00342C9F"/>
    <w:rsid w:val="00342D33"/>
    <w:rsid w:val="003438E7"/>
    <w:rsid w:val="003444F9"/>
    <w:rsid w:val="00345565"/>
    <w:rsid w:val="00346DD0"/>
    <w:rsid w:val="003517DA"/>
    <w:rsid w:val="00351BAD"/>
    <w:rsid w:val="003521D7"/>
    <w:rsid w:val="00352E40"/>
    <w:rsid w:val="00353884"/>
    <w:rsid w:val="00353B77"/>
    <w:rsid w:val="003549A3"/>
    <w:rsid w:val="0035534D"/>
    <w:rsid w:val="0035554D"/>
    <w:rsid w:val="00356AB9"/>
    <w:rsid w:val="00360C2E"/>
    <w:rsid w:val="00360F82"/>
    <w:rsid w:val="003614BB"/>
    <w:rsid w:val="00364B59"/>
    <w:rsid w:val="00364EF0"/>
    <w:rsid w:val="003652AA"/>
    <w:rsid w:val="00365C86"/>
    <w:rsid w:val="00371288"/>
    <w:rsid w:val="003739AE"/>
    <w:rsid w:val="00381DAD"/>
    <w:rsid w:val="0038377E"/>
    <w:rsid w:val="00384F0B"/>
    <w:rsid w:val="00384FDB"/>
    <w:rsid w:val="00385137"/>
    <w:rsid w:val="00385801"/>
    <w:rsid w:val="00386ABF"/>
    <w:rsid w:val="0038771A"/>
    <w:rsid w:val="00390358"/>
    <w:rsid w:val="00392744"/>
    <w:rsid w:val="00392C1D"/>
    <w:rsid w:val="00392D37"/>
    <w:rsid w:val="00395340"/>
    <w:rsid w:val="00396632"/>
    <w:rsid w:val="003A0770"/>
    <w:rsid w:val="003A144C"/>
    <w:rsid w:val="003A340B"/>
    <w:rsid w:val="003A35CD"/>
    <w:rsid w:val="003A3836"/>
    <w:rsid w:val="003A3D20"/>
    <w:rsid w:val="003B0D00"/>
    <w:rsid w:val="003B1BFD"/>
    <w:rsid w:val="003B1F9A"/>
    <w:rsid w:val="003B2D4E"/>
    <w:rsid w:val="003B345A"/>
    <w:rsid w:val="003B56AD"/>
    <w:rsid w:val="003B5A2C"/>
    <w:rsid w:val="003B6D4A"/>
    <w:rsid w:val="003B751B"/>
    <w:rsid w:val="003C0958"/>
    <w:rsid w:val="003C21C5"/>
    <w:rsid w:val="003C413C"/>
    <w:rsid w:val="003C48DB"/>
    <w:rsid w:val="003C4E90"/>
    <w:rsid w:val="003C7B78"/>
    <w:rsid w:val="003D0B7A"/>
    <w:rsid w:val="003D414B"/>
    <w:rsid w:val="003D507D"/>
    <w:rsid w:val="003D675D"/>
    <w:rsid w:val="003E1C95"/>
    <w:rsid w:val="003E51C6"/>
    <w:rsid w:val="003E6889"/>
    <w:rsid w:val="003E7474"/>
    <w:rsid w:val="003E7476"/>
    <w:rsid w:val="003E7F67"/>
    <w:rsid w:val="003F3061"/>
    <w:rsid w:val="003F3DE9"/>
    <w:rsid w:val="003F4744"/>
    <w:rsid w:val="003F4BE6"/>
    <w:rsid w:val="003F6AD5"/>
    <w:rsid w:val="00400899"/>
    <w:rsid w:val="004024BC"/>
    <w:rsid w:val="00402B77"/>
    <w:rsid w:val="00403E45"/>
    <w:rsid w:val="00404A2F"/>
    <w:rsid w:val="00405829"/>
    <w:rsid w:val="00406976"/>
    <w:rsid w:val="004079B5"/>
    <w:rsid w:val="00407C5F"/>
    <w:rsid w:val="0041079F"/>
    <w:rsid w:val="004144A0"/>
    <w:rsid w:val="0041466A"/>
    <w:rsid w:val="00414E0E"/>
    <w:rsid w:val="00415C36"/>
    <w:rsid w:val="00420B8D"/>
    <w:rsid w:val="004229E8"/>
    <w:rsid w:val="00424072"/>
    <w:rsid w:val="00425A4B"/>
    <w:rsid w:val="00425BB8"/>
    <w:rsid w:val="0042603A"/>
    <w:rsid w:val="00426335"/>
    <w:rsid w:val="004265ED"/>
    <w:rsid w:val="00431640"/>
    <w:rsid w:val="004333DE"/>
    <w:rsid w:val="00435089"/>
    <w:rsid w:val="00435E12"/>
    <w:rsid w:val="0043726E"/>
    <w:rsid w:val="00437272"/>
    <w:rsid w:val="00437894"/>
    <w:rsid w:val="00440271"/>
    <w:rsid w:val="00440A77"/>
    <w:rsid w:val="0044140B"/>
    <w:rsid w:val="00444288"/>
    <w:rsid w:val="00444409"/>
    <w:rsid w:val="00447B01"/>
    <w:rsid w:val="00450203"/>
    <w:rsid w:val="00450273"/>
    <w:rsid w:val="00451713"/>
    <w:rsid w:val="0045214F"/>
    <w:rsid w:val="00452480"/>
    <w:rsid w:val="00453736"/>
    <w:rsid w:val="004538F0"/>
    <w:rsid w:val="0045549C"/>
    <w:rsid w:val="004601A5"/>
    <w:rsid w:val="004601EF"/>
    <w:rsid w:val="00462AAD"/>
    <w:rsid w:val="00462DA1"/>
    <w:rsid w:val="00464E79"/>
    <w:rsid w:val="004653CB"/>
    <w:rsid w:val="0046585B"/>
    <w:rsid w:val="00466630"/>
    <w:rsid w:val="00467A4D"/>
    <w:rsid w:val="00470730"/>
    <w:rsid w:val="00471460"/>
    <w:rsid w:val="00471C2B"/>
    <w:rsid w:val="00472259"/>
    <w:rsid w:val="00472BDD"/>
    <w:rsid w:val="00473AD0"/>
    <w:rsid w:val="00475E67"/>
    <w:rsid w:val="00476A49"/>
    <w:rsid w:val="00476A4B"/>
    <w:rsid w:val="004775E6"/>
    <w:rsid w:val="00477887"/>
    <w:rsid w:val="00480675"/>
    <w:rsid w:val="004806E6"/>
    <w:rsid w:val="00480E72"/>
    <w:rsid w:val="00481BFE"/>
    <w:rsid w:val="00482039"/>
    <w:rsid w:val="0048325D"/>
    <w:rsid w:val="004841AE"/>
    <w:rsid w:val="00485C9B"/>
    <w:rsid w:val="004868DD"/>
    <w:rsid w:val="004907E7"/>
    <w:rsid w:val="00491B4B"/>
    <w:rsid w:val="00491C09"/>
    <w:rsid w:val="00493131"/>
    <w:rsid w:val="00494BCC"/>
    <w:rsid w:val="004952D2"/>
    <w:rsid w:val="004A0549"/>
    <w:rsid w:val="004A0E93"/>
    <w:rsid w:val="004A11F0"/>
    <w:rsid w:val="004A3CED"/>
    <w:rsid w:val="004A48EB"/>
    <w:rsid w:val="004A4FFB"/>
    <w:rsid w:val="004A5929"/>
    <w:rsid w:val="004B1509"/>
    <w:rsid w:val="004B3672"/>
    <w:rsid w:val="004B404C"/>
    <w:rsid w:val="004B433C"/>
    <w:rsid w:val="004B61CD"/>
    <w:rsid w:val="004B695E"/>
    <w:rsid w:val="004C047E"/>
    <w:rsid w:val="004C0991"/>
    <w:rsid w:val="004C0B11"/>
    <w:rsid w:val="004C10B5"/>
    <w:rsid w:val="004C1C79"/>
    <w:rsid w:val="004C30C4"/>
    <w:rsid w:val="004C3CD7"/>
    <w:rsid w:val="004C3FA3"/>
    <w:rsid w:val="004C40FD"/>
    <w:rsid w:val="004C5A11"/>
    <w:rsid w:val="004C5C10"/>
    <w:rsid w:val="004C75A3"/>
    <w:rsid w:val="004D2583"/>
    <w:rsid w:val="004D3720"/>
    <w:rsid w:val="004D4C0F"/>
    <w:rsid w:val="004D6620"/>
    <w:rsid w:val="004D759F"/>
    <w:rsid w:val="004E028C"/>
    <w:rsid w:val="004E1AF3"/>
    <w:rsid w:val="004E2B9B"/>
    <w:rsid w:val="004E4875"/>
    <w:rsid w:val="004E57B8"/>
    <w:rsid w:val="004F1517"/>
    <w:rsid w:val="004F15A1"/>
    <w:rsid w:val="004F3453"/>
    <w:rsid w:val="004F3866"/>
    <w:rsid w:val="004F3E1E"/>
    <w:rsid w:val="004F41A7"/>
    <w:rsid w:val="004F4BFF"/>
    <w:rsid w:val="004F603D"/>
    <w:rsid w:val="004F7389"/>
    <w:rsid w:val="00501FA6"/>
    <w:rsid w:val="00502DCA"/>
    <w:rsid w:val="00503D13"/>
    <w:rsid w:val="00503D18"/>
    <w:rsid w:val="00504E6B"/>
    <w:rsid w:val="005050D2"/>
    <w:rsid w:val="005065B3"/>
    <w:rsid w:val="00506F0D"/>
    <w:rsid w:val="00511915"/>
    <w:rsid w:val="0051235B"/>
    <w:rsid w:val="00512D6F"/>
    <w:rsid w:val="005144F1"/>
    <w:rsid w:val="0051671F"/>
    <w:rsid w:val="00520739"/>
    <w:rsid w:val="00520B62"/>
    <w:rsid w:val="005243C3"/>
    <w:rsid w:val="00524BB7"/>
    <w:rsid w:val="005258A0"/>
    <w:rsid w:val="00525944"/>
    <w:rsid w:val="00525D0E"/>
    <w:rsid w:val="00527169"/>
    <w:rsid w:val="00531267"/>
    <w:rsid w:val="0053290C"/>
    <w:rsid w:val="00534361"/>
    <w:rsid w:val="00535D46"/>
    <w:rsid w:val="005364F9"/>
    <w:rsid w:val="00536C24"/>
    <w:rsid w:val="0053705B"/>
    <w:rsid w:val="00540008"/>
    <w:rsid w:val="00541F55"/>
    <w:rsid w:val="00545953"/>
    <w:rsid w:val="00546011"/>
    <w:rsid w:val="005471F6"/>
    <w:rsid w:val="00550462"/>
    <w:rsid w:val="00551040"/>
    <w:rsid w:val="00551AE9"/>
    <w:rsid w:val="005532FC"/>
    <w:rsid w:val="00553C72"/>
    <w:rsid w:val="005541FC"/>
    <w:rsid w:val="0055569D"/>
    <w:rsid w:val="00561FCC"/>
    <w:rsid w:val="0056207F"/>
    <w:rsid w:val="00562D64"/>
    <w:rsid w:val="0056557F"/>
    <w:rsid w:val="005656AD"/>
    <w:rsid w:val="0056751D"/>
    <w:rsid w:val="00570E6C"/>
    <w:rsid w:val="005714D9"/>
    <w:rsid w:val="005731D5"/>
    <w:rsid w:val="00573274"/>
    <w:rsid w:val="00574AD1"/>
    <w:rsid w:val="00576245"/>
    <w:rsid w:val="0057703E"/>
    <w:rsid w:val="005804C3"/>
    <w:rsid w:val="0058158A"/>
    <w:rsid w:val="00582138"/>
    <w:rsid w:val="00582B55"/>
    <w:rsid w:val="00583205"/>
    <w:rsid w:val="00583692"/>
    <w:rsid w:val="005848EC"/>
    <w:rsid w:val="00584E1E"/>
    <w:rsid w:val="0058534A"/>
    <w:rsid w:val="0058680A"/>
    <w:rsid w:val="00587ABE"/>
    <w:rsid w:val="00587B62"/>
    <w:rsid w:val="00587EC0"/>
    <w:rsid w:val="00592DB7"/>
    <w:rsid w:val="005933FC"/>
    <w:rsid w:val="00593429"/>
    <w:rsid w:val="00593A29"/>
    <w:rsid w:val="0059496E"/>
    <w:rsid w:val="00595A70"/>
    <w:rsid w:val="00596FAF"/>
    <w:rsid w:val="005973DB"/>
    <w:rsid w:val="005974C6"/>
    <w:rsid w:val="005A0148"/>
    <w:rsid w:val="005A16D2"/>
    <w:rsid w:val="005A37F7"/>
    <w:rsid w:val="005A3C41"/>
    <w:rsid w:val="005A44DD"/>
    <w:rsid w:val="005A4A1C"/>
    <w:rsid w:val="005A5C68"/>
    <w:rsid w:val="005A6797"/>
    <w:rsid w:val="005B0B91"/>
    <w:rsid w:val="005B0D4C"/>
    <w:rsid w:val="005B0ED3"/>
    <w:rsid w:val="005B213B"/>
    <w:rsid w:val="005B22D9"/>
    <w:rsid w:val="005B2BDB"/>
    <w:rsid w:val="005B7B22"/>
    <w:rsid w:val="005C2A2F"/>
    <w:rsid w:val="005C2A62"/>
    <w:rsid w:val="005C2DD8"/>
    <w:rsid w:val="005C5A27"/>
    <w:rsid w:val="005D0138"/>
    <w:rsid w:val="005D02D7"/>
    <w:rsid w:val="005D33A3"/>
    <w:rsid w:val="005D51D8"/>
    <w:rsid w:val="005D7758"/>
    <w:rsid w:val="005E02FD"/>
    <w:rsid w:val="005E0BC0"/>
    <w:rsid w:val="005E11B4"/>
    <w:rsid w:val="005E1B2D"/>
    <w:rsid w:val="005E2299"/>
    <w:rsid w:val="005E3143"/>
    <w:rsid w:val="005E3ECA"/>
    <w:rsid w:val="005E621C"/>
    <w:rsid w:val="005E7BB1"/>
    <w:rsid w:val="005F078B"/>
    <w:rsid w:val="005F142F"/>
    <w:rsid w:val="005F3D7F"/>
    <w:rsid w:val="005F3EDB"/>
    <w:rsid w:val="005F4178"/>
    <w:rsid w:val="005F6A7E"/>
    <w:rsid w:val="00600185"/>
    <w:rsid w:val="00601468"/>
    <w:rsid w:val="00601D37"/>
    <w:rsid w:val="00602655"/>
    <w:rsid w:val="00602AB9"/>
    <w:rsid w:val="00602CA8"/>
    <w:rsid w:val="006055B2"/>
    <w:rsid w:val="00605648"/>
    <w:rsid w:val="0060691B"/>
    <w:rsid w:val="0060754E"/>
    <w:rsid w:val="00607930"/>
    <w:rsid w:val="00612406"/>
    <w:rsid w:val="00612664"/>
    <w:rsid w:val="006132C8"/>
    <w:rsid w:val="0061424B"/>
    <w:rsid w:val="006157DA"/>
    <w:rsid w:val="00616C76"/>
    <w:rsid w:val="006171EE"/>
    <w:rsid w:val="006172AC"/>
    <w:rsid w:val="00620D27"/>
    <w:rsid w:val="0062279F"/>
    <w:rsid w:val="00622AC0"/>
    <w:rsid w:val="00624A97"/>
    <w:rsid w:val="00624B7D"/>
    <w:rsid w:val="00625239"/>
    <w:rsid w:val="00626CCF"/>
    <w:rsid w:val="00627295"/>
    <w:rsid w:val="006309A7"/>
    <w:rsid w:val="00630BB4"/>
    <w:rsid w:val="00631A6A"/>
    <w:rsid w:val="0063378E"/>
    <w:rsid w:val="00633812"/>
    <w:rsid w:val="00633DB1"/>
    <w:rsid w:val="00635A32"/>
    <w:rsid w:val="00635A99"/>
    <w:rsid w:val="00635C3C"/>
    <w:rsid w:val="00636178"/>
    <w:rsid w:val="00637F96"/>
    <w:rsid w:val="006400F9"/>
    <w:rsid w:val="00640AE1"/>
    <w:rsid w:val="0064125C"/>
    <w:rsid w:val="00641BD0"/>
    <w:rsid w:val="00643E5F"/>
    <w:rsid w:val="00644D15"/>
    <w:rsid w:val="00650804"/>
    <w:rsid w:val="0065412F"/>
    <w:rsid w:val="00654B51"/>
    <w:rsid w:val="00654C91"/>
    <w:rsid w:val="0065592C"/>
    <w:rsid w:val="00655AB2"/>
    <w:rsid w:val="00655DAD"/>
    <w:rsid w:val="00655E49"/>
    <w:rsid w:val="00656824"/>
    <w:rsid w:val="00657501"/>
    <w:rsid w:val="006606FF"/>
    <w:rsid w:val="00660EBA"/>
    <w:rsid w:val="00665037"/>
    <w:rsid w:val="00665AC9"/>
    <w:rsid w:val="00665C12"/>
    <w:rsid w:val="00666A0C"/>
    <w:rsid w:val="00666F66"/>
    <w:rsid w:val="00673179"/>
    <w:rsid w:val="00673BA3"/>
    <w:rsid w:val="00674D53"/>
    <w:rsid w:val="006755F1"/>
    <w:rsid w:val="00677835"/>
    <w:rsid w:val="006816F3"/>
    <w:rsid w:val="0068292C"/>
    <w:rsid w:val="00682ACB"/>
    <w:rsid w:val="00682DD8"/>
    <w:rsid w:val="00685698"/>
    <w:rsid w:val="0068640B"/>
    <w:rsid w:val="0068648C"/>
    <w:rsid w:val="00686FE3"/>
    <w:rsid w:val="00687FB4"/>
    <w:rsid w:val="00692D8A"/>
    <w:rsid w:val="006934F3"/>
    <w:rsid w:val="00693F6F"/>
    <w:rsid w:val="00694ADB"/>
    <w:rsid w:val="0069540B"/>
    <w:rsid w:val="0069568C"/>
    <w:rsid w:val="00695C0B"/>
    <w:rsid w:val="00696E6B"/>
    <w:rsid w:val="00697067"/>
    <w:rsid w:val="00697FC0"/>
    <w:rsid w:val="006A0839"/>
    <w:rsid w:val="006A0A21"/>
    <w:rsid w:val="006A18A2"/>
    <w:rsid w:val="006A20EA"/>
    <w:rsid w:val="006A2A4C"/>
    <w:rsid w:val="006A3B29"/>
    <w:rsid w:val="006A3CFA"/>
    <w:rsid w:val="006A5A7D"/>
    <w:rsid w:val="006A6B01"/>
    <w:rsid w:val="006A6CB0"/>
    <w:rsid w:val="006A6DED"/>
    <w:rsid w:val="006A6E28"/>
    <w:rsid w:val="006A6E9E"/>
    <w:rsid w:val="006B06BC"/>
    <w:rsid w:val="006B2E53"/>
    <w:rsid w:val="006B32C3"/>
    <w:rsid w:val="006B578F"/>
    <w:rsid w:val="006B726E"/>
    <w:rsid w:val="006C03CC"/>
    <w:rsid w:val="006C0EAD"/>
    <w:rsid w:val="006C2B2F"/>
    <w:rsid w:val="006C2EFD"/>
    <w:rsid w:val="006C35AA"/>
    <w:rsid w:val="006C3675"/>
    <w:rsid w:val="006C38EA"/>
    <w:rsid w:val="006C4605"/>
    <w:rsid w:val="006C4E37"/>
    <w:rsid w:val="006C5205"/>
    <w:rsid w:val="006C5D5F"/>
    <w:rsid w:val="006C6001"/>
    <w:rsid w:val="006C61DB"/>
    <w:rsid w:val="006C6B3B"/>
    <w:rsid w:val="006C6C31"/>
    <w:rsid w:val="006C79D4"/>
    <w:rsid w:val="006D0835"/>
    <w:rsid w:val="006D0ACD"/>
    <w:rsid w:val="006D3CFA"/>
    <w:rsid w:val="006D5FDE"/>
    <w:rsid w:val="006D6387"/>
    <w:rsid w:val="006E163A"/>
    <w:rsid w:val="006E1850"/>
    <w:rsid w:val="006E5CAB"/>
    <w:rsid w:val="006E7D5D"/>
    <w:rsid w:val="006F0015"/>
    <w:rsid w:val="006F020B"/>
    <w:rsid w:val="006F0F69"/>
    <w:rsid w:val="006F2A81"/>
    <w:rsid w:val="006F31E0"/>
    <w:rsid w:val="006F3E38"/>
    <w:rsid w:val="006F4BD6"/>
    <w:rsid w:val="006F59F9"/>
    <w:rsid w:val="006F7B24"/>
    <w:rsid w:val="00700013"/>
    <w:rsid w:val="00701CE5"/>
    <w:rsid w:val="00701EE5"/>
    <w:rsid w:val="00702881"/>
    <w:rsid w:val="00702F00"/>
    <w:rsid w:val="0070476E"/>
    <w:rsid w:val="007047F9"/>
    <w:rsid w:val="00704CD5"/>
    <w:rsid w:val="00705E94"/>
    <w:rsid w:val="0070650B"/>
    <w:rsid w:val="007068EF"/>
    <w:rsid w:val="00706AA6"/>
    <w:rsid w:val="00706EFB"/>
    <w:rsid w:val="007071C6"/>
    <w:rsid w:val="007076F1"/>
    <w:rsid w:val="0071033E"/>
    <w:rsid w:val="007113F5"/>
    <w:rsid w:val="00713F95"/>
    <w:rsid w:val="0071419D"/>
    <w:rsid w:val="00714683"/>
    <w:rsid w:val="0071508F"/>
    <w:rsid w:val="00715A99"/>
    <w:rsid w:val="00715B98"/>
    <w:rsid w:val="007172EE"/>
    <w:rsid w:val="00717301"/>
    <w:rsid w:val="00717D6F"/>
    <w:rsid w:val="00720C5A"/>
    <w:rsid w:val="007246B1"/>
    <w:rsid w:val="007249EF"/>
    <w:rsid w:val="0072655F"/>
    <w:rsid w:val="00727386"/>
    <w:rsid w:val="00727505"/>
    <w:rsid w:val="007278BF"/>
    <w:rsid w:val="00730A34"/>
    <w:rsid w:val="00730E27"/>
    <w:rsid w:val="00731957"/>
    <w:rsid w:val="00731A66"/>
    <w:rsid w:val="007321E2"/>
    <w:rsid w:val="00734C8D"/>
    <w:rsid w:val="00735506"/>
    <w:rsid w:val="00736A05"/>
    <w:rsid w:val="007378EE"/>
    <w:rsid w:val="00742027"/>
    <w:rsid w:val="007424EE"/>
    <w:rsid w:val="00742B89"/>
    <w:rsid w:val="00743375"/>
    <w:rsid w:val="007451DE"/>
    <w:rsid w:val="0074704C"/>
    <w:rsid w:val="00747127"/>
    <w:rsid w:val="007521B1"/>
    <w:rsid w:val="00752E8A"/>
    <w:rsid w:val="00753415"/>
    <w:rsid w:val="00753815"/>
    <w:rsid w:val="007549FA"/>
    <w:rsid w:val="00755403"/>
    <w:rsid w:val="00755702"/>
    <w:rsid w:val="007563BB"/>
    <w:rsid w:val="00757717"/>
    <w:rsid w:val="007579AB"/>
    <w:rsid w:val="00757A42"/>
    <w:rsid w:val="00760099"/>
    <w:rsid w:val="007620D3"/>
    <w:rsid w:val="00764AE3"/>
    <w:rsid w:val="00765220"/>
    <w:rsid w:val="0077116C"/>
    <w:rsid w:val="007735FB"/>
    <w:rsid w:val="00775191"/>
    <w:rsid w:val="00782150"/>
    <w:rsid w:val="0078261B"/>
    <w:rsid w:val="007843F0"/>
    <w:rsid w:val="00785FEC"/>
    <w:rsid w:val="00790026"/>
    <w:rsid w:val="00791303"/>
    <w:rsid w:val="0079134D"/>
    <w:rsid w:val="007921AB"/>
    <w:rsid w:val="0079252C"/>
    <w:rsid w:val="00792A98"/>
    <w:rsid w:val="00796362"/>
    <w:rsid w:val="007968E5"/>
    <w:rsid w:val="00796FE7"/>
    <w:rsid w:val="00797253"/>
    <w:rsid w:val="007A0514"/>
    <w:rsid w:val="007A0748"/>
    <w:rsid w:val="007A083D"/>
    <w:rsid w:val="007A166C"/>
    <w:rsid w:val="007A1982"/>
    <w:rsid w:val="007A2151"/>
    <w:rsid w:val="007A4150"/>
    <w:rsid w:val="007A44CC"/>
    <w:rsid w:val="007A555A"/>
    <w:rsid w:val="007A576D"/>
    <w:rsid w:val="007A757B"/>
    <w:rsid w:val="007A7830"/>
    <w:rsid w:val="007B1E52"/>
    <w:rsid w:val="007B3810"/>
    <w:rsid w:val="007B48D0"/>
    <w:rsid w:val="007B5C0C"/>
    <w:rsid w:val="007B6411"/>
    <w:rsid w:val="007B651A"/>
    <w:rsid w:val="007C03E3"/>
    <w:rsid w:val="007C14A5"/>
    <w:rsid w:val="007C4797"/>
    <w:rsid w:val="007C612B"/>
    <w:rsid w:val="007C7482"/>
    <w:rsid w:val="007C7DCF"/>
    <w:rsid w:val="007D0A96"/>
    <w:rsid w:val="007D1521"/>
    <w:rsid w:val="007D69F0"/>
    <w:rsid w:val="007D723F"/>
    <w:rsid w:val="007D7246"/>
    <w:rsid w:val="007E0444"/>
    <w:rsid w:val="007E3E47"/>
    <w:rsid w:val="007E3F3E"/>
    <w:rsid w:val="007E5153"/>
    <w:rsid w:val="007E57B4"/>
    <w:rsid w:val="007E5D20"/>
    <w:rsid w:val="007E6898"/>
    <w:rsid w:val="007E68FA"/>
    <w:rsid w:val="007E6967"/>
    <w:rsid w:val="007E69AB"/>
    <w:rsid w:val="007E6A4A"/>
    <w:rsid w:val="007E7C6E"/>
    <w:rsid w:val="007F2A84"/>
    <w:rsid w:val="007F312B"/>
    <w:rsid w:val="007F3340"/>
    <w:rsid w:val="007F36A3"/>
    <w:rsid w:val="007F3F03"/>
    <w:rsid w:val="007F464A"/>
    <w:rsid w:val="007F57AF"/>
    <w:rsid w:val="007F5F5B"/>
    <w:rsid w:val="007F6263"/>
    <w:rsid w:val="00800C14"/>
    <w:rsid w:val="00802614"/>
    <w:rsid w:val="0080262E"/>
    <w:rsid w:val="008047E0"/>
    <w:rsid w:val="00804B6E"/>
    <w:rsid w:val="00804BCF"/>
    <w:rsid w:val="00804EAE"/>
    <w:rsid w:val="00805C65"/>
    <w:rsid w:val="00807D1C"/>
    <w:rsid w:val="00812970"/>
    <w:rsid w:val="00812F9F"/>
    <w:rsid w:val="0081431A"/>
    <w:rsid w:val="0081509B"/>
    <w:rsid w:val="00815B56"/>
    <w:rsid w:val="0081798A"/>
    <w:rsid w:val="00817D61"/>
    <w:rsid w:val="00825D9C"/>
    <w:rsid w:val="0082721B"/>
    <w:rsid w:val="0082726A"/>
    <w:rsid w:val="00827D5F"/>
    <w:rsid w:val="008303EE"/>
    <w:rsid w:val="008311E5"/>
    <w:rsid w:val="00831745"/>
    <w:rsid w:val="00833A86"/>
    <w:rsid w:val="008348EA"/>
    <w:rsid w:val="00835204"/>
    <w:rsid w:val="008353C4"/>
    <w:rsid w:val="00835838"/>
    <w:rsid w:val="008369E1"/>
    <w:rsid w:val="00837760"/>
    <w:rsid w:val="00837974"/>
    <w:rsid w:val="00841875"/>
    <w:rsid w:val="008419DE"/>
    <w:rsid w:val="00841AFD"/>
    <w:rsid w:val="00842110"/>
    <w:rsid w:val="0084542A"/>
    <w:rsid w:val="0084759C"/>
    <w:rsid w:val="00851A4C"/>
    <w:rsid w:val="00851DDB"/>
    <w:rsid w:val="00853019"/>
    <w:rsid w:val="008534B8"/>
    <w:rsid w:val="00854C70"/>
    <w:rsid w:val="00855D51"/>
    <w:rsid w:val="00856D2F"/>
    <w:rsid w:val="008602A6"/>
    <w:rsid w:val="00860730"/>
    <w:rsid w:val="00861043"/>
    <w:rsid w:val="0086147D"/>
    <w:rsid w:val="00862F5B"/>
    <w:rsid w:val="008646C5"/>
    <w:rsid w:val="008654E4"/>
    <w:rsid w:val="008659DD"/>
    <w:rsid w:val="00866B39"/>
    <w:rsid w:val="00866B3F"/>
    <w:rsid w:val="00866BE8"/>
    <w:rsid w:val="00866E4C"/>
    <w:rsid w:val="00867349"/>
    <w:rsid w:val="0087204B"/>
    <w:rsid w:val="008724FB"/>
    <w:rsid w:val="00874E28"/>
    <w:rsid w:val="008751F4"/>
    <w:rsid w:val="00875992"/>
    <w:rsid w:val="008760DD"/>
    <w:rsid w:val="00876E39"/>
    <w:rsid w:val="00877874"/>
    <w:rsid w:val="00881023"/>
    <w:rsid w:val="0088211C"/>
    <w:rsid w:val="00885159"/>
    <w:rsid w:val="008860E2"/>
    <w:rsid w:val="00887629"/>
    <w:rsid w:val="00891090"/>
    <w:rsid w:val="0089129E"/>
    <w:rsid w:val="00892269"/>
    <w:rsid w:val="00895D1F"/>
    <w:rsid w:val="008977CA"/>
    <w:rsid w:val="00897986"/>
    <w:rsid w:val="008A0557"/>
    <w:rsid w:val="008A1BF2"/>
    <w:rsid w:val="008A2B32"/>
    <w:rsid w:val="008A333F"/>
    <w:rsid w:val="008A33F1"/>
    <w:rsid w:val="008A38CF"/>
    <w:rsid w:val="008A4959"/>
    <w:rsid w:val="008A5234"/>
    <w:rsid w:val="008A5873"/>
    <w:rsid w:val="008A708E"/>
    <w:rsid w:val="008B00CD"/>
    <w:rsid w:val="008B0289"/>
    <w:rsid w:val="008B085A"/>
    <w:rsid w:val="008B12FA"/>
    <w:rsid w:val="008B207A"/>
    <w:rsid w:val="008B3C99"/>
    <w:rsid w:val="008B44BB"/>
    <w:rsid w:val="008B76AA"/>
    <w:rsid w:val="008C5AC3"/>
    <w:rsid w:val="008C6450"/>
    <w:rsid w:val="008C7159"/>
    <w:rsid w:val="008D050E"/>
    <w:rsid w:val="008D0588"/>
    <w:rsid w:val="008D08A6"/>
    <w:rsid w:val="008D35D5"/>
    <w:rsid w:val="008D3EDB"/>
    <w:rsid w:val="008D48EE"/>
    <w:rsid w:val="008D49E9"/>
    <w:rsid w:val="008E0521"/>
    <w:rsid w:val="008E0534"/>
    <w:rsid w:val="008E229A"/>
    <w:rsid w:val="008E30B8"/>
    <w:rsid w:val="008F1729"/>
    <w:rsid w:val="008F18E7"/>
    <w:rsid w:val="008F79CE"/>
    <w:rsid w:val="0090017B"/>
    <w:rsid w:val="0090107B"/>
    <w:rsid w:val="00901407"/>
    <w:rsid w:val="00901740"/>
    <w:rsid w:val="00902E2D"/>
    <w:rsid w:val="00903F51"/>
    <w:rsid w:val="0090519E"/>
    <w:rsid w:val="0090548E"/>
    <w:rsid w:val="009070EF"/>
    <w:rsid w:val="00910AD7"/>
    <w:rsid w:val="009117AE"/>
    <w:rsid w:val="00912C16"/>
    <w:rsid w:val="00913032"/>
    <w:rsid w:val="00913BD6"/>
    <w:rsid w:val="00913EFF"/>
    <w:rsid w:val="009154D8"/>
    <w:rsid w:val="00915A78"/>
    <w:rsid w:val="0091624C"/>
    <w:rsid w:val="00917F85"/>
    <w:rsid w:val="00920B72"/>
    <w:rsid w:val="00921274"/>
    <w:rsid w:val="009218C3"/>
    <w:rsid w:val="00921FD8"/>
    <w:rsid w:val="00925648"/>
    <w:rsid w:val="0092634A"/>
    <w:rsid w:val="00926BB9"/>
    <w:rsid w:val="00926DA4"/>
    <w:rsid w:val="00927F0A"/>
    <w:rsid w:val="009334DA"/>
    <w:rsid w:val="00934317"/>
    <w:rsid w:val="00935A54"/>
    <w:rsid w:val="00936A20"/>
    <w:rsid w:val="0094063D"/>
    <w:rsid w:val="0094065A"/>
    <w:rsid w:val="00940D68"/>
    <w:rsid w:val="009426E8"/>
    <w:rsid w:val="00943086"/>
    <w:rsid w:val="00943CDB"/>
    <w:rsid w:val="0094447A"/>
    <w:rsid w:val="00947DF8"/>
    <w:rsid w:val="00951E25"/>
    <w:rsid w:val="00952642"/>
    <w:rsid w:val="009563EC"/>
    <w:rsid w:val="00957B13"/>
    <w:rsid w:val="00957E42"/>
    <w:rsid w:val="0096084C"/>
    <w:rsid w:val="00960998"/>
    <w:rsid w:val="00960C12"/>
    <w:rsid w:val="00960DBB"/>
    <w:rsid w:val="009644EF"/>
    <w:rsid w:val="00964F59"/>
    <w:rsid w:val="00964FA0"/>
    <w:rsid w:val="00966E85"/>
    <w:rsid w:val="009679DC"/>
    <w:rsid w:val="00967B3E"/>
    <w:rsid w:val="0097025B"/>
    <w:rsid w:val="0097211B"/>
    <w:rsid w:val="009739E2"/>
    <w:rsid w:val="00975148"/>
    <w:rsid w:val="00975847"/>
    <w:rsid w:val="00980C6E"/>
    <w:rsid w:val="00982401"/>
    <w:rsid w:val="00982FD5"/>
    <w:rsid w:val="0098340E"/>
    <w:rsid w:val="009835E8"/>
    <w:rsid w:val="009836A3"/>
    <w:rsid w:val="009838E6"/>
    <w:rsid w:val="009844AB"/>
    <w:rsid w:val="0098742E"/>
    <w:rsid w:val="0098747F"/>
    <w:rsid w:val="00992703"/>
    <w:rsid w:val="009949D4"/>
    <w:rsid w:val="00996146"/>
    <w:rsid w:val="009962DB"/>
    <w:rsid w:val="009962FC"/>
    <w:rsid w:val="009973B4"/>
    <w:rsid w:val="00997551"/>
    <w:rsid w:val="009A0185"/>
    <w:rsid w:val="009A0A8E"/>
    <w:rsid w:val="009A1210"/>
    <w:rsid w:val="009A1982"/>
    <w:rsid w:val="009A24C3"/>
    <w:rsid w:val="009A429E"/>
    <w:rsid w:val="009A51D0"/>
    <w:rsid w:val="009A5224"/>
    <w:rsid w:val="009B2195"/>
    <w:rsid w:val="009B349D"/>
    <w:rsid w:val="009B3A09"/>
    <w:rsid w:val="009B55AE"/>
    <w:rsid w:val="009B5BBD"/>
    <w:rsid w:val="009B650B"/>
    <w:rsid w:val="009B6A19"/>
    <w:rsid w:val="009C3302"/>
    <w:rsid w:val="009C3DEC"/>
    <w:rsid w:val="009C41BB"/>
    <w:rsid w:val="009C5F7B"/>
    <w:rsid w:val="009C6A69"/>
    <w:rsid w:val="009D14B1"/>
    <w:rsid w:val="009D2663"/>
    <w:rsid w:val="009D2C00"/>
    <w:rsid w:val="009D2E64"/>
    <w:rsid w:val="009D36DF"/>
    <w:rsid w:val="009D50BB"/>
    <w:rsid w:val="009D50E4"/>
    <w:rsid w:val="009E0212"/>
    <w:rsid w:val="009E04EB"/>
    <w:rsid w:val="009E209F"/>
    <w:rsid w:val="009E2C07"/>
    <w:rsid w:val="009E5BC2"/>
    <w:rsid w:val="009E6A1D"/>
    <w:rsid w:val="009E7CC3"/>
    <w:rsid w:val="009F28A0"/>
    <w:rsid w:val="009F2B3E"/>
    <w:rsid w:val="009F37FC"/>
    <w:rsid w:val="009F38A1"/>
    <w:rsid w:val="009F5C69"/>
    <w:rsid w:val="009F6C2D"/>
    <w:rsid w:val="00A0163D"/>
    <w:rsid w:val="00A01D9F"/>
    <w:rsid w:val="00A023C9"/>
    <w:rsid w:val="00A02638"/>
    <w:rsid w:val="00A04650"/>
    <w:rsid w:val="00A05483"/>
    <w:rsid w:val="00A05FDD"/>
    <w:rsid w:val="00A075F7"/>
    <w:rsid w:val="00A07DFD"/>
    <w:rsid w:val="00A1019E"/>
    <w:rsid w:val="00A10978"/>
    <w:rsid w:val="00A10CC5"/>
    <w:rsid w:val="00A1154D"/>
    <w:rsid w:val="00A137E1"/>
    <w:rsid w:val="00A13B0A"/>
    <w:rsid w:val="00A1424E"/>
    <w:rsid w:val="00A1554A"/>
    <w:rsid w:val="00A15779"/>
    <w:rsid w:val="00A1598F"/>
    <w:rsid w:val="00A16F4D"/>
    <w:rsid w:val="00A17188"/>
    <w:rsid w:val="00A20F97"/>
    <w:rsid w:val="00A211D3"/>
    <w:rsid w:val="00A21860"/>
    <w:rsid w:val="00A22F9B"/>
    <w:rsid w:val="00A2349C"/>
    <w:rsid w:val="00A24E54"/>
    <w:rsid w:val="00A25DB2"/>
    <w:rsid w:val="00A2670C"/>
    <w:rsid w:val="00A30113"/>
    <w:rsid w:val="00A308E6"/>
    <w:rsid w:val="00A30E6D"/>
    <w:rsid w:val="00A33719"/>
    <w:rsid w:val="00A33F31"/>
    <w:rsid w:val="00A34181"/>
    <w:rsid w:val="00A35379"/>
    <w:rsid w:val="00A3586E"/>
    <w:rsid w:val="00A3681C"/>
    <w:rsid w:val="00A3730D"/>
    <w:rsid w:val="00A3742C"/>
    <w:rsid w:val="00A37D95"/>
    <w:rsid w:val="00A40BC0"/>
    <w:rsid w:val="00A44F6A"/>
    <w:rsid w:val="00A45F6B"/>
    <w:rsid w:val="00A46E1A"/>
    <w:rsid w:val="00A4761C"/>
    <w:rsid w:val="00A509C8"/>
    <w:rsid w:val="00A53F3C"/>
    <w:rsid w:val="00A5439F"/>
    <w:rsid w:val="00A549FB"/>
    <w:rsid w:val="00A57A71"/>
    <w:rsid w:val="00A60002"/>
    <w:rsid w:val="00A606C1"/>
    <w:rsid w:val="00A616DA"/>
    <w:rsid w:val="00A61B23"/>
    <w:rsid w:val="00A62A5A"/>
    <w:rsid w:val="00A640F7"/>
    <w:rsid w:val="00A65354"/>
    <w:rsid w:val="00A65795"/>
    <w:rsid w:val="00A65C52"/>
    <w:rsid w:val="00A65C82"/>
    <w:rsid w:val="00A66EAC"/>
    <w:rsid w:val="00A67CF6"/>
    <w:rsid w:val="00A70422"/>
    <w:rsid w:val="00A707F2"/>
    <w:rsid w:val="00A71AF3"/>
    <w:rsid w:val="00A73071"/>
    <w:rsid w:val="00A737FB"/>
    <w:rsid w:val="00A73CBF"/>
    <w:rsid w:val="00A74546"/>
    <w:rsid w:val="00A77CF8"/>
    <w:rsid w:val="00A82EFA"/>
    <w:rsid w:val="00A83590"/>
    <w:rsid w:val="00A8382B"/>
    <w:rsid w:val="00A83A65"/>
    <w:rsid w:val="00A83D94"/>
    <w:rsid w:val="00A875F5"/>
    <w:rsid w:val="00A90D5D"/>
    <w:rsid w:val="00A92371"/>
    <w:rsid w:val="00A92758"/>
    <w:rsid w:val="00A93507"/>
    <w:rsid w:val="00A93978"/>
    <w:rsid w:val="00A9659D"/>
    <w:rsid w:val="00AA1AF7"/>
    <w:rsid w:val="00AA47DC"/>
    <w:rsid w:val="00AA54CA"/>
    <w:rsid w:val="00AB02CA"/>
    <w:rsid w:val="00AB1B0D"/>
    <w:rsid w:val="00AB6847"/>
    <w:rsid w:val="00AB7A54"/>
    <w:rsid w:val="00AC2D74"/>
    <w:rsid w:val="00AC336F"/>
    <w:rsid w:val="00AC40E8"/>
    <w:rsid w:val="00AC5F62"/>
    <w:rsid w:val="00AC7B4D"/>
    <w:rsid w:val="00AC7CC9"/>
    <w:rsid w:val="00AC7D5A"/>
    <w:rsid w:val="00AD0E4A"/>
    <w:rsid w:val="00AD2666"/>
    <w:rsid w:val="00AD3AC3"/>
    <w:rsid w:val="00AD3B32"/>
    <w:rsid w:val="00AD3C9C"/>
    <w:rsid w:val="00AD60A0"/>
    <w:rsid w:val="00AD6A86"/>
    <w:rsid w:val="00AE0D89"/>
    <w:rsid w:val="00AE45E2"/>
    <w:rsid w:val="00AE4D1B"/>
    <w:rsid w:val="00AE79AB"/>
    <w:rsid w:val="00AE7FAF"/>
    <w:rsid w:val="00AF146D"/>
    <w:rsid w:val="00AF22E2"/>
    <w:rsid w:val="00AF5B9C"/>
    <w:rsid w:val="00AF6157"/>
    <w:rsid w:val="00AF69EA"/>
    <w:rsid w:val="00AF7DE9"/>
    <w:rsid w:val="00B00098"/>
    <w:rsid w:val="00B00F19"/>
    <w:rsid w:val="00B0123F"/>
    <w:rsid w:val="00B016AD"/>
    <w:rsid w:val="00B025A3"/>
    <w:rsid w:val="00B02916"/>
    <w:rsid w:val="00B03432"/>
    <w:rsid w:val="00B05181"/>
    <w:rsid w:val="00B064FD"/>
    <w:rsid w:val="00B103A3"/>
    <w:rsid w:val="00B103EA"/>
    <w:rsid w:val="00B108AE"/>
    <w:rsid w:val="00B13F6D"/>
    <w:rsid w:val="00B14432"/>
    <w:rsid w:val="00B1511E"/>
    <w:rsid w:val="00B153E2"/>
    <w:rsid w:val="00B16E46"/>
    <w:rsid w:val="00B171C2"/>
    <w:rsid w:val="00B22DE5"/>
    <w:rsid w:val="00B2397C"/>
    <w:rsid w:val="00B25116"/>
    <w:rsid w:val="00B253A7"/>
    <w:rsid w:val="00B25E07"/>
    <w:rsid w:val="00B2612E"/>
    <w:rsid w:val="00B30953"/>
    <w:rsid w:val="00B30990"/>
    <w:rsid w:val="00B32900"/>
    <w:rsid w:val="00B329F3"/>
    <w:rsid w:val="00B32CB7"/>
    <w:rsid w:val="00B32CFC"/>
    <w:rsid w:val="00B3308A"/>
    <w:rsid w:val="00B347CC"/>
    <w:rsid w:val="00B34A19"/>
    <w:rsid w:val="00B400B1"/>
    <w:rsid w:val="00B4086A"/>
    <w:rsid w:val="00B40C06"/>
    <w:rsid w:val="00B41992"/>
    <w:rsid w:val="00B41F33"/>
    <w:rsid w:val="00B42319"/>
    <w:rsid w:val="00B44DE5"/>
    <w:rsid w:val="00B450A3"/>
    <w:rsid w:val="00B46109"/>
    <w:rsid w:val="00B46251"/>
    <w:rsid w:val="00B50BE2"/>
    <w:rsid w:val="00B54477"/>
    <w:rsid w:val="00B560A5"/>
    <w:rsid w:val="00B56BC9"/>
    <w:rsid w:val="00B57801"/>
    <w:rsid w:val="00B6002E"/>
    <w:rsid w:val="00B60E51"/>
    <w:rsid w:val="00B6111F"/>
    <w:rsid w:val="00B61B69"/>
    <w:rsid w:val="00B633AE"/>
    <w:rsid w:val="00B63DA5"/>
    <w:rsid w:val="00B63FD1"/>
    <w:rsid w:val="00B641AE"/>
    <w:rsid w:val="00B644BD"/>
    <w:rsid w:val="00B652F8"/>
    <w:rsid w:val="00B65EE1"/>
    <w:rsid w:val="00B70075"/>
    <w:rsid w:val="00B719D5"/>
    <w:rsid w:val="00B728E0"/>
    <w:rsid w:val="00B7476C"/>
    <w:rsid w:val="00B74B39"/>
    <w:rsid w:val="00B75BC8"/>
    <w:rsid w:val="00B7785B"/>
    <w:rsid w:val="00B803DD"/>
    <w:rsid w:val="00B81C31"/>
    <w:rsid w:val="00B83F07"/>
    <w:rsid w:val="00B849F3"/>
    <w:rsid w:val="00B85702"/>
    <w:rsid w:val="00B85A5A"/>
    <w:rsid w:val="00B90061"/>
    <w:rsid w:val="00B9141C"/>
    <w:rsid w:val="00B918B3"/>
    <w:rsid w:val="00B91D4B"/>
    <w:rsid w:val="00B91DA0"/>
    <w:rsid w:val="00B91F7A"/>
    <w:rsid w:val="00B933E4"/>
    <w:rsid w:val="00B9356A"/>
    <w:rsid w:val="00B9429E"/>
    <w:rsid w:val="00B9459C"/>
    <w:rsid w:val="00B950D8"/>
    <w:rsid w:val="00BA06EF"/>
    <w:rsid w:val="00BA1CFE"/>
    <w:rsid w:val="00BA232E"/>
    <w:rsid w:val="00BA40D5"/>
    <w:rsid w:val="00BA4B85"/>
    <w:rsid w:val="00BA5E39"/>
    <w:rsid w:val="00BA6E08"/>
    <w:rsid w:val="00BB022F"/>
    <w:rsid w:val="00BB0D9A"/>
    <w:rsid w:val="00BB4203"/>
    <w:rsid w:val="00BB4876"/>
    <w:rsid w:val="00BB6F97"/>
    <w:rsid w:val="00BB79AD"/>
    <w:rsid w:val="00BC24F1"/>
    <w:rsid w:val="00BC251E"/>
    <w:rsid w:val="00BC25F3"/>
    <w:rsid w:val="00BD04FE"/>
    <w:rsid w:val="00BD135E"/>
    <w:rsid w:val="00BD16A8"/>
    <w:rsid w:val="00BD18A0"/>
    <w:rsid w:val="00BD2FE6"/>
    <w:rsid w:val="00BD43E9"/>
    <w:rsid w:val="00BD6E44"/>
    <w:rsid w:val="00BD71B0"/>
    <w:rsid w:val="00BE0681"/>
    <w:rsid w:val="00BE2F40"/>
    <w:rsid w:val="00BE4B19"/>
    <w:rsid w:val="00BE69C3"/>
    <w:rsid w:val="00BE6D73"/>
    <w:rsid w:val="00BF1B68"/>
    <w:rsid w:val="00BF232F"/>
    <w:rsid w:val="00BF2ACF"/>
    <w:rsid w:val="00BF40D8"/>
    <w:rsid w:val="00BF44C3"/>
    <w:rsid w:val="00BF4635"/>
    <w:rsid w:val="00BF5A98"/>
    <w:rsid w:val="00BF5D49"/>
    <w:rsid w:val="00BF6A6B"/>
    <w:rsid w:val="00BF6EA2"/>
    <w:rsid w:val="00BF706B"/>
    <w:rsid w:val="00C00F53"/>
    <w:rsid w:val="00C020B5"/>
    <w:rsid w:val="00C02184"/>
    <w:rsid w:val="00C023D1"/>
    <w:rsid w:val="00C02821"/>
    <w:rsid w:val="00C02AB8"/>
    <w:rsid w:val="00C03218"/>
    <w:rsid w:val="00C035F4"/>
    <w:rsid w:val="00C048AC"/>
    <w:rsid w:val="00C05EB0"/>
    <w:rsid w:val="00C06CBB"/>
    <w:rsid w:val="00C12B4A"/>
    <w:rsid w:val="00C12DD1"/>
    <w:rsid w:val="00C12E18"/>
    <w:rsid w:val="00C132FC"/>
    <w:rsid w:val="00C1345B"/>
    <w:rsid w:val="00C143A6"/>
    <w:rsid w:val="00C14D12"/>
    <w:rsid w:val="00C1529E"/>
    <w:rsid w:val="00C15477"/>
    <w:rsid w:val="00C24F60"/>
    <w:rsid w:val="00C25213"/>
    <w:rsid w:val="00C265D5"/>
    <w:rsid w:val="00C30D30"/>
    <w:rsid w:val="00C30E07"/>
    <w:rsid w:val="00C33573"/>
    <w:rsid w:val="00C339BE"/>
    <w:rsid w:val="00C347BB"/>
    <w:rsid w:val="00C358DB"/>
    <w:rsid w:val="00C36CC6"/>
    <w:rsid w:val="00C37219"/>
    <w:rsid w:val="00C37C02"/>
    <w:rsid w:val="00C37C20"/>
    <w:rsid w:val="00C40F22"/>
    <w:rsid w:val="00C42D73"/>
    <w:rsid w:val="00C4342D"/>
    <w:rsid w:val="00C439C8"/>
    <w:rsid w:val="00C44065"/>
    <w:rsid w:val="00C4529B"/>
    <w:rsid w:val="00C45F64"/>
    <w:rsid w:val="00C47010"/>
    <w:rsid w:val="00C506E3"/>
    <w:rsid w:val="00C511E7"/>
    <w:rsid w:val="00C517ED"/>
    <w:rsid w:val="00C51B7F"/>
    <w:rsid w:val="00C52BDC"/>
    <w:rsid w:val="00C52E71"/>
    <w:rsid w:val="00C5413E"/>
    <w:rsid w:val="00C54756"/>
    <w:rsid w:val="00C55AFB"/>
    <w:rsid w:val="00C575E0"/>
    <w:rsid w:val="00C62167"/>
    <w:rsid w:val="00C63A96"/>
    <w:rsid w:val="00C64A90"/>
    <w:rsid w:val="00C64B30"/>
    <w:rsid w:val="00C65152"/>
    <w:rsid w:val="00C67E03"/>
    <w:rsid w:val="00C7318C"/>
    <w:rsid w:val="00C736CB"/>
    <w:rsid w:val="00C73E3D"/>
    <w:rsid w:val="00C768BA"/>
    <w:rsid w:val="00C77147"/>
    <w:rsid w:val="00C772C2"/>
    <w:rsid w:val="00C77C1B"/>
    <w:rsid w:val="00C77DE1"/>
    <w:rsid w:val="00C80259"/>
    <w:rsid w:val="00C80829"/>
    <w:rsid w:val="00C8100C"/>
    <w:rsid w:val="00C811CD"/>
    <w:rsid w:val="00C8258B"/>
    <w:rsid w:val="00C8330F"/>
    <w:rsid w:val="00C8485F"/>
    <w:rsid w:val="00C84B42"/>
    <w:rsid w:val="00C856E4"/>
    <w:rsid w:val="00C8723A"/>
    <w:rsid w:val="00C874D1"/>
    <w:rsid w:val="00C91291"/>
    <w:rsid w:val="00C91832"/>
    <w:rsid w:val="00C93F70"/>
    <w:rsid w:val="00C95E86"/>
    <w:rsid w:val="00C96D15"/>
    <w:rsid w:val="00C97708"/>
    <w:rsid w:val="00CA08A2"/>
    <w:rsid w:val="00CA1612"/>
    <w:rsid w:val="00CA1D8F"/>
    <w:rsid w:val="00CA30B4"/>
    <w:rsid w:val="00CA5C1B"/>
    <w:rsid w:val="00CA616F"/>
    <w:rsid w:val="00CA6384"/>
    <w:rsid w:val="00CA6599"/>
    <w:rsid w:val="00CA7801"/>
    <w:rsid w:val="00CA7AE9"/>
    <w:rsid w:val="00CB0071"/>
    <w:rsid w:val="00CB0940"/>
    <w:rsid w:val="00CB0F2F"/>
    <w:rsid w:val="00CB23AD"/>
    <w:rsid w:val="00CB557A"/>
    <w:rsid w:val="00CB722D"/>
    <w:rsid w:val="00CB79EC"/>
    <w:rsid w:val="00CB7B0D"/>
    <w:rsid w:val="00CC2771"/>
    <w:rsid w:val="00CC5D5D"/>
    <w:rsid w:val="00CC6367"/>
    <w:rsid w:val="00CD0A70"/>
    <w:rsid w:val="00CD1054"/>
    <w:rsid w:val="00CD2E5C"/>
    <w:rsid w:val="00CD39EE"/>
    <w:rsid w:val="00CD662E"/>
    <w:rsid w:val="00CE0D36"/>
    <w:rsid w:val="00CE1261"/>
    <w:rsid w:val="00CE1B06"/>
    <w:rsid w:val="00CE20A9"/>
    <w:rsid w:val="00CE2382"/>
    <w:rsid w:val="00CE31A4"/>
    <w:rsid w:val="00CE3BE3"/>
    <w:rsid w:val="00CE52AE"/>
    <w:rsid w:val="00CE6AA0"/>
    <w:rsid w:val="00CF1A26"/>
    <w:rsid w:val="00CF2523"/>
    <w:rsid w:val="00CF2A00"/>
    <w:rsid w:val="00CF2F3D"/>
    <w:rsid w:val="00CF3C67"/>
    <w:rsid w:val="00CF4D25"/>
    <w:rsid w:val="00CF502E"/>
    <w:rsid w:val="00CF5355"/>
    <w:rsid w:val="00CF555C"/>
    <w:rsid w:val="00CF5724"/>
    <w:rsid w:val="00CF57D8"/>
    <w:rsid w:val="00CF75FA"/>
    <w:rsid w:val="00D012BB"/>
    <w:rsid w:val="00D01922"/>
    <w:rsid w:val="00D02A20"/>
    <w:rsid w:val="00D037CB"/>
    <w:rsid w:val="00D040E8"/>
    <w:rsid w:val="00D0412E"/>
    <w:rsid w:val="00D04A3C"/>
    <w:rsid w:val="00D04C1C"/>
    <w:rsid w:val="00D059D8"/>
    <w:rsid w:val="00D05EB3"/>
    <w:rsid w:val="00D062E3"/>
    <w:rsid w:val="00D10FDB"/>
    <w:rsid w:val="00D11090"/>
    <w:rsid w:val="00D11377"/>
    <w:rsid w:val="00D129FD"/>
    <w:rsid w:val="00D13300"/>
    <w:rsid w:val="00D134EB"/>
    <w:rsid w:val="00D15D05"/>
    <w:rsid w:val="00D16705"/>
    <w:rsid w:val="00D16722"/>
    <w:rsid w:val="00D16E57"/>
    <w:rsid w:val="00D20968"/>
    <w:rsid w:val="00D20EC8"/>
    <w:rsid w:val="00D21AE3"/>
    <w:rsid w:val="00D238F3"/>
    <w:rsid w:val="00D242B3"/>
    <w:rsid w:val="00D25334"/>
    <w:rsid w:val="00D262C6"/>
    <w:rsid w:val="00D26DFC"/>
    <w:rsid w:val="00D272CA"/>
    <w:rsid w:val="00D27310"/>
    <w:rsid w:val="00D273DE"/>
    <w:rsid w:val="00D27736"/>
    <w:rsid w:val="00D315A7"/>
    <w:rsid w:val="00D32E1B"/>
    <w:rsid w:val="00D331C3"/>
    <w:rsid w:val="00D333F6"/>
    <w:rsid w:val="00D33A0A"/>
    <w:rsid w:val="00D3437B"/>
    <w:rsid w:val="00D34E47"/>
    <w:rsid w:val="00D34ED3"/>
    <w:rsid w:val="00D3520E"/>
    <w:rsid w:val="00D35989"/>
    <w:rsid w:val="00D373AE"/>
    <w:rsid w:val="00D407BC"/>
    <w:rsid w:val="00D42829"/>
    <w:rsid w:val="00D43178"/>
    <w:rsid w:val="00D43372"/>
    <w:rsid w:val="00D43995"/>
    <w:rsid w:val="00D43C95"/>
    <w:rsid w:val="00D43DEA"/>
    <w:rsid w:val="00D4493D"/>
    <w:rsid w:val="00D450A4"/>
    <w:rsid w:val="00D45CF2"/>
    <w:rsid w:val="00D469CA"/>
    <w:rsid w:val="00D50FBF"/>
    <w:rsid w:val="00D5144A"/>
    <w:rsid w:val="00D523E1"/>
    <w:rsid w:val="00D52676"/>
    <w:rsid w:val="00D52949"/>
    <w:rsid w:val="00D54100"/>
    <w:rsid w:val="00D543FF"/>
    <w:rsid w:val="00D54EA8"/>
    <w:rsid w:val="00D60FC9"/>
    <w:rsid w:val="00D61CFD"/>
    <w:rsid w:val="00D61DEE"/>
    <w:rsid w:val="00D6375F"/>
    <w:rsid w:val="00D63FBD"/>
    <w:rsid w:val="00D6517C"/>
    <w:rsid w:val="00D65C55"/>
    <w:rsid w:val="00D66438"/>
    <w:rsid w:val="00D66F4B"/>
    <w:rsid w:val="00D6794C"/>
    <w:rsid w:val="00D7015A"/>
    <w:rsid w:val="00D70EE1"/>
    <w:rsid w:val="00D7112A"/>
    <w:rsid w:val="00D71C89"/>
    <w:rsid w:val="00D722BB"/>
    <w:rsid w:val="00D7569A"/>
    <w:rsid w:val="00D770DF"/>
    <w:rsid w:val="00D81450"/>
    <w:rsid w:val="00D81504"/>
    <w:rsid w:val="00D8226E"/>
    <w:rsid w:val="00D82680"/>
    <w:rsid w:val="00D832F8"/>
    <w:rsid w:val="00D83427"/>
    <w:rsid w:val="00D84494"/>
    <w:rsid w:val="00D84F4D"/>
    <w:rsid w:val="00D85201"/>
    <w:rsid w:val="00D872B0"/>
    <w:rsid w:val="00D8778F"/>
    <w:rsid w:val="00D91190"/>
    <w:rsid w:val="00D91D64"/>
    <w:rsid w:val="00D92040"/>
    <w:rsid w:val="00D92842"/>
    <w:rsid w:val="00D93025"/>
    <w:rsid w:val="00D93F56"/>
    <w:rsid w:val="00D95750"/>
    <w:rsid w:val="00D95BFE"/>
    <w:rsid w:val="00D97455"/>
    <w:rsid w:val="00D97F70"/>
    <w:rsid w:val="00DA0619"/>
    <w:rsid w:val="00DA0CCC"/>
    <w:rsid w:val="00DA1024"/>
    <w:rsid w:val="00DA115B"/>
    <w:rsid w:val="00DA1E59"/>
    <w:rsid w:val="00DA20E3"/>
    <w:rsid w:val="00DA217D"/>
    <w:rsid w:val="00DA30D1"/>
    <w:rsid w:val="00DA39C2"/>
    <w:rsid w:val="00DA3CB8"/>
    <w:rsid w:val="00DA48A0"/>
    <w:rsid w:val="00DA4CA4"/>
    <w:rsid w:val="00DA540C"/>
    <w:rsid w:val="00DA56D3"/>
    <w:rsid w:val="00DA64F0"/>
    <w:rsid w:val="00DA6B93"/>
    <w:rsid w:val="00DA7759"/>
    <w:rsid w:val="00DB14F9"/>
    <w:rsid w:val="00DB275A"/>
    <w:rsid w:val="00DB399F"/>
    <w:rsid w:val="00DB3E05"/>
    <w:rsid w:val="00DB46DD"/>
    <w:rsid w:val="00DB614C"/>
    <w:rsid w:val="00DC0572"/>
    <w:rsid w:val="00DC08F8"/>
    <w:rsid w:val="00DC14D3"/>
    <w:rsid w:val="00DC36D9"/>
    <w:rsid w:val="00DC456B"/>
    <w:rsid w:val="00DC50B7"/>
    <w:rsid w:val="00DC5C3E"/>
    <w:rsid w:val="00DC6138"/>
    <w:rsid w:val="00DD16AB"/>
    <w:rsid w:val="00DD1AF9"/>
    <w:rsid w:val="00DD521B"/>
    <w:rsid w:val="00DD629C"/>
    <w:rsid w:val="00DE20C6"/>
    <w:rsid w:val="00DE6718"/>
    <w:rsid w:val="00DE6781"/>
    <w:rsid w:val="00DE72CA"/>
    <w:rsid w:val="00DF075F"/>
    <w:rsid w:val="00DF089F"/>
    <w:rsid w:val="00DF0B46"/>
    <w:rsid w:val="00DF1520"/>
    <w:rsid w:val="00DF2DE9"/>
    <w:rsid w:val="00DF2FCD"/>
    <w:rsid w:val="00DF46F0"/>
    <w:rsid w:val="00DF6182"/>
    <w:rsid w:val="00DF6274"/>
    <w:rsid w:val="00DF6991"/>
    <w:rsid w:val="00DF6ADF"/>
    <w:rsid w:val="00DF6CF2"/>
    <w:rsid w:val="00E039D3"/>
    <w:rsid w:val="00E045DB"/>
    <w:rsid w:val="00E04DB4"/>
    <w:rsid w:val="00E04F26"/>
    <w:rsid w:val="00E060B5"/>
    <w:rsid w:val="00E06B01"/>
    <w:rsid w:val="00E06DDB"/>
    <w:rsid w:val="00E070B5"/>
    <w:rsid w:val="00E12B7E"/>
    <w:rsid w:val="00E1421C"/>
    <w:rsid w:val="00E14685"/>
    <w:rsid w:val="00E14847"/>
    <w:rsid w:val="00E158E6"/>
    <w:rsid w:val="00E15AD9"/>
    <w:rsid w:val="00E16680"/>
    <w:rsid w:val="00E179AA"/>
    <w:rsid w:val="00E17C1E"/>
    <w:rsid w:val="00E21396"/>
    <w:rsid w:val="00E21653"/>
    <w:rsid w:val="00E21793"/>
    <w:rsid w:val="00E23106"/>
    <w:rsid w:val="00E2424A"/>
    <w:rsid w:val="00E246AE"/>
    <w:rsid w:val="00E2538D"/>
    <w:rsid w:val="00E26123"/>
    <w:rsid w:val="00E26C66"/>
    <w:rsid w:val="00E27310"/>
    <w:rsid w:val="00E27E93"/>
    <w:rsid w:val="00E30DC6"/>
    <w:rsid w:val="00E331E9"/>
    <w:rsid w:val="00E336E9"/>
    <w:rsid w:val="00E342C7"/>
    <w:rsid w:val="00E3466D"/>
    <w:rsid w:val="00E35D65"/>
    <w:rsid w:val="00E36328"/>
    <w:rsid w:val="00E3683B"/>
    <w:rsid w:val="00E37780"/>
    <w:rsid w:val="00E439D8"/>
    <w:rsid w:val="00E44E49"/>
    <w:rsid w:val="00E4698F"/>
    <w:rsid w:val="00E46B99"/>
    <w:rsid w:val="00E50623"/>
    <w:rsid w:val="00E51C93"/>
    <w:rsid w:val="00E52B98"/>
    <w:rsid w:val="00E5319B"/>
    <w:rsid w:val="00E5365C"/>
    <w:rsid w:val="00E536D5"/>
    <w:rsid w:val="00E55D59"/>
    <w:rsid w:val="00E5617F"/>
    <w:rsid w:val="00E563D6"/>
    <w:rsid w:val="00E57909"/>
    <w:rsid w:val="00E579DC"/>
    <w:rsid w:val="00E643C0"/>
    <w:rsid w:val="00E65A87"/>
    <w:rsid w:val="00E65C17"/>
    <w:rsid w:val="00E669B0"/>
    <w:rsid w:val="00E66A70"/>
    <w:rsid w:val="00E67E03"/>
    <w:rsid w:val="00E70B9D"/>
    <w:rsid w:val="00E71396"/>
    <w:rsid w:val="00E7217D"/>
    <w:rsid w:val="00E7283B"/>
    <w:rsid w:val="00E73574"/>
    <w:rsid w:val="00E73A22"/>
    <w:rsid w:val="00E7652F"/>
    <w:rsid w:val="00E76DF0"/>
    <w:rsid w:val="00E76F71"/>
    <w:rsid w:val="00E77987"/>
    <w:rsid w:val="00E80A8F"/>
    <w:rsid w:val="00E81249"/>
    <w:rsid w:val="00E846CA"/>
    <w:rsid w:val="00E85D20"/>
    <w:rsid w:val="00E86F2F"/>
    <w:rsid w:val="00E86F32"/>
    <w:rsid w:val="00E86F47"/>
    <w:rsid w:val="00E9050E"/>
    <w:rsid w:val="00E92AD7"/>
    <w:rsid w:val="00E936CF"/>
    <w:rsid w:val="00E95D54"/>
    <w:rsid w:val="00E968CD"/>
    <w:rsid w:val="00E97243"/>
    <w:rsid w:val="00E97A79"/>
    <w:rsid w:val="00E97BD7"/>
    <w:rsid w:val="00EA1997"/>
    <w:rsid w:val="00EA1A13"/>
    <w:rsid w:val="00EA2F6E"/>
    <w:rsid w:val="00EA454A"/>
    <w:rsid w:val="00EA5FB4"/>
    <w:rsid w:val="00EA6442"/>
    <w:rsid w:val="00EB138B"/>
    <w:rsid w:val="00EB1402"/>
    <w:rsid w:val="00EB48FA"/>
    <w:rsid w:val="00EB7229"/>
    <w:rsid w:val="00EC0DA8"/>
    <w:rsid w:val="00EC13EB"/>
    <w:rsid w:val="00EC161C"/>
    <w:rsid w:val="00EC170E"/>
    <w:rsid w:val="00EC257C"/>
    <w:rsid w:val="00EC4102"/>
    <w:rsid w:val="00EC47A5"/>
    <w:rsid w:val="00EC6FC4"/>
    <w:rsid w:val="00ED0495"/>
    <w:rsid w:val="00ED088A"/>
    <w:rsid w:val="00ED22FF"/>
    <w:rsid w:val="00ED24D3"/>
    <w:rsid w:val="00ED2CCB"/>
    <w:rsid w:val="00ED303A"/>
    <w:rsid w:val="00ED332C"/>
    <w:rsid w:val="00ED34E0"/>
    <w:rsid w:val="00ED4781"/>
    <w:rsid w:val="00EE0C92"/>
    <w:rsid w:val="00EE174A"/>
    <w:rsid w:val="00EE1DB6"/>
    <w:rsid w:val="00EE26A0"/>
    <w:rsid w:val="00EE3A65"/>
    <w:rsid w:val="00EE3EBD"/>
    <w:rsid w:val="00EE4DD9"/>
    <w:rsid w:val="00EE6F05"/>
    <w:rsid w:val="00EE72D6"/>
    <w:rsid w:val="00EE732B"/>
    <w:rsid w:val="00EE7F72"/>
    <w:rsid w:val="00EF0EC9"/>
    <w:rsid w:val="00EF2410"/>
    <w:rsid w:val="00EF2630"/>
    <w:rsid w:val="00EF456D"/>
    <w:rsid w:val="00EF542C"/>
    <w:rsid w:val="00EF637A"/>
    <w:rsid w:val="00F017B9"/>
    <w:rsid w:val="00F0211F"/>
    <w:rsid w:val="00F0355D"/>
    <w:rsid w:val="00F03915"/>
    <w:rsid w:val="00F04A5D"/>
    <w:rsid w:val="00F052F0"/>
    <w:rsid w:val="00F055FA"/>
    <w:rsid w:val="00F060CA"/>
    <w:rsid w:val="00F0699A"/>
    <w:rsid w:val="00F1116B"/>
    <w:rsid w:val="00F129B4"/>
    <w:rsid w:val="00F12F4A"/>
    <w:rsid w:val="00F13530"/>
    <w:rsid w:val="00F159FE"/>
    <w:rsid w:val="00F16698"/>
    <w:rsid w:val="00F167DB"/>
    <w:rsid w:val="00F173DB"/>
    <w:rsid w:val="00F204D6"/>
    <w:rsid w:val="00F20E8E"/>
    <w:rsid w:val="00F21D83"/>
    <w:rsid w:val="00F233ED"/>
    <w:rsid w:val="00F24231"/>
    <w:rsid w:val="00F278C5"/>
    <w:rsid w:val="00F27C15"/>
    <w:rsid w:val="00F30396"/>
    <w:rsid w:val="00F31B30"/>
    <w:rsid w:val="00F337D8"/>
    <w:rsid w:val="00F33F88"/>
    <w:rsid w:val="00F349BD"/>
    <w:rsid w:val="00F35313"/>
    <w:rsid w:val="00F3551F"/>
    <w:rsid w:val="00F357BA"/>
    <w:rsid w:val="00F36270"/>
    <w:rsid w:val="00F3688F"/>
    <w:rsid w:val="00F36A10"/>
    <w:rsid w:val="00F40894"/>
    <w:rsid w:val="00F40A3C"/>
    <w:rsid w:val="00F40B46"/>
    <w:rsid w:val="00F40BE1"/>
    <w:rsid w:val="00F40D80"/>
    <w:rsid w:val="00F41410"/>
    <w:rsid w:val="00F41D01"/>
    <w:rsid w:val="00F430AA"/>
    <w:rsid w:val="00F43807"/>
    <w:rsid w:val="00F43B1A"/>
    <w:rsid w:val="00F4405C"/>
    <w:rsid w:val="00F45778"/>
    <w:rsid w:val="00F4757E"/>
    <w:rsid w:val="00F47AF9"/>
    <w:rsid w:val="00F50FBF"/>
    <w:rsid w:val="00F5222B"/>
    <w:rsid w:val="00F537C7"/>
    <w:rsid w:val="00F54ABD"/>
    <w:rsid w:val="00F556A3"/>
    <w:rsid w:val="00F5690B"/>
    <w:rsid w:val="00F56DBE"/>
    <w:rsid w:val="00F56F92"/>
    <w:rsid w:val="00F61CE0"/>
    <w:rsid w:val="00F61FBF"/>
    <w:rsid w:val="00F62B5F"/>
    <w:rsid w:val="00F63CB8"/>
    <w:rsid w:val="00F65CAD"/>
    <w:rsid w:val="00F65DBE"/>
    <w:rsid w:val="00F6630E"/>
    <w:rsid w:val="00F666EB"/>
    <w:rsid w:val="00F667EB"/>
    <w:rsid w:val="00F66C52"/>
    <w:rsid w:val="00F7025C"/>
    <w:rsid w:val="00F70C36"/>
    <w:rsid w:val="00F71698"/>
    <w:rsid w:val="00F7207C"/>
    <w:rsid w:val="00F72E94"/>
    <w:rsid w:val="00F76EE5"/>
    <w:rsid w:val="00F77A8B"/>
    <w:rsid w:val="00F80A9C"/>
    <w:rsid w:val="00F80E44"/>
    <w:rsid w:val="00F86C20"/>
    <w:rsid w:val="00F9042A"/>
    <w:rsid w:val="00F90CA8"/>
    <w:rsid w:val="00F92323"/>
    <w:rsid w:val="00F94B84"/>
    <w:rsid w:val="00F95B8D"/>
    <w:rsid w:val="00F96A9A"/>
    <w:rsid w:val="00FA2E58"/>
    <w:rsid w:val="00FA35A8"/>
    <w:rsid w:val="00FA428B"/>
    <w:rsid w:val="00FA4781"/>
    <w:rsid w:val="00FA4FEC"/>
    <w:rsid w:val="00FA62B8"/>
    <w:rsid w:val="00FA70E0"/>
    <w:rsid w:val="00FA7FFE"/>
    <w:rsid w:val="00FB1A6E"/>
    <w:rsid w:val="00FB2B1E"/>
    <w:rsid w:val="00FB2DFB"/>
    <w:rsid w:val="00FB3AC4"/>
    <w:rsid w:val="00FB5D25"/>
    <w:rsid w:val="00FC06C1"/>
    <w:rsid w:val="00FC07F3"/>
    <w:rsid w:val="00FC174E"/>
    <w:rsid w:val="00FC28C9"/>
    <w:rsid w:val="00FC2FB1"/>
    <w:rsid w:val="00FC4CC8"/>
    <w:rsid w:val="00FC5214"/>
    <w:rsid w:val="00FC5DB8"/>
    <w:rsid w:val="00FC5E52"/>
    <w:rsid w:val="00FC60D4"/>
    <w:rsid w:val="00FC6D1B"/>
    <w:rsid w:val="00FC765A"/>
    <w:rsid w:val="00FD0F14"/>
    <w:rsid w:val="00FD1DC7"/>
    <w:rsid w:val="00FD2528"/>
    <w:rsid w:val="00FD2A0D"/>
    <w:rsid w:val="00FD36F9"/>
    <w:rsid w:val="00FD69AA"/>
    <w:rsid w:val="00FD73D6"/>
    <w:rsid w:val="00FE0D3C"/>
    <w:rsid w:val="00FE0DCB"/>
    <w:rsid w:val="00FE1333"/>
    <w:rsid w:val="00FE263C"/>
    <w:rsid w:val="00FE31A1"/>
    <w:rsid w:val="00FE3572"/>
    <w:rsid w:val="00FE4B13"/>
    <w:rsid w:val="00FE5B02"/>
    <w:rsid w:val="00FE698C"/>
    <w:rsid w:val="00FF0CC3"/>
    <w:rsid w:val="00FF41FA"/>
    <w:rsid w:val="00FF46F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2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fr-FR" w:eastAsia="en-U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uiPriority="99" w:semiHidden="1" w:unhideWhenUsed="1"/>
    <w:lsdException w:name="caption" w:uiPriority="35" w:semiHidden="1" w:unhideWhenUsed="1" w:qFormat="1"/>
    <w:lsdException w:name="table of figures" w:semiHidden="1" w:unhideWhenUsed="1"/>
    <w:lsdException w:name="envelope address" w:uiPriority="99" w:semiHidden="1" w:unhideWhenUsed="1" w:qFormat="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1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C506E3"/>
    <w:pPr>
      <w:jc w:val="both"/>
    </w:pPr>
    <w:rPr>
      <w:rFonts w:eastAsiaTheme="minorHAnsi" w:cstheme="minorBidi"/>
      <w:sz w:val="22"/>
      <w:szCs w:val="24"/>
    </w:rPr>
  </w:style>
  <w:style w:type="paragraph" w:styleId="Heading1">
    <w:name w:val="heading 1"/>
    <w:basedOn w:val="Normal"/>
    <w:next w:val="BodyText"/>
    <w:link w:val="Heading1Char"/>
    <w:uiPriority w:val="9"/>
    <w:qFormat/>
    <w:rsid w:val="000B5B0B"/>
    <w:pPr>
      <w:keepNext/>
      <w:spacing w:after="240"/>
      <w:jc w:val="center"/>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rsid w:val="00C506E3"/>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C506E3"/>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unhideWhenUsed/>
    <w:qFormat/>
    <w:rsid w:val="00C506E3"/>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unhideWhenUsed/>
    <w:qFormat/>
    <w:rsid w:val="00C506E3"/>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unhideWhenUsed/>
    <w:qFormat/>
    <w:rsid w:val="00C506E3"/>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rsid w:val="00C506E3"/>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rsid w:val="00C506E3"/>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unhideWhenUsed/>
    <w:qFormat/>
    <w:rsid w:val="00D27310"/>
    <w:pPr>
      <w:keepNext/>
      <w:spacing w:after="240"/>
      <w:jc w:val="center"/>
      <w:outlineLvl w:val="8"/>
    </w:pPr>
    <w:rPr>
      <w:rFonts w:eastAsiaTheme="majorEastAsia" w:cstheme="majorBidi"/>
      <w:b/>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character" w:styleId="Heading1Char" w:customStyle="1">
    <w:name w:val="Heading 1 Char"/>
    <w:basedOn w:val="DefaultParagraphFont"/>
    <w:link w:val="Heading1"/>
    <w:uiPriority w:val="9"/>
    <w:rsid w:val="000B5B0B"/>
    <w:rPr>
      <w:rFonts w:eastAsiaTheme="majorEastAsia" w:cstheme="majorBidi"/>
      <w:b/>
      <w:bCs/>
      <w:caps/>
      <w:sz w:val="22"/>
      <w:szCs w:val="28"/>
    </w:rPr>
  </w:style>
  <w:style w:type="character" w:styleId="Heading2Char" w:customStyle="1">
    <w:name w:val="Heading 2 Char"/>
    <w:basedOn w:val="DefaultParagraphFont"/>
    <w:link w:val="Heading2"/>
    <w:uiPriority w:val="9"/>
    <w:rsid w:val="00C506E3"/>
    <w:rPr>
      <w:rFonts w:eastAsiaTheme="majorEastAsia" w:cstheme="majorBidi"/>
      <w:b/>
      <w:bCs/>
      <w:sz w:val="24"/>
      <w:szCs w:val="26"/>
    </w:rPr>
  </w:style>
  <w:style w:type="character" w:styleId="Heading3Char" w:customStyle="1">
    <w:name w:val="Heading 3 Char"/>
    <w:basedOn w:val="DefaultParagraphFont"/>
    <w:link w:val="Heading3"/>
    <w:uiPriority w:val="9"/>
    <w:rsid w:val="00C506E3"/>
    <w:rPr>
      <w:rFonts w:eastAsiaTheme="majorEastAsia" w:cstheme="majorBidi"/>
      <w:b/>
      <w:bCs/>
      <w:i/>
      <w:sz w:val="24"/>
      <w:szCs w:val="24"/>
    </w:rPr>
  </w:style>
  <w:style w:type="character" w:styleId="Heading4Char" w:customStyle="1">
    <w:name w:val="Heading 4 Char"/>
    <w:basedOn w:val="DefaultParagraphFont"/>
    <w:link w:val="Heading4"/>
    <w:uiPriority w:val="9"/>
    <w:rsid w:val="00C506E3"/>
    <w:rPr>
      <w:rFonts w:eastAsiaTheme="majorEastAsia" w:cstheme="majorBidi"/>
      <w:bCs/>
      <w:i/>
      <w:iCs/>
      <w:sz w:val="24"/>
      <w:szCs w:val="24"/>
    </w:rPr>
  </w:style>
  <w:style w:type="character" w:styleId="Heading5Char" w:customStyle="1">
    <w:name w:val="Heading 5 Char"/>
    <w:basedOn w:val="DefaultParagraphFont"/>
    <w:link w:val="Heading5"/>
    <w:uiPriority w:val="9"/>
    <w:rsid w:val="00C506E3"/>
    <w:rPr>
      <w:rFonts w:eastAsiaTheme="majorEastAsia" w:cstheme="majorBidi"/>
      <w:sz w:val="24"/>
      <w:szCs w:val="24"/>
      <w:u w:val="single"/>
    </w:rPr>
  </w:style>
  <w:style w:type="character" w:styleId="Heading6Char" w:customStyle="1">
    <w:name w:val="Heading 6 Char"/>
    <w:basedOn w:val="DefaultParagraphFont"/>
    <w:link w:val="Heading6"/>
    <w:uiPriority w:val="9"/>
    <w:rsid w:val="00C506E3"/>
    <w:rPr>
      <w:rFonts w:eastAsiaTheme="majorEastAsia" w:cstheme="majorBidi"/>
      <w:b/>
      <w:i/>
      <w:iCs/>
      <w:sz w:val="24"/>
      <w:szCs w:val="24"/>
    </w:rPr>
  </w:style>
  <w:style w:type="character" w:styleId="Heading7Char" w:customStyle="1">
    <w:name w:val="Heading 7 Char"/>
    <w:basedOn w:val="DefaultParagraphFont"/>
    <w:link w:val="Heading7"/>
    <w:uiPriority w:val="9"/>
    <w:semiHidden/>
    <w:rsid w:val="00C506E3"/>
    <w:rPr>
      <w:rFonts w:eastAsiaTheme="majorEastAsia" w:cstheme="majorBidi"/>
      <w:iCs/>
      <w:sz w:val="24"/>
      <w:szCs w:val="24"/>
      <w:u w:val="single"/>
    </w:rPr>
  </w:style>
  <w:style w:type="character" w:styleId="Heading8Char" w:customStyle="1">
    <w:name w:val="Heading 8 Char"/>
    <w:basedOn w:val="DefaultParagraphFont"/>
    <w:link w:val="Heading8"/>
    <w:uiPriority w:val="9"/>
    <w:semiHidden/>
    <w:rsid w:val="00C506E3"/>
    <w:rPr>
      <w:rFonts w:eastAsiaTheme="majorEastAsia" w:cstheme="majorBidi"/>
      <w:i/>
      <w:sz w:val="24"/>
    </w:rPr>
  </w:style>
  <w:style w:type="character" w:styleId="Heading9Char" w:customStyle="1">
    <w:name w:val="Heading 9 Char"/>
    <w:basedOn w:val="DefaultParagraphFont"/>
    <w:link w:val="Heading9"/>
    <w:rsid w:val="00D27310"/>
    <w:rPr>
      <w:rFonts w:eastAsiaTheme="majorEastAsia" w:cstheme="majorBidi"/>
      <w:b/>
      <w:iCs/>
      <w:sz w:val="22"/>
    </w:rPr>
  </w:style>
  <w:style w:type="paragraph" w:styleId="BodyText">
    <w:name w:val="Body Text"/>
    <w:basedOn w:val="Normal"/>
    <w:link w:val="BodyTextChar"/>
    <w:qFormat/>
    <w:rsid w:val="00C506E3"/>
    <w:pPr>
      <w:spacing w:after="240"/>
    </w:pPr>
    <w:rPr>
      <w:rFonts w:eastAsia="Times New Roman" w:cs="Times New Roman"/>
    </w:rPr>
  </w:style>
  <w:style w:type="character" w:styleId="BodyTextChar" w:customStyle="1">
    <w:name w:val="Body Text Char"/>
    <w:basedOn w:val="DefaultParagraphFont"/>
    <w:link w:val="BodyText"/>
    <w:rsid w:val="00C506E3"/>
    <w:rPr>
      <w:sz w:val="24"/>
      <w:szCs w:val="24"/>
    </w:rPr>
  </w:style>
  <w:style w:type="numbering" w:styleId="ArticleSection">
    <w:name w:val="Outline List 3"/>
    <w:basedOn w:val="NoList"/>
    <w:uiPriority w:val="99"/>
    <w:semiHidden/>
    <w:unhideWhenUsed/>
    <w:rsid w:val="00C506E3"/>
    <w:pPr>
      <w:numPr>
        <w:numId w:val="1"/>
      </w:numPr>
    </w:pPr>
  </w:style>
  <w:style w:type="paragraph" w:styleId="BodyTextFirstIndent">
    <w:name w:val="Body Text First Indent"/>
    <w:basedOn w:val="BodyText"/>
    <w:link w:val="BodyTextFirstIndentChar"/>
    <w:unhideWhenUsed/>
    <w:rsid w:val="00C506E3"/>
    <w:pPr>
      <w:ind w:firstLine="720"/>
    </w:pPr>
  </w:style>
  <w:style w:type="character" w:styleId="BodyTextFirstIndentChar" w:customStyle="1">
    <w:name w:val="Body Text First Indent Char"/>
    <w:basedOn w:val="BodyTextChar"/>
    <w:link w:val="BodyTextFirstIndent"/>
    <w:rsid w:val="00C506E3"/>
    <w:rPr>
      <w:sz w:val="24"/>
      <w:szCs w:val="24"/>
    </w:rPr>
  </w:style>
  <w:style w:type="paragraph" w:styleId="BodyTextIndent">
    <w:name w:val="Body Text Indent"/>
    <w:basedOn w:val="Normal"/>
    <w:link w:val="BodyTextIndentChar"/>
    <w:unhideWhenUsed/>
    <w:rsid w:val="00F21D83"/>
    <w:pPr>
      <w:spacing w:after="240"/>
      <w:ind w:left="1440" w:hanging="720"/>
    </w:pPr>
  </w:style>
  <w:style w:type="character" w:styleId="BodyTextIndentChar" w:customStyle="1">
    <w:name w:val="Body Text Indent Char"/>
    <w:basedOn w:val="DefaultParagraphFont"/>
    <w:link w:val="BodyTextIndent"/>
    <w:rsid w:val="00F21D83"/>
    <w:rPr>
      <w:rFonts w:eastAsiaTheme="minorHAnsi" w:cstheme="minorBidi"/>
      <w:sz w:val="22"/>
      <w:szCs w:val="24"/>
    </w:rPr>
  </w:style>
  <w:style w:type="paragraph" w:styleId="BodyTextFirstIndent2">
    <w:name w:val="Body Text First Indent 2"/>
    <w:basedOn w:val="BodyTextIndent"/>
    <w:link w:val="BodyTextFirstIndent2Char"/>
    <w:uiPriority w:val="99"/>
    <w:semiHidden/>
    <w:unhideWhenUsed/>
    <w:rsid w:val="00C506E3"/>
    <w:pPr>
      <w:ind w:firstLine="720"/>
    </w:pPr>
  </w:style>
  <w:style w:type="character" w:styleId="BodyTextFirstIndent2Char" w:customStyle="1">
    <w:name w:val="Body Text First Indent 2 Char"/>
    <w:basedOn w:val="BodyTextIndentChar"/>
    <w:link w:val="BodyTextFirstIndent2"/>
    <w:uiPriority w:val="99"/>
    <w:semiHidden/>
    <w:rsid w:val="00C506E3"/>
    <w:rPr>
      <w:rFonts w:eastAsiaTheme="minorHAnsi" w:cstheme="minorBidi"/>
      <w:sz w:val="24"/>
      <w:szCs w:val="24"/>
    </w:rPr>
  </w:style>
  <w:style w:type="paragraph" w:styleId="Caption">
    <w:name w:val="caption"/>
    <w:basedOn w:val="Normal"/>
    <w:next w:val="Normal"/>
    <w:uiPriority w:val="35"/>
    <w:semiHidden/>
    <w:unhideWhenUsed/>
    <w:qFormat/>
    <w:rsid w:val="00C506E3"/>
    <w:rPr>
      <w:b/>
      <w:bCs/>
      <w:sz w:val="20"/>
      <w:szCs w:val="18"/>
    </w:rPr>
  </w:style>
  <w:style w:type="paragraph" w:styleId="Centered" w:customStyle="1">
    <w:name w:val="Centered"/>
    <w:basedOn w:val="Normal"/>
    <w:next w:val="BodyText"/>
    <w:uiPriority w:val="2"/>
    <w:qFormat/>
    <w:rsid w:val="00C506E3"/>
    <w:pPr>
      <w:spacing w:after="240" w:line="240" w:lineRule="exact"/>
      <w:jc w:val="center"/>
    </w:pPr>
  </w:style>
  <w:style w:type="paragraph" w:styleId="EnvelopeAddress">
    <w:name w:val="envelope address"/>
    <w:basedOn w:val="Normal"/>
    <w:uiPriority w:val="99"/>
    <w:semiHidden/>
    <w:unhideWhenUsed/>
    <w:qFormat/>
    <w:rsid w:val="00C506E3"/>
    <w:pPr>
      <w:framePr w:w="5760" w:h="2160" w:vSpace="187" w:hSpace="187" w:wrap="around" w:hAnchor="page" w:vAnchor="page" w:x="6481" w:y="3068" w:hRule="exact"/>
    </w:pPr>
    <w:rPr>
      <w:rFonts w:eastAsiaTheme="majorEastAsia" w:cstheme="majorBidi"/>
    </w:rPr>
  </w:style>
  <w:style w:type="paragraph" w:styleId="Footer">
    <w:name w:val="footer"/>
    <w:basedOn w:val="Normal"/>
    <w:link w:val="FooterChar"/>
    <w:uiPriority w:val="99"/>
    <w:unhideWhenUsed/>
    <w:qFormat/>
    <w:rsid w:val="00C506E3"/>
    <w:pPr>
      <w:tabs>
        <w:tab w:val="center" w:pos="4680"/>
        <w:tab w:val="right" w:pos="9360"/>
      </w:tabs>
      <w:jc w:val="left"/>
    </w:pPr>
    <w:rPr>
      <w:sz w:val="20"/>
    </w:rPr>
  </w:style>
  <w:style w:type="character" w:styleId="FooterChar" w:customStyle="1">
    <w:name w:val="Footer Char"/>
    <w:basedOn w:val="DefaultParagraphFont"/>
    <w:link w:val="Footer"/>
    <w:uiPriority w:val="99"/>
    <w:rsid w:val="00C506E3"/>
    <w:rPr>
      <w:rFonts w:eastAsiaTheme="minorHAnsi" w:cstheme="minorBidi"/>
      <w:szCs w:val="24"/>
    </w:rPr>
  </w:style>
  <w:style w:type="paragraph" w:styleId="DeliveryPhrase" w:customStyle="1">
    <w:name w:val="Delivery Phrase"/>
    <w:basedOn w:val="Normal"/>
    <w:next w:val="BodyText"/>
    <w:uiPriority w:val="3"/>
    <w:qFormat/>
    <w:rsid w:val="00C506E3"/>
    <w:pPr>
      <w:spacing w:before="240" w:after="240"/>
    </w:pPr>
    <w:rPr>
      <w:b/>
      <w:caps/>
    </w:rPr>
  </w:style>
  <w:style w:type="paragraph" w:styleId="FootnoteText">
    <w:name w:val="footnote text"/>
    <w:basedOn w:val="Normal"/>
    <w:link w:val="FootnoteTextChar"/>
    <w:uiPriority w:val="99"/>
    <w:unhideWhenUsed/>
    <w:rsid w:val="00C506E3"/>
    <w:pPr>
      <w:tabs>
        <w:tab w:val="left" w:pos="288"/>
      </w:tabs>
      <w:spacing w:after="60"/>
      <w:ind w:left="288" w:hanging="288"/>
    </w:pPr>
    <w:rPr>
      <w:sz w:val="16"/>
      <w:szCs w:val="20"/>
    </w:rPr>
  </w:style>
  <w:style w:type="character" w:styleId="FootnoteTextChar" w:customStyle="1">
    <w:name w:val="Footnote Text Char"/>
    <w:basedOn w:val="DefaultParagraphFont"/>
    <w:link w:val="FootnoteText"/>
    <w:uiPriority w:val="99"/>
    <w:rsid w:val="00C506E3"/>
    <w:rPr>
      <w:rFonts w:eastAsiaTheme="minorHAnsi" w:cstheme="minorBidi"/>
      <w:sz w:val="16"/>
    </w:rPr>
  </w:style>
  <w:style w:type="paragraph" w:styleId="LetterDate" w:customStyle="1">
    <w:name w:val="Letter Date"/>
    <w:basedOn w:val="Normal"/>
    <w:next w:val="BodyText"/>
    <w:uiPriority w:val="11"/>
    <w:qFormat/>
    <w:rsid w:val="00C506E3"/>
  </w:style>
  <w:style w:type="paragraph" w:styleId="LetterClosing" w:customStyle="1">
    <w:name w:val="LetterClosing"/>
    <w:basedOn w:val="Normal"/>
    <w:next w:val="Normal"/>
    <w:uiPriority w:val="11"/>
    <w:qFormat/>
    <w:rsid w:val="00C506E3"/>
  </w:style>
  <w:style w:type="paragraph" w:styleId="HeaderNumbers" w:customStyle="1">
    <w:name w:val="HeaderNumbers"/>
    <w:basedOn w:val="Normal"/>
    <w:link w:val="HeaderNumbersChar"/>
    <w:uiPriority w:val="10"/>
    <w:semiHidden/>
    <w:unhideWhenUsed/>
    <w:qFormat/>
    <w:rsid w:val="00C506E3"/>
    <w:pPr>
      <w:spacing w:after="720" w:line="480" w:lineRule="exact"/>
      <w:ind w:right="144"/>
    </w:pPr>
  </w:style>
  <w:style w:type="character" w:styleId="HeaderNumbersChar" w:customStyle="1">
    <w:name w:val="HeaderNumbers Char"/>
    <w:basedOn w:val="DefaultParagraphFont"/>
    <w:link w:val="HeaderNumbers"/>
    <w:uiPriority w:val="10"/>
    <w:semiHidden/>
    <w:rsid w:val="00C506E3"/>
    <w:rPr>
      <w:rFonts w:eastAsiaTheme="minorHAnsi" w:cstheme="minorBidi"/>
      <w:sz w:val="24"/>
      <w:szCs w:val="24"/>
    </w:rPr>
  </w:style>
  <w:style w:type="paragraph" w:styleId="PleadingSignature" w:customStyle="1">
    <w:name w:val="Pleading Signature"/>
    <w:basedOn w:val="Normal"/>
    <w:uiPriority w:val="13"/>
    <w:qFormat/>
    <w:rsid w:val="00C506E3"/>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rsid w:val="00C506E3"/>
    <w:pPr>
      <w:spacing w:after="240"/>
      <w:ind w:left="720" w:right="720"/>
    </w:pPr>
    <w:rPr>
      <w:iCs/>
    </w:rPr>
  </w:style>
  <w:style w:type="character" w:styleId="QuoteChar" w:customStyle="1">
    <w:name w:val="Quote Char"/>
    <w:basedOn w:val="DefaultParagraphFont"/>
    <w:link w:val="Quote"/>
    <w:uiPriority w:val="13"/>
    <w:rsid w:val="00C506E3"/>
    <w:rPr>
      <w:rFonts w:eastAsiaTheme="minorHAnsi" w:cstheme="minorBidi"/>
      <w:iCs/>
      <w:sz w:val="24"/>
      <w:szCs w:val="24"/>
    </w:rPr>
  </w:style>
  <w:style w:type="paragraph" w:styleId="TOAHeading">
    <w:name w:val="toa heading"/>
    <w:basedOn w:val="Normal"/>
    <w:next w:val="Normal"/>
    <w:uiPriority w:val="99"/>
    <w:qFormat/>
    <w:rsid w:val="00C506E3"/>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rsid w:val="007C7482"/>
    <w:pPr>
      <w:keepNext/>
      <w:tabs>
        <w:tab w:val="right" w:leader="dot" w:pos="9288"/>
      </w:tabs>
      <w:spacing w:before="120" w:after="120"/>
      <w:jc w:val="left"/>
    </w:pPr>
    <w:rPr>
      <w:b/>
      <w:caps/>
    </w:rPr>
  </w:style>
  <w:style w:type="paragraph" w:styleId="TOC2">
    <w:name w:val="toc 2"/>
    <w:basedOn w:val="Normal"/>
    <w:next w:val="TOC3"/>
    <w:uiPriority w:val="39"/>
    <w:qFormat/>
    <w:rsid w:val="00807D1C"/>
    <w:pPr>
      <w:tabs>
        <w:tab w:val="right" w:leader="dot" w:pos="9288"/>
      </w:tabs>
      <w:spacing w:after="60"/>
      <w:ind w:left="1080" w:right="720" w:hanging="720"/>
    </w:pPr>
  </w:style>
  <w:style w:type="paragraph" w:styleId="TOC3">
    <w:name w:val="toc 3"/>
    <w:basedOn w:val="Normal"/>
    <w:next w:val="TOC4"/>
    <w:uiPriority w:val="39"/>
    <w:rsid w:val="00682ACB"/>
    <w:pPr>
      <w:keepLines/>
      <w:tabs>
        <w:tab w:val="right" w:leader="dot" w:pos="9288"/>
      </w:tabs>
      <w:spacing w:after="60"/>
      <w:ind w:left="1440" w:right="720" w:hanging="720"/>
    </w:pPr>
  </w:style>
  <w:style w:type="paragraph" w:styleId="TOC4">
    <w:name w:val="toc 4"/>
    <w:basedOn w:val="Normal"/>
    <w:next w:val="Normal"/>
    <w:uiPriority w:val="39"/>
    <w:rsid w:val="00C506E3"/>
    <w:pPr>
      <w:keepLines/>
      <w:tabs>
        <w:tab w:val="right" w:leader="dot" w:pos="9288"/>
      </w:tabs>
      <w:spacing w:after="120"/>
      <w:ind w:left="1800" w:right="720" w:hanging="720"/>
    </w:pPr>
  </w:style>
  <w:style w:type="paragraph" w:styleId="TOC8">
    <w:name w:val="toc 8"/>
    <w:basedOn w:val="Normal"/>
    <w:next w:val="Normal"/>
    <w:uiPriority w:val="39"/>
    <w:unhideWhenUsed/>
    <w:rsid w:val="00C506E3"/>
    <w:pPr>
      <w:spacing w:after="100"/>
      <w:ind w:left="1680"/>
    </w:pPr>
  </w:style>
  <w:style w:type="paragraph" w:styleId="Header">
    <w:name w:val="header"/>
    <w:basedOn w:val="Normal"/>
    <w:link w:val="HeaderChar"/>
    <w:uiPriority w:val="99"/>
    <w:unhideWhenUsed/>
    <w:rsid w:val="00C506E3"/>
    <w:pPr>
      <w:tabs>
        <w:tab w:val="center" w:pos="4680"/>
        <w:tab w:val="right" w:pos="9360"/>
      </w:tabs>
    </w:pPr>
  </w:style>
  <w:style w:type="character" w:styleId="HeaderChar" w:customStyle="1">
    <w:name w:val="Header Char"/>
    <w:basedOn w:val="DefaultParagraphFont"/>
    <w:link w:val="Header"/>
    <w:uiPriority w:val="99"/>
    <w:rsid w:val="00C506E3"/>
    <w:rPr>
      <w:rFonts w:eastAsiaTheme="minorHAnsi" w:cstheme="minorBidi"/>
      <w:sz w:val="24"/>
      <w:szCs w:val="24"/>
    </w:rPr>
  </w:style>
  <w:style w:type="numbering" w:styleId="111111">
    <w:name w:val="Outline List 2"/>
    <w:basedOn w:val="NoList"/>
    <w:semiHidden/>
    <w:rsid w:val="00C506E3"/>
    <w:pPr>
      <w:numPr>
        <w:numId w:val="2"/>
      </w:numPr>
    </w:pPr>
  </w:style>
  <w:style w:type="numbering" w:styleId="1ai">
    <w:name w:val="Outline List 1"/>
    <w:basedOn w:val="NoList"/>
    <w:semiHidden/>
    <w:rsid w:val="00C506E3"/>
    <w:pPr>
      <w:numPr>
        <w:numId w:val="3"/>
      </w:numPr>
    </w:pPr>
  </w:style>
  <w:style w:type="paragraph" w:styleId="BodyText2">
    <w:name w:val="Body Text 2"/>
    <w:basedOn w:val="Normal"/>
    <w:link w:val="BodyText2Char"/>
    <w:semiHidden/>
    <w:rsid w:val="00C506E3"/>
    <w:pPr>
      <w:spacing w:after="240" w:line="480" w:lineRule="auto"/>
    </w:pPr>
    <w:rPr>
      <w:rFonts w:eastAsia="Times New Roman" w:cs="Times New Roman"/>
    </w:rPr>
  </w:style>
  <w:style w:type="character" w:styleId="BodyText2Char" w:customStyle="1">
    <w:name w:val="Body Text 2 Char"/>
    <w:basedOn w:val="DefaultParagraphFont"/>
    <w:link w:val="BodyText2"/>
    <w:semiHidden/>
    <w:rsid w:val="00C506E3"/>
    <w:rPr>
      <w:sz w:val="24"/>
      <w:szCs w:val="24"/>
    </w:rPr>
  </w:style>
  <w:style w:type="paragraph" w:styleId="BodyText3">
    <w:name w:val="Body Text 3"/>
    <w:basedOn w:val="Normal"/>
    <w:link w:val="BodyText3Char"/>
    <w:semiHidden/>
    <w:rsid w:val="00C506E3"/>
    <w:pPr>
      <w:spacing w:after="240"/>
    </w:pPr>
    <w:rPr>
      <w:rFonts w:eastAsia="Times New Roman" w:cs="Times New Roman"/>
      <w:sz w:val="16"/>
      <w:szCs w:val="16"/>
    </w:rPr>
  </w:style>
  <w:style w:type="character" w:styleId="BodyText3Char" w:customStyle="1">
    <w:name w:val="Body Text 3 Char"/>
    <w:basedOn w:val="DefaultParagraphFont"/>
    <w:link w:val="BodyText3"/>
    <w:semiHidden/>
    <w:rsid w:val="00C506E3"/>
    <w:rPr>
      <w:sz w:val="16"/>
      <w:szCs w:val="16"/>
    </w:rPr>
  </w:style>
  <w:style w:type="paragraph" w:styleId="BodyTextIndent2">
    <w:name w:val="Body Text Indent 2"/>
    <w:basedOn w:val="Normal"/>
    <w:link w:val="BodyTextIndent2Char"/>
    <w:semiHidden/>
    <w:rsid w:val="00D81450"/>
    <w:pPr>
      <w:spacing w:after="240"/>
      <w:ind w:left="2160" w:hanging="720"/>
    </w:pPr>
    <w:rPr>
      <w:rFonts w:eastAsia="Times New Roman" w:cs="Times New Roman"/>
    </w:rPr>
  </w:style>
  <w:style w:type="character" w:styleId="BodyTextIndent2Char" w:customStyle="1">
    <w:name w:val="Body Text Indent 2 Char"/>
    <w:basedOn w:val="DefaultParagraphFont"/>
    <w:link w:val="BodyTextIndent2"/>
    <w:semiHidden/>
    <w:rsid w:val="00D81450"/>
    <w:rPr>
      <w:sz w:val="22"/>
      <w:szCs w:val="24"/>
    </w:rPr>
  </w:style>
  <w:style w:type="paragraph" w:styleId="BodyTextIndent3">
    <w:name w:val="Body Text Indent 3"/>
    <w:basedOn w:val="Normal"/>
    <w:link w:val="BodyTextIndent3Char"/>
    <w:semiHidden/>
    <w:rsid w:val="00C506E3"/>
    <w:pPr>
      <w:spacing w:after="240"/>
      <w:ind w:left="720"/>
    </w:pPr>
    <w:rPr>
      <w:rFonts w:eastAsia="Times New Roman" w:cs="Times New Roman"/>
      <w:sz w:val="16"/>
      <w:szCs w:val="16"/>
    </w:rPr>
  </w:style>
  <w:style w:type="character" w:styleId="BodyTextIndent3Char" w:customStyle="1">
    <w:name w:val="Body Text Indent 3 Char"/>
    <w:basedOn w:val="DefaultParagraphFont"/>
    <w:link w:val="BodyTextIndent3"/>
    <w:semiHidden/>
    <w:rsid w:val="00C506E3"/>
    <w:rPr>
      <w:sz w:val="16"/>
      <w:szCs w:val="16"/>
    </w:rPr>
  </w:style>
  <w:style w:type="paragraph" w:styleId="Index1">
    <w:name w:val="index 1"/>
    <w:basedOn w:val="Normal"/>
    <w:next w:val="Normal"/>
    <w:autoRedefine/>
    <w:uiPriority w:val="99"/>
    <w:semiHidden/>
    <w:unhideWhenUsed/>
    <w:rsid w:val="00C506E3"/>
    <w:pPr>
      <w:ind w:left="240" w:hanging="240"/>
    </w:pPr>
  </w:style>
  <w:style w:type="paragraph" w:styleId="IndexHeading">
    <w:name w:val="index heading"/>
    <w:basedOn w:val="Normal"/>
    <w:next w:val="Index1"/>
    <w:uiPriority w:val="99"/>
    <w:semiHidden/>
    <w:unhideWhenUsed/>
    <w:rsid w:val="00C506E3"/>
    <w:rPr>
      <w:rFonts w:eastAsiaTheme="majorEastAsia" w:cstheme="majorBidi"/>
      <w:b/>
      <w:bCs/>
    </w:rPr>
  </w:style>
  <w:style w:type="paragraph" w:styleId="TOC9">
    <w:name w:val="toc 9"/>
    <w:basedOn w:val="Normal"/>
    <w:next w:val="Normal"/>
    <w:uiPriority w:val="39"/>
    <w:unhideWhenUsed/>
    <w:rsid w:val="00C506E3"/>
    <w:pPr>
      <w:spacing w:after="100"/>
      <w:ind w:left="1920"/>
    </w:pPr>
  </w:style>
  <w:style w:type="paragraph" w:styleId="TOC5">
    <w:name w:val="toc 5"/>
    <w:basedOn w:val="Normal"/>
    <w:next w:val="Normal"/>
    <w:uiPriority w:val="39"/>
    <w:unhideWhenUsed/>
    <w:rsid w:val="00C506E3"/>
    <w:pPr>
      <w:spacing w:after="100"/>
      <w:ind w:left="960"/>
    </w:pPr>
  </w:style>
  <w:style w:type="paragraph" w:styleId="TOC6">
    <w:name w:val="toc 6"/>
    <w:basedOn w:val="Normal"/>
    <w:next w:val="Normal"/>
    <w:uiPriority w:val="39"/>
    <w:unhideWhenUsed/>
    <w:rsid w:val="00C506E3"/>
    <w:pPr>
      <w:spacing w:after="100"/>
      <w:ind w:left="1200"/>
    </w:pPr>
  </w:style>
  <w:style w:type="paragraph" w:styleId="TOC7">
    <w:name w:val="toc 7"/>
    <w:basedOn w:val="Normal"/>
    <w:next w:val="Normal"/>
    <w:uiPriority w:val="39"/>
    <w:unhideWhenUsed/>
    <w:rsid w:val="00C506E3"/>
    <w:pPr>
      <w:spacing w:after="100"/>
      <w:ind w:left="1440"/>
    </w:pPr>
  </w:style>
  <w:style w:type="character" w:styleId="FootnoteReference">
    <w:name w:val="footnote reference"/>
    <w:rsid w:val="00D54EA8"/>
    <w:rPr>
      <w:vertAlign w:val="superscript"/>
    </w:rPr>
  </w:style>
  <w:style w:type="paragraph" w:styleId="ArtBJStyCont1" w:customStyle="1">
    <w:name w:val="ArtBJSty Cont 1"/>
    <w:basedOn w:val="Normal"/>
    <w:link w:val="ArtBJStyCont1Char"/>
    <w:rsid w:val="00C506E3"/>
    <w:pPr>
      <w:spacing w:after="240"/>
      <w:jc w:val="left"/>
    </w:pPr>
    <w:rPr>
      <w:rFonts w:eastAsia="Times New Roman" w:cs="Times New Roman"/>
      <w:szCs w:val="20"/>
    </w:rPr>
  </w:style>
  <w:style w:type="character" w:styleId="ArtBJStyCont1Char" w:customStyle="1">
    <w:name w:val="ArtBJSty Cont 1 Char"/>
    <w:basedOn w:val="DefaultParagraphFont"/>
    <w:link w:val="ArtBJStyCont1"/>
    <w:rsid w:val="00C506E3"/>
    <w:rPr>
      <w:sz w:val="24"/>
    </w:rPr>
  </w:style>
  <w:style w:type="paragraph" w:styleId="ArtBJStyCont2" w:customStyle="1">
    <w:name w:val="ArtBJSty Cont 2"/>
    <w:basedOn w:val="ArtBJStyCont1"/>
    <w:link w:val="ArtBJStyCont2Char"/>
    <w:rsid w:val="000B5B0B"/>
    <w:pPr>
      <w:jc w:val="both"/>
    </w:pPr>
  </w:style>
  <w:style w:type="character" w:styleId="ArtBJStyCont2Char" w:customStyle="1">
    <w:name w:val="ArtBJSty Cont 2 Char"/>
    <w:basedOn w:val="DefaultParagraphFont"/>
    <w:link w:val="ArtBJStyCont2"/>
    <w:rsid w:val="000B5B0B"/>
    <w:rPr>
      <w:sz w:val="22"/>
    </w:rPr>
  </w:style>
  <w:style w:type="paragraph" w:styleId="ArtBJStyCont3" w:customStyle="1">
    <w:name w:val="ArtBJSty Cont 3"/>
    <w:basedOn w:val="ArtBJStyCont2"/>
    <w:link w:val="ArtBJStyCont3Char"/>
    <w:rsid w:val="00C506E3"/>
    <w:pPr>
      <w:ind w:left="1440"/>
    </w:pPr>
  </w:style>
  <w:style w:type="character" w:styleId="ArtBJStyCont3Char" w:customStyle="1">
    <w:name w:val="ArtBJSty Cont 3 Char"/>
    <w:basedOn w:val="DefaultParagraphFont"/>
    <w:link w:val="ArtBJStyCont3"/>
    <w:rsid w:val="00C506E3"/>
    <w:rPr>
      <w:sz w:val="22"/>
    </w:rPr>
  </w:style>
  <w:style w:type="paragraph" w:styleId="ArtBJStyCont4" w:customStyle="1">
    <w:name w:val="ArtBJSty Cont 4"/>
    <w:basedOn w:val="ArtBJStyCont3"/>
    <w:link w:val="ArtBJStyCont4Char"/>
    <w:rsid w:val="00C506E3"/>
    <w:pPr>
      <w:ind w:left="2160"/>
    </w:pPr>
  </w:style>
  <w:style w:type="character" w:styleId="ArtBJStyCont4Char" w:customStyle="1">
    <w:name w:val="ArtBJSty Cont 4 Char"/>
    <w:basedOn w:val="DefaultParagraphFont"/>
    <w:link w:val="ArtBJStyCont4"/>
    <w:rsid w:val="00C506E3"/>
    <w:rPr>
      <w:sz w:val="22"/>
    </w:rPr>
  </w:style>
  <w:style w:type="paragraph" w:styleId="ArtBJStyCont5" w:customStyle="1">
    <w:name w:val="ArtBJSty Cont 5"/>
    <w:basedOn w:val="ArtBJStyCont4"/>
    <w:link w:val="ArtBJStyCont5Char"/>
    <w:rsid w:val="00C506E3"/>
    <w:pPr>
      <w:ind w:left="2880"/>
    </w:pPr>
  </w:style>
  <w:style w:type="character" w:styleId="ArtBJStyCont5Char" w:customStyle="1">
    <w:name w:val="ArtBJSty Cont 5 Char"/>
    <w:basedOn w:val="DefaultParagraphFont"/>
    <w:link w:val="ArtBJStyCont5"/>
    <w:rsid w:val="00C506E3"/>
    <w:rPr>
      <w:sz w:val="22"/>
    </w:rPr>
  </w:style>
  <w:style w:type="paragraph" w:styleId="ArtBJStyCont6" w:customStyle="1">
    <w:name w:val="ArtBJSty Cont 6"/>
    <w:basedOn w:val="ArtBJStyCont5"/>
    <w:link w:val="ArtBJStyCont6Char"/>
    <w:rsid w:val="00C506E3"/>
    <w:pPr>
      <w:ind w:left="3600"/>
    </w:pPr>
  </w:style>
  <w:style w:type="character" w:styleId="ArtBJStyCont6Char" w:customStyle="1">
    <w:name w:val="ArtBJSty Cont 6 Char"/>
    <w:basedOn w:val="DefaultParagraphFont"/>
    <w:link w:val="ArtBJStyCont6"/>
    <w:rsid w:val="00C506E3"/>
    <w:rPr>
      <w:sz w:val="22"/>
    </w:rPr>
  </w:style>
  <w:style w:type="paragraph" w:styleId="ArtBJStyCont7" w:customStyle="1">
    <w:name w:val="ArtBJSty Cont 7"/>
    <w:basedOn w:val="ArtBJStyCont6"/>
    <w:link w:val="ArtBJStyCont7Char"/>
    <w:rsid w:val="00C506E3"/>
    <w:pPr>
      <w:ind w:left="4320"/>
    </w:pPr>
  </w:style>
  <w:style w:type="character" w:styleId="ArtBJStyCont7Char" w:customStyle="1">
    <w:name w:val="ArtBJSty Cont 7 Char"/>
    <w:basedOn w:val="DefaultParagraphFont"/>
    <w:link w:val="ArtBJStyCont7"/>
    <w:rsid w:val="00C506E3"/>
    <w:rPr>
      <w:sz w:val="22"/>
    </w:rPr>
  </w:style>
  <w:style w:type="paragraph" w:styleId="ArtBJStyCont8" w:customStyle="1">
    <w:name w:val="ArtBJSty Cont 8"/>
    <w:basedOn w:val="ArtBJStyCont7"/>
    <w:link w:val="ArtBJStyCont8Char"/>
    <w:rsid w:val="00C506E3"/>
    <w:pPr>
      <w:ind w:left="5040"/>
    </w:pPr>
  </w:style>
  <w:style w:type="character" w:styleId="ArtBJStyCont8Char" w:customStyle="1">
    <w:name w:val="ArtBJSty Cont 8 Char"/>
    <w:basedOn w:val="DefaultParagraphFont"/>
    <w:link w:val="ArtBJStyCont8"/>
    <w:rsid w:val="00C506E3"/>
    <w:rPr>
      <w:sz w:val="22"/>
    </w:rPr>
  </w:style>
  <w:style w:type="paragraph" w:styleId="ArtBJStyL1" w:customStyle="1">
    <w:name w:val="ArtBJSty_L1"/>
    <w:basedOn w:val="Normal"/>
    <w:next w:val="ArtBJStyL2"/>
    <w:link w:val="ArtBJStyL1Char"/>
    <w:rsid w:val="00A17188"/>
    <w:pPr>
      <w:keepNext/>
      <w:numPr>
        <w:numId w:val="4"/>
      </w:numPr>
      <w:tabs>
        <w:tab w:val="clear" w:pos="6120"/>
        <w:tab w:val="num" w:pos="720"/>
      </w:tabs>
      <w:spacing w:before="240" w:after="240"/>
      <w:ind w:left="0"/>
      <w:jc w:val="center"/>
      <w:outlineLvl w:val="0"/>
    </w:pPr>
    <w:rPr>
      <w:rFonts w:ascii="Times New Roman Bold" w:hAnsi="Times New Roman Bold" w:eastAsia="Times New Roman" w:cs="Times New Roman"/>
      <w:b/>
      <w:caps/>
      <w:szCs w:val="20"/>
      <w:u w:val="single"/>
    </w:rPr>
  </w:style>
  <w:style w:type="character" w:styleId="ArtBJStyL1Char" w:customStyle="1">
    <w:name w:val="ArtBJSty_L1 Char"/>
    <w:basedOn w:val="DefaultParagraphFont"/>
    <w:link w:val="ArtBJStyL1"/>
    <w:rsid w:val="00A17188"/>
    <w:rPr>
      <w:rFonts w:ascii="Times New Roman Bold" w:hAnsi="Times New Roman Bold"/>
      <w:b/>
      <w:caps/>
      <w:sz w:val="22"/>
      <w:u w:val="single"/>
    </w:rPr>
  </w:style>
  <w:style w:type="paragraph" w:styleId="ArtBJStyL2" w:customStyle="1">
    <w:name w:val="ArtBJSty_L2"/>
    <w:basedOn w:val="ArtBJStyL1"/>
    <w:link w:val="ArtBJStyL2Char"/>
    <w:rsid w:val="00A17188"/>
    <w:pPr>
      <w:numPr>
        <w:ilvl w:val="1"/>
      </w:numPr>
      <w:spacing w:before="0"/>
      <w:jc w:val="both"/>
      <w:outlineLvl w:val="1"/>
    </w:pPr>
    <w:rPr>
      <w:caps w:val="0"/>
      <w:u w:val="none"/>
    </w:rPr>
  </w:style>
  <w:style w:type="character" w:styleId="ArtBJStyL2Char" w:customStyle="1">
    <w:name w:val="ArtBJSty_L2 Char"/>
    <w:basedOn w:val="DefaultParagraphFont"/>
    <w:link w:val="ArtBJStyL2"/>
    <w:rsid w:val="00A17188"/>
    <w:rPr>
      <w:rFonts w:ascii="Times New Roman Bold" w:hAnsi="Times New Roman Bold"/>
      <w:b/>
      <w:sz w:val="22"/>
    </w:rPr>
  </w:style>
  <w:style w:type="paragraph" w:styleId="ArtBJStyL3" w:customStyle="1">
    <w:name w:val="ArtBJSty_L3"/>
    <w:basedOn w:val="ArtBJStyL2"/>
    <w:link w:val="ArtBJStyL3Char"/>
    <w:rsid w:val="00966E85"/>
    <w:pPr>
      <w:keepNext w:val="0"/>
      <w:numPr>
        <w:ilvl w:val="2"/>
      </w:numPr>
      <w:outlineLvl w:val="2"/>
    </w:pPr>
    <w:rPr>
      <w:rFonts w:ascii="Times New Roman" w:hAnsi="Times New Roman"/>
      <w:b w:val="0"/>
    </w:rPr>
  </w:style>
  <w:style w:type="character" w:styleId="ArtBJStyL3Char" w:customStyle="1">
    <w:name w:val="ArtBJSty_L3 Char"/>
    <w:basedOn w:val="DefaultParagraphFont"/>
    <w:link w:val="ArtBJStyL3"/>
    <w:rsid w:val="00966E85"/>
    <w:rPr>
      <w:sz w:val="22"/>
    </w:rPr>
  </w:style>
  <w:style w:type="paragraph" w:styleId="ArtBJStyL4" w:customStyle="1">
    <w:name w:val="ArtBJSty_L4"/>
    <w:basedOn w:val="ArtBJStyL3"/>
    <w:link w:val="ArtBJStyL4Char"/>
    <w:rsid w:val="00C506E3"/>
    <w:pPr>
      <w:numPr>
        <w:ilvl w:val="3"/>
      </w:numPr>
      <w:outlineLvl w:val="3"/>
    </w:pPr>
  </w:style>
  <w:style w:type="character" w:styleId="ArtBJStyL4Char" w:customStyle="1">
    <w:name w:val="ArtBJSty_L4 Char"/>
    <w:basedOn w:val="DefaultParagraphFont"/>
    <w:link w:val="ArtBJStyL4"/>
    <w:rsid w:val="00C506E3"/>
    <w:rPr>
      <w:sz w:val="22"/>
    </w:rPr>
  </w:style>
  <w:style w:type="paragraph" w:styleId="ArtBJStyL5" w:customStyle="1">
    <w:name w:val="ArtBJSty_L5"/>
    <w:basedOn w:val="ArtBJStyL4"/>
    <w:link w:val="ArtBJStyL5Char"/>
    <w:rsid w:val="00C506E3"/>
    <w:pPr>
      <w:numPr>
        <w:ilvl w:val="4"/>
      </w:numPr>
      <w:outlineLvl w:val="4"/>
    </w:pPr>
  </w:style>
  <w:style w:type="character" w:styleId="ArtBJStyL5Char" w:customStyle="1">
    <w:name w:val="ArtBJSty_L5 Char"/>
    <w:basedOn w:val="DefaultParagraphFont"/>
    <w:link w:val="ArtBJStyL5"/>
    <w:rsid w:val="00C506E3"/>
    <w:rPr>
      <w:sz w:val="22"/>
    </w:rPr>
  </w:style>
  <w:style w:type="paragraph" w:styleId="ArtBJStyL6" w:customStyle="1">
    <w:name w:val="ArtBJSty_L6"/>
    <w:basedOn w:val="ArtBJStyL5"/>
    <w:link w:val="ArtBJStyL6Char"/>
    <w:rsid w:val="00C506E3"/>
    <w:pPr>
      <w:numPr>
        <w:ilvl w:val="5"/>
      </w:numPr>
      <w:outlineLvl w:val="5"/>
    </w:pPr>
  </w:style>
  <w:style w:type="character" w:styleId="ArtBJStyL6Char" w:customStyle="1">
    <w:name w:val="ArtBJSty_L6 Char"/>
    <w:basedOn w:val="DefaultParagraphFont"/>
    <w:link w:val="ArtBJStyL6"/>
    <w:rsid w:val="00C506E3"/>
    <w:rPr>
      <w:sz w:val="22"/>
    </w:rPr>
  </w:style>
  <w:style w:type="paragraph" w:styleId="ArtBJStyL7" w:customStyle="1">
    <w:name w:val="ArtBJSty_L7"/>
    <w:basedOn w:val="ArtBJStyL6"/>
    <w:link w:val="ArtBJStyL7Char"/>
    <w:rsid w:val="00C506E3"/>
    <w:pPr>
      <w:numPr>
        <w:ilvl w:val="6"/>
      </w:numPr>
      <w:outlineLvl w:val="6"/>
    </w:pPr>
  </w:style>
  <w:style w:type="character" w:styleId="ArtBJStyL7Char" w:customStyle="1">
    <w:name w:val="ArtBJSty_L7 Char"/>
    <w:basedOn w:val="DefaultParagraphFont"/>
    <w:link w:val="ArtBJStyL7"/>
    <w:rsid w:val="00C506E3"/>
    <w:rPr>
      <w:sz w:val="22"/>
    </w:rPr>
  </w:style>
  <w:style w:type="paragraph" w:styleId="ArtBJStyL8" w:customStyle="1">
    <w:name w:val="ArtBJSty_L8"/>
    <w:basedOn w:val="ArtBJStyL7"/>
    <w:link w:val="ArtBJStyL8Char"/>
    <w:rsid w:val="00C506E3"/>
    <w:pPr>
      <w:numPr>
        <w:ilvl w:val="7"/>
      </w:numPr>
      <w:outlineLvl w:val="7"/>
    </w:pPr>
  </w:style>
  <w:style w:type="character" w:styleId="ArtBJStyL8Char" w:customStyle="1">
    <w:name w:val="ArtBJSty_L8 Char"/>
    <w:basedOn w:val="DefaultParagraphFont"/>
    <w:link w:val="ArtBJStyL8"/>
    <w:rsid w:val="00C506E3"/>
    <w:rPr>
      <w:sz w:val="22"/>
    </w:rPr>
  </w:style>
  <w:style w:type="paragraph" w:styleId="MacPacTrailer" w:customStyle="1">
    <w:name w:val="MacPac Trailer"/>
    <w:rsid w:val="007D0A96"/>
    <w:pPr>
      <w:widowControl w:val="0"/>
      <w:spacing w:line="200" w:lineRule="exact"/>
    </w:pPr>
    <w:rPr>
      <w:sz w:val="16"/>
      <w:szCs w:val="22"/>
      <w:lang w:val="en-US"/>
    </w:rPr>
  </w:style>
  <w:style w:type="character" w:styleId="PlaceholderText">
    <w:name w:val="Placeholder Text"/>
    <w:basedOn w:val="DefaultParagraphFont"/>
    <w:uiPriority w:val="99"/>
    <w:semiHidden/>
    <w:rsid w:val="00C25213"/>
    <w:rPr>
      <w:color w:val="808080"/>
    </w:rPr>
  </w:style>
  <w:style w:type="table" w:styleId="TableGrid">
    <w:name w:val="Table Grid"/>
    <w:basedOn w:val="TableNormal"/>
    <w:rsid w:val="00D273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icle5L1" w:customStyle="1">
    <w:name w:val="Article5_L1"/>
    <w:basedOn w:val="Normal"/>
    <w:next w:val="BodyText"/>
    <w:rsid w:val="0065412F"/>
    <w:pPr>
      <w:numPr>
        <w:numId w:val="5"/>
      </w:numPr>
      <w:spacing w:after="240"/>
      <w:outlineLvl w:val="0"/>
    </w:pPr>
    <w:rPr>
      <w:rFonts w:eastAsia="Times New Roman" w:cs="Times New Roman"/>
      <w:szCs w:val="20"/>
    </w:rPr>
  </w:style>
  <w:style w:type="paragraph" w:styleId="Article5L2" w:customStyle="1">
    <w:name w:val="Article5_L2"/>
    <w:basedOn w:val="Article5L1"/>
    <w:next w:val="BodyText"/>
    <w:rsid w:val="0065412F"/>
    <w:pPr>
      <w:numPr>
        <w:ilvl w:val="1"/>
      </w:numPr>
      <w:outlineLvl w:val="1"/>
    </w:pPr>
  </w:style>
  <w:style w:type="paragraph" w:styleId="Article5L3" w:customStyle="1">
    <w:name w:val="Article5_L3"/>
    <w:basedOn w:val="Article5L2"/>
    <w:next w:val="BodyText"/>
    <w:rsid w:val="0065412F"/>
    <w:pPr>
      <w:numPr>
        <w:ilvl w:val="2"/>
      </w:numPr>
      <w:tabs>
        <w:tab w:val="clear" w:pos="1571"/>
        <w:tab w:val="num" w:pos="2520"/>
      </w:tabs>
      <w:ind w:left="900"/>
      <w:outlineLvl w:val="2"/>
    </w:pPr>
  </w:style>
  <w:style w:type="paragraph" w:styleId="Article5L4" w:customStyle="1">
    <w:name w:val="Article5_L4"/>
    <w:basedOn w:val="Article5L3"/>
    <w:next w:val="BodyText"/>
    <w:rsid w:val="0065412F"/>
    <w:pPr>
      <w:numPr>
        <w:ilvl w:val="3"/>
      </w:numPr>
      <w:tabs>
        <w:tab w:val="clear" w:pos="4320"/>
        <w:tab w:val="num" w:pos="3240"/>
      </w:tabs>
      <w:outlineLvl w:val="3"/>
    </w:pPr>
  </w:style>
  <w:style w:type="paragraph" w:styleId="Article5L5" w:customStyle="1">
    <w:name w:val="Article5_L5"/>
    <w:basedOn w:val="Article5L4"/>
    <w:next w:val="BodyText"/>
    <w:rsid w:val="0065412F"/>
    <w:pPr>
      <w:numPr>
        <w:ilvl w:val="4"/>
      </w:numPr>
      <w:outlineLvl w:val="4"/>
    </w:pPr>
  </w:style>
  <w:style w:type="paragraph" w:styleId="Article5L6" w:customStyle="1">
    <w:name w:val="Article5_L6"/>
    <w:basedOn w:val="Article5L5"/>
    <w:next w:val="BodyText"/>
    <w:link w:val="Article5L6Char"/>
    <w:rsid w:val="0065412F"/>
    <w:pPr>
      <w:numPr>
        <w:ilvl w:val="5"/>
      </w:numPr>
      <w:outlineLvl w:val="5"/>
    </w:pPr>
  </w:style>
  <w:style w:type="character" w:styleId="Article5L6Char" w:customStyle="1">
    <w:name w:val="Article5_L6 Char"/>
    <w:basedOn w:val="DefaultParagraphFont"/>
    <w:link w:val="Article5L6"/>
    <w:rsid w:val="0065412F"/>
    <w:rPr>
      <w:sz w:val="22"/>
    </w:rPr>
  </w:style>
  <w:style w:type="paragraph" w:styleId="Article5L7" w:customStyle="1">
    <w:name w:val="Article5_L7"/>
    <w:basedOn w:val="Article5L6"/>
    <w:next w:val="BodyText"/>
    <w:rsid w:val="0065412F"/>
    <w:pPr>
      <w:numPr>
        <w:ilvl w:val="6"/>
      </w:numPr>
      <w:tabs>
        <w:tab w:val="clear" w:pos="2160"/>
        <w:tab w:val="num" w:pos="360"/>
      </w:tabs>
      <w:outlineLvl w:val="6"/>
    </w:pPr>
  </w:style>
  <w:style w:type="paragraph" w:styleId="Article5L8" w:customStyle="1">
    <w:name w:val="Article5_L8"/>
    <w:basedOn w:val="Article5L7"/>
    <w:next w:val="BodyText"/>
    <w:rsid w:val="0065412F"/>
    <w:pPr>
      <w:numPr>
        <w:ilvl w:val="7"/>
      </w:numPr>
      <w:tabs>
        <w:tab w:val="clear" w:pos="3600"/>
        <w:tab w:val="num" w:pos="360"/>
      </w:tabs>
      <w:outlineLvl w:val="7"/>
    </w:pPr>
  </w:style>
  <w:style w:type="paragraph" w:styleId="EndnoteText">
    <w:name w:val="endnote text"/>
    <w:basedOn w:val="Normal"/>
    <w:link w:val="EndnoteTextChar"/>
    <w:semiHidden/>
    <w:unhideWhenUsed/>
    <w:rsid w:val="00A73071"/>
    <w:rPr>
      <w:sz w:val="20"/>
      <w:szCs w:val="20"/>
    </w:rPr>
  </w:style>
  <w:style w:type="character" w:styleId="EndnoteTextChar" w:customStyle="1">
    <w:name w:val="Endnote Text Char"/>
    <w:basedOn w:val="DefaultParagraphFont"/>
    <w:link w:val="EndnoteText"/>
    <w:semiHidden/>
    <w:rsid w:val="00A73071"/>
    <w:rPr>
      <w:rFonts w:eastAsiaTheme="minorHAnsi" w:cstheme="minorBidi"/>
    </w:rPr>
  </w:style>
  <w:style w:type="character" w:styleId="EndnoteReference">
    <w:name w:val="endnote reference"/>
    <w:basedOn w:val="DefaultParagraphFont"/>
    <w:semiHidden/>
    <w:unhideWhenUsed/>
    <w:rsid w:val="00A73071"/>
    <w:rPr>
      <w:vertAlign w:val="superscript"/>
    </w:rPr>
  </w:style>
  <w:style w:type="character" w:styleId="CommentReference">
    <w:name w:val="annotation reference"/>
    <w:basedOn w:val="DefaultParagraphFont"/>
    <w:uiPriority w:val="99"/>
    <w:semiHidden/>
    <w:unhideWhenUsed/>
    <w:rsid w:val="00AE45E2"/>
    <w:rPr>
      <w:sz w:val="16"/>
      <w:szCs w:val="16"/>
    </w:rPr>
  </w:style>
  <w:style w:type="paragraph" w:styleId="CommentText">
    <w:name w:val="annotation text"/>
    <w:basedOn w:val="Normal"/>
    <w:link w:val="CommentTextChar"/>
    <w:uiPriority w:val="99"/>
    <w:unhideWhenUsed/>
    <w:rsid w:val="00AE45E2"/>
    <w:rPr>
      <w:sz w:val="20"/>
      <w:szCs w:val="20"/>
    </w:rPr>
  </w:style>
  <w:style w:type="character" w:styleId="CommentTextChar" w:customStyle="1">
    <w:name w:val="Comment Text Char"/>
    <w:basedOn w:val="DefaultParagraphFont"/>
    <w:link w:val="CommentText"/>
    <w:uiPriority w:val="99"/>
    <w:rsid w:val="00AE45E2"/>
    <w:rPr>
      <w:rFonts w:eastAsiaTheme="minorHAnsi" w:cstheme="minorBidi"/>
    </w:rPr>
  </w:style>
  <w:style w:type="paragraph" w:styleId="CommentSubject">
    <w:name w:val="annotation subject"/>
    <w:basedOn w:val="CommentText"/>
    <w:next w:val="CommentText"/>
    <w:link w:val="CommentSubjectChar"/>
    <w:semiHidden/>
    <w:unhideWhenUsed/>
    <w:rsid w:val="00AE45E2"/>
    <w:rPr>
      <w:b/>
      <w:bCs/>
    </w:rPr>
  </w:style>
  <w:style w:type="character" w:styleId="CommentSubjectChar" w:customStyle="1">
    <w:name w:val="Comment Subject Char"/>
    <w:basedOn w:val="CommentTextChar"/>
    <w:link w:val="CommentSubject"/>
    <w:semiHidden/>
    <w:rsid w:val="00AE45E2"/>
    <w:rPr>
      <w:rFonts w:eastAsiaTheme="minorHAnsi" w:cstheme="minorBidi"/>
      <w:b/>
      <w:bCs/>
    </w:rPr>
  </w:style>
  <w:style w:type="paragraph" w:styleId="BalloonText">
    <w:name w:val="Balloon Text"/>
    <w:basedOn w:val="Normal"/>
    <w:link w:val="BalloonTextChar"/>
    <w:semiHidden/>
    <w:unhideWhenUsed/>
    <w:rsid w:val="00AE45E2"/>
    <w:rPr>
      <w:rFonts w:ascii="Segoe UI" w:hAnsi="Segoe UI" w:cs="Segoe UI"/>
      <w:sz w:val="18"/>
      <w:szCs w:val="18"/>
    </w:rPr>
  </w:style>
  <w:style w:type="character" w:styleId="BalloonTextChar" w:customStyle="1">
    <w:name w:val="Balloon Text Char"/>
    <w:basedOn w:val="DefaultParagraphFont"/>
    <w:link w:val="BalloonText"/>
    <w:semiHidden/>
    <w:rsid w:val="00AE45E2"/>
    <w:rPr>
      <w:rFonts w:ascii="Segoe UI" w:hAnsi="Segoe UI" w:cs="Segoe UI" w:eastAsiaTheme="minorHAnsi"/>
      <w:sz w:val="18"/>
      <w:szCs w:val="18"/>
    </w:rPr>
  </w:style>
  <w:style w:type="paragraph" w:styleId="HBARTL1" w:customStyle="1">
    <w:name w:val="HB ART L1"/>
    <w:basedOn w:val="Normal"/>
    <w:next w:val="HBARTL2"/>
    <w:rsid w:val="00D43C95"/>
    <w:pPr>
      <w:keepNext/>
      <w:numPr>
        <w:numId w:val="19"/>
      </w:numPr>
      <w:spacing w:after="240"/>
      <w:jc w:val="center"/>
      <w:outlineLvl w:val="0"/>
    </w:pPr>
    <w:rPr>
      <w:rFonts w:ascii="Times New Roman Bold" w:hAnsi="Times New Roman Bold" w:eastAsia="Times New Roman" w:cs="Times New Roman"/>
      <w:b/>
      <w:caps/>
      <w:sz w:val="24"/>
    </w:rPr>
  </w:style>
  <w:style w:type="paragraph" w:styleId="HBARTL2" w:customStyle="1">
    <w:name w:val="HB ART L2"/>
    <w:basedOn w:val="Normal"/>
    <w:next w:val="Normal"/>
    <w:autoRedefine/>
    <w:rsid w:val="00D43C95"/>
    <w:pPr>
      <w:keepNext/>
      <w:numPr>
        <w:ilvl w:val="1"/>
        <w:numId w:val="19"/>
      </w:numPr>
      <w:spacing w:after="240"/>
      <w:outlineLvl w:val="1"/>
    </w:pPr>
    <w:rPr>
      <w:rFonts w:ascii="Times New Roman Bold" w:hAnsi="Times New Roman Bold" w:eastAsia="Times New Roman" w:cs="Times New Roman"/>
      <w:b/>
      <w:sz w:val="24"/>
    </w:rPr>
  </w:style>
  <w:style w:type="paragraph" w:styleId="HBARTL3" w:customStyle="1">
    <w:name w:val="HB ART L3"/>
    <w:basedOn w:val="Normal"/>
    <w:next w:val="Normal"/>
    <w:rsid w:val="00D43C95"/>
    <w:pPr>
      <w:numPr>
        <w:ilvl w:val="2"/>
        <w:numId w:val="19"/>
      </w:numPr>
      <w:spacing w:after="240"/>
      <w:outlineLvl w:val="2"/>
    </w:pPr>
    <w:rPr>
      <w:rFonts w:eastAsia="Times New Roman" w:cs="Times New Roman"/>
      <w:sz w:val="24"/>
    </w:rPr>
  </w:style>
  <w:style w:type="paragraph" w:styleId="HBARTL4" w:customStyle="1">
    <w:name w:val="HB ART L4"/>
    <w:basedOn w:val="Normal"/>
    <w:next w:val="Normal"/>
    <w:rsid w:val="00D43C95"/>
    <w:pPr>
      <w:numPr>
        <w:ilvl w:val="3"/>
        <w:numId w:val="19"/>
      </w:numPr>
      <w:spacing w:after="240"/>
      <w:outlineLvl w:val="3"/>
    </w:pPr>
    <w:rPr>
      <w:rFonts w:eastAsia="Times New Roman" w:cs="Times New Roman"/>
      <w:sz w:val="24"/>
    </w:rPr>
  </w:style>
  <w:style w:type="paragraph" w:styleId="HBARTL5" w:customStyle="1">
    <w:name w:val="HB ART L5"/>
    <w:basedOn w:val="Normal"/>
    <w:next w:val="Normal"/>
    <w:rsid w:val="00D43C95"/>
    <w:pPr>
      <w:numPr>
        <w:ilvl w:val="4"/>
        <w:numId w:val="19"/>
      </w:numPr>
      <w:spacing w:after="240"/>
      <w:outlineLvl w:val="4"/>
    </w:pPr>
    <w:rPr>
      <w:rFonts w:eastAsia="Times New Roman" w:cs="Times New Roman"/>
      <w:sz w:val="24"/>
    </w:rPr>
  </w:style>
  <w:style w:type="paragraph" w:styleId="HBARTL6" w:customStyle="1">
    <w:name w:val="HB ART L6"/>
    <w:basedOn w:val="Normal"/>
    <w:next w:val="Normal"/>
    <w:rsid w:val="00D43C95"/>
    <w:pPr>
      <w:numPr>
        <w:ilvl w:val="5"/>
        <w:numId w:val="19"/>
      </w:numPr>
      <w:spacing w:after="240"/>
      <w:outlineLvl w:val="5"/>
    </w:pPr>
    <w:rPr>
      <w:rFonts w:eastAsia="Times New Roman" w:cs="Times New Roman"/>
      <w:sz w:val="24"/>
    </w:rPr>
  </w:style>
  <w:style w:type="paragraph" w:styleId="HBARTL8" w:customStyle="1">
    <w:name w:val="HB ART L8"/>
    <w:basedOn w:val="Normal"/>
    <w:next w:val="Normal"/>
    <w:rsid w:val="00D43C95"/>
    <w:pPr>
      <w:numPr>
        <w:ilvl w:val="7"/>
        <w:numId w:val="19"/>
      </w:numPr>
      <w:spacing w:after="240"/>
      <w:outlineLvl w:val="7"/>
    </w:pPr>
    <w:rPr>
      <w:rFonts w:eastAsia="Times New Roman" w:cs="Times New Roman"/>
      <w:sz w:val="24"/>
    </w:rPr>
  </w:style>
  <w:style w:type="paragraph" w:styleId="HBARTL9" w:customStyle="1">
    <w:name w:val="HB ART L9"/>
    <w:basedOn w:val="Normal"/>
    <w:next w:val="Normal"/>
    <w:rsid w:val="00D43C95"/>
    <w:pPr>
      <w:numPr>
        <w:ilvl w:val="8"/>
        <w:numId w:val="19"/>
      </w:numPr>
      <w:spacing w:after="240"/>
      <w:outlineLvl w:val="8"/>
    </w:pPr>
    <w:rPr>
      <w:rFonts w:eastAsia="Times New Roman" w:cs="Times New Roman"/>
      <w:sz w:val="24"/>
    </w:rPr>
  </w:style>
  <w:style w:type="paragraph" w:styleId="Article2L1" w:customStyle="1">
    <w:name w:val="Article2_L1"/>
    <w:basedOn w:val="Normal"/>
    <w:next w:val="Normal"/>
    <w:rsid w:val="00046A2F"/>
    <w:pPr>
      <w:keepNext/>
      <w:numPr>
        <w:numId w:val="32"/>
      </w:numPr>
      <w:spacing w:after="240"/>
      <w:jc w:val="center"/>
      <w:outlineLvl w:val="0"/>
    </w:pPr>
    <w:rPr>
      <w:rFonts w:eastAsia="Times New Roman" w:cs="Arial"/>
      <w:szCs w:val="20"/>
      <w:lang w:eastAsia="zh-CN"/>
    </w:rPr>
  </w:style>
  <w:style w:type="paragraph" w:styleId="Article2L2" w:customStyle="1">
    <w:name w:val="Article2_L2"/>
    <w:basedOn w:val="Article2L1"/>
    <w:next w:val="Normal"/>
    <w:rsid w:val="00046A2F"/>
    <w:pPr>
      <w:numPr>
        <w:ilvl w:val="2"/>
      </w:numPr>
      <w:jc w:val="both"/>
      <w:outlineLvl w:val="1"/>
    </w:pPr>
    <w:rPr>
      <w:b/>
    </w:rPr>
  </w:style>
  <w:style w:type="paragraph" w:styleId="Article2L3" w:customStyle="1">
    <w:name w:val="Article2_L3"/>
    <w:basedOn w:val="Article2L2"/>
    <w:next w:val="Normal"/>
    <w:link w:val="Article2L3Char"/>
    <w:rsid w:val="00046A2F"/>
    <w:pPr>
      <w:keepNext w:val="0"/>
      <w:numPr>
        <w:ilvl w:val="4"/>
      </w:numPr>
      <w:outlineLvl w:val="2"/>
    </w:pPr>
    <w:rPr>
      <w:b w:val="0"/>
    </w:rPr>
  </w:style>
  <w:style w:type="character" w:styleId="Article2L3Char" w:customStyle="1">
    <w:name w:val="Article2_L3 Char"/>
    <w:link w:val="Article2L3"/>
    <w:rsid w:val="00046A2F"/>
    <w:rPr>
      <w:rFonts w:cs="Arial"/>
      <w:sz w:val="22"/>
      <w:lang w:val="fr-FR" w:eastAsia="zh-CN"/>
    </w:rPr>
  </w:style>
  <w:style w:type="paragraph" w:styleId="Article2L4" w:customStyle="1">
    <w:name w:val="Article2_L4"/>
    <w:basedOn w:val="Article2L3"/>
    <w:next w:val="Normal"/>
    <w:rsid w:val="00046A2F"/>
    <w:pPr>
      <w:numPr>
        <w:ilvl w:val="3"/>
      </w:numPr>
      <w:tabs>
        <w:tab w:val="clear" w:pos="2160"/>
      </w:tabs>
      <w:ind w:left="1440" w:hanging="360"/>
      <w:outlineLvl w:val="3"/>
    </w:pPr>
  </w:style>
  <w:style w:type="paragraph" w:styleId="ArticleL1" w:customStyle="1">
    <w:name w:val="Article_L1"/>
    <w:basedOn w:val="Normal"/>
    <w:next w:val="ArticleL2"/>
    <w:rsid w:val="00046A2F"/>
    <w:pPr>
      <w:keepNext/>
      <w:numPr>
        <w:numId w:val="33"/>
      </w:numPr>
      <w:spacing w:after="220"/>
      <w:jc w:val="center"/>
      <w:outlineLvl w:val="0"/>
    </w:pPr>
    <w:rPr>
      <w:rFonts w:eastAsia="Times New Roman" w:cs="Times New Roman"/>
      <w:b/>
      <w:caps/>
      <w:szCs w:val="20"/>
    </w:rPr>
  </w:style>
  <w:style w:type="paragraph" w:styleId="ArticleL2" w:customStyle="1">
    <w:name w:val="Article_L2"/>
    <w:basedOn w:val="ArticleL1"/>
    <w:next w:val="Normal"/>
    <w:rsid w:val="00046A2F"/>
    <w:pPr>
      <w:numPr>
        <w:ilvl w:val="1"/>
      </w:numPr>
      <w:jc w:val="both"/>
      <w:outlineLvl w:val="1"/>
    </w:pPr>
    <w:rPr>
      <w:caps w:val="0"/>
    </w:rPr>
  </w:style>
  <w:style w:type="paragraph" w:styleId="ArticleL3" w:customStyle="1">
    <w:name w:val="Article_L3"/>
    <w:basedOn w:val="ArticleL2"/>
    <w:link w:val="ArticleL3Char"/>
    <w:rsid w:val="00046A2F"/>
    <w:pPr>
      <w:keepNext w:val="0"/>
      <w:numPr>
        <w:ilvl w:val="2"/>
      </w:numPr>
      <w:outlineLvl w:val="2"/>
    </w:pPr>
    <w:rPr>
      <w:b w:val="0"/>
    </w:rPr>
  </w:style>
  <w:style w:type="paragraph" w:styleId="ArticleL4" w:customStyle="1">
    <w:name w:val="Article_L4"/>
    <w:basedOn w:val="ArticleL3"/>
    <w:link w:val="ArticleL4Char"/>
    <w:rsid w:val="00046A2F"/>
    <w:pPr>
      <w:numPr>
        <w:ilvl w:val="3"/>
      </w:numPr>
      <w:outlineLvl w:val="3"/>
    </w:pPr>
  </w:style>
  <w:style w:type="paragraph" w:styleId="ArticleL5" w:customStyle="1">
    <w:name w:val="Article_L5"/>
    <w:basedOn w:val="ArticleL4"/>
    <w:rsid w:val="00046A2F"/>
    <w:pPr>
      <w:numPr>
        <w:ilvl w:val="4"/>
      </w:numPr>
      <w:tabs>
        <w:tab w:val="clear" w:pos="2880"/>
      </w:tabs>
      <w:ind w:left="2232" w:hanging="792"/>
      <w:outlineLvl w:val="4"/>
    </w:pPr>
  </w:style>
  <w:style w:type="paragraph" w:styleId="ArticleL6" w:customStyle="1">
    <w:name w:val="Article_L6"/>
    <w:basedOn w:val="ArticleL5"/>
    <w:rsid w:val="00046A2F"/>
    <w:pPr>
      <w:numPr>
        <w:ilvl w:val="5"/>
      </w:numPr>
      <w:tabs>
        <w:tab w:val="clear" w:pos="720"/>
        <w:tab w:val="num" w:pos="3600"/>
      </w:tabs>
      <w:ind w:left="2736" w:hanging="936"/>
      <w:outlineLvl w:val="5"/>
    </w:pPr>
  </w:style>
  <w:style w:type="paragraph" w:styleId="ArticleL7" w:customStyle="1">
    <w:name w:val="Article_L7"/>
    <w:basedOn w:val="ArticleL6"/>
    <w:rsid w:val="00046A2F"/>
    <w:pPr>
      <w:numPr>
        <w:ilvl w:val="6"/>
      </w:numPr>
      <w:tabs>
        <w:tab w:val="clear" w:pos="3600"/>
        <w:tab w:val="num" w:pos="4320"/>
      </w:tabs>
      <w:ind w:left="3240" w:hanging="1080"/>
      <w:outlineLvl w:val="6"/>
    </w:pPr>
  </w:style>
  <w:style w:type="paragraph" w:styleId="ArticleL8" w:customStyle="1">
    <w:name w:val="Article_L8"/>
    <w:basedOn w:val="ArticleL7"/>
    <w:rsid w:val="00046A2F"/>
    <w:pPr>
      <w:numPr>
        <w:ilvl w:val="7"/>
      </w:numPr>
      <w:tabs>
        <w:tab w:val="clear" w:pos="5040"/>
      </w:tabs>
      <w:ind w:left="3744" w:hanging="1224"/>
      <w:outlineLvl w:val="7"/>
    </w:pPr>
  </w:style>
  <w:style w:type="paragraph" w:styleId="ArticleL9" w:customStyle="1">
    <w:name w:val="Article_L9"/>
    <w:basedOn w:val="ArticleL8"/>
    <w:rsid w:val="00046A2F"/>
    <w:pPr>
      <w:numPr>
        <w:ilvl w:val="8"/>
      </w:numPr>
      <w:tabs>
        <w:tab w:val="clear" w:pos="5760"/>
        <w:tab w:val="num" w:pos="3240"/>
      </w:tabs>
      <w:spacing w:after="240"/>
      <w:ind w:left="4320" w:hanging="1440"/>
      <w:outlineLvl w:val="8"/>
    </w:pPr>
    <w:rPr>
      <w:sz w:val="24"/>
    </w:rPr>
  </w:style>
  <w:style w:type="character" w:styleId="ArticleL4Char" w:customStyle="1">
    <w:name w:val="Article_L4 Char"/>
    <w:basedOn w:val="DefaultParagraphFont"/>
    <w:link w:val="ArticleL4"/>
    <w:rsid w:val="00046A2F"/>
    <w:rPr>
      <w:sz w:val="22"/>
      <w:lang w:val="fr-FR"/>
    </w:rPr>
  </w:style>
  <w:style w:type="paragraph" w:styleId="OHHpara2" w:customStyle="1">
    <w:name w:val="OHHpara2"/>
    <w:aliases w:val="2,p2"/>
    <w:basedOn w:val="Normal"/>
    <w:rsid w:val="00046A2F"/>
    <w:pPr>
      <w:spacing w:after="220"/>
      <w:ind w:left="1440"/>
    </w:pPr>
    <w:rPr>
      <w:rFonts w:eastAsia="Times New Roman" w:cs="Times New Roman"/>
      <w:szCs w:val="20"/>
    </w:rPr>
  </w:style>
  <w:style w:type="character" w:styleId="ArticleL3Char" w:customStyle="1">
    <w:name w:val="Article_L3 Char"/>
    <w:basedOn w:val="DefaultParagraphFont"/>
    <w:link w:val="ArticleL3"/>
    <w:rsid w:val="00046A2F"/>
    <w:rPr>
      <w:sz w:val="22"/>
      <w:lang w:val="fr-FR"/>
    </w:rPr>
  </w:style>
  <w:style w:type="paragraph" w:styleId="HBBody2" w:customStyle="1">
    <w:name w:val="HB Body 2"/>
    <w:basedOn w:val="Normal"/>
    <w:link w:val="HBBody2Char"/>
    <w:rsid w:val="00046A2F"/>
    <w:pPr>
      <w:spacing w:after="240"/>
      <w:ind w:firstLine="720"/>
    </w:pPr>
    <w:rPr>
      <w:rFonts w:eastAsia="Times New Roman" w:cs="Times New Roman"/>
      <w:sz w:val="24"/>
    </w:rPr>
  </w:style>
  <w:style w:type="character" w:styleId="HBBody2Char" w:customStyle="1">
    <w:name w:val="HB Body 2 Char"/>
    <w:link w:val="HBBody2"/>
    <w:rsid w:val="00046A2F"/>
    <w:rPr>
      <w:sz w:val="24"/>
      <w:szCs w:val="24"/>
      <w:lang w:val="fr-FR"/>
    </w:rPr>
  </w:style>
  <w:style w:type="character" w:styleId="Emphasis">
    <w:name w:val="Emphasis"/>
    <w:basedOn w:val="DefaultParagraphFont"/>
    <w:uiPriority w:val="13"/>
    <w:qFormat/>
    <w:rsid w:val="00345565"/>
    <w:rPr>
      <w:i/>
      <w:iCs/>
    </w:rPr>
  </w:style>
  <w:style w:type="paragraph" w:styleId="Default" w:customStyle="1">
    <w:name w:val="Default"/>
    <w:rsid w:val="00C54756"/>
    <w:pPr>
      <w:autoSpaceDE w:val="0"/>
      <w:autoSpaceDN w:val="0"/>
      <w:adjustRightInd w:val="0"/>
    </w:pPr>
    <w:rPr>
      <w:color w:val="000000"/>
      <w:sz w:val="24"/>
      <w:szCs w:val="24"/>
    </w:rPr>
  </w:style>
  <w:style w:type="paragraph" w:styleId="MultiLevelL1" w:customStyle="1">
    <w:name w:val="MultiLevel_L1"/>
    <w:basedOn w:val="Normal"/>
    <w:rsid w:val="00E51C93"/>
    <w:pPr>
      <w:keepNext/>
      <w:keepLines/>
      <w:numPr>
        <w:numId w:val="40"/>
      </w:numPr>
      <w:spacing w:after="240"/>
      <w:jc w:val="left"/>
      <w:outlineLvl w:val="0"/>
    </w:pPr>
    <w:rPr>
      <w:rFonts w:eastAsia="Times New Roman" w:cs="Times New Roman"/>
      <w:sz w:val="24"/>
      <w:szCs w:val="20"/>
    </w:rPr>
  </w:style>
  <w:style w:type="paragraph" w:styleId="MultiLevelL2" w:customStyle="1">
    <w:name w:val="MultiLevel_L2"/>
    <w:basedOn w:val="MultiLevelL1"/>
    <w:rsid w:val="00E51C93"/>
    <w:pPr>
      <w:keepNext w:val="0"/>
      <w:keepLines w:val="0"/>
      <w:numPr>
        <w:ilvl w:val="1"/>
      </w:numPr>
      <w:outlineLvl w:val="1"/>
    </w:pPr>
  </w:style>
  <w:style w:type="paragraph" w:styleId="MultiLevelL3" w:customStyle="1">
    <w:name w:val="MultiLevel_L3"/>
    <w:basedOn w:val="MultiLevelL2"/>
    <w:rsid w:val="00E51C93"/>
    <w:pPr>
      <w:numPr>
        <w:ilvl w:val="2"/>
      </w:numPr>
      <w:outlineLvl w:val="2"/>
    </w:pPr>
  </w:style>
  <w:style w:type="paragraph" w:styleId="MultiLevelL4" w:customStyle="1">
    <w:name w:val="MultiLevel_L4"/>
    <w:basedOn w:val="MultiLevelL3"/>
    <w:rsid w:val="00E51C93"/>
    <w:pPr>
      <w:numPr>
        <w:ilvl w:val="3"/>
      </w:numPr>
      <w:outlineLvl w:val="3"/>
    </w:pPr>
    <w:rPr>
      <w:sz w:val="22"/>
    </w:rPr>
  </w:style>
  <w:style w:type="paragraph" w:styleId="MultiLevelL5" w:customStyle="1">
    <w:name w:val="MultiLevel_L5"/>
    <w:basedOn w:val="MultiLevelL4"/>
    <w:rsid w:val="00E51C93"/>
    <w:pPr>
      <w:numPr>
        <w:ilvl w:val="4"/>
      </w:numPr>
      <w:outlineLvl w:val="4"/>
    </w:pPr>
  </w:style>
  <w:style w:type="paragraph" w:styleId="MultiLevelL6" w:customStyle="1">
    <w:name w:val="MultiLevel_L6"/>
    <w:basedOn w:val="MultiLevelL5"/>
    <w:rsid w:val="00E51C93"/>
    <w:pPr>
      <w:numPr>
        <w:ilvl w:val="5"/>
      </w:numPr>
      <w:outlineLvl w:val="5"/>
    </w:pPr>
  </w:style>
  <w:style w:type="paragraph" w:styleId="MultiLevelL7" w:customStyle="1">
    <w:name w:val="MultiLevel_L7"/>
    <w:basedOn w:val="MultiLevelL6"/>
    <w:rsid w:val="00E51C93"/>
    <w:pPr>
      <w:numPr>
        <w:ilvl w:val="6"/>
      </w:numPr>
      <w:outlineLvl w:val="6"/>
    </w:pPr>
  </w:style>
  <w:style w:type="paragraph" w:styleId="MultiLevelL8" w:customStyle="1">
    <w:name w:val="MultiLevel_L8"/>
    <w:basedOn w:val="MultiLevelL7"/>
    <w:rsid w:val="00E51C93"/>
    <w:pPr>
      <w:numPr>
        <w:ilvl w:val="7"/>
      </w:numPr>
      <w:outlineLvl w:val="7"/>
    </w:pPr>
  </w:style>
  <w:style w:type="paragraph" w:styleId="MultiLevelL9" w:customStyle="1">
    <w:name w:val="MultiLevel_L9"/>
    <w:basedOn w:val="MultiLevelL8"/>
    <w:rsid w:val="00E51C93"/>
    <w:pPr>
      <w:numPr>
        <w:ilvl w:val="8"/>
      </w:numPr>
      <w:outlineLvl w:val="8"/>
    </w:pPr>
  </w:style>
  <w:style w:type="character" w:styleId="Prompt" w:customStyle="1">
    <w:name w:val="Prompt"/>
    <w:aliases w:val="PR,Pr,pt"/>
    <w:rsid w:val="008A4959"/>
    <w:rPr>
      <w:color w:val="auto"/>
    </w:rPr>
  </w:style>
  <w:style w:type="paragraph" w:styleId="OHHpara" w:customStyle="1">
    <w:name w:val="OHHpara"/>
    <w:aliases w:val="P,p"/>
    <w:basedOn w:val="Normal"/>
    <w:link w:val="OHHparaCar"/>
    <w:rsid w:val="008A4959"/>
    <w:pPr>
      <w:spacing w:after="240"/>
    </w:pPr>
    <w:rPr>
      <w:rFonts w:eastAsia="Times New Roman" w:cs="Times New Roman"/>
      <w:sz w:val="24"/>
      <w:szCs w:val="20"/>
      <w:lang w:eastAsia="en-CA"/>
    </w:rPr>
  </w:style>
  <w:style w:type="character" w:styleId="OHHparaCar" w:customStyle="1">
    <w:name w:val="OHHpara Car"/>
    <w:aliases w:val="P Car,p Car"/>
    <w:link w:val="OHHpara"/>
    <w:rsid w:val="008A4959"/>
    <w:rPr>
      <w:sz w:val="24"/>
      <w:lang w:val="fr-FR" w:eastAsia="en-CA"/>
    </w:rPr>
  </w:style>
  <w:style w:type="paragraph" w:styleId="Disclaimer" w:customStyle="1">
    <w:name w:val="Disclaimer"/>
    <w:basedOn w:val="Normal"/>
    <w:uiPriority w:val="1"/>
    <w:qFormat/>
    <w:rsid w:val="004F7389"/>
    <w:pPr>
      <w:pBdr>
        <w:top w:val="single" w:color="auto" w:sz="4" w:space="1"/>
        <w:left w:val="single" w:color="auto" w:sz="4" w:space="4"/>
        <w:bottom w:val="single" w:color="auto" w:sz="4" w:space="1"/>
        <w:right w:val="single" w:color="auto" w:sz="4" w:space="4"/>
      </w:pBdr>
    </w:pPr>
    <w:rPr>
      <w:rFonts w:eastAsia="Calibri" w:cs="Arial"/>
      <w:i/>
      <w:sz w:val="24"/>
    </w:rPr>
  </w:style>
  <w:style w:type="character" w:styleId="UnresolvedMention">
    <w:name w:val="Unresolved Mention"/>
    <w:basedOn w:val="DefaultParagraphFont"/>
    <w:uiPriority w:val="99"/>
    <w:semiHidden/>
    <w:unhideWhenUsed/>
    <w:rsid w:val="00003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