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89C7D" w14:textId="5879EE39" w:rsidR="0057567C" w:rsidRPr="007757AC" w:rsidRDefault="00DD0E06">
      <w:pPr>
        <w:pStyle w:val="Heading1"/>
        <w:rPr>
          <w:lang w:val="fr-CA"/>
        </w:rPr>
      </w:pPr>
      <w:r w:rsidRPr="007757AC">
        <w:rPr>
          <w:lang w:val="fr-CA"/>
        </w:rPr>
        <w:t>MODÈLES DE DOCUMENTS TRANSACTIONNELS DE L</w:t>
      </w:r>
      <w:r w:rsidR="00CC4D89">
        <w:rPr>
          <w:lang w:val="fr-CA"/>
        </w:rPr>
        <w:t>’</w:t>
      </w:r>
      <w:r w:rsidRPr="007757AC">
        <w:rPr>
          <w:lang w:val="fr-CA"/>
        </w:rPr>
        <w:t>ACCRI</w:t>
      </w:r>
    </w:p>
    <w:p w14:paraId="5468333D" w14:textId="5EFF3AC1" w:rsidR="0057567C" w:rsidRPr="007757AC" w:rsidRDefault="00DD0E06">
      <w:pPr>
        <w:pStyle w:val="Heading1"/>
        <w:rPr>
          <w:lang w:val="fr-CA"/>
        </w:rPr>
      </w:pPr>
      <w:r w:rsidRPr="007757AC">
        <w:rPr>
          <w:lang w:val="fr-CA"/>
        </w:rPr>
        <w:t>SOMMAIRE DES MODALITÉS</w:t>
      </w:r>
    </w:p>
    <w:p w14:paraId="3C827E1B" w14:textId="77777777" w:rsidR="0057567C" w:rsidRPr="007757AC" w:rsidRDefault="0057567C">
      <w:pPr>
        <w:pStyle w:val="BodyText"/>
        <w:rPr>
          <w:lang w:val="fr-CA"/>
        </w:rPr>
      </w:pPr>
    </w:p>
    <w:p w14:paraId="752CAE91" w14:textId="7E9887FE" w:rsidR="0057567C" w:rsidRPr="007757AC" w:rsidRDefault="00DD0E06">
      <w:pPr>
        <w:pStyle w:val="BodyText"/>
        <w:rPr>
          <w:lang w:val="fr-CA"/>
        </w:rPr>
      </w:pPr>
      <w:r w:rsidRPr="007757AC">
        <w:rPr>
          <w:lang w:val="fr-CA"/>
        </w:rPr>
        <w:t xml:space="preserve">Le présent </w:t>
      </w:r>
      <w:r w:rsidR="00C20445">
        <w:rPr>
          <w:lang w:val="fr-CA"/>
        </w:rPr>
        <w:t>document</w:t>
      </w:r>
      <w:r w:rsidRPr="007757AC">
        <w:rPr>
          <w:lang w:val="fr-CA"/>
        </w:rPr>
        <w:t xml:space="preserve"> est une traduction d</w:t>
      </w:r>
      <w:r w:rsidR="00CC4D89">
        <w:rPr>
          <w:lang w:val="fr-CA"/>
        </w:rPr>
        <w:t>’</w:t>
      </w:r>
      <w:r w:rsidRPr="007757AC">
        <w:rPr>
          <w:lang w:val="fr-CA"/>
        </w:rPr>
        <w:t xml:space="preserve">un </w:t>
      </w:r>
      <w:r w:rsidR="00C20445">
        <w:rPr>
          <w:lang w:val="fr-CA"/>
        </w:rPr>
        <w:t xml:space="preserve">sommaire des modalités </w:t>
      </w:r>
      <w:r w:rsidR="00222359" w:rsidRPr="007757AC">
        <w:rPr>
          <w:lang w:val="fr-CA"/>
        </w:rPr>
        <w:t xml:space="preserve">fondé sur le document </w:t>
      </w:r>
      <w:r w:rsidRPr="007757AC">
        <w:rPr>
          <w:lang w:val="fr-CA"/>
        </w:rPr>
        <w:t xml:space="preserve">de la NVCA intitulé </w:t>
      </w:r>
      <w:r w:rsidR="004A387E" w:rsidRPr="007757AC">
        <w:rPr>
          <w:lang w:val="fr-CA"/>
        </w:rPr>
        <w:t>« </w:t>
      </w:r>
      <w:r w:rsidRPr="007757AC">
        <w:rPr>
          <w:lang w:val="fr-CA"/>
        </w:rPr>
        <w:t>Term Sheet</w:t>
      </w:r>
      <w:r w:rsidR="004A387E" w:rsidRPr="007757AC">
        <w:rPr>
          <w:lang w:val="fr-CA"/>
        </w:rPr>
        <w:t> » (</w:t>
      </w:r>
      <w:r w:rsidR="00383741" w:rsidRPr="007757AC">
        <w:rPr>
          <w:lang w:val="fr-CA"/>
        </w:rPr>
        <w:t>version d</w:t>
      </w:r>
      <w:r w:rsidR="00CC4D89">
        <w:rPr>
          <w:lang w:val="fr-CA"/>
        </w:rPr>
        <w:t>’</w:t>
      </w:r>
      <w:r w:rsidR="004A387E" w:rsidRPr="007757AC">
        <w:rPr>
          <w:lang w:val="fr-CA"/>
        </w:rPr>
        <w:t>août </w:t>
      </w:r>
      <w:r w:rsidR="004A387E" w:rsidRPr="008A64C8">
        <w:rPr>
          <w:lang w:val="fr-CA"/>
        </w:rPr>
        <w:t>2020</w:t>
      </w:r>
      <w:r w:rsidR="004A387E" w:rsidRPr="007757AC">
        <w:rPr>
          <w:lang w:val="fr-CA"/>
        </w:rPr>
        <w:t>)</w:t>
      </w:r>
      <w:r w:rsidRPr="007757AC">
        <w:rPr>
          <w:lang w:val="fr-CA"/>
        </w:rPr>
        <w:t>.</w:t>
      </w:r>
      <w:r w:rsidR="004A387E" w:rsidRPr="007757AC">
        <w:rPr>
          <w:lang w:val="fr-CA"/>
        </w:rPr>
        <w:t xml:space="preserve"> </w:t>
      </w:r>
      <w:r w:rsidRPr="007757AC">
        <w:rPr>
          <w:lang w:val="fr-CA"/>
        </w:rPr>
        <w:t>L</w:t>
      </w:r>
      <w:r w:rsidR="00CC4D89">
        <w:rPr>
          <w:lang w:val="fr-CA"/>
        </w:rPr>
        <w:t>’</w:t>
      </w:r>
      <w:r w:rsidRPr="007757AC">
        <w:rPr>
          <w:lang w:val="fr-CA"/>
        </w:rPr>
        <w:t>ACCRI remercie la NVCA de l</w:t>
      </w:r>
      <w:r w:rsidR="00CC4D89">
        <w:rPr>
          <w:lang w:val="fr-CA"/>
        </w:rPr>
        <w:t>’</w:t>
      </w:r>
      <w:r w:rsidRPr="007757AC">
        <w:rPr>
          <w:lang w:val="fr-CA"/>
        </w:rPr>
        <w:t>avoir autorisée à utiliser son document pour le Canada.</w:t>
      </w:r>
    </w:p>
    <w:p w14:paraId="4E31EBEF" w14:textId="78183D2E" w:rsidR="0057567C" w:rsidRPr="007757AC" w:rsidRDefault="00DD0E06">
      <w:pPr>
        <w:pStyle w:val="BodyText"/>
        <w:rPr>
          <w:lang w:val="fr-CA"/>
        </w:rPr>
      </w:pPr>
      <w:r w:rsidRPr="007757AC">
        <w:rPr>
          <w:lang w:val="fr-CA"/>
        </w:rPr>
        <w:t>On trouvera de plus sur le site Web de l</w:t>
      </w:r>
      <w:r w:rsidR="00CC4D89">
        <w:rPr>
          <w:lang w:val="fr-CA"/>
        </w:rPr>
        <w:t>’</w:t>
      </w:r>
      <w:r w:rsidRPr="007757AC">
        <w:rPr>
          <w:lang w:val="fr-CA"/>
        </w:rPr>
        <w:t>ACCRI une version soulignée de la version anglaise du présent document par rapport à celui de la NVCA, ainsi qu</w:t>
      </w:r>
      <w:r w:rsidR="00CC4D89">
        <w:rPr>
          <w:lang w:val="fr-CA"/>
        </w:rPr>
        <w:t>’</w:t>
      </w:r>
      <w:r w:rsidRPr="007757AC">
        <w:rPr>
          <w:lang w:val="fr-CA"/>
        </w:rPr>
        <w:t>un guide de conversion décrivant les changements rédactionnels d</w:t>
      </w:r>
      <w:r w:rsidR="00CC4D89">
        <w:rPr>
          <w:lang w:val="fr-CA"/>
        </w:rPr>
        <w:t>’</w:t>
      </w:r>
      <w:r w:rsidRPr="007757AC">
        <w:rPr>
          <w:lang w:val="fr-CA"/>
        </w:rPr>
        <w:t>ordre général qui y ont été apportés.</w:t>
      </w:r>
    </w:p>
    <w:p w14:paraId="70DEA5A9" w14:textId="0E346C4C" w:rsidR="007D6D15" w:rsidRPr="00595BE0" w:rsidRDefault="00DD0E06" w:rsidP="007D6D15">
      <w:pPr>
        <w:pStyle w:val="BodyText"/>
        <w:rPr>
          <w:highlight w:val="magenta"/>
          <w:lang w:val="fr-CA"/>
        </w:rPr>
      </w:pPr>
      <w:r w:rsidRPr="007757AC">
        <w:rPr>
          <w:lang w:val="fr-CA"/>
        </w:rPr>
        <w:t xml:space="preserve">La version canadienne du présent document a été créée </w:t>
      </w:r>
      <w:r w:rsidR="007D6D15">
        <w:rPr>
          <w:lang w:val="fr-CA"/>
        </w:rPr>
        <w:t xml:space="preserve">en anglais </w:t>
      </w:r>
      <w:r w:rsidRPr="007757AC">
        <w:rPr>
          <w:lang w:val="fr-CA"/>
        </w:rPr>
        <w:t>par le groupe de travail sur les modèles de documents transactionnels de l</w:t>
      </w:r>
      <w:r w:rsidR="00CC4D89">
        <w:rPr>
          <w:lang w:val="fr-CA"/>
        </w:rPr>
        <w:t>’</w:t>
      </w:r>
      <w:r w:rsidRPr="007757AC">
        <w:rPr>
          <w:lang w:val="fr-CA"/>
        </w:rPr>
        <w:t xml:space="preserve">ACCRI dont les membres sont Gary Solway de Bennett Jones S.E.N.C.R.L./s.r.l. (président), Sophia Maizel de HarbourVest (vice-présidente), Mireille Fontaine de </w:t>
      </w:r>
      <w:r w:rsidR="00F06086">
        <w:rPr>
          <w:lang w:val="fr-CA"/>
        </w:rPr>
        <w:t>Lapointe Rosenstein Marchand Melan</w:t>
      </w:r>
      <w:r w:rsidR="00F06086" w:rsidRPr="00022BA2">
        <w:rPr>
          <w:lang w:val="fr-CA"/>
        </w:rPr>
        <w:t>ç</w:t>
      </w:r>
      <w:r w:rsidR="00F06086">
        <w:rPr>
          <w:lang w:val="fr-CA"/>
        </w:rPr>
        <w:t>on, S.E.N.C.R.L.</w:t>
      </w:r>
      <w:r w:rsidRPr="007757AC">
        <w:rPr>
          <w:lang w:val="fr-CA"/>
        </w:rPr>
        <w:t>, Ed Vandenberg d</w:t>
      </w:r>
      <w:r w:rsidR="00CC4D89">
        <w:rPr>
          <w:lang w:val="fr-CA"/>
        </w:rPr>
        <w:t>’</w:t>
      </w:r>
      <w:r w:rsidRPr="007757AC">
        <w:rPr>
          <w:lang w:val="fr-CA"/>
        </w:rPr>
        <w:t>Osler, Hoskin &amp; Harcourt S.E.N.C.R.L./s.r.l., Pascal de Guise de Blake, Cassels &amp; Graydon S.E.N.C.R.L./s.r.l., Brian Lenihan de Choate Hall &amp; Stewart LLP, Jesslyn Maurier de Bennett Jones S.E.N.C.R.L./s.r.l., ainsi que Julie Robinson de McInnes Cooper.</w:t>
      </w:r>
      <w:r w:rsidR="004A387E" w:rsidRPr="007757AC">
        <w:rPr>
          <w:lang w:val="fr-CA"/>
        </w:rPr>
        <w:t xml:space="preserve"> </w:t>
      </w:r>
      <w:r w:rsidRPr="007757AC">
        <w:rPr>
          <w:lang w:val="fr-CA"/>
        </w:rPr>
        <w:t>Le principal rédacteur de ce document est Gary Solway (</w:t>
      </w:r>
      <w:hyperlink r:id="rId9" w:history="1">
        <w:r w:rsidR="004A387E" w:rsidRPr="007757AC">
          <w:rPr>
            <w:rStyle w:val="Hyperlink"/>
            <w:lang w:val="fr-CA"/>
          </w:rPr>
          <w:t>solwayg@bennettjones.com</w:t>
        </w:r>
      </w:hyperlink>
      <w:r w:rsidRPr="007757AC">
        <w:rPr>
          <w:lang w:val="fr-CA"/>
        </w:rPr>
        <w:t>).</w:t>
      </w:r>
      <w:r w:rsidR="007D6D15">
        <w:rPr>
          <w:lang w:val="fr-CA"/>
        </w:rPr>
        <w:t xml:space="preserve"> </w:t>
      </w:r>
      <w:r w:rsidR="007D6D15" w:rsidRPr="00595BE0">
        <w:rPr>
          <w:lang w:val="fr-CA"/>
        </w:rPr>
        <w:t>La traduction française est le fruit du travail de l'équipe des services linguistiques de Blake, Cassels</w:t>
      </w:r>
      <w:r w:rsidR="00BA099E">
        <w:rPr>
          <w:lang w:val="fr-CA"/>
        </w:rPr>
        <w:t> </w:t>
      </w:r>
      <w:r w:rsidR="007D6D15" w:rsidRPr="00595BE0">
        <w:rPr>
          <w:lang w:val="fr-CA"/>
        </w:rPr>
        <w:t>&amp;</w:t>
      </w:r>
      <w:r w:rsidR="00BA099E">
        <w:rPr>
          <w:lang w:val="fr-CA"/>
        </w:rPr>
        <w:t> </w:t>
      </w:r>
      <w:r w:rsidR="007D6D15" w:rsidRPr="00595BE0">
        <w:rPr>
          <w:lang w:val="fr-CA"/>
        </w:rPr>
        <w:t>Graydon S.E.N.C.R.L./s.r.l</w:t>
      </w:r>
      <w:r w:rsidR="007D6D15">
        <w:rPr>
          <w:lang w:val="fr-CA"/>
        </w:rPr>
        <w:t>.</w:t>
      </w:r>
    </w:p>
    <w:p w14:paraId="489B5D9F" w14:textId="77777777" w:rsidR="0057567C" w:rsidRPr="007757AC" w:rsidRDefault="0057567C">
      <w:pPr>
        <w:pStyle w:val="BodyText"/>
        <w:rPr>
          <w:lang w:val="fr-CA"/>
        </w:rPr>
      </w:pPr>
    </w:p>
    <w:p w14:paraId="0B637482" w14:textId="77777777" w:rsidR="0057567C" w:rsidRPr="007757AC" w:rsidRDefault="0057567C">
      <w:pPr>
        <w:pStyle w:val="BodyText"/>
        <w:rPr>
          <w:lang w:val="fr-CA"/>
        </w:rPr>
      </w:pPr>
    </w:p>
    <w:p w14:paraId="0179473E" w14:textId="4416BD3B" w:rsidR="0057567C" w:rsidRPr="007757AC" w:rsidRDefault="00DD0E06">
      <w:pPr>
        <w:pStyle w:val="Disclaimer"/>
        <w:rPr>
          <w:lang w:val="fr-CA"/>
        </w:rPr>
      </w:pPr>
      <w:r w:rsidRPr="007757AC">
        <w:rPr>
          <w:lang w:val="fr-CA"/>
        </w:rPr>
        <w:t>Avertissement : Le présent modèle de document est fourni à titre informatif seulement et ne doit pas être interprété comme étant un avis juridique portant sur des circonstances ou des faits particuliers.</w:t>
      </w:r>
      <w:r w:rsidR="004A387E" w:rsidRPr="007757AC">
        <w:rPr>
          <w:lang w:val="fr-CA"/>
        </w:rPr>
        <w:t xml:space="preserve"> </w:t>
      </w:r>
      <w:r w:rsidRPr="007757AC">
        <w:rPr>
          <w:lang w:val="fr-CA"/>
        </w:rPr>
        <w:t>Le présent document est fourni «</w:t>
      </w:r>
      <w:r w:rsidR="004A387E" w:rsidRPr="007757AC">
        <w:rPr>
          <w:lang w:val="fr-CA"/>
        </w:rPr>
        <w:t> </w:t>
      </w:r>
      <w:r w:rsidRPr="007757AC">
        <w:rPr>
          <w:lang w:val="fr-CA"/>
        </w:rPr>
        <w:t>en l</w:t>
      </w:r>
      <w:r w:rsidR="00CC4D89">
        <w:rPr>
          <w:lang w:val="fr-CA"/>
        </w:rPr>
        <w:t>’</w:t>
      </w:r>
      <w:r w:rsidRPr="007757AC">
        <w:rPr>
          <w:lang w:val="fr-CA"/>
        </w:rPr>
        <w:t>état</w:t>
      </w:r>
      <w:r w:rsidR="004A387E" w:rsidRPr="007757AC">
        <w:rPr>
          <w:lang w:val="fr-CA"/>
        </w:rPr>
        <w:t> </w:t>
      </w:r>
      <w:r w:rsidRPr="007757AC">
        <w:rPr>
          <w:lang w:val="fr-CA"/>
        </w:rPr>
        <w:t>», sans aucune garantie, expresse ou implicite, ni responsabilité.</w:t>
      </w:r>
      <w:r w:rsidR="004A387E" w:rsidRPr="007757AC">
        <w:rPr>
          <w:lang w:val="fr-CA"/>
        </w:rPr>
        <w:t xml:space="preserve"> </w:t>
      </w:r>
      <w:r w:rsidRPr="007757AC">
        <w:rPr>
          <w:lang w:val="fr-CA"/>
        </w:rPr>
        <w:t>Il se veut un point de départ uniquement et il doit être adapté à vos besoins particuliers.</w:t>
      </w:r>
    </w:p>
    <w:p w14:paraId="24AEC8DA" w14:textId="77777777" w:rsidR="0057567C" w:rsidRPr="007757AC" w:rsidRDefault="0057567C">
      <w:pPr>
        <w:pStyle w:val="BodyText"/>
        <w:rPr>
          <w:lang w:val="fr-CA"/>
        </w:rPr>
      </w:pPr>
    </w:p>
    <w:p w14:paraId="605C16EE" w14:textId="77777777" w:rsidR="0057567C" w:rsidRPr="007757AC" w:rsidRDefault="0057567C">
      <w:pPr>
        <w:pStyle w:val="BodyText"/>
        <w:rPr>
          <w:lang w:val="fr-CA"/>
        </w:rPr>
        <w:sectPr w:rsidR="0057567C" w:rsidRPr="007757AC">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432" w:gutter="0"/>
          <w:pgNumType w:start="1"/>
          <w:cols w:space="720"/>
          <w:titlePg/>
          <w:docGrid w:linePitch="360"/>
        </w:sectPr>
      </w:pPr>
    </w:p>
    <w:p w14:paraId="47E89598" w14:textId="3D20988D" w:rsidR="0057567C" w:rsidRPr="007757AC" w:rsidRDefault="00DD0E06">
      <w:pPr>
        <w:pStyle w:val="Heading2"/>
        <w:rPr>
          <w:lang w:val="fr-CA"/>
        </w:rPr>
      </w:pPr>
      <w:r w:rsidRPr="007757AC">
        <w:rPr>
          <w:lang w:val="fr-CA"/>
        </w:rPr>
        <w:lastRenderedPageBreak/>
        <w:t>Note préliminaire</w:t>
      </w:r>
    </w:p>
    <w:p w14:paraId="40BFC461" w14:textId="5CE4FC78" w:rsidR="0057567C" w:rsidRPr="007757AC" w:rsidRDefault="00DD0E06">
      <w:pPr>
        <w:pStyle w:val="BodyTextItalics"/>
        <w:rPr>
          <w:iCs/>
          <w:lang w:val="fr-CA"/>
        </w:rPr>
      </w:pPr>
      <w:r w:rsidRPr="007757AC">
        <w:rPr>
          <w:lang w:val="fr-CA"/>
        </w:rPr>
        <w:t xml:space="preserve">Le présent </w:t>
      </w:r>
      <w:r w:rsidR="00FA5C48" w:rsidRPr="007757AC">
        <w:rPr>
          <w:lang w:val="fr-CA"/>
        </w:rPr>
        <w:t>s</w:t>
      </w:r>
      <w:r w:rsidRPr="007757AC">
        <w:rPr>
          <w:lang w:val="fr-CA"/>
        </w:rPr>
        <w:t>ommaire des modalités renvoi</w:t>
      </w:r>
      <w:r w:rsidR="004A387E" w:rsidRPr="007757AC">
        <w:rPr>
          <w:lang w:val="fr-CA"/>
        </w:rPr>
        <w:t>e</w:t>
      </w:r>
      <w:r w:rsidRPr="007757AC">
        <w:rPr>
          <w:lang w:val="fr-CA"/>
        </w:rPr>
        <w:t xml:space="preserve"> </w:t>
      </w:r>
      <w:r w:rsidR="000117C4">
        <w:rPr>
          <w:lang w:val="fr-CA"/>
        </w:rPr>
        <w:t>à des</w:t>
      </w:r>
      <w:r w:rsidR="00FA5C48" w:rsidRPr="007757AC">
        <w:rPr>
          <w:lang w:val="fr-CA"/>
        </w:rPr>
        <w:t xml:space="preserve"> dispositions</w:t>
      </w:r>
      <w:r w:rsidR="004A387E" w:rsidRPr="007757AC">
        <w:rPr>
          <w:lang w:val="fr-CA"/>
        </w:rPr>
        <w:t xml:space="preserve"> de</w:t>
      </w:r>
      <w:r w:rsidR="00B5547F" w:rsidRPr="007757AC">
        <w:rPr>
          <w:lang w:val="fr-CA"/>
        </w:rPr>
        <w:t>s</w:t>
      </w:r>
      <w:r w:rsidR="004A387E" w:rsidRPr="007757AC">
        <w:rPr>
          <w:lang w:val="fr-CA"/>
        </w:rPr>
        <w:t xml:space="preserve"> </w:t>
      </w:r>
      <w:r w:rsidRPr="007757AC">
        <w:rPr>
          <w:lang w:val="fr-CA"/>
        </w:rPr>
        <w:t>modèles de documents de l</w:t>
      </w:r>
      <w:r w:rsidR="00CC4D89">
        <w:rPr>
          <w:lang w:val="fr-CA"/>
        </w:rPr>
        <w:t>’</w:t>
      </w:r>
      <w:r w:rsidRPr="007757AC">
        <w:rPr>
          <w:lang w:val="fr-CA"/>
        </w:rPr>
        <w:t xml:space="preserve">ACCRI </w:t>
      </w:r>
      <w:r w:rsidR="00580370" w:rsidRPr="007757AC">
        <w:rPr>
          <w:lang w:val="fr-CA"/>
        </w:rPr>
        <w:t>qui</w:t>
      </w:r>
      <w:r w:rsidRPr="007757AC">
        <w:rPr>
          <w:lang w:val="fr-CA"/>
        </w:rPr>
        <w:t xml:space="preserve">, pour des raisons de commodité, sont regroupées </w:t>
      </w:r>
      <w:r w:rsidR="000117C4">
        <w:rPr>
          <w:lang w:val="fr-CA"/>
        </w:rPr>
        <w:t>en fonction du</w:t>
      </w:r>
      <w:r w:rsidRPr="007757AC">
        <w:rPr>
          <w:lang w:val="fr-CA"/>
        </w:rPr>
        <w:t xml:space="preserve"> modèle de document </w:t>
      </w:r>
      <w:r w:rsidR="00383741" w:rsidRPr="007757AC">
        <w:rPr>
          <w:lang w:val="fr-CA"/>
        </w:rPr>
        <w:t xml:space="preserve">dans lequel elles se </w:t>
      </w:r>
      <w:r w:rsidR="00580370" w:rsidRPr="007757AC">
        <w:rPr>
          <w:lang w:val="fr-CA"/>
        </w:rPr>
        <w:t>re</w:t>
      </w:r>
      <w:r w:rsidR="00383741" w:rsidRPr="007757AC">
        <w:rPr>
          <w:lang w:val="fr-CA"/>
        </w:rPr>
        <w:t>trouvent</w:t>
      </w:r>
      <w:r w:rsidRPr="007757AC">
        <w:rPr>
          <w:lang w:val="fr-CA"/>
        </w:rPr>
        <w:t>.</w:t>
      </w:r>
      <w:r w:rsidR="004A387E" w:rsidRPr="007757AC">
        <w:rPr>
          <w:lang w:val="fr-CA"/>
        </w:rPr>
        <w:t xml:space="preserve"> </w:t>
      </w:r>
      <w:r w:rsidRPr="007757AC">
        <w:rPr>
          <w:lang w:val="fr-CA"/>
        </w:rPr>
        <w:t>Bien qu</w:t>
      </w:r>
      <w:r w:rsidR="000117C4">
        <w:rPr>
          <w:lang w:val="fr-CA"/>
        </w:rPr>
        <w:t>e le présent sommaire des modalités</w:t>
      </w:r>
      <w:r w:rsidR="00B5547F" w:rsidRPr="007757AC">
        <w:rPr>
          <w:lang w:val="fr-CA"/>
        </w:rPr>
        <w:t xml:space="preserve"> soit</w:t>
      </w:r>
      <w:r w:rsidRPr="007757AC">
        <w:rPr>
          <w:lang w:val="fr-CA"/>
        </w:rPr>
        <w:t xml:space="preserve"> peut-être un peu plus long qu</w:t>
      </w:r>
      <w:r w:rsidR="00CC4D89">
        <w:rPr>
          <w:lang w:val="fr-CA"/>
        </w:rPr>
        <w:t>’</w:t>
      </w:r>
      <w:r w:rsidRPr="007757AC">
        <w:rPr>
          <w:lang w:val="fr-CA"/>
        </w:rPr>
        <w:t>un sommaire des modalités «</w:t>
      </w:r>
      <w:r w:rsidR="004A387E" w:rsidRPr="007757AC">
        <w:rPr>
          <w:lang w:val="fr-CA"/>
        </w:rPr>
        <w:t> </w:t>
      </w:r>
      <w:r w:rsidRPr="007757AC">
        <w:rPr>
          <w:lang w:val="fr-CA"/>
        </w:rPr>
        <w:t>type</w:t>
      </w:r>
      <w:r w:rsidR="004A387E" w:rsidRPr="007757AC">
        <w:rPr>
          <w:lang w:val="fr-CA"/>
        </w:rPr>
        <w:t> </w:t>
      </w:r>
      <w:r w:rsidRPr="007757AC">
        <w:rPr>
          <w:lang w:val="fr-CA"/>
        </w:rPr>
        <w:t xml:space="preserve">» </w:t>
      </w:r>
      <w:r w:rsidR="004A387E" w:rsidRPr="007757AC">
        <w:rPr>
          <w:lang w:val="fr-CA"/>
        </w:rPr>
        <w:t>qui s</w:t>
      </w:r>
      <w:r w:rsidR="00CC4D89">
        <w:rPr>
          <w:lang w:val="fr-CA"/>
        </w:rPr>
        <w:t>’</w:t>
      </w:r>
      <w:r w:rsidR="004A387E" w:rsidRPr="007757AC">
        <w:rPr>
          <w:lang w:val="fr-CA"/>
        </w:rPr>
        <w:t>applique aux</w:t>
      </w:r>
      <w:r w:rsidRPr="007757AC">
        <w:rPr>
          <w:lang w:val="fr-CA"/>
        </w:rPr>
        <w:t xml:space="preserve"> </w:t>
      </w:r>
      <w:r w:rsidR="004A387E" w:rsidRPr="007757AC">
        <w:rPr>
          <w:lang w:val="fr-CA"/>
        </w:rPr>
        <w:t xml:space="preserve">opérations de financement par </w:t>
      </w:r>
      <w:r w:rsidRPr="007757AC">
        <w:rPr>
          <w:lang w:val="fr-CA"/>
        </w:rPr>
        <w:t xml:space="preserve">capital de risque, </w:t>
      </w:r>
      <w:r w:rsidR="000117C4">
        <w:rPr>
          <w:lang w:val="fr-CA"/>
        </w:rPr>
        <w:t>il se veut</w:t>
      </w:r>
      <w:r w:rsidR="00213E5C" w:rsidRPr="007757AC">
        <w:rPr>
          <w:lang w:val="fr-CA"/>
        </w:rPr>
        <w:t xml:space="preserve"> </w:t>
      </w:r>
      <w:r w:rsidR="004A387E" w:rsidRPr="007757AC">
        <w:rPr>
          <w:lang w:val="fr-CA"/>
        </w:rPr>
        <w:t>suffisamment détail</w:t>
      </w:r>
      <w:r w:rsidR="00B5547F" w:rsidRPr="007757AC">
        <w:rPr>
          <w:lang w:val="fr-CA"/>
        </w:rPr>
        <w:t>lé pour pouvoir</w:t>
      </w:r>
      <w:r w:rsidR="00992D5E" w:rsidRPr="007757AC">
        <w:rPr>
          <w:lang w:val="fr-CA"/>
        </w:rPr>
        <w:t xml:space="preserve"> servir de </w:t>
      </w:r>
      <w:r w:rsidRPr="007757AC">
        <w:rPr>
          <w:lang w:val="fr-CA"/>
        </w:rPr>
        <w:t xml:space="preserve">feuille de route </w:t>
      </w:r>
      <w:r w:rsidR="006A16F4" w:rsidRPr="007757AC">
        <w:rPr>
          <w:lang w:val="fr-CA"/>
        </w:rPr>
        <w:t>aux</w:t>
      </w:r>
      <w:r w:rsidRPr="007757AC">
        <w:rPr>
          <w:lang w:val="fr-CA"/>
        </w:rPr>
        <w:t xml:space="preserve"> rédacteurs de </w:t>
      </w:r>
      <w:r w:rsidR="00992D5E" w:rsidRPr="007757AC">
        <w:rPr>
          <w:lang w:val="fr-CA"/>
        </w:rPr>
        <w:t xml:space="preserve">ce type de </w:t>
      </w:r>
      <w:r w:rsidRPr="007757AC">
        <w:rPr>
          <w:lang w:val="fr-CA"/>
        </w:rPr>
        <w:t xml:space="preserve">documents </w:t>
      </w:r>
      <w:r w:rsidR="00B5547F" w:rsidRPr="007757AC">
        <w:rPr>
          <w:lang w:val="fr-CA"/>
        </w:rPr>
        <w:t>et</w:t>
      </w:r>
      <w:r w:rsidR="00992D5E" w:rsidRPr="007757AC">
        <w:rPr>
          <w:lang w:val="fr-CA"/>
        </w:rPr>
        <w:t xml:space="preserve"> de </w:t>
      </w:r>
      <w:r w:rsidRPr="007757AC">
        <w:rPr>
          <w:lang w:val="fr-CA"/>
        </w:rPr>
        <w:t>référence</w:t>
      </w:r>
      <w:r w:rsidR="006A16F4" w:rsidRPr="007757AC">
        <w:rPr>
          <w:lang w:val="fr-CA"/>
        </w:rPr>
        <w:t xml:space="preserve"> aux</w:t>
      </w:r>
      <w:r w:rsidRPr="007757AC">
        <w:rPr>
          <w:lang w:val="fr-CA"/>
        </w:rPr>
        <w:t xml:space="preserve"> gens d</w:t>
      </w:r>
      <w:r w:rsidR="00CC4D89">
        <w:rPr>
          <w:lang w:val="fr-CA"/>
        </w:rPr>
        <w:t>’</w:t>
      </w:r>
      <w:r w:rsidRPr="007757AC">
        <w:rPr>
          <w:lang w:val="fr-CA"/>
        </w:rPr>
        <w:t xml:space="preserve">affaires </w:t>
      </w:r>
      <w:r w:rsidR="004A387E" w:rsidRPr="007757AC">
        <w:rPr>
          <w:lang w:val="fr-CA"/>
        </w:rPr>
        <w:t xml:space="preserve">qui </w:t>
      </w:r>
      <w:r w:rsidR="00D05053" w:rsidRPr="007757AC">
        <w:rPr>
          <w:lang w:val="fr-CA"/>
        </w:rPr>
        <w:t>souhaitent</w:t>
      </w:r>
      <w:r w:rsidRPr="007757AC">
        <w:rPr>
          <w:lang w:val="fr-CA"/>
        </w:rPr>
        <w:t xml:space="preserve"> trouver rapidement </w:t>
      </w:r>
      <w:r w:rsidR="004A387E" w:rsidRPr="007757AC">
        <w:rPr>
          <w:lang w:val="fr-CA"/>
        </w:rPr>
        <w:t>d</w:t>
      </w:r>
      <w:r w:rsidRPr="007757AC">
        <w:rPr>
          <w:lang w:val="fr-CA"/>
        </w:rPr>
        <w:t xml:space="preserve">es </w:t>
      </w:r>
      <w:r w:rsidR="00C20445">
        <w:rPr>
          <w:lang w:val="fr-CA"/>
        </w:rPr>
        <w:t>modalités</w:t>
      </w:r>
      <w:r w:rsidRPr="007757AC">
        <w:rPr>
          <w:lang w:val="fr-CA"/>
        </w:rPr>
        <w:t xml:space="preserve"> </w:t>
      </w:r>
      <w:r w:rsidR="00D05053" w:rsidRPr="007757AC">
        <w:rPr>
          <w:lang w:val="fr-CA"/>
        </w:rPr>
        <w:t>d</w:t>
      </w:r>
      <w:r w:rsidR="00CC4D89">
        <w:rPr>
          <w:lang w:val="fr-CA"/>
        </w:rPr>
        <w:t>’</w:t>
      </w:r>
      <w:r w:rsidR="00D05053" w:rsidRPr="007757AC">
        <w:rPr>
          <w:lang w:val="fr-CA"/>
        </w:rPr>
        <w:t xml:space="preserve">entente </w:t>
      </w:r>
      <w:r w:rsidRPr="007757AC">
        <w:rPr>
          <w:lang w:val="fr-CA"/>
        </w:rPr>
        <w:t xml:space="preserve">sans avoir à consulter </w:t>
      </w:r>
      <w:r w:rsidR="00B5547F" w:rsidRPr="007757AC">
        <w:rPr>
          <w:lang w:val="fr-CA"/>
        </w:rPr>
        <w:t>d</w:t>
      </w:r>
      <w:r w:rsidR="00BA0970" w:rsidRPr="007757AC">
        <w:rPr>
          <w:lang w:val="fr-CA"/>
        </w:rPr>
        <w:t>es</w:t>
      </w:r>
      <w:r w:rsidRPr="007757AC">
        <w:rPr>
          <w:lang w:val="fr-CA"/>
        </w:rPr>
        <w:t xml:space="preserve"> documents juridiques (dans l</w:t>
      </w:r>
      <w:r w:rsidR="00CC4D89">
        <w:rPr>
          <w:lang w:val="fr-CA"/>
        </w:rPr>
        <w:t>’</w:t>
      </w:r>
      <w:r w:rsidRPr="007757AC">
        <w:rPr>
          <w:lang w:val="fr-CA"/>
        </w:rPr>
        <w:t>hypothèse, bien sûr, où aucun changement n</w:t>
      </w:r>
      <w:r w:rsidR="00CC4D89">
        <w:rPr>
          <w:lang w:val="fr-CA"/>
        </w:rPr>
        <w:t>’</w:t>
      </w:r>
      <w:r w:rsidR="00992D5E" w:rsidRPr="007757AC">
        <w:rPr>
          <w:lang w:val="fr-CA"/>
        </w:rPr>
        <w:t>est</w:t>
      </w:r>
      <w:r w:rsidRPr="007757AC">
        <w:rPr>
          <w:lang w:val="fr-CA"/>
        </w:rPr>
        <w:t xml:space="preserve"> apporté aux modalités importantes avant la signature de</w:t>
      </w:r>
      <w:r w:rsidR="00992D5E" w:rsidRPr="007757AC">
        <w:rPr>
          <w:lang w:val="fr-CA"/>
        </w:rPr>
        <w:t>s</w:t>
      </w:r>
      <w:r w:rsidRPr="007757AC">
        <w:rPr>
          <w:lang w:val="fr-CA"/>
        </w:rPr>
        <w:t xml:space="preserve"> documents</w:t>
      </w:r>
      <w:r w:rsidR="00992D5E" w:rsidRPr="007757AC">
        <w:rPr>
          <w:lang w:val="fr-CA"/>
        </w:rPr>
        <w:t xml:space="preserve"> définitifs</w:t>
      </w:r>
      <w:r w:rsidRPr="007757AC">
        <w:rPr>
          <w:lang w:val="fr-CA"/>
        </w:rPr>
        <w:t>).</w:t>
      </w:r>
      <w:r w:rsidR="004A387E" w:rsidRPr="007757AC">
        <w:rPr>
          <w:lang w:val="fr-CA"/>
        </w:rPr>
        <w:t xml:space="preserve"> </w:t>
      </w:r>
      <w:r w:rsidR="00992D5E" w:rsidRPr="007757AC">
        <w:rPr>
          <w:iCs/>
          <w:lang w:val="fr-CA"/>
        </w:rPr>
        <w:t>Pour les</w:t>
      </w:r>
      <w:r w:rsidRPr="007757AC">
        <w:rPr>
          <w:iCs/>
          <w:lang w:val="fr-CA"/>
        </w:rPr>
        <w:t xml:space="preserve"> </w:t>
      </w:r>
      <w:r w:rsidR="006A16F4" w:rsidRPr="007757AC">
        <w:rPr>
          <w:iCs/>
          <w:lang w:val="fr-CA"/>
        </w:rPr>
        <w:t xml:space="preserve">rondes de catégorie B et les </w:t>
      </w:r>
      <w:r w:rsidRPr="007757AC">
        <w:rPr>
          <w:iCs/>
          <w:lang w:val="fr-CA"/>
        </w:rPr>
        <w:t xml:space="preserve">opérations </w:t>
      </w:r>
      <w:r w:rsidR="004A387E" w:rsidRPr="007757AC">
        <w:rPr>
          <w:iCs/>
          <w:lang w:val="fr-CA"/>
        </w:rPr>
        <w:t>ultérieures</w:t>
      </w:r>
      <w:r w:rsidRPr="007757AC">
        <w:rPr>
          <w:iCs/>
          <w:lang w:val="fr-CA"/>
        </w:rPr>
        <w:t xml:space="preserve">, </w:t>
      </w:r>
      <w:r w:rsidR="00C20445">
        <w:rPr>
          <w:iCs/>
          <w:lang w:val="fr-CA"/>
        </w:rPr>
        <w:t xml:space="preserve">vous pourriez </w:t>
      </w:r>
      <w:r w:rsidR="000117C4">
        <w:rPr>
          <w:iCs/>
          <w:lang w:val="fr-CA"/>
        </w:rPr>
        <w:t>envisager d</w:t>
      </w:r>
      <w:r w:rsidR="00CC4D89">
        <w:rPr>
          <w:iCs/>
          <w:lang w:val="fr-CA"/>
        </w:rPr>
        <w:t>’</w:t>
      </w:r>
      <w:r w:rsidR="006A16F4" w:rsidRPr="007757AC">
        <w:rPr>
          <w:iCs/>
          <w:lang w:val="fr-CA"/>
        </w:rPr>
        <w:t>abréger</w:t>
      </w:r>
      <w:r w:rsidRPr="007757AC">
        <w:rPr>
          <w:iCs/>
          <w:lang w:val="fr-CA"/>
        </w:rPr>
        <w:t xml:space="preserve"> considérablement certaines dispositions </w:t>
      </w:r>
      <w:r w:rsidR="006A16F4" w:rsidRPr="007757AC">
        <w:rPr>
          <w:iCs/>
          <w:lang w:val="fr-CA"/>
        </w:rPr>
        <w:t>par l</w:t>
      </w:r>
      <w:r w:rsidR="00CC4D89">
        <w:rPr>
          <w:iCs/>
          <w:lang w:val="fr-CA"/>
        </w:rPr>
        <w:t>’</w:t>
      </w:r>
      <w:r w:rsidR="006A16F4" w:rsidRPr="007757AC">
        <w:rPr>
          <w:iCs/>
          <w:lang w:val="fr-CA"/>
        </w:rPr>
        <w:t>ajout d</w:t>
      </w:r>
      <w:r w:rsidR="00CC4D89">
        <w:rPr>
          <w:iCs/>
          <w:lang w:val="fr-CA"/>
        </w:rPr>
        <w:t>’</w:t>
      </w:r>
      <w:r w:rsidR="006A16F4" w:rsidRPr="007757AC">
        <w:rPr>
          <w:iCs/>
          <w:lang w:val="fr-CA"/>
        </w:rPr>
        <w:t>un</w:t>
      </w:r>
      <w:r w:rsidR="00BA0970" w:rsidRPr="007757AC">
        <w:rPr>
          <w:iCs/>
          <w:lang w:val="fr-CA"/>
        </w:rPr>
        <w:t xml:space="preserve">e mention indiquant </w:t>
      </w:r>
      <w:r w:rsidR="00EB777B" w:rsidRPr="007757AC">
        <w:rPr>
          <w:iCs/>
          <w:lang w:val="fr-CA"/>
        </w:rPr>
        <w:t>que les modalités sont</w:t>
      </w:r>
      <w:r w:rsidR="004A387E" w:rsidRPr="007757AC">
        <w:rPr>
          <w:iCs/>
          <w:lang w:val="fr-CA"/>
        </w:rPr>
        <w:t xml:space="preserve"> </w:t>
      </w:r>
      <w:r w:rsidRPr="007757AC">
        <w:rPr>
          <w:iCs/>
          <w:lang w:val="fr-CA"/>
        </w:rPr>
        <w:t>«</w:t>
      </w:r>
      <w:r w:rsidR="006A16F4" w:rsidRPr="007757AC">
        <w:rPr>
          <w:iCs/>
          <w:lang w:val="fr-CA"/>
        </w:rPr>
        <w:t> </w:t>
      </w:r>
      <w:r w:rsidR="004A387E" w:rsidRPr="007757AC">
        <w:rPr>
          <w:iCs/>
          <w:lang w:val="fr-CA"/>
        </w:rPr>
        <w:t xml:space="preserve">conformes </w:t>
      </w:r>
      <w:r w:rsidR="00EB777B" w:rsidRPr="007757AC">
        <w:rPr>
          <w:iCs/>
          <w:lang w:val="fr-CA"/>
        </w:rPr>
        <w:t xml:space="preserve">à celles </w:t>
      </w:r>
      <w:r w:rsidR="00992D5E" w:rsidRPr="007757AC">
        <w:rPr>
          <w:iCs/>
          <w:lang w:val="fr-CA"/>
        </w:rPr>
        <w:t>de</w:t>
      </w:r>
      <w:r w:rsidRPr="007757AC">
        <w:rPr>
          <w:iCs/>
          <w:lang w:val="fr-CA"/>
        </w:rPr>
        <w:t xml:space="preserve"> rondes </w:t>
      </w:r>
      <w:r w:rsidR="00992D5E" w:rsidRPr="007757AC">
        <w:rPr>
          <w:iCs/>
          <w:lang w:val="fr-CA"/>
        </w:rPr>
        <w:t>antérieures</w:t>
      </w:r>
      <w:r w:rsidRPr="007757AC">
        <w:rPr>
          <w:iCs/>
          <w:lang w:val="fr-CA"/>
        </w:rPr>
        <w:t>, sous réserve d</w:t>
      </w:r>
      <w:r w:rsidR="00CC4D89">
        <w:rPr>
          <w:iCs/>
          <w:lang w:val="fr-CA"/>
        </w:rPr>
        <w:t>’</w:t>
      </w:r>
      <w:r w:rsidRPr="007757AC">
        <w:rPr>
          <w:iCs/>
          <w:lang w:val="fr-CA"/>
        </w:rPr>
        <w:t>un examen raisonnable par l</w:t>
      </w:r>
      <w:r w:rsidR="00CC4D89">
        <w:rPr>
          <w:iCs/>
          <w:lang w:val="fr-CA"/>
        </w:rPr>
        <w:t>’</w:t>
      </w:r>
      <w:r w:rsidRPr="007757AC">
        <w:rPr>
          <w:iCs/>
          <w:lang w:val="fr-CA"/>
        </w:rPr>
        <w:t xml:space="preserve">Investisseur principal » (comme il est indiqué dans la phrase précédente, les </w:t>
      </w:r>
      <w:r w:rsidR="00C20445">
        <w:rPr>
          <w:iCs/>
          <w:lang w:val="fr-CA"/>
        </w:rPr>
        <w:t xml:space="preserve">modalités </w:t>
      </w:r>
      <w:r w:rsidRPr="007757AC">
        <w:rPr>
          <w:iCs/>
          <w:lang w:val="fr-CA"/>
        </w:rPr>
        <w:t>d</w:t>
      </w:r>
      <w:r w:rsidR="00CC4D89">
        <w:rPr>
          <w:iCs/>
          <w:lang w:val="fr-CA"/>
        </w:rPr>
        <w:t>’</w:t>
      </w:r>
      <w:r w:rsidR="004A387E" w:rsidRPr="007757AC">
        <w:rPr>
          <w:iCs/>
          <w:lang w:val="fr-CA"/>
        </w:rPr>
        <w:t xml:space="preserve">une </w:t>
      </w:r>
      <w:r w:rsidR="00EB777B" w:rsidRPr="007757AC">
        <w:rPr>
          <w:iCs/>
          <w:lang w:val="fr-CA"/>
        </w:rPr>
        <w:t>entente</w:t>
      </w:r>
      <w:r w:rsidRPr="007757AC">
        <w:rPr>
          <w:iCs/>
          <w:lang w:val="fr-CA"/>
        </w:rPr>
        <w:t xml:space="preserve"> </w:t>
      </w:r>
      <w:r w:rsidR="004A387E" w:rsidRPr="007757AC">
        <w:rPr>
          <w:iCs/>
          <w:lang w:val="fr-CA"/>
        </w:rPr>
        <w:t>font</w:t>
      </w:r>
      <w:r w:rsidRPr="007757AC">
        <w:rPr>
          <w:iCs/>
          <w:lang w:val="fr-CA"/>
        </w:rPr>
        <w:t xml:space="preserve"> souvent </w:t>
      </w:r>
      <w:r w:rsidR="004A387E" w:rsidRPr="007757AC">
        <w:rPr>
          <w:iCs/>
          <w:lang w:val="fr-CA"/>
        </w:rPr>
        <w:t>l</w:t>
      </w:r>
      <w:r w:rsidR="00CC4D89">
        <w:rPr>
          <w:iCs/>
          <w:lang w:val="fr-CA"/>
        </w:rPr>
        <w:t>’</w:t>
      </w:r>
      <w:r w:rsidR="004A387E" w:rsidRPr="007757AC">
        <w:rPr>
          <w:iCs/>
          <w:lang w:val="fr-CA"/>
        </w:rPr>
        <w:t>objet de négociations supplémentaires</w:t>
      </w:r>
      <w:r w:rsidRPr="007757AC">
        <w:rPr>
          <w:iCs/>
          <w:lang w:val="fr-CA"/>
        </w:rPr>
        <w:t xml:space="preserve"> entre l</w:t>
      </w:r>
      <w:r w:rsidR="004A387E" w:rsidRPr="007757AC">
        <w:rPr>
          <w:iCs/>
          <w:lang w:val="fr-CA"/>
        </w:rPr>
        <w:t>a date de</w:t>
      </w:r>
      <w:r w:rsidR="000117C4">
        <w:rPr>
          <w:iCs/>
          <w:lang w:val="fr-CA"/>
        </w:rPr>
        <w:t xml:space="preserve"> préparation </w:t>
      </w:r>
      <w:r w:rsidRPr="007757AC">
        <w:rPr>
          <w:iCs/>
          <w:lang w:val="fr-CA"/>
        </w:rPr>
        <w:t xml:space="preserve">du sommaire des modalités et la clôture. </w:t>
      </w:r>
      <w:r w:rsidR="00EB777B" w:rsidRPr="007757AC">
        <w:rPr>
          <w:iCs/>
          <w:lang w:val="fr-CA"/>
        </w:rPr>
        <w:t xml:space="preserve">Par conséquent, </w:t>
      </w:r>
      <w:r w:rsidR="000117C4">
        <w:rPr>
          <w:iCs/>
          <w:lang w:val="fr-CA"/>
        </w:rPr>
        <w:t xml:space="preserve">il vous est recommandé de ne pas vous fier </w:t>
      </w:r>
      <w:r w:rsidR="008829C5">
        <w:rPr>
          <w:iCs/>
          <w:lang w:val="fr-CA"/>
        </w:rPr>
        <w:t>au</w:t>
      </w:r>
      <w:r w:rsidRPr="007757AC">
        <w:rPr>
          <w:iCs/>
          <w:lang w:val="fr-CA"/>
        </w:rPr>
        <w:t xml:space="preserve"> sommaire des modalités </w:t>
      </w:r>
      <w:r w:rsidR="008829C5">
        <w:rPr>
          <w:iCs/>
          <w:lang w:val="fr-CA"/>
        </w:rPr>
        <w:t xml:space="preserve">relatif à </w:t>
      </w:r>
      <w:r w:rsidR="00EB777B" w:rsidRPr="007757AC">
        <w:rPr>
          <w:iCs/>
          <w:lang w:val="fr-CA"/>
        </w:rPr>
        <w:t>u</w:t>
      </w:r>
      <w:r w:rsidRPr="007757AC">
        <w:rPr>
          <w:iCs/>
          <w:lang w:val="fr-CA"/>
        </w:rPr>
        <w:t xml:space="preserve">ne ronde </w:t>
      </w:r>
      <w:r w:rsidR="00BA0970" w:rsidRPr="007757AC">
        <w:rPr>
          <w:iCs/>
          <w:lang w:val="fr-CA"/>
        </w:rPr>
        <w:t>en particulier</w:t>
      </w:r>
      <w:r w:rsidR="00EB777B" w:rsidRPr="007757AC">
        <w:rPr>
          <w:iCs/>
          <w:lang w:val="fr-CA"/>
        </w:rPr>
        <w:t xml:space="preserve"> </w:t>
      </w:r>
      <w:r w:rsidR="00993D2A">
        <w:rPr>
          <w:iCs/>
          <w:lang w:val="fr-CA"/>
        </w:rPr>
        <w:t>lors d</w:t>
      </w:r>
      <w:r w:rsidR="00CC4D89">
        <w:rPr>
          <w:iCs/>
          <w:lang w:val="fr-CA"/>
        </w:rPr>
        <w:t>’</w:t>
      </w:r>
      <w:r w:rsidR="00993D2A">
        <w:rPr>
          <w:iCs/>
          <w:lang w:val="fr-CA"/>
        </w:rPr>
        <w:t>un</w:t>
      </w:r>
      <w:r w:rsidR="00BA0970" w:rsidRPr="007757AC">
        <w:rPr>
          <w:iCs/>
          <w:lang w:val="fr-CA"/>
        </w:rPr>
        <w:t xml:space="preserve">e </w:t>
      </w:r>
      <w:r w:rsidR="00EB777B" w:rsidRPr="007757AC">
        <w:rPr>
          <w:iCs/>
          <w:lang w:val="fr-CA"/>
        </w:rPr>
        <w:t>ronde ultérieure</w:t>
      </w:r>
      <w:r w:rsidRPr="007757AC">
        <w:rPr>
          <w:iCs/>
          <w:lang w:val="fr-CA"/>
        </w:rPr>
        <w:t>).</w:t>
      </w:r>
    </w:p>
    <w:p w14:paraId="17DDA71D" w14:textId="77777777" w:rsidR="0057567C" w:rsidRPr="007757AC" w:rsidRDefault="0057567C">
      <w:pPr>
        <w:pStyle w:val="BodyText"/>
        <w:rPr>
          <w:lang w:val="fr-CA"/>
        </w:rPr>
        <w:sectPr w:rsidR="0057567C" w:rsidRPr="007757AC">
          <w:headerReference w:type="first" r:id="rId16"/>
          <w:footerReference w:type="first" r:id="rId17"/>
          <w:pgSz w:w="12240" w:h="15840" w:code="1"/>
          <w:pgMar w:top="1440" w:right="1440" w:bottom="1440" w:left="1440" w:header="720" w:footer="432" w:gutter="0"/>
          <w:pgNumType w:start="1"/>
          <w:cols w:space="720"/>
          <w:titlePg/>
          <w:docGrid w:linePitch="360"/>
        </w:sectPr>
      </w:pPr>
    </w:p>
    <w:p w14:paraId="2D60D043" w14:textId="71CF2A49" w:rsidR="0057567C" w:rsidRPr="007757AC" w:rsidRDefault="00DD0E06">
      <w:pPr>
        <w:pStyle w:val="Heading3"/>
        <w:spacing w:after="0"/>
        <w:rPr>
          <w:i/>
          <w:iCs/>
          <w:lang w:val="fr-CA"/>
        </w:rPr>
      </w:pPr>
      <w:r w:rsidRPr="007757AC">
        <w:rPr>
          <w:lang w:val="fr-CA"/>
        </w:rPr>
        <w:lastRenderedPageBreak/>
        <w:t>SOMMAIRE DES MODALITÉS</w:t>
      </w:r>
      <w:r w:rsidR="004A387E" w:rsidRPr="007757AC">
        <w:rPr>
          <w:lang w:val="fr-CA"/>
        </w:rPr>
        <w:br/>
        <w:t>RELATIF AU</w:t>
      </w:r>
      <w:r w:rsidRPr="007757AC">
        <w:rPr>
          <w:lang w:val="fr-CA"/>
        </w:rPr>
        <w:t xml:space="preserve"> FINANCEMENT PAR ACTIONS PRIVILÉGIÉES DE CATÉGORIE A DE</w:t>
      </w:r>
      <w:r w:rsidR="004A387E" w:rsidRPr="007757AC">
        <w:rPr>
          <w:lang w:val="fr-CA"/>
        </w:rPr>
        <w:br/>
      </w:r>
      <w:r w:rsidRPr="007757AC">
        <w:rPr>
          <w:i/>
          <w:iCs/>
          <w:lang w:val="fr-CA"/>
        </w:rPr>
        <w:t>[INDIQUER LA DÉNOMINATION DE LA SOCIÉTÉ]</w:t>
      </w:r>
    </w:p>
    <w:p w14:paraId="7622742D" w14:textId="33962CA7" w:rsidR="0057567C" w:rsidRPr="007757AC" w:rsidRDefault="004A387E">
      <w:pPr>
        <w:pStyle w:val="Centered"/>
        <w:rPr>
          <w:lang w:val="fr-CA"/>
        </w:rPr>
      </w:pPr>
      <w:r w:rsidRPr="007757AC">
        <w:rPr>
          <w:lang w:val="fr-CA"/>
        </w:rPr>
        <w:t>[</w:t>
      </w:r>
      <w:r w:rsidRPr="007757AC">
        <w:rPr>
          <w:lang w:val="fr-CA"/>
        </w:rPr>
        <w:tab/>
        <w:t xml:space="preserve"> __ </w:t>
      </w:r>
      <w:r w:rsidRPr="008A64C8">
        <w:rPr>
          <w:lang w:val="fr-CA"/>
        </w:rPr>
        <w:t>20</w:t>
      </w:r>
      <w:r w:rsidRPr="007757AC">
        <w:rPr>
          <w:lang w:val="fr-CA"/>
        </w:rPr>
        <w:t>__]</w:t>
      </w:r>
    </w:p>
    <w:p w14:paraId="22CFDA63" w14:textId="4F048DE2" w:rsidR="0057567C" w:rsidRPr="007757AC" w:rsidRDefault="00DD0E06">
      <w:pPr>
        <w:pStyle w:val="BodyTextFirstIndent"/>
        <w:rPr>
          <w:lang w:val="fr-CA"/>
        </w:rPr>
      </w:pPr>
      <w:r w:rsidRPr="007757AC">
        <w:rPr>
          <w:lang w:val="fr-CA"/>
        </w:rPr>
        <w:t xml:space="preserve">Le présent </w:t>
      </w:r>
      <w:r w:rsidR="00C20445">
        <w:rPr>
          <w:lang w:val="fr-CA"/>
        </w:rPr>
        <w:t>S</w:t>
      </w:r>
      <w:r w:rsidRPr="007757AC">
        <w:rPr>
          <w:lang w:val="fr-CA"/>
        </w:rPr>
        <w:t xml:space="preserve">ommaire des modalités résume les principales modalités du financement par actions privilégiées de </w:t>
      </w:r>
      <w:r w:rsidR="002D3F68">
        <w:rPr>
          <w:lang w:val="fr-CA"/>
        </w:rPr>
        <w:t>catégorie A</w:t>
      </w:r>
      <w:r w:rsidR="00BA0970" w:rsidRPr="008A64C8">
        <w:rPr>
          <w:rStyle w:val="FootnoteReference"/>
          <w:lang w:val="fr-CA"/>
        </w:rPr>
        <w:footnoteReference w:id="1"/>
      </w:r>
      <w:r w:rsidRPr="007757AC">
        <w:rPr>
          <w:lang w:val="fr-CA"/>
        </w:rPr>
        <w:t xml:space="preserve"> de [___________], société par actions constituée en vertu de la </w:t>
      </w:r>
      <w:r w:rsidR="00BA0970" w:rsidRPr="007757AC">
        <w:rPr>
          <w:lang w:val="fr-CA"/>
        </w:rPr>
        <w:t>[</w:t>
      </w:r>
      <w:r w:rsidRPr="007757AC">
        <w:rPr>
          <w:i/>
          <w:iCs/>
          <w:lang w:val="fr-CA"/>
        </w:rPr>
        <w:t>Loi canadienne sur les sociétés par actions</w:t>
      </w:r>
      <w:r w:rsidR="00BA0970" w:rsidRPr="007757AC">
        <w:rPr>
          <w:lang w:val="fr-CA"/>
        </w:rPr>
        <w:t>]</w:t>
      </w:r>
      <w:r w:rsidRPr="007757AC">
        <w:rPr>
          <w:lang w:val="fr-CA"/>
        </w:rPr>
        <w:t xml:space="preserve"> (la «</w:t>
      </w:r>
      <w:r w:rsidR="00BA0970" w:rsidRPr="007757AC">
        <w:rPr>
          <w:lang w:val="fr-CA"/>
        </w:rPr>
        <w:t> </w:t>
      </w:r>
      <w:r w:rsidRPr="007757AC">
        <w:rPr>
          <w:b/>
          <w:bCs/>
          <w:lang w:val="fr-CA"/>
        </w:rPr>
        <w:t>Société</w:t>
      </w:r>
      <w:r w:rsidR="00BA0970" w:rsidRPr="007757AC">
        <w:rPr>
          <w:b/>
          <w:bCs/>
          <w:lang w:val="fr-CA"/>
        </w:rPr>
        <w:t> </w:t>
      </w:r>
      <w:r w:rsidRPr="007757AC">
        <w:rPr>
          <w:lang w:val="fr-CA"/>
        </w:rPr>
        <w:t>»).</w:t>
      </w:r>
      <w:r w:rsidR="004A387E" w:rsidRPr="007757AC">
        <w:rPr>
          <w:lang w:val="fr-CA"/>
        </w:rPr>
        <w:t xml:space="preserve"> </w:t>
      </w:r>
      <w:r w:rsidRPr="007757AC">
        <w:rPr>
          <w:lang w:val="fr-CA"/>
        </w:rPr>
        <w:t>En contrepartie du temps et de</w:t>
      </w:r>
      <w:r w:rsidR="00BA0970" w:rsidRPr="007757AC">
        <w:rPr>
          <w:lang w:val="fr-CA"/>
        </w:rPr>
        <w:t xml:space="preserve"> l</w:t>
      </w:r>
      <w:r w:rsidR="00CC4D89">
        <w:rPr>
          <w:lang w:val="fr-CA"/>
        </w:rPr>
        <w:t>’</w:t>
      </w:r>
      <w:r w:rsidR="00BA0970" w:rsidRPr="007757AC">
        <w:rPr>
          <w:lang w:val="fr-CA"/>
        </w:rPr>
        <w:t>argent</w:t>
      </w:r>
      <w:r w:rsidRPr="007757AC">
        <w:rPr>
          <w:lang w:val="fr-CA"/>
        </w:rPr>
        <w:t xml:space="preserve"> que les Investisseurs ont consacrés </w:t>
      </w:r>
      <w:r w:rsidR="00BA0970" w:rsidRPr="007757AC">
        <w:rPr>
          <w:lang w:val="fr-CA"/>
        </w:rPr>
        <w:t>et</w:t>
      </w:r>
      <w:r w:rsidRPr="007757AC">
        <w:rPr>
          <w:lang w:val="fr-CA"/>
        </w:rPr>
        <w:t xml:space="preserve"> consacreront à cet investissement, les dispositions </w:t>
      </w:r>
      <w:r w:rsidR="00BE145F" w:rsidRPr="007757AC">
        <w:rPr>
          <w:lang w:val="fr-CA"/>
        </w:rPr>
        <w:t>de non-sollicitation</w:t>
      </w:r>
      <w:r w:rsidR="00C20445">
        <w:rPr>
          <w:lang w:val="fr-CA"/>
        </w:rPr>
        <w:t>/</w:t>
      </w:r>
      <w:r w:rsidRPr="007757AC">
        <w:rPr>
          <w:lang w:val="fr-CA"/>
        </w:rPr>
        <w:t xml:space="preserve">confidentialité du présent </w:t>
      </w:r>
      <w:r w:rsidR="00C20445">
        <w:rPr>
          <w:lang w:val="fr-CA"/>
        </w:rPr>
        <w:t>S</w:t>
      </w:r>
      <w:r w:rsidRPr="007757AC">
        <w:rPr>
          <w:lang w:val="fr-CA"/>
        </w:rPr>
        <w:t xml:space="preserve">ommaire des modalités </w:t>
      </w:r>
      <w:r w:rsidR="00BE145F" w:rsidRPr="007757AC">
        <w:rPr>
          <w:lang w:val="fr-CA"/>
        </w:rPr>
        <w:t xml:space="preserve">constituent des obligations qui </w:t>
      </w:r>
      <w:r w:rsidRPr="007757AC">
        <w:rPr>
          <w:lang w:val="fr-CA"/>
        </w:rPr>
        <w:t>lient la Société, que le financement soit réalisé ou non.</w:t>
      </w:r>
      <w:r w:rsidR="004A387E" w:rsidRPr="007757AC">
        <w:rPr>
          <w:lang w:val="fr-CA"/>
        </w:rPr>
        <w:t xml:space="preserve"> </w:t>
      </w:r>
      <w:r w:rsidRPr="007757AC">
        <w:rPr>
          <w:lang w:val="fr-CA"/>
        </w:rPr>
        <w:t xml:space="preserve">Aucune autre obligation juridiquement contraignante ne sera créée tant que </w:t>
      </w:r>
      <w:r w:rsidR="005C00D4">
        <w:rPr>
          <w:lang w:val="fr-CA"/>
        </w:rPr>
        <w:t xml:space="preserve">toutes </w:t>
      </w:r>
      <w:r w:rsidR="003A6F92" w:rsidRPr="007757AC">
        <w:rPr>
          <w:lang w:val="fr-CA"/>
        </w:rPr>
        <w:t>les parties n</w:t>
      </w:r>
      <w:r w:rsidR="00CC4D89">
        <w:rPr>
          <w:lang w:val="fr-CA"/>
        </w:rPr>
        <w:t>’</w:t>
      </w:r>
      <w:r w:rsidR="003A6F92" w:rsidRPr="007757AC">
        <w:rPr>
          <w:lang w:val="fr-CA"/>
        </w:rPr>
        <w:t>auront pas signé et remis d</w:t>
      </w:r>
      <w:r w:rsidRPr="007757AC">
        <w:rPr>
          <w:lang w:val="fr-CA"/>
        </w:rPr>
        <w:t xml:space="preserve">es </w:t>
      </w:r>
      <w:r w:rsidR="003A6F92" w:rsidRPr="007757AC">
        <w:rPr>
          <w:lang w:val="fr-CA"/>
        </w:rPr>
        <w:t>ententes</w:t>
      </w:r>
      <w:r w:rsidRPr="007757AC">
        <w:rPr>
          <w:lang w:val="fr-CA"/>
        </w:rPr>
        <w:t xml:space="preserve"> définitives.</w:t>
      </w:r>
      <w:r w:rsidR="004A387E" w:rsidRPr="007757AC">
        <w:rPr>
          <w:lang w:val="fr-CA"/>
        </w:rPr>
        <w:t xml:space="preserve"> </w:t>
      </w:r>
      <w:r w:rsidRPr="007757AC">
        <w:rPr>
          <w:lang w:val="fr-CA"/>
        </w:rPr>
        <w:t xml:space="preserve">Le présent </w:t>
      </w:r>
      <w:r w:rsidR="005C00D4">
        <w:rPr>
          <w:lang w:val="fr-CA"/>
        </w:rPr>
        <w:t>S</w:t>
      </w:r>
      <w:r w:rsidRPr="007757AC">
        <w:rPr>
          <w:lang w:val="fr-CA"/>
        </w:rPr>
        <w:t xml:space="preserve">ommaire des modalités ne constitue pas un engagement </w:t>
      </w:r>
      <w:r w:rsidR="003A6F92" w:rsidRPr="007757AC">
        <w:rPr>
          <w:lang w:val="fr-CA"/>
        </w:rPr>
        <w:t xml:space="preserve">à </w:t>
      </w:r>
      <w:r w:rsidRPr="007757AC">
        <w:rPr>
          <w:lang w:val="fr-CA"/>
        </w:rPr>
        <w:t>investi</w:t>
      </w:r>
      <w:r w:rsidR="003A6F92" w:rsidRPr="007757AC">
        <w:rPr>
          <w:lang w:val="fr-CA"/>
        </w:rPr>
        <w:t>r</w:t>
      </w:r>
      <w:r w:rsidR="00D52D34" w:rsidRPr="007757AC">
        <w:rPr>
          <w:lang w:val="fr-CA"/>
        </w:rPr>
        <w:t>,</w:t>
      </w:r>
      <w:r w:rsidRPr="007757AC">
        <w:rPr>
          <w:lang w:val="fr-CA"/>
        </w:rPr>
        <w:t xml:space="preserve"> et </w:t>
      </w:r>
      <w:r w:rsidR="00BE145F" w:rsidRPr="007757AC">
        <w:rPr>
          <w:lang w:val="fr-CA"/>
        </w:rPr>
        <w:t xml:space="preserve">il </w:t>
      </w:r>
      <w:r w:rsidRPr="007757AC">
        <w:rPr>
          <w:lang w:val="fr-CA"/>
        </w:rPr>
        <w:t xml:space="preserve">est subordonné au respect des conditions </w:t>
      </w:r>
      <w:r w:rsidR="00D52D34" w:rsidRPr="007757AC">
        <w:rPr>
          <w:lang w:val="fr-CA"/>
        </w:rPr>
        <w:t>de</w:t>
      </w:r>
      <w:r w:rsidRPr="007757AC">
        <w:rPr>
          <w:lang w:val="fr-CA"/>
        </w:rPr>
        <w:t xml:space="preserve"> clôture énoncées ci-après.</w:t>
      </w:r>
      <w:r w:rsidR="004A387E" w:rsidRPr="007757AC">
        <w:rPr>
          <w:lang w:val="fr-CA"/>
        </w:rPr>
        <w:t xml:space="preserve"> </w:t>
      </w:r>
      <w:r w:rsidRPr="007757AC">
        <w:rPr>
          <w:lang w:val="fr-CA"/>
        </w:rPr>
        <w:t xml:space="preserve">Le présent </w:t>
      </w:r>
      <w:r w:rsidR="005C00D4">
        <w:rPr>
          <w:lang w:val="fr-CA"/>
        </w:rPr>
        <w:t>S</w:t>
      </w:r>
      <w:r w:rsidRPr="007757AC">
        <w:rPr>
          <w:lang w:val="fr-CA"/>
        </w:rPr>
        <w:t>ommaire des mo</w:t>
      </w:r>
      <w:r w:rsidR="00D52D34" w:rsidRPr="007757AC">
        <w:rPr>
          <w:lang w:val="fr-CA"/>
        </w:rPr>
        <w:t>da</w:t>
      </w:r>
      <w:r w:rsidRPr="007757AC">
        <w:rPr>
          <w:lang w:val="fr-CA"/>
        </w:rPr>
        <w:t xml:space="preserve">lités est régi </w:t>
      </w:r>
      <w:r w:rsidR="00BE145F" w:rsidRPr="007757AC">
        <w:rPr>
          <w:lang w:val="fr-CA"/>
        </w:rPr>
        <w:t xml:space="preserve">à tous égards </w:t>
      </w:r>
      <w:r w:rsidRPr="007757AC">
        <w:rPr>
          <w:lang w:val="fr-CA"/>
        </w:rPr>
        <w:t>par les lois de la province de [_____________]</w:t>
      </w:r>
      <w:r w:rsidR="004A387E" w:rsidRPr="008A64C8">
        <w:rPr>
          <w:rStyle w:val="FootnoteReference"/>
          <w:lang w:val="fr-CA"/>
        </w:rPr>
        <w:footnoteReference w:id="2"/>
      </w:r>
      <w:r w:rsidR="005C00D4">
        <w:rPr>
          <w:lang w:val="fr-CA"/>
        </w:rPr>
        <w:t>.</w:t>
      </w:r>
    </w:p>
    <w:tbl>
      <w:tblPr>
        <w:tblW w:w="5000" w:type="pct"/>
        <w:tblLook w:val="0000" w:firstRow="0" w:lastRow="0" w:firstColumn="0" w:lastColumn="0" w:noHBand="0" w:noVBand="0"/>
      </w:tblPr>
      <w:tblGrid>
        <w:gridCol w:w="2967"/>
        <w:gridCol w:w="6393"/>
      </w:tblGrid>
      <w:tr w:rsidR="00897CD8" w:rsidRPr="00FA4ED2" w14:paraId="38807E09" w14:textId="77777777" w:rsidTr="00EE3005">
        <w:tc>
          <w:tcPr>
            <w:tcW w:w="1585" w:type="pct"/>
            <w:tcBorders>
              <w:top w:val="nil"/>
              <w:left w:val="nil"/>
              <w:bottom w:val="nil"/>
              <w:right w:val="nil"/>
            </w:tcBorders>
            <w:shd w:val="clear" w:color="auto" w:fill="auto"/>
          </w:tcPr>
          <w:p w14:paraId="1AF9BB25" w14:textId="0B4B4F6E" w:rsidR="0057567C" w:rsidRPr="00FA4ED2" w:rsidRDefault="00DD0E06" w:rsidP="003F6C0E">
            <w:pPr>
              <w:autoSpaceDE w:val="0"/>
              <w:autoSpaceDN w:val="0"/>
              <w:adjustRightInd w:val="0"/>
              <w:jc w:val="left"/>
              <w:rPr>
                <w:rFonts w:eastAsia="Times New Roman" w:cs="Times New Roman"/>
                <w:b/>
                <w:u w:val="single"/>
                <w:lang w:val="fr-CA" w:eastAsia="ja-JP"/>
              </w:rPr>
            </w:pPr>
            <w:r w:rsidRPr="00FA4ED2">
              <w:rPr>
                <w:rFonts w:eastAsia="Times New Roman" w:cs="Times New Roman"/>
                <w:b/>
                <w:u w:val="single"/>
                <w:lang w:val="fr-CA" w:eastAsia="ja-JP"/>
              </w:rPr>
              <w:t>Modalités du placement</w:t>
            </w:r>
          </w:p>
        </w:tc>
        <w:tc>
          <w:tcPr>
            <w:tcW w:w="3415" w:type="pct"/>
            <w:tcBorders>
              <w:top w:val="nil"/>
              <w:left w:val="nil"/>
              <w:bottom w:val="nil"/>
              <w:right w:val="nil"/>
            </w:tcBorders>
            <w:shd w:val="clear" w:color="auto" w:fill="FFFFFF"/>
          </w:tcPr>
          <w:p w14:paraId="798D303D" w14:textId="77777777" w:rsidR="0057567C" w:rsidRPr="00FA4ED2" w:rsidRDefault="0057567C" w:rsidP="003F6C0E">
            <w:pPr>
              <w:tabs>
                <w:tab w:val="left" w:pos="432"/>
              </w:tabs>
              <w:suppressAutoHyphens/>
              <w:autoSpaceDE w:val="0"/>
              <w:autoSpaceDN w:val="0"/>
              <w:adjustRightInd w:val="0"/>
              <w:spacing w:after="240"/>
              <w:rPr>
                <w:rFonts w:eastAsia="Times New Roman" w:cs="Times New Roman"/>
                <w:lang w:val="fr-CA" w:eastAsia="ja-JP"/>
              </w:rPr>
            </w:pPr>
          </w:p>
        </w:tc>
      </w:tr>
      <w:tr w:rsidR="00897CD8" w:rsidRPr="008E00AC" w14:paraId="20B0D6E3" w14:textId="77777777" w:rsidTr="00EE3005">
        <w:tc>
          <w:tcPr>
            <w:tcW w:w="1585" w:type="pct"/>
            <w:tcBorders>
              <w:top w:val="nil"/>
              <w:left w:val="nil"/>
              <w:bottom w:val="nil"/>
              <w:right w:val="nil"/>
            </w:tcBorders>
            <w:shd w:val="clear" w:color="auto" w:fill="auto"/>
          </w:tcPr>
          <w:p w14:paraId="346FEC12" w14:textId="2E568D9A" w:rsidR="0057567C" w:rsidRPr="00FA4ED2" w:rsidRDefault="00D52D34" w:rsidP="003F6C0E">
            <w:pPr>
              <w:tabs>
                <w:tab w:val="left" w:pos="432"/>
              </w:tabs>
              <w:suppressAutoHyphens/>
              <w:autoSpaceDE w:val="0"/>
              <w:autoSpaceDN w:val="0"/>
              <w:adjustRightInd w:val="0"/>
              <w:spacing w:after="240"/>
              <w:jc w:val="left"/>
              <w:rPr>
                <w:rFonts w:eastAsia="Times New Roman" w:cs="Times New Roman"/>
                <w:i/>
                <w:iCs/>
                <w:lang w:val="fr-CA" w:eastAsia="ja-JP"/>
              </w:rPr>
            </w:pPr>
            <w:r w:rsidRPr="00FA4ED2">
              <w:rPr>
                <w:rFonts w:eastAsia="Times New Roman" w:cs="Times New Roman"/>
                <w:i/>
                <w:iCs/>
                <w:lang w:val="fr-CA" w:eastAsia="ja-JP"/>
              </w:rPr>
              <w:t>Titre</w:t>
            </w:r>
            <w:r w:rsidR="004A387E" w:rsidRPr="00FA4ED2">
              <w:rPr>
                <w:rFonts w:eastAsia="Times New Roman" w:cs="Times New Roman"/>
                <w:i/>
                <w:iCs/>
                <w:lang w:val="fr-CA" w:eastAsia="ja-JP"/>
              </w:rPr>
              <w:t> </w:t>
            </w:r>
            <w:r w:rsidR="00DD0E06" w:rsidRPr="00FA4ED2">
              <w:rPr>
                <w:rFonts w:eastAsia="Times New Roman" w:cs="Times New Roman"/>
                <w:i/>
                <w:iCs/>
                <w:lang w:val="fr-CA" w:eastAsia="ja-JP"/>
              </w:rPr>
              <w:t>:</w:t>
            </w:r>
          </w:p>
        </w:tc>
        <w:tc>
          <w:tcPr>
            <w:tcW w:w="3415" w:type="pct"/>
            <w:tcBorders>
              <w:top w:val="nil"/>
              <w:left w:val="nil"/>
              <w:bottom w:val="nil"/>
              <w:right w:val="nil"/>
            </w:tcBorders>
            <w:shd w:val="clear" w:color="auto" w:fill="FFFFFF"/>
          </w:tcPr>
          <w:p w14:paraId="44C04F59" w14:textId="7DF16AA1" w:rsidR="0057567C" w:rsidRPr="00FA4ED2" w:rsidRDefault="00DD0E06" w:rsidP="003A301D">
            <w:pPr>
              <w:tabs>
                <w:tab w:val="left" w:pos="432"/>
              </w:tabs>
              <w:suppressAutoHyphens/>
              <w:autoSpaceDE w:val="0"/>
              <w:autoSpaceDN w:val="0"/>
              <w:adjustRightInd w:val="0"/>
              <w:spacing w:after="240"/>
              <w:rPr>
                <w:rFonts w:eastAsia="Times New Roman" w:cs="Times New Roman"/>
                <w:lang w:val="fr-CA" w:eastAsia="ja-JP"/>
              </w:rPr>
            </w:pPr>
            <w:r w:rsidRPr="00FA4ED2">
              <w:rPr>
                <w:rFonts w:eastAsia="Times New Roman" w:cs="Times New Roman"/>
                <w:lang w:val="fr-CA" w:eastAsia="ja-JP"/>
              </w:rPr>
              <w:t xml:space="preserve">Actions privilégiées de </w:t>
            </w:r>
            <w:r w:rsidR="002D3F68">
              <w:rPr>
                <w:rFonts w:eastAsia="Times New Roman" w:cs="Times New Roman"/>
                <w:lang w:val="fr-CA" w:eastAsia="ja-JP"/>
              </w:rPr>
              <w:t>catégorie A</w:t>
            </w:r>
            <w:r w:rsidRPr="00FA4ED2">
              <w:rPr>
                <w:rFonts w:eastAsia="Times New Roman" w:cs="Times New Roman"/>
                <w:lang w:val="fr-CA" w:eastAsia="ja-JP"/>
              </w:rPr>
              <w:t xml:space="preserve"> (les « </w:t>
            </w:r>
            <w:r w:rsidR="004A387E" w:rsidRPr="00FA4ED2">
              <w:rPr>
                <w:rFonts w:eastAsia="Times New Roman" w:cs="Times New Roman"/>
                <w:b/>
                <w:bCs/>
                <w:lang w:val="fr-CA" w:eastAsia="ja-JP"/>
              </w:rPr>
              <w:t>A</w:t>
            </w:r>
            <w:r w:rsidRPr="00FA4ED2">
              <w:rPr>
                <w:rFonts w:eastAsia="Times New Roman" w:cs="Times New Roman"/>
                <w:b/>
                <w:bCs/>
                <w:lang w:val="fr-CA" w:eastAsia="ja-JP"/>
              </w:rPr>
              <w:t xml:space="preserve">ctions privilégiées de </w:t>
            </w:r>
            <w:r w:rsidR="002D3F68">
              <w:rPr>
                <w:rFonts w:eastAsia="Times New Roman" w:cs="Times New Roman"/>
                <w:b/>
                <w:bCs/>
                <w:lang w:val="fr-CA" w:eastAsia="ja-JP"/>
              </w:rPr>
              <w:t>catégorie A</w:t>
            </w:r>
            <w:r w:rsidRPr="00FA4ED2">
              <w:rPr>
                <w:rFonts w:eastAsia="Times New Roman" w:cs="Times New Roman"/>
                <w:lang w:val="fr-CA" w:eastAsia="ja-JP"/>
              </w:rPr>
              <w:t> »).</w:t>
            </w:r>
          </w:p>
        </w:tc>
      </w:tr>
      <w:tr w:rsidR="00897CD8" w:rsidRPr="00FA4ED2" w14:paraId="5B7CAA34" w14:textId="77777777" w:rsidTr="00EE3005">
        <w:tc>
          <w:tcPr>
            <w:tcW w:w="1585" w:type="pct"/>
            <w:tcBorders>
              <w:top w:val="nil"/>
              <w:left w:val="nil"/>
              <w:bottom w:val="nil"/>
              <w:right w:val="nil"/>
            </w:tcBorders>
            <w:shd w:val="clear" w:color="auto" w:fill="auto"/>
          </w:tcPr>
          <w:p w14:paraId="3B3075DE" w14:textId="5A59491E" w:rsidR="0057567C" w:rsidRPr="00FA4ED2" w:rsidRDefault="004A387E" w:rsidP="003F6C0E">
            <w:pPr>
              <w:tabs>
                <w:tab w:val="left" w:pos="432"/>
              </w:tabs>
              <w:suppressAutoHyphens/>
              <w:autoSpaceDE w:val="0"/>
              <w:autoSpaceDN w:val="0"/>
              <w:adjustRightInd w:val="0"/>
              <w:spacing w:after="240"/>
              <w:jc w:val="left"/>
              <w:rPr>
                <w:rFonts w:eastAsia="Times New Roman" w:cs="Times New Roman"/>
                <w:i/>
                <w:iCs/>
                <w:lang w:val="fr-CA" w:eastAsia="ja-JP"/>
              </w:rPr>
            </w:pPr>
            <w:r w:rsidRPr="00FA4ED2">
              <w:rPr>
                <w:rFonts w:eastAsia="Times New Roman" w:cs="Times New Roman"/>
                <w:i/>
                <w:iCs/>
                <w:lang w:val="fr-CA" w:eastAsia="ja-JP"/>
              </w:rPr>
              <w:br w:type="page"/>
            </w:r>
            <w:r w:rsidR="00DD0E06" w:rsidRPr="00FA4ED2">
              <w:rPr>
                <w:rFonts w:eastAsia="Times New Roman" w:cs="Times New Roman"/>
                <w:i/>
                <w:iCs/>
                <w:lang w:val="fr-CA" w:eastAsia="ja-JP"/>
              </w:rPr>
              <w:t xml:space="preserve">Date de </w:t>
            </w:r>
            <w:r w:rsidR="005A6B51" w:rsidRPr="00FA4ED2">
              <w:rPr>
                <w:rFonts w:eastAsia="Times New Roman" w:cs="Times New Roman"/>
                <w:i/>
                <w:iCs/>
                <w:lang w:val="fr-CA" w:eastAsia="ja-JP"/>
              </w:rPr>
              <w:t>cl</w:t>
            </w:r>
            <w:r w:rsidR="00266410" w:rsidRPr="00FA4ED2">
              <w:rPr>
                <w:rFonts w:eastAsia="Times New Roman" w:cs="Times New Roman"/>
                <w:i/>
                <w:iCs/>
                <w:lang w:val="fr-CA" w:eastAsia="ja-JP"/>
              </w:rPr>
              <w:t>ô</w:t>
            </w:r>
            <w:r w:rsidR="005A6B51" w:rsidRPr="00FA4ED2">
              <w:rPr>
                <w:rFonts w:eastAsia="Times New Roman" w:cs="Times New Roman"/>
                <w:i/>
                <w:iCs/>
                <w:lang w:val="fr-CA" w:eastAsia="ja-JP"/>
              </w:rPr>
              <w:t>ture </w:t>
            </w:r>
            <w:r w:rsidR="00DD0E06" w:rsidRPr="00FA4ED2">
              <w:rPr>
                <w:rFonts w:eastAsia="Times New Roman" w:cs="Times New Roman"/>
                <w:i/>
                <w:iCs/>
                <w:lang w:val="fr-CA" w:eastAsia="ja-JP"/>
              </w:rPr>
              <w:t>:</w:t>
            </w:r>
          </w:p>
        </w:tc>
        <w:tc>
          <w:tcPr>
            <w:tcW w:w="3415" w:type="pct"/>
            <w:tcBorders>
              <w:top w:val="nil"/>
              <w:left w:val="nil"/>
              <w:bottom w:val="nil"/>
              <w:right w:val="nil"/>
            </w:tcBorders>
            <w:shd w:val="clear" w:color="auto" w:fill="FFFFFF"/>
          </w:tcPr>
          <w:p w14:paraId="4D26905A" w14:textId="5FBEE1ED" w:rsidR="0057567C" w:rsidRPr="00FA4ED2" w:rsidRDefault="00DD0E06" w:rsidP="003F6C0E">
            <w:pPr>
              <w:tabs>
                <w:tab w:val="left" w:pos="432"/>
              </w:tabs>
              <w:suppressAutoHyphens/>
              <w:autoSpaceDE w:val="0"/>
              <w:autoSpaceDN w:val="0"/>
              <w:adjustRightInd w:val="0"/>
              <w:spacing w:after="240"/>
              <w:rPr>
                <w:rFonts w:eastAsia="Times New Roman" w:cs="Times New Roman"/>
                <w:lang w:val="fr-CA" w:eastAsia="ja-JP"/>
              </w:rPr>
            </w:pPr>
            <w:r w:rsidRPr="00FA4ED2">
              <w:rPr>
                <w:rFonts w:eastAsia="Times New Roman" w:cs="Times New Roman"/>
                <w:lang w:val="fr-CA" w:eastAsia="ja-JP"/>
              </w:rPr>
              <w:t>Dès que possible après l</w:t>
            </w:r>
            <w:r w:rsidR="00CC4D89">
              <w:rPr>
                <w:rFonts w:eastAsia="Times New Roman" w:cs="Times New Roman"/>
                <w:lang w:val="fr-CA" w:eastAsia="ja-JP"/>
              </w:rPr>
              <w:t>’</w:t>
            </w:r>
            <w:r w:rsidRPr="00FA4ED2">
              <w:rPr>
                <w:rFonts w:eastAsia="Times New Roman" w:cs="Times New Roman"/>
                <w:lang w:val="fr-CA" w:eastAsia="ja-JP"/>
              </w:rPr>
              <w:t xml:space="preserve">acceptation par la Société du présent </w:t>
            </w:r>
            <w:r w:rsidR="005C00D4" w:rsidRPr="00FA4ED2">
              <w:rPr>
                <w:rFonts w:eastAsia="Times New Roman" w:cs="Times New Roman"/>
                <w:lang w:val="fr-CA" w:eastAsia="ja-JP"/>
              </w:rPr>
              <w:t>S</w:t>
            </w:r>
            <w:r w:rsidRPr="00FA4ED2">
              <w:rPr>
                <w:rFonts w:eastAsia="Times New Roman" w:cs="Times New Roman"/>
                <w:lang w:val="fr-CA" w:eastAsia="ja-JP"/>
              </w:rPr>
              <w:t xml:space="preserve">ommaire des modalités et le respect des conditions </w:t>
            </w:r>
            <w:r w:rsidR="00D52D34" w:rsidRPr="00FA4ED2">
              <w:rPr>
                <w:rFonts w:eastAsia="Times New Roman" w:cs="Times New Roman"/>
                <w:lang w:val="fr-CA" w:eastAsia="ja-JP"/>
              </w:rPr>
              <w:t>de</w:t>
            </w:r>
            <w:r w:rsidRPr="00FA4ED2">
              <w:rPr>
                <w:rFonts w:eastAsia="Times New Roman" w:cs="Times New Roman"/>
                <w:lang w:val="fr-CA" w:eastAsia="ja-JP"/>
              </w:rPr>
              <w:t xml:space="preserve"> clôture (la « </w:t>
            </w:r>
            <w:r w:rsidRPr="00FA4ED2">
              <w:rPr>
                <w:rFonts w:eastAsia="Times New Roman" w:cs="Times New Roman"/>
                <w:b/>
                <w:bCs/>
                <w:lang w:val="fr-CA" w:eastAsia="ja-JP"/>
              </w:rPr>
              <w:t>Clôture</w:t>
            </w:r>
            <w:r w:rsidRPr="00FA4ED2">
              <w:rPr>
                <w:rFonts w:eastAsia="Times New Roman" w:cs="Times New Roman"/>
                <w:lang w:val="fr-CA" w:eastAsia="ja-JP"/>
              </w:rPr>
              <w:t> »).</w:t>
            </w:r>
            <w:r w:rsidR="004A387E" w:rsidRPr="00FA4ED2">
              <w:rPr>
                <w:rFonts w:eastAsia="Times New Roman" w:cs="Times New Roman"/>
                <w:lang w:val="fr-CA" w:eastAsia="ja-JP"/>
              </w:rPr>
              <w:t xml:space="preserve"> </w:t>
            </w:r>
            <w:r w:rsidRPr="00FA4ED2">
              <w:rPr>
                <w:rFonts w:eastAsia="Times New Roman" w:cs="Times New Roman"/>
                <w:lang w:val="fr-CA" w:eastAsia="ja-JP"/>
              </w:rPr>
              <w:t>[</w:t>
            </w:r>
            <w:r w:rsidRPr="00FA4ED2">
              <w:rPr>
                <w:rFonts w:eastAsia="Times New Roman" w:cs="Times New Roman"/>
                <w:i/>
                <w:iCs/>
                <w:lang w:val="fr-CA" w:eastAsia="ja-JP"/>
              </w:rPr>
              <w:t xml:space="preserve">prévoir des clôtures multiples, </w:t>
            </w:r>
            <w:r w:rsidR="008829C5" w:rsidRPr="00FA4ED2">
              <w:rPr>
                <w:rFonts w:eastAsia="Times New Roman" w:cs="Times New Roman"/>
                <w:i/>
                <w:iCs/>
                <w:lang w:val="fr-CA" w:eastAsia="ja-JP"/>
              </w:rPr>
              <w:t>s</w:t>
            </w:r>
            <w:r w:rsidR="00CC4D89">
              <w:rPr>
                <w:rFonts w:eastAsia="Times New Roman" w:cs="Times New Roman"/>
                <w:i/>
                <w:iCs/>
                <w:lang w:val="fr-CA" w:eastAsia="ja-JP"/>
              </w:rPr>
              <w:t>’</w:t>
            </w:r>
            <w:r w:rsidR="008829C5" w:rsidRPr="00FA4ED2">
              <w:rPr>
                <w:rFonts w:eastAsia="Times New Roman" w:cs="Times New Roman"/>
                <w:i/>
                <w:iCs/>
                <w:lang w:val="fr-CA" w:eastAsia="ja-JP"/>
              </w:rPr>
              <w:t>il y a lieu</w:t>
            </w:r>
            <w:r w:rsidRPr="00FA4ED2">
              <w:rPr>
                <w:rFonts w:eastAsia="Times New Roman" w:cs="Times New Roman"/>
                <w:lang w:val="fr-CA" w:eastAsia="ja-JP"/>
              </w:rPr>
              <w:t>]</w:t>
            </w:r>
          </w:p>
        </w:tc>
      </w:tr>
      <w:tr w:rsidR="00897CD8" w:rsidRPr="008E00AC" w14:paraId="523DDE36" w14:textId="77777777" w:rsidTr="00EE3005">
        <w:tc>
          <w:tcPr>
            <w:tcW w:w="1585" w:type="pct"/>
            <w:tcBorders>
              <w:top w:val="nil"/>
              <w:left w:val="nil"/>
              <w:bottom w:val="nil"/>
              <w:right w:val="nil"/>
            </w:tcBorders>
            <w:shd w:val="clear" w:color="auto" w:fill="auto"/>
          </w:tcPr>
          <w:p w14:paraId="589A811A" w14:textId="30C21C2D" w:rsidR="0057567C" w:rsidRPr="00FA4ED2" w:rsidRDefault="00DD0E06" w:rsidP="003F6C0E">
            <w:pPr>
              <w:tabs>
                <w:tab w:val="left" w:pos="432"/>
              </w:tabs>
              <w:suppressAutoHyphens/>
              <w:autoSpaceDE w:val="0"/>
              <w:autoSpaceDN w:val="0"/>
              <w:adjustRightInd w:val="0"/>
              <w:spacing w:after="240"/>
              <w:jc w:val="left"/>
              <w:rPr>
                <w:rFonts w:eastAsia="Times New Roman" w:cs="Times New Roman"/>
                <w:i/>
                <w:lang w:val="fr-CA" w:eastAsia="ja-JP"/>
              </w:rPr>
            </w:pPr>
            <w:r w:rsidRPr="00FA4ED2">
              <w:rPr>
                <w:rFonts w:eastAsia="Times New Roman" w:cs="Times New Roman"/>
                <w:i/>
                <w:lang w:val="fr-CA" w:eastAsia="ja-JP"/>
              </w:rPr>
              <w:t xml:space="preserve">Conditions </w:t>
            </w:r>
            <w:r w:rsidR="004A387E" w:rsidRPr="00FA4ED2">
              <w:rPr>
                <w:rFonts w:eastAsia="Times New Roman" w:cs="Times New Roman"/>
                <w:i/>
                <w:lang w:val="fr-CA" w:eastAsia="ja-JP"/>
              </w:rPr>
              <w:t>de</w:t>
            </w:r>
            <w:r w:rsidRPr="00FA4ED2">
              <w:rPr>
                <w:rFonts w:eastAsia="Times New Roman" w:cs="Times New Roman"/>
                <w:i/>
                <w:lang w:val="fr-CA" w:eastAsia="ja-JP"/>
              </w:rPr>
              <w:t xml:space="preserve"> clôture :</w:t>
            </w:r>
          </w:p>
        </w:tc>
        <w:tc>
          <w:tcPr>
            <w:tcW w:w="3415" w:type="pct"/>
            <w:tcBorders>
              <w:top w:val="nil"/>
              <w:left w:val="nil"/>
              <w:bottom w:val="nil"/>
              <w:right w:val="nil"/>
            </w:tcBorders>
            <w:shd w:val="clear" w:color="auto" w:fill="FFFFFF"/>
          </w:tcPr>
          <w:p w14:paraId="3A57B815" w14:textId="0DF2A402" w:rsidR="0057567C" w:rsidRPr="00FA4ED2" w:rsidRDefault="00DD0E06" w:rsidP="000D7192">
            <w:pPr>
              <w:tabs>
                <w:tab w:val="left" w:pos="432"/>
              </w:tabs>
              <w:suppressAutoHyphens/>
              <w:autoSpaceDE w:val="0"/>
              <w:autoSpaceDN w:val="0"/>
              <w:adjustRightInd w:val="0"/>
              <w:spacing w:after="240"/>
              <w:rPr>
                <w:rFonts w:eastAsia="Times New Roman" w:cs="Times New Roman"/>
                <w:lang w:val="fr-CA" w:eastAsia="ja-JP"/>
              </w:rPr>
            </w:pPr>
            <w:r w:rsidRPr="00FA4ED2">
              <w:rPr>
                <w:rFonts w:eastAsia="Times New Roman" w:cs="Times New Roman"/>
                <w:lang w:val="fr-CA" w:eastAsia="ja-JP"/>
              </w:rPr>
              <w:t xml:space="preserve">Conditions </w:t>
            </w:r>
            <w:r w:rsidR="004A387E" w:rsidRPr="00FA4ED2">
              <w:rPr>
                <w:rFonts w:eastAsia="Times New Roman" w:cs="Times New Roman"/>
                <w:lang w:val="fr-CA" w:eastAsia="ja-JP"/>
              </w:rPr>
              <w:t>de</w:t>
            </w:r>
            <w:r w:rsidRPr="00FA4ED2">
              <w:rPr>
                <w:rFonts w:eastAsia="Times New Roman" w:cs="Times New Roman"/>
                <w:lang w:val="fr-CA" w:eastAsia="ja-JP"/>
              </w:rPr>
              <w:t xml:space="preserve"> clôture</w:t>
            </w:r>
            <w:r w:rsidR="004A387E" w:rsidRPr="00FA4ED2">
              <w:rPr>
                <w:rFonts w:eastAsia="Times New Roman" w:cs="Times New Roman"/>
                <w:lang w:val="fr-CA" w:eastAsia="ja-JP"/>
              </w:rPr>
              <w:t xml:space="preserve"> standard</w:t>
            </w:r>
            <w:r w:rsidRPr="00FA4ED2">
              <w:rPr>
                <w:rFonts w:eastAsia="Times New Roman" w:cs="Times New Roman"/>
                <w:lang w:val="fr-CA" w:eastAsia="ja-JP"/>
              </w:rPr>
              <w:t xml:space="preserve">, notamment </w:t>
            </w:r>
            <w:r w:rsidR="002C2191" w:rsidRPr="00FA4ED2">
              <w:rPr>
                <w:rFonts w:eastAsia="Times New Roman" w:cs="Times New Roman"/>
                <w:lang w:val="fr-CA" w:eastAsia="ja-JP"/>
              </w:rPr>
              <w:t>la réalisation d</w:t>
            </w:r>
            <w:r w:rsidR="00CC4D89">
              <w:rPr>
                <w:rFonts w:eastAsia="Times New Roman" w:cs="Times New Roman"/>
                <w:lang w:val="fr-CA" w:eastAsia="ja-JP"/>
              </w:rPr>
              <w:t>’</w:t>
            </w:r>
            <w:r w:rsidR="00266410" w:rsidRPr="00FA4ED2">
              <w:rPr>
                <w:rFonts w:eastAsia="Times New Roman" w:cs="Times New Roman"/>
                <w:lang w:val="fr-CA" w:eastAsia="ja-JP"/>
              </w:rPr>
              <w:t>une</w:t>
            </w:r>
            <w:r w:rsidR="002C2191" w:rsidRPr="00FA4ED2">
              <w:rPr>
                <w:rFonts w:eastAsia="Times New Roman" w:cs="Times New Roman"/>
                <w:lang w:val="fr-CA" w:eastAsia="ja-JP"/>
              </w:rPr>
              <w:t xml:space="preserve"> manière satisfaisante d</w:t>
            </w:r>
            <w:r w:rsidR="00CC4D89">
              <w:rPr>
                <w:rFonts w:eastAsia="Times New Roman" w:cs="Times New Roman"/>
                <w:lang w:val="fr-CA" w:eastAsia="ja-JP"/>
              </w:rPr>
              <w:t>’</w:t>
            </w:r>
            <w:r w:rsidRPr="00FA4ED2">
              <w:rPr>
                <w:rFonts w:eastAsia="Times New Roman" w:cs="Times New Roman"/>
                <w:lang w:val="fr-CA" w:eastAsia="ja-JP"/>
              </w:rPr>
              <w:t>un</w:t>
            </w:r>
            <w:r w:rsidR="00F45968">
              <w:rPr>
                <w:rFonts w:eastAsia="Times New Roman" w:cs="Times New Roman"/>
                <w:lang w:val="fr-CA" w:eastAsia="ja-JP"/>
              </w:rPr>
              <w:t>e vérification</w:t>
            </w:r>
            <w:r w:rsidRPr="00FA4ED2">
              <w:rPr>
                <w:rFonts w:eastAsia="Times New Roman" w:cs="Times New Roman"/>
                <w:lang w:val="fr-CA" w:eastAsia="ja-JP"/>
              </w:rPr>
              <w:t>diligent</w:t>
            </w:r>
            <w:r w:rsidR="00F45968">
              <w:rPr>
                <w:rFonts w:eastAsia="Times New Roman" w:cs="Times New Roman"/>
                <w:lang w:val="fr-CA" w:eastAsia="ja-JP"/>
              </w:rPr>
              <w:t>e</w:t>
            </w:r>
            <w:r w:rsidRPr="00FA4ED2">
              <w:rPr>
                <w:rFonts w:eastAsia="Times New Roman" w:cs="Times New Roman"/>
                <w:lang w:val="fr-CA" w:eastAsia="ja-JP"/>
              </w:rPr>
              <w:t xml:space="preserve"> financi</w:t>
            </w:r>
            <w:r w:rsidR="00F45968">
              <w:rPr>
                <w:rFonts w:eastAsia="Times New Roman" w:cs="Times New Roman"/>
                <w:lang w:val="fr-CA" w:eastAsia="ja-JP"/>
              </w:rPr>
              <w:t>ère</w:t>
            </w:r>
            <w:r w:rsidRPr="00FA4ED2">
              <w:rPr>
                <w:rFonts w:eastAsia="Times New Roman" w:cs="Times New Roman"/>
                <w:lang w:val="fr-CA" w:eastAsia="ja-JP"/>
              </w:rPr>
              <w:t xml:space="preserve"> et juridique, l</w:t>
            </w:r>
            <w:r w:rsidR="00CC4D89">
              <w:rPr>
                <w:rFonts w:eastAsia="Times New Roman" w:cs="Times New Roman"/>
                <w:lang w:val="fr-CA" w:eastAsia="ja-JP"/>
              </w:rPr>
              <w:t>’</w:t>
            </w:r>
            <w:r w:rsidRPr="00FA4ED2">
              <w:rPr>
                <w:rFonts w:eastAsia="Times New Roman" w:cs="Times New Roman"/>
                <w:lang w:val="fr-CA" w:eastAsia="ja-JP"/>
              </w:rPr>
              <w:t xml:space="preserve">admissibilité des actions aux termes des lois sur les valeurs mobilières applicables, le dépôt de clauses modificatrices établissant les droits et les </w:t>
            </w:r>
            <w:r w:rsidR="004A387E" w:rsidRPr="00FA4ED2">
              <w:rPr>
                <w:rFonts w:eastAsia="Times New Roman" w:cs="Times New Roman"/>
                <w:lang w:val="fr-CA" w:eastAsia="ja-JP"/>
              </w:rPr>
              <w:t>priorités</w:t>
            </w:r>
            <w:r w:rsidRPr="00FA4ED2">
              <w:rPr>
                <w:rFonts w:eastAsia="Times New Roman" w:cs="Times New Roman"/>
                <w:lang w:val="fr-CA" w:eastAsia="ja-JP"/>
              </w:rPr>
              <w:t xml:space="preserve"> </w:t>
            </w:r>
            <w:r w:rsidR="003A6F92" w:rsidRPr="00FA4ED2">
              <w:rPr>
                <w:rFonts w:eastAsia="Times New Roman" w:cs="Times New Roman"/>
                <w:lang w:val="fr-CA" w:eastAsia="ja-JP"/>
              </w:rPr>
              <w:t>conférés par les</w:t>
            </w:r>
            <w:r w:rsidRPr="00FA4ED2">
              <w:rPr>
                <w:rFonts w:eastAsia="Times New Roman" w:cs="Times New Roman"/>
                <w:lang w:val="fr-CA" w:eastAsia="ja-JP"/>
              </w:rPr>
              <w:t xml:space="preserve"> Actions privilégiées de </w:t>
            </w:r>
            <w:r w:rsidR="002D3F68">
              <w:rPr>
                <w:rFonts w:eastAsia="Times New Roman" w:cs="Times New Roman"/>
                <w:lang w:val="fr-CA" w:eastAsia="ja-JP"/>
              </w:rPr>
              <w:t>catégorie A</w:t>
            </w:r>
            <w:r w:rsidRPr="00FA4ED2">
              <w:rPr>
                <w:rFonts w:eastAsia="Times New Roman" w:cs="Times New Roman"/>
                <w:lang w:val="fr-CA" w:eastAsia="ja-JP"/>
              </w:rPr>
              <w:t xml:space="preserve"> [et un avis des conseillers juridiques de la Société]</w:t>
            </w:r>
            <w:r w:rsidR="004A387E" w:rsidRPr="008A64C8">
              <w:rPr>
                <w:rFonts w:eastAsia="Times New Roman" w:cs="Times New Roman"/>
                <w:sz w:val="20"/>
                <w:vertAlign w:val="superscript"/>
                <w:lang w:val="fr-CA" w:eastAsia="ja-JP"/>
              </w:rPr>
              <w:footnoteReference w:id="3"/>
            </w:r>
            <w:r w:rsidR="005C00D4" w:rsidRPr="00FA4ED2">
              <w:rPr>
                <w:rFonts w:eastAsia="Times New Roman" w:cs="Times New Roman"/>
                <w:lang w:val="fr-CA" w:eastAsia="ja-JP"/>
              </w:rPr>
              <w:t>.</w:t>
            </w:r>
          </w:p>
        </w:tc>
      </w:tr>
      <w:tr w:rsidR="00897CD8" w:rsidRPr="008E00AC" w14:paraId="4A61D46B" w14:textId="77777777" w:rsidTr="00EE3005">
        <w:tc>
          <w:tcPr>
            <w:tcW w:w="1585" w:type="pct"/>
            <w:tcBorders>
              <w:top w:val="nil"/>
              <w:left w:val="nil"/>
              <w:bottom w:val="nil"/>
              <w:right w:val="nil"/>
            </w:tcBorders>
            <w:shd w:val="clear" w:color="auto" w:fill="auto"/>
          </w:tcPr>
          <w:p w14:paraId="2A829CA1" w14:textId="5994636D" w:rsidR="0057567C" w:rsidRPr="00FA4ED2" w:rsidRDefault="00DD0E06" w:rsidP="003F6C0E">
            <w:pPr>
              <w:tabs>
                <w:tab w:val="left" w:pos="432"/>
              </w:tabs>
              <w:suppressAutoHyphens/>
              <w:autoSpaceDE w:val="0"/>
              <w:autoSpaceDN w:val="0"/>
              <w:adjustRightInd w:val="0"/>
              <w:spacing w:after="240"/>
              <w:jc w:val="left"/>
              <w:rPr>
                <w:rFonts w:eastAsia="Times New Roman" w:cs="Times New Roman"/>
                <w:i/>
                <w:iCs/>
                <w:lang w:val="fr-CA" w:eastAsia="ja-JP"/>
              </w:rPr>
            </w:pPr>
            <w:r w:rsidRPr="00FA4ED2">
              <w:rPr>
                <w:rFonts w:eastAsia="Times New Roman" w:cs="Times New Roman"/>
                <w:i/>
                <w:iCs/>
                <w:lang w:val="fr-CA" w:eastAsia="ja-JP"/>
              </w:rPr>
              <w:t>Investisseurs</w:t>
            </w:r>
            <w:r w:rsidR="001D138B" w:rsidRPr="00FA4ED2">
              <w:rPr>
                <w:rFonts w:eastAsia="Times New Roman" w:cs="Times New Roman"/>
                <w:i/>
                <w:iCs/>
                <w:lang w:val="fr-CA" w:eastAsia="ja-JP"/>
              </w:rPr>
              <w:t> </w:t>
            </w:r>
            <w:r w:rsidRPr="00FA4ED2">
              <w:rPr>
                <w:rFonts w:eastAsia="Times New Roman" w:cs="Times New Roman"/>
                <w:i/>
                <w:iCs/>
                <w:lang w:val="fr-CA" w:eastAsia="ja-JP"/>
              </w:rPr>
              <w:t>:</w:t>
            </w:r>
          </w:p>
        </w:tc>
        <w:tc>
          <w:tcPr>
            <w:tcW w:w="3415" w:type="pct"/>
            <w:tcBorders>
              <w:top w:val="nil"/>
              <w:left w:val="nil"/>
              <w:bottom w:val="nil"/>
              <w:right w:val="nil"/>
            </w:tcBorders>
            <w:shd w:val="clear" w:color="auto" w:fill="FFFFFF"/>
          </w:tcPr>
          <w:p w14:paraId="6FBF8C40" w14:textId="610B8134" w:rsidR="0057567C" w:rsidRPr="00FA4ED2" w:rsidRDefault="00D52D34" w:rsidP="00C41F08">
            <w:pPr>
              <w:tabs>
                <w:tab w:val="left" w:pos="432"/>
              </w:tabs>
              <w:suppressAutoHyphens/>
              <w:autoSpaceDE w:val="0"/>
              <w:autoSpaceDN w:val="0"/>
              <w:adjustRightInd w:val="0"/>
              <w:spacing w:after="240"/>
              <w:jc w:val="left"/>
              <w:rPr>
                <w:rFonts w:eastAsia="Times New Roman" w:cs="Times New Roman"/>
                <w:lang w:val="fr-CA" w:eastAsia="ja-JP"/>
              </w:rPr>
            </w:pPr>
            <w:r w:rsidRPr="00FA4ED2">
              <w:rPr>
                <w:rFonts w:eastAsia="Times New Roman" w:cs="Times New Roman"/>
                <w:lang w:val="fr-CA" w:eastAsia="ja-JP"/>
              </w:rPr>
              <w:t xml:space="preserve">Premier </w:t>
            </w:r>
            <w:r w:rsidR="003A6F92" w:rsidRPr="00FA4ED2">
              <w:rPr>
                <w:rFonts w:eastAsia="Times New Roman" w:cs="Times New Roman"/>
                <w:lang w:val="fr-CA" w:eastAsia="ja-JP"/>
              </w:rPr>
              <w:t>i</w:t>
            </w:r>
            <w:r w:rsidR="00DD0E06" w:rsidRPr="00FA4ED2">
              <w:rPr>
                <w:rFonts w:eastAsia="Times New Roman" w:cs="Times New Roman"/>
                <w:lang w:val="fr-CA" w:eastAsia="ja-JP"/>
              </w:rPr>
              <w:t>nvestisseur</w:t>
            </w:r>
            <w:r w:rsidR="001D138B" w:rsidRPr="00FA4ED2">
              <w:rPr>
                <w:rFonts w:eastAsia="Times New Roman" w:cs="Times New Roman"/>
                <w:lang w:val="fr-CA" w:eastAsia="ja-JP"/>
              </w:rPr>
              <w:t> </w:t>
            </w:r>
            <w:r w:rsidR="00DD0E06" w:rsidRPr="00FA4ED2">
              <w:rPr>
                <w:rFonts w:eastAsia="Times New Roman" w:cs="Times New Roman"/>
                <w:lang w:val="fr-CA" w:eastAsia="ja-JP"/>
              </w:rPr>
              <w:t>: [_______]</w:t>
            </w:r>
            <w:r w:rsidR="00863E57">
              <w:rPr>
                <w:rFonts w:eastAsia="Times New Roman" w:cs="Times New Roman"/>
                <w:lang w:val="fr-CA" w:eastAsia="ja-JP"/>
              </w:rPr>
              <w:t> </w:t>
            </w:r>
            <w:r w:rsidR="00DD0E06" w:rsidRPr="00FA4ED2">
              <w:rPr>
                <w:rFonts w:eastAsia="Times New Roman" w:cs="Times New Roman"/>
                <w:lang w:val="fr-CA" w:eastAsia="ja-JP"/>
              </w:rPr>
              <w:t>actions ([__]</w:t>
            </w:r>
            <w:r w:rsidR="002D3F68">
              <w:rPr>
                <w:rFonts w:eastAsia="Times New Roman" w:cs="Times New Roman"/>
                <w:lang w:val="fr-CA" w:eastAsia="ja-JP"/>
              </w:rPr>
              <w:t> %</w:t>
            </w:r>
            <w:r w:rsidR="00DD0E06" w:rsidRPr="00FA4ED2">
              <w:rPr>
                <w:rFonts w:eastAsia="Times New Roman" w:cs="Times New Roman"/>
                <w:lang w:val="fr-CA" w:eastAsia="ja-JP"/>
              </w:rPr>
              <w:t>), [_________]</w:t>
            </w:r>
            <w:r w:rsidR="002D3F68">
              <w:rPr>
                <w:rFonts w:eastAsia="Times New Roman" w:cs="Times New Roman"/>
                <w:lang w:val="fr-CA" w:eastAsia="ja-JP"/>
              </w:rPr>
              <w:t> $</w:t>
            </w:r>
          </w:p>
          <w:p w14:paraId="22746332" w14:textId="74846F3A" w:rsidR="0057567C" w:rsidRPr="00FA4ED2" w:rsidRDefault="00D52D34" w:rsidP="00C41F08">
            <w:pPr>
              <w:tabs>
                <w:tab w:val="left" w:pos="432"/>
              </w:tabs>
              <w:suppressAutoHyphens/>
              <w:autoSpaceDE w:val="0"/>
              <w:autoSpaceDN w:val="0"/>
              <w:adjustRightInd w:val="0"/>
              <w:spacing w:after="240"/>
              <w:jc w:val="left"/>
              <w:rPr>
                <w:rFonts w:eastAsia="Times New Roman" w:cs="Times New Roman"/>
                <w:lang w:val="fr-CA" w:eastAsia="ja-JP"/>
              </w:rPr>
            </w:pPr>
            <w:r w:rsidRPr="00FA4ED2">
              <w:rPr>
                <w:rFonts w:eastAsia="Times New Roman" w:cs="Times New Roman"/>
                <w:lang w:val="fr-CA" w:eastAsia="ja-JP"/>
              </w:rPr>
              <w:t xml:space="preserve">Deuxième </w:t>
            </w:r>
            <w:r w:rsidR="003A6F92" w:rsidRPr="00FA4ED2">
              <w:rPr>
                <w:rFonts w:eastAsia="Times New Roman" w:cs="Times New Roman"/>
                <w:lang w:val="fr-CA" w:eastAsia="ja-JP"/>
              </w:rPr>
              <w:t>i</w:t>
            </w:r>
            <w:r w:rsidR="00DD0E06" w:rsidRPr="00FA4ED2">
              <w:rPr>
                <w:rFonts w:eastAsia="Times New Roman" w:cs="Times New Roman"/>
                <w:lang w:val="fr-CA" w:eastAsia="ja-JP"/>
              </w:rPr>
              <w:t>nvestisseur</w:t>
            </w:r>
            <w:r w:rsidR="001D138B" w:rsidRPr="00FA4ED2">
              <w:rPr>
                <w:rFonts w:eastAsia="Times New Roman" w:cs="Times New Roman"/>
                <w:lang w:val="fr-CA" w:eastAsia="ja-JP"/>
              </w:rPr>
              <w:t> </w:t>
            </w:r>
            <w:r w:rsidR="00DD0E06" w:rsidRPr="00FA4ED2">
              <w:rPr>
                <w:rFonts w:eastAsia="Times New Roman" w:cs="Times New Roman"/>
                <w:lang w:val="fr-CA" w:eastAsia="ja-JP"/>
              </w:rPr>
              <w:t>: [_______]</w:t>
            </w:r>
            <w:r w:rsidR="00863E57">
              <w:rPr>
                <w:rFonts w:eastAsia="Times New Roman" w:cs="Times New Roman"/>
                <w:lang w:val="fr-CA" w:eastAsia="ja-JP"/>
              </w:rPr>
              <w:t> </w:t>
            </w:r>
            <w:r w:rsidR="00DD0E06" w:rsidRPr="00FA4ED2">
              <w:rPr>
                <w:rFonts w:eastAsia="Times New Roman" w:cs="Times New Roman"/>
                <w:lang w:val="fr-CA" w:eastAsia="ja-JP"/>
              </w:rPr>
              <w:t>actions ([__]</w:t>
            </w:r>
            <w:r w:rsidR="002D3F68">
              <w:rPr>
                <w:rFonts w:eastAsia="Times New Roman" w:cs="Times New Roman"/>
                <w:lang w:val="fr-CA" w:eastAsia="ja-JP"/>
              </w:rPr>
              <w:t> %</w:t>
            </w:r>
            <w:r w:rsidR="00DD0E06" w:rsidRPr="00FA4ED2">
              <w:rPr>
                <w:rFonts w:eastAsia="Times New Roman" w:cs="Times New Roman"/>
                <w:lang w:val="fr-CA" w:eastAsia="ja-JP"/>
              </w:rPr>
              <w:t>), [_________]</w:t>
            </w:r>
            <w:r w:rsidR="002D3F68">
              <w:rPr>
                <w:rFonts w:eastAsia="Times New Roman" w:cs="Times New Roman"/>
                <w:lang w:val="fr-CA" w:eastAsia="ja-JP"/>
              </w:rPr>
              <w:t> $</w:t>
            </w:r>
          </w:p>
          <w:p w14:paraId="660E3706" w14:textId="57E69EF2" w:rsidR="0057567C" w:rsidRPr="00FA4ED2" w:rsidRDefault="00DD0E06" w:rsidP="003F6C0E">
            <w:pPr>
              <w:tabs>
                <w:tab w:val="left" w:pos="432"/>
              </w:tabs>
              <w:suppressAutoHyphens/>
              <w:autoSpaceDE w:val="0"/>
              <w:autoSpaceDN w:val="0"/>
              <w:adjustRightInd w:val="0"/>
              <w:spacing w:after="240"/>
              <w:rPr>
                <w:rFonts w:eastAsia="Times New Roman" w:cs="Times New Roman"/>
                <w:lang w:val="fr-CA" w:eastAsia="ja-JP"/>
              </w:rPr>
            </w:pPr>
            <w:r w:rsidRPr="00FA4ED2">
              <w:rPr>
                <w:rFonts w:eastAsia="Times New Roman" w:cs="Times New Roman"/>
                <w:lang w:val="fr-CA" w:eastAsia="ja-JP"/>
              </w:rPr>
              <w:t>[ainsi que d</w:t>
            </w:r>
            <w:r w:rsidR="00CC4D89">
              <w:rPr>
                <w:rFonts w:eastAsia="Times New Roman" w:cs="Times New Roman"/>
                <w:lang w:val="fr-CA" w:eastAsia="ja-JP"/>
              </w:rPr>
              <w:t>’</w:t>
            </w:r>
            <w:r w:rsidRPr="00FA4ED2">
              <w:rPr>
                <w:rFonts w:eastAsia="Times New Roman" w:cs="Times New Roman"/>
                <w:lang w:val="fr-CA" w:eastAsia="ja-JP"/>
              </w:rPr>
              <w:t>autres investisseurs dont les Investisseurs et la Société ont convenu</w:t>
            </w:r>
            <w:r w:rsidR="005C00D4" w:rsidRPr="00FA4ED2">
              <w:rPr>
                <w:rFonts w:eastAsia="Times New Roman" w:cs="Times New Roman"/>
                <w:lang w:val="fr-CA" w:eastAsia="ja-JP"/>
              </w:rPr>
              <w:t>s</w:t>
            </w:r>
            <w:r w:rsidRPr="00FA4ED2">
              <w:rPr>
                <w:rFonts w:eastAsia="Times New Roman" w:cs="Times New Roman"/>
                <w:lang w:val="fr-CA" w:eastAsia="ja-JP"/>
              </w:rPr>
              <w:t xml:space="preserve"> d</w:t>
            </w:r>
            <w:r w:rsidR="00CC4D89">
              <w:rPr>
                <w:rFonts w:eastAsia="Times New Roman" w:cs="Times New Roman"/>
                <w:lang w:val="fr-CA" w:eastAsia="ja-JP"/>
              </w:rPr>
              <w:t>’</w:t>
            </w:r>
            <w:r w:rsidRPr="00FA4ED2">
              <w:rPr>
                <w:rFonts w:eastAsia="Times New Roman" w:cs="Times New Roman"/>
                <w:lang w:val="fr-CA" w:eastAsia="ja-JP"/>
              </w:rPr>
              <w:t>un commun accord]</w:t>
            </w:r>
          </w:p>
        </w:tc>
      </w:tr>
      <w:tr w:rsidR="00897CD8" w:rsidRPr="008E00AC" w14:paraId="635EFF6F" w14:textId="77777777" w:rsidTr="00EE3005">
        <w:tc>
          <w:tcPr>
            <w:tcW w:w="1585" w:type="pct"/>
            <w:tcBorders>
              <w:top w:val="nil"/>
              <w:left w:val="nil"/>
              <w:bottom w:val="nil"/>
              <w:right w:val="nil"/>
            </w:tcBorders>
            <w:shd w:val="clear" w:color="auto" w:fill="auto"/>
          </w:tcPr>
          <w:p w14:paraId="261EF4A6" w14:textId="238A665E" w:rsidR="0057567C" w:rsidRPr="00636A09" w:rsidRDefault="00DD0E06" w:rsidP="003F6C0E">
            <w:pPr>
              <w:tabs>
                <w:tab w:val="left" w:pos="432"/>
              </w:tabs>
              <w:suppressAutoHyphens/>
              <w:autoSpaceDE w:val="0"/>
              <w:autoSpaceDN w:val="0"/>
              <w:adjustRightInd w:val="0"/>
              <w:spacing w:after="240"/>
              <w:jc w:val="left"/>
              <w:rPr>
                <w:rFonts w:eastAsia="Times New Roman" w:cs="Times New Roman"/>
                <w:i/>
                <w:lang w:val="fr-CA" w:eastAsia="ja-JP"/>
              </w:rPr>
            </w:pPr>
            <w:r w:rsidRPr="00636A09">
              <w:rPr>
                <w:rFonts w:eastAsia="Times New Roman" w:cs="Times New Roman"/>
                <w:i/>
                <w:lang w:val="fr-CA" w:eastAsia="ja-JP"/>
              </w:rPr>
              <w:lastRenderedPageBreak/>
              <w:t>Somme réunie</w:t>
            </w:r>
            <w:r w:rsidR="004A387E" w:rsidRPr="008A64C8">
              <w:rPr>
                <w:rFonts w:eastAsia="Times New Roman" w:cs="Times New Roman"/>
                <w:i/>
                <w:sz w:val="20"/>
                <w:vertAlign w:val="superscript"/>
                <w:lang w:val="fr-CA" w:eastAsia="ja-JP"/>
              </w:rPr>
              <w:footnoteReference w:id="4"/>
            </w:r>
            <w:r w:rsidR="005C00D4" w:rsidRPr="00636A09">
              <w:rPr>
                <w:rFonts w:eastAsia="Times New Roman" w:cs="Times New Roman"/>
                <w:i/>
                <w:lang w:val="fr-CA" w:eastAsia="ja-JP"/>
              </w:rPr>
              <w:t> :</w:t>
            </w:r>
          </w:p>
        </w:tc>
        <w:tc>
          <w:tcPr>
            <w:tcW w:w="3415" w:type="pct"/>
            <w:tcBorders>
              <w:top w:val="nil"/>
              <w:left w:val="nil"/>
              <w:bottom w:val="nil"/>
              <w:right w:val="nil"/>
            </w:tcBorders>
            <w:shd w:val="clear" w:color="auto" w:fill="FFFFFF"/>
          </w:tcPr>
          <w:p w14:paraId="0C9C4DBD" w14:textId="2D8D3472" w:rsidR="0057567C" w:rsidRPr="00FA4ED2" w:rsidRDefault="00DD0E06" w:rsidP="009969D4">
            <w:pPr>
              <w:tabs>
                <w:tab w:val="left" w:pos="432"/>
              </w:tabs>
              <w:suppressAutoHyphens/>
              <w:autoSpaceDE w:val="0"/>
              <w:autoSpaceDN w:val="0"/>
              <w:adjustRightInd w:val="0"/>
              <w:spacing w:after="240"/>
              <w:rPr>
                <w:rFonts w:eastAsia="Times New Roman" w:cs="Times New Roman"/>
                <w:vertAlign w:val="superscript"/>
                <w:lang w:val="fr-CA" w:eastAsia="ja-JP"/>
              </w:rPr>
            </w:pPr>
            <w:r w:rsidRPr="00FA4ED2">
              <w:rPr>
                <w:rFonts w:eastAsia="Times New Roman" w:cs="Times New Roman"/>
                <w:lang w:val="fr-CA" w:eastAsia="ja-JP"/>
              </w:rPr>
              <w:t>[________]</w:t>
            </w:r>
            <w:r w:rsidR="002D3F68">
              <w:rPr>
                <w:rFonts w:eastAsia="Times New Roman" w:cs="Times New Roman"/>
                <w:lang w:val="fr-CA" w:eastAsia="ja-JP"/>
              </w:rPr>
              <w:t> $</w:t>
            </w:r>
            <w:r w:rsidRPr="00FA4ED2">
              <w:rPr>
                <w:rFonts w:eastAsia="Times New Roman" w:cs="Times New Roman"/>
                <w:lang w:val="fr-CA" w:eastAsia="ja-JP"/>
              </w:rPr>
              <w:t>, [y compris [________]</w:t>
            </w:r>
            <w:r w:rsidR="002D3F68">
              <w:rPr>
                <w:rFonts w:eastAsia="Times New Roman" w:cs="Times New Roman"/>
                <w:lang w:val="fr-CA" w:eastAsia="ja-JP"/>
              </w:rPr>
              <w:t> $</w:t>
            </w:r>
            <w:r w:rsidRPr="00FA4ED2">
              <w:rPr>
                <w:rFonts w:eastAsia="Times New Roman" w:cs="Times New Roman"/>
                <w:lang w:val="fr-CA" w:eastAsia="ja-JP"/>
              </w:rPr>
              <w:t xml:space="preserve"> provenant de la conversion </w:t>
            </w:r>
            <w:r w:rsidR="00A611D6">
              <w:rPr>
                <w:rFonts w:eastAsia="Times New Roman" w:cs="Times New Roman"/>
                <w:lang w:val="fr-CA" w:eastAsia="ja-JP"/>
              </w:rPr>
              <w:t xml:space="preserve">de billets </w:t>
            </w:r>
            <w:r w:rsidR="00A611D6" w:rsidRPr="00AC4E12">
              <w:rPr>
                <w:rFonts w:eastAsia="Times New Roman" w:cs="Times New Roman"/>
                <w:i/>
                <w:iCs/>
                <w:lang w:val="fr-CA" w:eastAsia="ja-JP"/>
              </w:rPr>
              <w:t>Simple Agreement for Future Equity</w:t>
            </w:r>
            <w:r w:rsidR="007D5167" w:rsidRPr="00FA4ED2">
              <w:rPr>
                <w:rFonts w:eastAsia="Times New Roman" w:cs="Times New Roman"/>
                <w:lang w:val="fr-CA" w:eastAsia="ja-JP"/>
              </w:rPr>
              <w:t xml:space="preserve"> (</w:t>
            </w:r>
            <w:r w:rsidR="007D5167" w:rsidRPr="00FA4ED2">
              <w:rPr>
                <w:rFonts w:eastAsia="Times New Roman" w:cs="Times New Roman"/>
                <w:i/>
                <w:iCs/>
                <w:lang w:val="fr-CA" w:eastAsia="ja-JP"/>
              </w:rPr>
              <w:t>SAFE</w:t>
            </w:r>
            <w:r w:rsidR="007D5167" w:rsidRPr="00FA4ED2">
              <w:rPr>
                <w:rFonts w:eastAsia="Times New Roman" w:cs="Times New Roman"/>
                <w:lang w:val="fr-CA" w:eastAsia="ja-JP"/>
              </w:rPr>
              <w:t>)</w:t>
            </w:r>
            <w:r w:rsidR="00A611D6">
              <w:rPr>
                <w:rFonts w:eastAsia="Times New Roman" w:cs="Times New Roman"/>
                <w:lang w:val="fr-CA" w:eastAsia="ja-JP"/>
              </w:rPr>
              <w:t xml:space="preserve"> </w:t>
            </w:r>
            <w:r w:rsidRPr="00FA4ED2">
              <w:rPr>
                <w:rFonts w:eastAsia="Times New Roman" w:cs="Times New Roman"/>
                <w:lang w:val="fr-CA" w:eastAsia="ja-JP"/>
              </w:rPr>
              <w:t>/</w:t>
            </w:r>
            <w:r w:rsidR="00A611D6">
              <w:rPr>
                <w:rFonts w:eastAsia="Times New Roman" w:cs="Times New Roman"/>
                <w:lang w:val="fr-CA" w:eastAsia="ja-JP"/>
              </w:rPr>
              <w:t xml:space="preserve"> </w:t>
            </w:r>
            <w:r w:rsidR="007D5167" w:rsidRPr="00FA4ED2">
              <w:rPr>
                <w:rFonts w:eastAsia="Times New Roman" w:cs="Times New Roman"/>
                <w:lang w:val="fr-CA" w:eastAsia="ja-JP"/>
              </w:rPr>
              <w:t xml:space="preserve">du </w:t>
            </w:r>
            <w:r w:rsidRPr="00FA4ED2">
              <w:rPr>
                <w:rFonts w:eastAsia="Times New Roman" w:cs="Times New Roman"/>
                <w:lang w:val="fr-CA" w:eastAsia="ja-JP"/>
              </w:rPr>
              <w:t xml:space="preserve">capital [et </w:t>
            </w:r>
            <w:r w:rsidR="007D5167" w:rsidRPr="00FA4ED2">
              <w:rPr>
                <w:rFonts w:eastAsia="Times New Roman" w:cs="Times New Roman"/>
                <w:lang w:val="fr-CA" w:eastAsia="ja-JP"/>
              </w:rPr>
              <w:t xml:space="preserve">des </w:t>
            </w:r>
            <w:r w:rsidRPr="00FA4ED2">
              <w:rPr>
                <w:rFonts w:eastAsia="Times New Roman" w:cs="Times New Roman"/>
                <w:lang w:val="fr-CA" w:eastAsia="ja-JP"/>
              </w:rPr>
              <w:t>intérêts] sur des billets convertibles].</w:t>
            </w:r>
            <w:r w:rsidR="004A387E" w:rsidRPr="008A64C8">
              <w:rPr>
                <w:rFonts w:eastAsia="Times New Roman" w:cs="Times New Roman"/>
                <w:sz w:val="20"/>
                <w:vertAlign w:val="superscript"/>
                <w:lang w:val="fr-CA" w:eastAsia="ja-JP"/>
              </w:rPr>
              <w:footnoteReference w:id="5"/>
            </w:r>
          </w:p>
        </w:tc>
      </w:tr>
      <w:tr w:rsidR="00897CD8" w:rsidRPr="008E00AC" w14:paraId="7965D017" w14:textId="77777777" w:rsidTr="00EE3005">
        <w:tc>
          <w:tcPr>
            <w:tcW w:w="1585" w:type="pct"/>
            <w:tcBorders>
              <w:top w:val="nil"/>
              <w:left w:val="nil"/>
              <w:bottom w:val="nil"/>
              <w:right w:val="nil"/>
            </w:tcBorders>
            <w:shd w:val="clear" w:color="auto" w:fill="auto"/>
          </w:tcPr>
          <w:p w14:paraId="4E7A32DE" w14:textId="6AF818A8" w:rsidR="0057567C" w:rsidRPr="00636A09" w:rsidRDefault="00DD0E06" w:rsidP="003F6C0E">
            <w:pPr>
              <w:tabs>
                <w:tab w:val="left" w:pos="432"/>
              </w:tabs>
              <w:suppressAutoHyphens/>
              <w:autoSpaceDE w:val="0"/>
              <w:autoSpaceDN w:val="0"/>
              <w:adjustRightInd w:val="0"/>
              <w:spacing w:after="240"/>
              <w:jc w:val="left"/>
              <w:rPr>
                <w:rFonts w:eastAsia="Times New Roman" w:cs="Times New Roman"/>
                <w:i/>
                <w:lang w:val="fr-CA" w:eastAsia="ja-JP"/>
              </w:rPr>
            </w:pPr>
            <w:r w:rsidRPr="00636A09">
              <w:rPr>
                <w:rFonts w:eastAsia="Times New Roman" w:cs="Times New Roman"/>
                <w:i/>
                <w:lang w:val="fr-CA" w:eastAsia="ja-JP"/>
              </w:rPr>
              <w:t>Évaluation préfinancement</w:t>
            </w:r>
            <w:r w:rsidR="008D1D30" w:rsidRPr="00636A09">
              <w:rPr>
                <w:rFonts w:eastAsia="Times New Roman" w:cs="Times New Roman"/>
                <w:i/>
                <w:lang w:val="fr-CA" w:eastAsia="ja-JP"/>
              </w:rPr>
              <w:t> </w:t>
            </w:r>
            <w:r w:rsidRPr="00636A09">
              <w:rPr>
                <w:rFonts w:eastAsia="Times New Roman" w:cs="Times New Roman"/>
                <w:i/>
                <w:lang w:val="fr-CA" w:eastAsia="ja-JP"/>
              </w:rPr>
              <w:t>: </w:t>
            </w:r>
          </w:p>
        </w:tc>
        <w:tc>
          <w:tcPr>
            <w:tcW w:w="3415" w:type="pct"/>
            <w:tcBorders>
              <w:top w:val="nil"/>
              <w:left w:val="nil"/>
              <w:bottom w:val="nil"/>
              <w:right w:val="nil"/>
            </w:tcBorders>
            <w:shd w:val="clear" w:color="auto" w:fill="FFFFFF"/>
          </w:tcPr>
          <w:p w14:paraId="40FE5DEB" w14:textId="105F872E" w:rsidR="0057567C" w:rsidRPr="00FA4ED2" w:rsidRDefault="00DD0E06" w:rsidP="009969D4">
            <w:pPr>
              <w:tabs>
                <w:tab w:val="left" w:pos="432"/>
              </w:tabs>
              <w:suppressAutoHyphens/>
              <w:autoSpaceDE w:val="0"/>
              <w:autoSpaceDN w:val="0"/>
              <w:adjustRightInd w:val="0"/>
              <w:spacing w:after="240"/>
              <w:rPr>
                <w:rFonts w:eastAsia="Times New Roman" w:cs="Times New Roman"/>
                <w:lang w:val="fr-CA" w:eastAsia="ja-JP"/>
              </w:rPr>
            </w:pPr>
            <w:r w:rsidRPr="00FA4ED2">
              <w:rPr>
                <w:rFonts w:eastAsia="Times New Roman" w:cs="Times New Roman"/>
                <w:lang w:val="fr-CA" w:eastAsia="ja-JP"/>
              </w:rPr>
              <w:t xml:space="preserve">Le prix par action des Actions privilégiées de </w:t>
            </w:r>
            <w:r w:rsidR="002D3F68">
              <w:rPr>
                <w:rFonts w:eastAsia="Times New Roman" w:cs="Times New Roman"/>
                <w:lang w:val="fr-CA" w:eastAsia="ja-JP"/>
              </w:rPr>
              <w:t>catégorie A</w:t>
            </w:r>
            <w:r w:rsidRPr="00FA4ED2">
              <w:rPr>
                <w:rFonts w:eastAsia="Times New Roman" w:cs="Times New Roman"/>
                <w:lang w:val="fr-CA" w:eastAsia="ja-JP"/>
              </w:rPr>
              <w:t xml:space="preserve"> (le</w:t>
            </w:r>
            <w:r w:rsidR="00E83EF9">
              <w:rPr>
                <w:rFonts w:eastAsia="Times New Roman" w:cs="Times New Roman"/>
                <w:lang w:val="fr-CA" w:eastAsia="ja-JP"/>
              </w:rPr>
              <w:t> </w:t>
            </w:r>
            <w:r w:rsidRPr="00FA4ED2">
              <w:rPr>
                <w:rFonts w:eastAsia="Times New Roman" w:cs="Times New Roman"/>
                <w:lang w:val="fr-CA" w:eastAsia="ja-JP"/>
              </w:rPr>
              <w:t>«</w:t>
            </w:r>
            <w:r w:rsidR="008D1D30" w:rsidRPr="00FA4ED2">
              <w:rPr>
                <w:rFonts w:eastAsia="Times New Roman" w:cs="Times New Roman"/>
                <w:lang w:val="fr-CA" w:eastAsia="ja-JP"/>
              </w:rPr>
              <w:t> </w:t>
            </w:r>
            <w:r w:rsidR="008D1D30" w:rsidRPr="00FA4ED2">
              <w:rPr>
                <w:rFonts w:eastAsia="Times New Roman" w:cs="Times New Roman"/>
                <w:b/>
                <w:bCs/>
                <w:lang w:val="fr-CA" w:eastAsia="ja-JP"/>
              </w:rPr>
              <w:t>P</w:t>
            </w:r>
            <w:r w:rsidRPr="00FA4ED2">
              <w:rPr>
                <w:rFonts w:eastAsia="Times New Roman" w:cs="Times New Roman"/>
                <w:b/>
                <w:bCs/>
                <w:lang w:val="fr-CA" w:eastAsia="ja-JP"/>
              </w:rPr>
              <w:t>rix d</w:t>
            </w:r>
            <w:r w:rsidR="00CC4D89">
              <w:rPr>
                <w:rFonts w:eastAsia="Times New Roman" w:cs="Times New Roman"/>
                <w:b/>
                <w:bCs/>
                <w:lang w:val="fr-CA" w:eastAsia="ja-JP"/>
              </w:rPr>
              <w:t>’</w:t>
            </w:r>
            <w:r w:rsidRPr="00FA4ED2">
              <w:rPr>
                <w:rFonts w:eastAsia="Times New Roman" w:cs="Times New Roman"/>
                <w:b/>
                <w:bCs/>
                <w:lang w:val="fr-CA" w:eastAsia="ja-JP"/>
              </w:rPr>
              <w:t>achat initial</w:t>
            </w:r>
            <w:r w:rsidR="008D1D30" w:rsidRPr="00FA4ED2">
              <w:rPr>
                <w:rFonts w:eastAsia="Times New Roman" w:cs="Times New Roman"/>
                <w:lang w:val="fr-CA" w:eastAsia="ja-JP"/>
              </w:rPr>
              <w:t> </w:t>
            </w:r>
            <w:r w:rsidRPr="00FA4ED2">
              <w:rPr>
                <w:rFonts w:eastAsia="Times New Roman" w:cs="Times New Roman"/>
                <w:lang w:val="fr-CA" w:eastAsia="ja-JP"/>
              </w:rPr>
              <w:t>») correspond au prix établi en fonction d</w:t>
            </w:r>
            <w:r w:rsidR="00CC4D89">
              <w:rPr>
                <w:rFonts w:eastAsia="Times New Roman" w:cs="Times New Roman"/>
                <w:lang w:val="fr-CA" w:eastAsia="ja-JP"/>
              </w:rPr>
              <w:t>’</w:t>
            </w:r>
            <w:r w:rsidRPr="00FA4ED2">
              <w:rPr>
                <w:rFonts w:eastAsia="Times New Roman" w:cs="Times New Roman"/>
                <w:lang w:val="fr-CA" w:eastAsia="ja-JP"/>
              </w:rPr>
              <w:t xml:space="preserve">une évaluation </w:t>
            </w:r>
            <w:r w:rsidR="008D1D30" w:rsidRPr="00FA4ED2">
              <w:rPr>
                <w:rFonts w:eastAsia="Times New Roman" w:cs="Times New Roman"/>
                <w:lang w:val="fr-CA" w:eastAsia="ja-JP"/>
              </w:rPr>
              <w:t>préfinancement après dilution</w:t>
            </w:r>
            <w:r w:rsidRPr="00FA4ED2">
              <w:rPr>
                <w:rFonts w:eastAsia="Times New Roman" w:cs="Times New Roman"/>
                <w:lang w:val="fr-CA" w:eastAsia="ja-JP"/>
              </w:rPr>
              <w:t xml:space="preserve"> de </w:t>
            </w:r>
            <w:r w:rsidR="00105331">
              <w:rPr>
                <w:rFonts w:eastAsia="Times New Roman" w:cs="Times New Roman"/>
                <w:lang w:val="fr-CA" w:eastAsia="ja-JP"/>
              </w:rPr>
              <w:t>[</w:t>
            </w:r>
            <w:r w:rsidRPr="00FA4ED2">
              <w:rPr>
                <w:rFonts w:eastAsia="Times New Roman" w:cs="Times New Roman"/>
                <w:lang w:val="fr-CA" w:eastAsia="ja-JP"/>
              </w:rPr>
              <w:t>_____</w:t>
            </w:r>
            <w:r w:rsidR="00105331">
              <w:rPr>
                <w:rFonts w:eastAsia="Times New Roman" w:cs="Times New Roman"/>
                <w:lang w:val="fr-CA" w:eastAsia="ja-JP"/>
              </w:rPr>
              <w:t>]</w:t>
            </w:r>
            <w:r w:rsidR="002D3F68">
              <w:rPr>
                <w:rFonts w:eastAsia="Times New Roman" w:cs="Times New Roman"/>
                <w:lang w:val="fr-CA" w:eastAsia="ja-JP"/>
              </w:rPr>
              <w:t> $</w:t>
            </w:r>
            <w:r w:rsidRPr="00FA4ED2">
              <w:rPr>
                <w:rFonts w:eastAsia="Times New Roman" w:cs="Times New Roman"/>
                <w:lang w:val="fr-CA" w:eastAsia="ja-JP"/>
              </w:rPr>
              <w:t xml:space="preserve"> (laquelle évaluation </w:t>
            </w:r>
            <w:r w:rsidR="008D1D30" w:rsidRPr="00FA4ED2">
              <w:rPr>
                <w:rFonts w:eastAsia="Times New Roman" w:cs="Times New Roman"/>
                <w:lang w:val="fr-CA" w:eastAsia="ja-JP"/>
              </w:rPr>
              <w:t xml:space="preserve">préfinancement </w:t>
            </w:r>
            <w:r w:rsidRPr="00FA4ED2">
              <w:rPr>
                <w:rFonts w:eastAsia="Times New Roman" w:cs="Times New Roman"/>
                <w:lang w:val="fr-CA" w:eastAsia="ja-JP"/>
              </w:rPr>
              <w:t xml:space="preserve">comprend un compte </w:t>
            </w:r>
            <w:r w:rsidR="00D97D29" w:rsidRPr="00FA4ED2">
              <w:rPr>
                <w:rFonts w:eastAsia="Times New Roman" w:cs="Times New Roman"/>
                <w:lang w:val="fr-CA" w:eastAsia="ja-JP"/>
              </w:rPr>
              <w:t>d</w:t>
            </w:r>
            <w:r w:rsidR="00CC4D89">
              <w:rPr>
                <w:rFonts w:eastAsia="Times New Roman" w:cs="Times New Roman"/>
                <w:lang w:val="fr-CA" w:eastAsia="ja-JP"/>
              </w:rPr>
              <w:t>’</w:t>
            </w:r>
            <w:r w:rsidRPr="00FA4ED2">
              <w:rPr>
                <w:rFonts w:eastAsia="Times New Roman" w:cs="Times New Roman"/>
                <w:lang w:val="fr-CA" w:eastAsia="ja-JP"/>
              </w:rPr>
              <w:t>options d</w:t>
            </w:r>
            <w:r w:rsidR="00CC4D89">
              <w:rPr>
                <w:rFonts w:eastAsia="Times New Roman" w:cs="Times New Roman"/>
                <w:lang w:val="fr-CA" w:eastAsia="ja-JP"/>
              </w:rPr>
              <w:t>’</w:t>
            </w:r>
            <w:r w:rsidRPr="00FA4ED2">
              <w:rPr>
                <w:rFonts w:eastAsia="Times New Roman" w:cs="Times New Roman"/>
                <w:lang w:val="fr-CA" w:eastAsia="ja-JP"/>
              </w:rPr>
              <w:t>employés [non attribué</w:t>
            </w:r>
            <w:r w:rsidR="005A50A2" w:rsidRPr="00FA4ED2">
              <w:rPr>
                <w:rFonts w:eastAsia="Times New Roman" w:cs="Times New Roman"/>
                <w:lang w:val="fr-CA" w:eastAsia="ja-JP"/>
              </w:rPr>
              <w:t>es</w:t>
            </w:r>
            <w:r w:rsidRPr="00FA4ED2">
              <w:rPr>
                <w:rFonts w:eastAsia="Times New Roman" w:cs="Times New Roman"/>
                <w:lang w:val="fr-CA" w:eastAsia="ja-JP"/>
              </w:rPr>
              <w:t xml:space="preserve"> et non engagé</w:t>
            </w:r>
            <w:r w:rsidR="005A50A2" w:rsidRPr="00FA4ED2">
              <w:rPr>
                <w:rFonts w:eastAsia="Times New Roman" w:cs="Times New Roman"/>
                <w:lang w:val="fr-CA" w:eastAsia="ja-JP"/>
              </w:rPr>
              <w:t>es</w:t>
            </w:r>
            <w:r w:rsidRPr="00FA4ED2">
              <w:rPr>
                <w:rFonts w:eastAsia="Times New Roman" w:cs="Times New Roman"/>
                <w:lang w:val="fr-CA" w:eastAsia="ja-JP"/>
              </w:rPr>
              <w:t xml:space="preserve">] représentant </w:t>
            </w:r>
            <w:r w:rsidR="00952180">
              <w:rPr>
                <w:rFonts w:eastAsia="Times New Roman" w:cs="Times New Roman"/>
                <w:lang w:val="fr-CA" w:eastAsia="ja-JP"/>
              </w:rPr>
              <w:t>[</w:t>
            </w:r>
            <w:r w:rsidRPr="00FA4ED2">
              <w:rPr>
                <w:rFonts w:eastAsia="Times New Roman" w:cs="Times New Roman"/>
                <w:lang w:val="fr-CA" w:eastAsia="ja-JP"/>
              </w:rPr>
              <w:t>__</w:t>
            </w:r>
            <w:r w:rsidR="00952180">
              <w:rPr>
                <w:rFonts w:eastAsia="Times New Roman" w:cs="Times New Roman"/>
                <w:lang w:val="fr-CA" w:eastAsia="ja-JP"/>
              </w:rPr>
              <w:t>]</w:t>
            </w:r>
            <w:r w:rsidR="002D3F68">
              <w:rPr>
                <w:rFonts w:eastAsia="Times New Roman" w:cs="Times New Roman"/>
                <w:lang w:val="fr-CA" w:eastAsia="ja-JP"/>
              </w:rPr>
              <w:t> %</w:t>
            </w:r>
            <w:r w:rsidRPr="00FA4ED2">
              <w:rPr>
                <w:rFonts w:eastAsia="Times New Roman" w:cs="Times New Roman"/>
                <w:lang w:val="fr-CA" w:eastAsia="ja-JP"/>
              </w:rPr>
              <w:t xml:space="preserve"> de la </w:t>
            </w:r>
            <w:r w:rsidR="00675592" w:rsidRPr="00FA4ED2">
              <w:rPr>
                <w:rFonts w:eastAsia="Times New Roman" w:cs="Times New Roman"/>
                <w:lang w:val="fr-CA" w:eastAsia="ja-JP"/>
              </w:rPr>
              <w:t xml:space="preserve">structure du capital </w:t>
            </w:r>
            <w:r w:rsidR="0090596B" w:rsidRPr="00FA4ED2">
              <w:rPr>
                <w:rFonts w:eastAsia="Times New Roman" w:cs="Times New Roman"/>
                <w:lang w:val="fr-CA" w:eastAsia="ja-JP"/>
              </w:rPr>
              <w:t>post</w:t>
            </w:r>
            <w:r w:rsidR="008D1D30" w:rsidRPr="00FA4ED2">
              <w:rPr>
                <w:rFonts w:eastAsia="Times New Roman" w:cs="Times New Roman"/>
                <w:lang w:val="fr-CA" w:eastAsia="ja-JP"/>
              </w:rPr>
              <w:t>financement après dilution</w:t>
            </w:r>
            <w:r w:rsidRPr="00FA4ED2">
              <w:rPr>
                <w:rFonts w:eastAsia="Times New Roman" w:cs="Times New Roman"/>
                <w:lang w:val="fr-CA" w:eastAsia="ja-JP"/>
              </w:rPr>
              <w:t>) et d</w:t>
            </w:r>
            <w:r w:rsidR="00CC4D89">
              <w:rPr>
                <w:rFonts w:eastAsia="Times New Roman" w:cs="Times New Roman"/>
                <w:lang w:val="fr-CA" w:eastAsia="ja-JP"/>
              </w:rPr>
              <w:t>’</w:t>
            </w:r>
            <w:r w:rsidRPr="00FA4ED2">
              <w:rPr>
                <w:rFonts w:eastAsia="Times New Roman" w:cs="Times New Roman"/>
                <w:lang w:val="fr-CA" w:eastAsia="ja-JP"/>
              </w:rPr>
              <w:t>une évaluation</w:t>
            </w:r>
            <w:r w:rsidR="0090596B" w:rsidRPr="00FA4ED2">
              <w:rPr>
                <w:rFonts w:eastAsia="Times New Roman" w:cs="Times New Roman"/>
                <w:lang w:val="fr-CA" w:eastAsia="ja-JP"/>
              </w:rPr>
              <w:t xml:space="preserve"> post</w:t>
            </w:r>
            <w:r w:rsidR="008D1D30" w:rsidRPr="00FA4ED2">
              <w:rPr>
                <w:rFonts w:eastAsia="Times New Roman" w:cs="Times New Roman"/>
                <w:lang w:val="fr-CA" w:eastAsia="ja-JP"/>
              </w:rPr>
              <w:t>financement après dilution</w:t>
            </w:r>
            <w:r w:rsidRPr="00FA4ED2">
              <w:rPr>
                <w:rFonts w:eastAsia="Times New Roman" w:cs="Times New Roman"/>
                <w:lang w:val="fr-CA" w:eastAsia="ja-JP"/>
              </w:rPr>
              <w:t xml:space="preserve"> de </w:t>
            </w:r>
            <w:r w:rsidR="00105331">
              <w:rPr>
                <w:rFonts w:eastAsia="Times New Roman" w:cs="Times New Roman"/>
                <w:lang w:val="fr-CA" w:eastAsia="ja-JP"/>
              </w:rPr>
              <w:t>[</w:t>
            </w:r>
            <w:r w:rsidRPr="00FA4ED2">
              <w:rPr>
                <w:rFonts w:eastAsia="Times New Roman" w:cs="Times New Roman"/>
                <w:lang w:val="fr-CA" w:eastAsia="ja-JP"/>
              </w:rPr>
              <w:t>______</w:t>
            </w:r>
            <w:r w:rsidR="00105331">
              <w:rPr>
                <w:rFonts w:eastAsia="Times New Roman" w:cs="Times New Roman"/>
                <w:lang w:val="fr-CA" w:eastAsia="ja-JP"/>
              </w:rPr>
              <w:t>]</w:t>
            </w:r>
            <w:r w:rsidR="002D3F68">
              <w:rPr>
                <w:rFonts w:eastAsia="Times New Roman" w:cs="Times New Roman"/>
                <w:lang w:val="fr-CA" w:eastAsia="ja-JP"/>
              </w:rPr>
              <w:t> $</w:t>
            </w:r>
            <w:r w:rsidRPr="00FA4ED2">
              <w:rPr>
                <w:rFonts w:eastAsia="Times New Roman" w:cs="Times New Roman"/>
                <w:lang w:val="fr-CA" w:eastAsia="ja-JP"/>
              </w:rPr>
              <w:t>.</w:t>
            </w:r>
            <w:r w:rsidR="004A387E" w:rsidRPr="00FA4ED2">
              <w:rPr>
                <w:rFonts w:eastAsia="Times New Roman" w:cs="Times New Roman"/>
                <w:lang w:val="fr-CA" w:eastAsia="ja-JP"/>
              </w:rPr>
              <w:t xml:space="preserve"> </w:t>
            </w:r>
          </w:p>
        </w:tc>
      </w:tr>
      <w:tr w:rsidR="00897CD8" w:rsidRPr="00FA4ED2" w14:paraId="0E0EE81C" w14:textId="77777777" w:rsidTr="00EE3005">
        <w:tc>
          <w:tcPr>
            <w:tcW w:w="5000" w:type="pct"/>
            <w:gridSpan w:val="2"/>
            <w:tcBorders>
              <w:top w:val="nil"/>
              <w:left w:val="nil"/>
              <w:bottom w:val="nil"/>
              <w:right w:val="nil"/>
            </w:tcBorders>
          </w:tcPr>
          <w:p w14:paraId="51ED0CBF" w14:textId="7BD4938A" w:rsidR="0057567C" w:rsidRPr="00FA4ED2" w:rsidRDefault="00DD0E06" w:rsidP="00EE3005">
            <w:pPr>
              <w:keepNext/>
              <w:tabs>
                <w:tab w:val="left" w:pos="432"/>
              </w:tabs>
              <w:suppressAutoHyphens/>
              <w:autoSpaceDE w:val="0"/>
              <w:autoSpaceDN w:val="0"/>
              <w:adjustRightInd w:val="0"/>
              <w:spacing w:after="240"/>
              <w:jc w:val="center"/>
              <w:rPr>
                <w:rFonts w:eastAsia="Times New Roman" w:cs="Times New Roman"/>
                <w:b/>
                <w:bCs/>
                <w:u w:val="single"/>
                <w:lang w:val="fr-CA" w:eastAsia="ja-JP"/>
              </w:rPr>
            </w:pPr>
            <w:r w:rsidRPr="00FA4ED2">
              <w:rPr>
                <w:rFonts w:eastAsia="Times New Roman" w:cs="Times New Roman"/>
                <w:b/>
                <w:bCs/>
                <w:u w:val="single"/>
                <w:lang w:val="fr-CA" w:eastAsia="ja-JP"/>
              </w:rPr>
              <w:t>MODALITÉS DES ACTIONS</w:t>
            </w:r>
            <w:r w:rsidR="004A387E" w:rsidRPr="008A64C8">
              <w:rPr>
                <w:rFonts w:eastAsia="Times New Roman" w:cs="Times New Roman"/>
                <w:b/>
                <w:bCs/>
                <w:vertAlign w:val="superscript"/>
                <w:lang w:val="fr-CA" w:eastAsia="ja-JP"/>
              </w:rPr>
              <w:footnoteReference w:id="6"/>
            </w:r>
          </w:p>
        </w:tc>
      </w:tr>
      <w:tr w:rsidR="00897CD8" w:rsidRPr="008E00AC" w14:paraId="200A3A04" w14:textId="77777777" w:rsidTr="00EE3005">
        <w:tblPrEx>
          <w:tblLook w:val="06A0" w:firstRow="1" w:lastRow="0" w:firstColumn="1" w:lastColumn="0" w:noHBand="1" w:noVBand="1"/>
        </w:tblPrEx>
        <w:tc>
          <w:tcPr>
            <w:tcW w:w="1585" w:type="pct"/>
            <w:shd w:val="clear" w:color="auto" w:fill="auto"/>
          </w:tcPr>
          <w:p w14:paraId="6CEB4326" w14:textId="5BEA3B6A" w:rsidR="0057567C" w:rsidRPr="00FA4ED2" w:rsidRDefault="00DD0E06">
            <w:pPr>
              <w:pStyle w:val="TableHeading2"/>
              <w:rPr>
                <w:lang w:val="fr-CA"/>
              </w:rPr>
            </w:pPr>
            <w:r w:rsidRPr="00FA4ED2">
              <w:rPr>
                <w:lang w:val="fr-CA"/>
              </w:rPr>
              <w:t>Dividendes</w:t>
            </w:r>
            <w:r w:rsidR="005A6B51" w:rsidRPr="00FA4ED2">
              <w:rPr>
                <w:lang w:val="fr-CA"/>
              </w:rPr>
              <w:t> </w:t>
            </w:r>
            <w:r w:rsidRPr="00FA4ED2">
              <w:rPr>
                <w:lang w:val="fr-CA"/>
              </w:rPr>
              <w:t>:</w:t>
            </w:r>
          </w:p>
        </w:tc>
        <w:tc>
          <w:tcPr>
            <w:tcW w:w="3415" w:type="pct"/>
            <w:shd w:val="clear" w:color="auto" w:fill="auto"/>
          </w:tcPr>
          <w:p w14:paraId="187C05DD" w14:textId="771D3B33" w:rsidR="0057567C" w:rsidRPr="00FA4ED2" w:rsidRDefault="00DD0E06">
            <w:pPr>
              <w:pStyle w:val="BodyText"/>
              <w:rPr>
                <w:lang w:val="fr-CA"/>
              </w:rPr>
            </w:pPr>
            <w:r w:rsidRPr="00FA4ED2">
              <w:rPr>
                <w:lang w:val="fr-CA"/>
              </w:rPr>
              <w:t>[</w:t>
            </w:r>
            <w:r w:rsidR="00796463" w:rsidRPr="00FA4ED2">
              <w:rPr>
                <w:i/>
                <w:iCs/>
                <w:lang w:val="fr-CA"/>
              </w:rPr>
              <w:t>Première variante </w:t>
            </w:r>
            <w:r w:rsidRPr="00FA4ED2">
              <w:rPr>
                <w:i/>
                <w:iCs/>
                <w:lang w:val="fr-CA"/>
              </w:rPr>
              <w:t>:</w:t>
            </w:r>
            <w:r w:rsidRPr="00FA4ED2">
              <w:rPr>
                <w:lang w:val="fr-CA"/>
              </w:rPr>
              <w:t xml:space="preserve"> </w:t>
            </w:r>
            <w:r w:rsidR="001A4BC5" w:rsidRPr="00FA4ED2">
              <w:rPr>
                <w:lang w:val="fr-CA"/>
              </w:rPr>
              <w:t>D</w:t>
            </w:r>
            <w:r w:rsidRPr="00FA4ED2">
              <w:rPr>
                <w:lang w:val="fr-CA"/>
              </w:rPr>
              <w:t xml:space="preserve">es dividendes seront versés sur les </w:t>
            </w:r>
            <w:r w:rsidR="00796463" w:rsidRPr="00FA4ED2">
              <w:rPr>
                <w:lang w:val="fr-CA"/>
              </w:rPr>
              <w:t>A</w:t>
            </w:r>
            <w:r w:rsidRPr="00FA4ED2">
              <w:rPr>
                <w:lang w:val="fr-CA"/>
              </w:rPr>
              <w:t xml:space="preserve">ctions privilégiées de </w:t>
            </w:r>
            <w:r w:rsidR="002D3F68">
              <w:rPr>
                <w:lang w:val="fr-CA"/>
              </w:rPr>
              <w:t>catégorie A</w:t>
            </w:r>
            <w:r w:rsidRPr="00FA4ED2">
              <w:rPr>
                <w:lang w:val="fr-CA"/>
              </w:rPr>
              <w:t xml:space="preserve">, </w:t>
            </w:r>
            <w:r w:rsidR="00896340" w:rsidRPr="008E00AC">
              <w:rPr>
                <w:lang w:val="fr-CA"/>
              </w:rPr>
              <w:t>comme si elles étaient converties</w:t>
            </w:r>
            <w:r w:rsidRPr="00FA4ED2">
              <w:rPr>
                <w:lang w:val="fr-CA"/>
              </w:rPr>
              <w:t xml:space="preserve">, </w:t>
            </w:r>
            <w:r w:rsidR="00266410" w:rsidRPr="00FA4ED2">
              <w:rPr>
                <w:lang w:val="fr-CA"/>
              </w:rPr>
              <w:t>lorsqu</w:t>
            </w:r>
            <w:r w:rsidR="00CC4D89">
              <w:rPr>
                <w:lang w:val="fr-CA"/>
              </w:rPr>
              <w:t>’</w:t>
            </w:r>
            <w:r w:rsidRPr="00FA4ED2">
              <w:rPr>
                <w:lang w:val="fr-CA"/>
              </w:rPr>
              <w:t>ils seront versés sur les [</w:t>
            </w:r>
            <w:r w:rsidR="00796463" w:rsidRPr="00FA4ED2">
              <w:rPr>
                <w:lang w:val="fr-CA"/>
              </w:rPr>
              <w:t>A</w:t>
            </w:r>
            <w:r w:rsidRPr="00FA4ED2">
              <w:rPr>
                <w:lang w:val="fr-CA"/>
              </w:rPr>
              <w:t>ctions ordinaires]</w:t>
            </w:r>
            <w:r w:rsidR="00266410" w:rsidRPr="00FA4ED2">
              <w:rPr>
                <w:rStyle w:val="FootnoteReference"/>
                <w:lang w:val="fr-CA"/>
              </w:rPr>
              <w:t xml:space="preserve"> </w:t>
            </w:r>
            <w:r w:rsidR="00266410" w:rsidRPr="008A64C8">
              <w:rPr>
                <w:rStyle w:val="FootnoteReference"/>
                <w:lang w:val="fr-CA"/>
              </w:rPr>
              <w:footnoteReference w:id="7"/>
            </w:r>
            <w:r w:rsidR="00633C4D" w:rsidRPr="00A86EE3">
              <w:rPr>
                <w:lang w:val="fr-CA"/>
              </w:rPr>
              <w:t>.</w:t>
            </w:r>
            <w:r w:rsidRPr="00FA4ED2">
              <w:rPr>
                <w:lang w:val="fr-CA"/>
              </w:rPr>
              <w:t>]</w:t>
            </w:r>
            <w:r w:rsidR="004A387E" w:rsidRPr="00FA4ED2">
              <w:rPr>
                <w:lang w:val="fr-CA"/>
              </w:rPr>
              <w:t xml:space="preserve"> </w:t>
            </w:r>
          </w:p>
          <w:p w14:paraId="68F9A8E7" w14:textId="4F23B0D6" w:rsidR="0057567C" w:rsidRPr="00FA4ED2" w:rsidRDefault="00DD0E06">
            <w:pPr>
              <w:pStyle w:val="BodyText"/>
              <w:rPr>
                <w:lang w:val="fr-CA"/>
              </w:rPr>
            </w:pPr>
            <w:r w:rsidRPr="00FA4ED2">
              <w:rPr>
                <w:lang w:val="fr-CA"/>
              </w:rPr>
              <w:t>[</w:t>
            </w:r>
            <w:r w:rsidR="00796463" w:rsidRPr="00FA4ED2">
              <w:rPr>
                <w:i/>
                <w:iCs/>
                <w:lang w:val="fr-CA"/>
              </w:rPr>
              <w:t>Deuxième variante </w:t>
            </w:r>
            <w:r w:rsidRPr="00FA4ED2">
              <w:rPr>
                <w:i/>
                <w:iCs/>
                <w:lang w:val="fr-CA"/>
              </w:rPr>
              <w:t>:</w:t>
            </w:r>
            <w:r w:rsidRPr="00FA4ED2">
              <w:rPr>
                <w:lang w:val="fr-CA"/>
              </w:rPr>
              <w:t xml:space="preserve"> Des dividendes non cumulatifs </w:t>
            </w:r>
            <w:r w:rsidR="001A4BC5" w:rsidRPr="00FA4ED2">
              <w:rPr>
                <w:lang w:val="fr-CA"/>
              </w:rPr>
              <w:t>d</w:t>
            </w:r>
            <w:r w:rsidR="00CC4D89">
              <w:rPr>
                <w:lang w:val="fr-CA"/>
              </w:rPr>
              <w:t>’</w:t>
            </w:r>
            <w:r w:rsidR="001A4BC5" w:rsidRPr="00FA4ED2">
              <w:rPr>
                <w:lang w:val="fr-CA"/>
              </w:rPr>
              <w:t>un montant correspondant à [______]</w:t>
            </w:r>
            <w:r w:rsidR="002D3F68">
              <w:rPr>
                <w:lang w:val="fr-CA"/>
              </w:rPr>
              <w:t> $</w:t>
            </w:r>
            <w:r w:rsidR="001A4BC5" w:rsidRPr="00FA4ED2">
              <w:rPr>
                <w:lang w:val="fr-CA"/>
              </w:rPr>
              <w:t xml:space="preserve"> par Action privilégiée de catégorie</w:t>
            </w:r>
            <w:r w:rsidR="00264CF2">
              <w:rPr>
                <w:lang w:val="fr-CA"/>
              </w:rPr>
              <w:t> A</w:t>
            </w:r>
            <w:r w:rsidR="001A4BC5" w:rsidRPr="00FA4ED2">
              <w:rPr>
                <w:lang w:val="fr-CA"/>
              </w:rPr>
              <w:t xml:space="preserve"> </w:t>
            </w:r>
            <w:r w:rsidRPr="00FA4ED2">
              <w:rPr>
                <w:lang w:val="fr-CA"/>
              </w:rPr>
              <w:t xml:space="preserve">seront versés sur les </w:t>
            </w:r>
            <w:r w:rsidR="00796463" w:rsidRPr="00FA4ED2">
              <w:rPr>
                <w:lang w:val="fr-CA"/>
              </w:rPr>
              <w:t>A</w:t>
            </w:r>
            <w:r w:rsidRPr="00FA4ED2">
              <w:rPr>
                <w:lang w:val="fr-CA"/>
              </w:rPr>
              <w:t xml:space="preserve">ctions privilégiées de </w:t>
            </w:r>
            <w:r w:rsidR="002D3F68">
              <w:rPr>
                <w:lang w:val="fr-CA"/>
              </w:rPr>
              <w:t>catégorie A</w:t>
            </w:r>
            <w:r w:rsidRPr="00FA4ED2">
              <w:rPr>
                <w:lang w:val="fr-CA"/>
              </w:rPr>
              <w:t xml:space="preserve"> </w:t>
            </w:r>
            <w:r w:rsidR="00EB2950" w:rsidRPr="00FA4ED2">
              <w:rPr>
                <w:lang w:val="fr-CA"/>
              </w:rPr>
              <w:t>lorsqu</w:t>
            </w:r>
            <w:r w:rsidR="00CC4D89">
              <w:rPr>
                <w:lang w:val="fr-CA"/>
              </w:rPr>
              <w:t>’</w:t>
            </w:r>
            <w:r w:rsidR="00796463" w:rsidRPr="00FA4ED2">
              <w:rPr>
                <w:lang w:val="fr-CA"/>
              </w:rPr>
              <w:t>ils s</w:t>
            </w:r>
            <w:r w:rsidR="00EB2950" w:rsidRPr="00FA4ED2">
              <w:rPr>
                <w:lang w:val="fr-CA"/>
              </w:rPr>
              <w:t>er</w:t>
            </w:r>
            <w:r w:rsidR="00796463" w:rsidRPr="00FA4ED2">
              <w:rPr>
                <w:lang w:val="fr-CA"/>
              </w:rPr>
              <w:t>ont déclarés par l</w:t>
            </w:r>
            <w:r w:rsidRPr="00FA4ED2">
              <w:rPr>
                <w:lang w:val="fr-CA"/>
              </w:rPr>
              <w:t>e Conseil d</w:t>
            </w:r>
            <w:r w:rsidR="00CC4D89">
              <w:rPr>
                <w:lang w:val="fr-CA"/>
              </w:rPr>
              <w:t>’</w:t>
            </w:r>
            <w:r w:rsidRPr="00FA4ED2">
              <w:rPr>
                <w:lang w:val="fr-CA"/>
              </w:rPr>
              <w:t>administration.]</w:t>
            </w:r>
          </w:p>
          <w:p w14:paraId="4CD199E8" w14:textId="7A02EF75" w:rsidR="0057567C" w:rsidRPr="00FA4ED2" w:rsidRDefault="00DD0E06" w:rsidP="00486839">
            <w:pPr>
              <w:pStyle w:val="BodyText"/>
              <w:rPr>
                <w:lang w:val="fr-CA"/>
              </w:rPr>
            </w:pPr>
            <w:r w:rsidRPr="00FA4ED2">
              <w:rPr>
                <w:lang w:val="fr-CA"/>
              </w:rPr>
              <w:t>[</w:t>
            </w:r>
            <w:r w:rsidR="00796463" w:rsidRPr="00FA4ED2">
              <w:rPr>
                <w:i/>
                <w:iCs/>
                <w:lang w:val="fr-CA"/>
              </w:rPr>
              <w:t>Troisième variante :</w:t>
            </w:r>
            <w:r w:rsidRPr="00FA4ED2">
              <w:rPr>
                <w:lang w:val="fr-CA"/>
              </w:rPr>
              <w:t xml:space="preserve"> Les </w:t>
            </w:r>
            <w:r w:rsidR="00796463" w:rsidRPr="00FA4ED2">
              <w:rPr>
                <w:lang w:val="fr-CA"/>
              </w:rPr>
              <w:t>A</w:t>
            </w:r>
            <w:r w:rsidRPr="00FA4ED2">
              <w:rPr>
                <w:lang w:val="fr-CA"/>
              </w:rPr>
              <w:t xml:space="preserve">ctions privilégiées de </w:t>
            </w:r>
            <w:r w:rsidR="002D3F68">
              <w:rPr>
                <w:lang w:val="fr-CA"/>
              </w:rPr>
              <w:t>catégorie A</w:t>
            </w:r>
            <w:r w:rsidRPr="00FA4ED2">
              <w:rPr>
                <w:lang w:val="fr-CA"/>
              </w:rPr>
              <w:t xml:space="preserve"> </w:t>
            </w:r>
            <w:r w:rsidR="00796463" w:rsidRPr="00FA4ED2">
              <w:rPr>
                <w:lang w:val="fr-CA"/>
              </w:rPr>
              <w:t>seront assorties d</w:t>
            </w:r>
            <w:r w:rsidR="00CC4D89">
              <w:rPr>
                <w:lang w:val="fr-CA"/>
              </w:rPr>
              <w:t>’</w:t>
            </w:r>
            <w:r w:rsidRPr="00FA4ED2">
              <w:rPr>
                <w:lang w:val="fr-CA"/>
              </w:rPr>
              <w:t xml:space="preserve">un dividende cumulatif annuel de </w:t>
            </w:r>
            <w:r w:rsidR="00CE2601">
              <w:rPr>
                <w:lang w:val="fr-CA"/>
              </w:rPr>
              <w:t>[</w:t>
            </w:r>
            <w:r w:rsidRPr="00FA4ED2">
              <w:rPr>
                <w:lang w:val="fr-CA"/>
              </w:rPr>
              <w:t>__</w:t>
            </w:r>
            <w:r w:rsidR="00CE2601">
              <w:rPr>
                <w:lang w:val="fr-CA"/>
              </w:rPr>
              <w:t>]</w:t>
            </w:r>
            <w:r w:rsidR="002D3F68">
              <w:rPr>
                <w:lang w:val="fr-CA"/>
              </w:rPr>
              <w:t> %</w:t>
            </w:r>
            <w:r w:rsidRPr="00FA4ED2">
              <w:rPr>
                <w:lang w:val="fr-CA"/>
              </w:rPr>
              <w:t xml:space="preserve"> [payable en cas de liquidation ou de rachat].</w:t>
            </w:r>
            <w:r w:rsidR="004A387E" w:rsidRPr="00FA4ED2">
              <w:rPr>
                <w:lang w:val="fr-CA"/>
              </w:rPr>
              <w:t xml:space="preserve"> </w:t>
            </w:r>
            <w:r w:rsidRPr="00FA4ED2">
              <w:rPr>
                <w:lang w:val="fr-CA"/>
              </w:rPr>
              <w:t xml:space="preserve">Pour </w:t>
            </w:r>
            <w:r w:rsidR="00B621D7" w:rsidRPr="00FA4ED2">
              <w:rPr>
                <w:lang w:val="fr-CA"/>
              </w:rPr>
              <w:t>les</w:t>
            </w:r>
            <w:r w:rsidRPr="00FA4ED2">
              <w:rPr>
                <w:lang w:val="fr-CA"/>
              </w:rPr>
              <w:t xml:space="preserve"> autre</w:t>
            </w:r>
            <w:r w:rsidR="00B621D7" w:rsidRPr="00FA4ED2">
              <w:rPr>
                <w:lang w:val="fr-CA"/>
              </w:rPr>
              <w:t>s</w:t>
            </w:r>
            <w:r w:rsidRPr="00FA4ED2">
              <w:rPr>
                <w:lang w:val="fr-CA"/>
              </w:rPr>
              <w:t xml:space="preserve"> dividende</w:t>
            </w:r>
            <w:r w:rsidR="00B621D7" w:rsidRPr="00FA4ED2">
              <w:rPr>
                <w:lang w:val="fr-CA"/>
              </w:rPr>
              <w:t>s</w:t>
            </w:r>
            <w:r w:rsidRPr="00FA4ED2">
              <w:rPr>
                <w:lang w:val="fr-CA"/>
              </w:rPr>
              <w:t xml:space="preserve"> ou distribution</w:t>
            </w:r>
            <w:r w:rsidR="00B621D7" w:rsidRPr="00FA4ED2">
              <w:rPr>
                <w:lang w:val="fr-CA"/>
              </w:rPr>
              <w:t>s</w:t>
            </w:r>
            <w:r w:rsidRPr="00FA4ED2">
              <w:rPr>
                <w:lang w:val="fr-CA"/>
              </w:rPr>
              <w:t xml:space="preserve">, </w:t>
            </w:r>
            <w:r w:rsidR="00896340" w:rsidRPr="00FA4ED2">
              <w:rPr>
                <w:lang w:val="fr-CA"/>
              </w:rPr>
              <w:t>elles conf</w:t>
            </w:r>
            <w:r w:rsidR="00B621D7" w:rsidRPr="00FA4ED2">
              <w:rPr>
                <w:lang w:val="fr-CA"/>
              </w:rPr>
              <w:t>éreront</w:t>
            </w:r>
            <w:r w:rsidR="00896340" w:rsidRPr="00FA4ED2">
              <w:rPr>
                <w:lang w:val="fr-CA"/>
              </w:rPr>
              <w:t xml:space="preserve"> </w:t>
            </w:r>
            <w:r w:rsidR="00D31148" w:rsidRPr="00FA4ED2">
              <w:rPr>
                <w:lang w:val="fr-CA"/>
              </w:rPr>
              <w:t>un droit de</w:t>
            </w:r>
            <w:r w:rsidR="00AF7338">
              <w:rPr>
                <w:lang w:val="fr-CA"/>
              </w:rPr>
              <w:t xml:space="preserve"> </w:t>
            </w:r>
            <w:r w:rsidRPr="00FA4ED2">
              <w:rPr>
                <w:lang w:val="fr-CA"/>
              </w:rPr>
              <w:t xml:space="preserve">participation </w:t>
            </w:r>
            <w:r w:rsidR="00C260F9" w:rsidRPr="00FA4ED2">
              <w:rPr>
                <w:lang w:val="fr-CA"/>
              </w:rPr>
              <w:t>avec les</w:t>
            </w:r>
            <w:r w:rsidRPr="00FA4ED2">
              <w:rPr>
                <w:lang w:val="fr-CA"/>
              </w:rPr>
              <w:t xml:space="preserve"> [</w:t>
            </w:r>
            <w:r w:rsidR="00796463" w:rsidRPr="00FA4ED2">
              <w:rPr>
                <w:lang w:val="fr-CA"/>
              </w:rPr>
              <w:t>A</w:t>
            </w:r>
            <w:r w:rsidRPr="00FA4ED2">
              <w:rPr>
                <w:lang w:val="fr-CA"/>
              </w:rPr>
              <w:t>ctions ordinaires]</w:t>
            </w:r>
            <w:r w:rsidR="00675592" w:rsidRPr="00FA4ED2">
              <w:rPr>
                <w:lang w:val="fr-CA"/>
              </w:rPr>
              <w:t>,</w:t>
            </w:r>
            <w:r w:rsidRPr="00FA4ED2">
              <w:rPr>
                <w:lang w:val="fr-CA"/>
              </w:rPr>
              <w:t xml:space="preserve"> </w:t>
            </w:r>
            <w:r w:rsidR="00796463" w:rsidRPr="00FA4ED2">
              <w:rPr>
                <w:lang w:val="fr-CA"/>
              </w:rPr>
              <w:t>comme si elles étaient converties</w:t>
            </w:r>
            <w:r w:rsidRPr="00FA4ED2">
              <w:rPr>
                <w:lang w:val="fr-CA"/>
              </w:rPr>
              <w:t>.]</w:t>
            </w:r>
            <w:r w:rsidR="004A387E" w:rsidRPr="008A64C8">
              <w:rPr>
                <w:rStyle w:val="FootnoteReference"/>
                <w:lang w:val="fr-CA"/>
              </w:rPr>
              <w:footnoteReference w:id="8"/>
            </w:r>
          </w:p>
        </w:tc>
      </w:tr>
      <w:tr w:rsidR="00897CD8" w:rsidRPr="008E00AC" w14:paraId="20AF14E0" w14:textId="77777777" w:rsidTr="00EE3005">
        <w:tblPrEx>
          <w:tblLook w:val="06A0" w:firstRow="1" w:lastRow="0" w:firstColumn="1" w:lastColumn="0" w:noHBand="1" w:noVBand="1"/>
        </w:tblPrEx>
        <w:tc>
          <w:tcPr>
            <w:tcW w:w="1585" w:type="pct"/>
            <w:shd w:val="clear" w:color="auto" w:fill="auto"/>
          </w:tcPr>
          <w:p w14:paraId="43607209" w14:textId="47E29770" w:rsidR="0057567C" w:rsidRPr="00FA4ED2" w:rsidRDefault="004A387E">
            <w:pPr>
              <w:pStyle w:val="TableHeading2"/>
              <w:rPr>
                <w:lang w:val="fr-CA"/>
              </w:rPr>
            </w:pPr>
            <w:r w:rsidRPr="00FA4ED2">
              <w:rPr>
                <w:lang w:val="fr-CA"/>
              </w:rPr>
              <w:t>Priorité en cas de liquidation</w:t>
            </w:r>
            <w:r w:rsidR="00796463" w:rsidRPr="00FA4ED2">
              <w:rPr>
                <w:lang w:val="fr-CA"/>
              </w:rPr>
              <w:t> </w:t>
            </w:r>
            <w:r w:rsidRPr="00FA4ED2">
              <w:rPr>
                <w:lang w:val="fr-CA"/>
              </w:rPr>
              <w:t>:</w:t>
            </w:r>
          </w:p>
        </w:tc>
        <w:tc>
          <w:tcPr>
            <w:tcW w:w="3415" w:type="pct"/>
            <w:shd w:val="clear" w:color="auto" w:fill="auto"/>
          </w:tcPr>
          <w:p w14:paraId="6603A127" w14:textId="3FAD6632" w:rsidR="0057567C" w:rsidRPr="00FA4ED2" w:rsidRDefault="004A387E">
            <w:pPr>
              <w:pStyle w:val="BodyText"/>
              <w:rPr>
                <w:lang w:val="fr-CA"/>
              </w:rPr>
            </w:pPr>
            <w:r w:rsidRPr="00FA4ED2">
              <w:rPr>
                <w:lang w:val="fr-CA"/>
              </w:rPr>
              <w:t>En cas de liquidation ou de dissolution de la Société, le produit sera versé comme suit</w:t>
            </w:r>
            <w:r w:rsidR="00796463" w:rsidRPr="00FA4ED2">
              <w:rPr>
                <w:lang w:val="fr-CA"/>
              </w:rPr>
              <w:t> </w:t>
            </w:r>
            <w:r w:rsidRPr="00FA4ED2">
              <w:rPr>
                <w:lang w:val="fr-CA"/>
              </w:rPr>
              <w:t>:</w:t>
            </w:r>
          </w:p>
          <w:p w14:paraId="344A45DC" w14:textId="74AAF898" w:rsidR="0057567C" w:rsidRPr="00FA4ED2" w:rsidRDefault="004A387E">
            <w:pPr>
              <w:pStyle w:val="BodyText"/>
              <w:rPr>
                <w:lang w:val="fr-CA"/>
              </w:rPr>
            </w:pPr>
            <w:r w:rsidRPr="00FA4ED2">
              <w:rPr>
                <w:lang w:val="fr-CA"/>
              </w:rPr>
              <w:t>[</w:t>
            </w:r>
            <w:r w:rsidR="00796463" w:rsidRPr="00FA4ED2">
              <w:rPr>
                <w:i/>
                <w:iCs/>
                <w:lang w:val="fr-CA"/>
              </w:rPr>
              <w:t>Première variante</w:t>
            </w:r>
            <w:r w:rsidRPr="00FA4ED2">
              <w:rPr>
                <w:i/>
                <w:iCs/>
                <w:lang w:val="fr-CA"/>
              </w:rPr>
              <w:t xml:space="preserve"> (</w:t>
            </w:r>
            <w:r w:rsidR="00796463" w:rsidRPr="00FA4ED2">
              <w:rPr>
                <w:i/>
                <w:iCs/>
                <w:lang w:val="fr-CA"/>
              </w:rPr>
              <w:t>A</w:t>
            </w:r>
            <w:r w:rsidRPr="00FA4ED2">
              <w:rPr>
                <w:i/>
                <w:iCs/>
                <w:lang w:val="fr-CA"/>
              </w:rPr>
              <w:t>ctions privilégiées non participa</w:t>
            </w:r>
            <w:r w:rsidR="00796463" w:rsidRPr="00FA4ED2">
              <w:rPr>
                <w:i/>
                <w:iCs/>
                <w:lang w:val="fr-CA"/>
              </w:rPr>
              <w:t>tives</w:t>
            </w:r>
            <w:r w:rsidRPr="00FA4ED2">
              <w:rPr>
                <w:i/>
                <w:iCs/>
                <w:lang w:val="fr-CA"/>
              </w:rPr>
              <w:t>)</w:t>
            </w:r>
            <w:r w:rsidR="00DB6ECC" w:rsidRPr="00FA4ED2">
              <w:rPr>
                <w:i/>
                <w:iCs/>
                <w:lang w:val="fr-CA"/>
              </w:rPr>
              <w:t> </w:t>
            </w:r>
            <w:r w:rsidRPr="00FA4ED2">
              <w:rPr>
                <w:lang w:val="fr-CA"/>
              </w:rPr>
              <w:t xml:space="preserve">: </w:t>
            </w:r>
            <w:r w:rsidR="00C260F9" w:rsidRPr="00FA4ED2">
              <w:rPr>
                <w:lang w:val="fr-CA"/>
              </w:rPr>
              <w:t>D</w:t>
            </w:r>
            <w:r w:rsidR="00CC4D89">
              <w:rPr>
                <w:lang w:val="fr-CA"/>
              </w:rPr>
              <w:t>’</w:t>
            </w:r>
            <w:r w:rsidR="00C260F9" w:rsidRPr="00FA4ED2">
              <w:rPr>
                <w:lang w:val="fr-CA"/>
              </w:rPr>
              <w:t>abord</w:t>
            </w:r>
            <w:r w:rsidR="00072E00" w:rsidRPr="00FA4ED2">
              <w:rPr>
                <w:lang w:val="fr-CA"/>
              </w:rPr>
              <w:t xml:space="preserve">, </w:t>
            </w:r>
            <w:r w:rsidR="00896340" w:rsidRPr="00FA4ED2">
              <w:rPr>
                <w:lang w:val="fr-CA"/>
              </w:rPr>
              <w:t xml:space="preserve">un </w:t>
            </w:r>
            <w:r w:rsidR="00072E00" w:rsidRPr="00FA4ED2">
              <w:rPr>
                <w:lang w:val="fr-CA"/>
              </w:rPr>
              <w:t>paiement c</w:t>
            </w:r>
            <w:r w:rsidR="00DB6ECC" w:rsidRPr="00FA4ED2">
              <w:rPr>
                <w:lang w:val="fr-CA"/>
              </w:rPr>
              <w:t xml:space="preserve">orrespondant à </w:t>
            </w:r>
            <w:r w:rsidRPr="00FA4ED2">
              <w:rPr>
                <w:lang w:val="fr-CA"/>
              </w:rPr>
              <w:t>[●</w:t>
            </w:r>
            <w:r w:rsidR="003E1439">
              <w:rPr>
                <w:lang w:val="fr-CA"/>
              </w:rPr>
              <w:t> fois</w:t>
            </w:r>
            <w:r w:rsidRPr="00FA4ED2">
              <w:rPr>
                <w:lang w:val="fr-CA"/>
              </w:rPr>
              <w:t xml:space="preserve">] le </w:t>
            </w:r>
            <w:r w:rsidR="00DB6ECC" w:rsidRPr="00FA4ED2">
              <w:rPr>
                <w:lang w:val="fr-CA"/>
              </w:rPr>
              <w:t>P</w:t>
            </w:r>
            <w:r w:rsidRPr="00FA4ED2">
              <w:rPr>
                <w:lang w:val="fr-CA"/>
              </w:rPr>
              <w:t>rix d</w:t>
            </w:r>
            <w:r w:rsidR="00CC4D89">
              <w:rPr>
                <w:lang w:val="fr-CA"/>
              </w:rPr>
              <w:t>’</w:t>
            </w:r>
            <w:r w:rsidRPr="00FA4ED2">
              <w:rPr>
                <w:lang w:val="fr-CA"/>
              </w:rPr>
              <w:t xml:space="preserve">achat initial [majoré des dividendes [cumulés et] déclarés et non versés] sur chaque </w:t>
            </w:r>
            <w:r w:rsidR="00DB6ECC" w:rsidRPr="00FA4ED2">
              <w:rPr>
                <w:lang w:val="fr-CA"/>
              </w:rPr>
              <w:t>A</w:t>
            </w:r>
            <w:r w:rsidRPr="00FA4ED2">
              <w:rPr>
                <w:lang w:val="fr-CA"/>
              </w:rPr>
              <w:t xml:space="preserve">ction privilégiée de </w:t>
            </w:r>
            <w:r w:rsidR="002D3F68">
              <w:rPr>
                <w:lang w:val="fr-CA"/>
              </w:rPr>
              <w:t>catégorie A</w:t>
            </w:r>
            <w:r w:rsidRPr="00FA4ED2">
              <w:rPr>
                <w:lang w:val="fr-CA"/>
              </w:rPr>
              <w:t xml:space="preserve"> (ou, s</w:t>
            </w:r>
            <w:r w:rsidR="00CC4D89">
              <w:rPr>
                <w:lang w:val="fr-CA"/>
              </w:rPr>
              <w:t>’</w:t>
            </w:r>
            <w:r w:rsidR="00072E00" w:rsidRPr="00FA4ED2">
              <w:rPr>
                <w:lang w:val="fr-CA"/>
              </w:rPr>
              <w:t>il est s</w:t>
            </w:r>
            <w:r w:rsidRPr="00FA4ED2">
              <w:rPr>
                <w:lang w:val="fr-CA"/>
              </w:rPr>
              <w:t>upérieur, le montant qu</w:t>
            </w:r>
            <w:r w:rsidR="00DB6ECC" w:rsidRPr="00FA4ED2">
              <w:rPr>
                <w:lang w:val="fr-CA"/>
              </w:rPr>
              <w:t>i serait versé sur l</w:t>
            </w:r>
            <w:r w:rsidR="00CC4D89">
              <w:rPr>
                <w:lang w:val="fr-CA"/>
              </w:rPr>
              <w:t>’</w:t>
            </w:r>
            <w:r w:rsidR="00DB6ECC" w:rsidRPr="00FA4ED2">
              <w:rPr>
                <w:lang w:val="fr-CA"/>
              </w:rPr>
              <w:t>A</w:t>
            </w:r>
            <w:r w:rsidRPr="00FA4ED2">
              <w:rPr>
                <w:lang w:val="fr-CA"/>
              </w:rPr>
              <w:t xml:space="preserve">ction privilégiée de </w:t>
            </w:r>
            <w:r w:rsidR="002D3F68">
              <w:rPr>
                <w:lang w:val="fr-CA"/>
              </w:rPr>
              <w:t>catégorie A</w:t>
            </w:r>
            <w:r w:rsidRPr="00FA4ED2">
              <w:rPr>
                <w:lang w:val="fr-CA"/>
              </w:rPr>
              <w:t xml:space="preserve"> </w:t>
            </w:r>
            <w:r w:rsidR="00D31148" w:rsidRPr="00FA4ED2">
              <w:rPr>
                <w:lang w:val="fr-CA"/>
              </w:rPr>
              <w:t xml:space="preserve">comme </w:t>
            </w:r>
            <w:r w:rsidR="00DB6ECC" w:rsidRPr="00FA4ED2">
              <w:rPr>
                <w:lang w:val="fr-CA"/>
              </w:rPr>
              <w:t>si elle était convertie</w:t>
            </w:r>
            <w:r w:rsidRPr="00FA4ED2">
              <w:rPr>
                <w:lang w:val="fr-CA"/>
              </w:rPr>
              <w:t xml:space="preserve">). Le reliquat du produit </w:t>
            </w:r>
            <w:r w:rsidR="00D31148" w:rsidRPr="00FA4ED2">
              <w:rPr>
                <w:lang w:val="fr-CA"/>
              </w:rPr>
              <w:t>sera</w:t>
            </w:r>
            <w:r w:rsidRPr="00FA4ED2">
              <w:rPr>
                <w:lang w:val="fr-CA"/>
              </w:rPr>
              <w:t xml:space="preserve"> distribué au prorata aux porteurs d</w:t>
            </w:r>
            <w:r w:rsidR="00CC4D89">
              <w:rPr>
                <w:lang w:val="fr-CA"/>
              </w:rPr>
              <w:t>’</w:t>
            </w:r>
            <w:r w:rsidRPr="00FA4ED2">
              <w:rPr>
                <w:lang w:val="fr-CA"/>
              </w:rPr>
              <w:t>Actions ordinaires.]</w:t>
            </w:r>
          </w:p>
          <w:p w14:paraId="2066E9F5" w14:textId="6EF42185" w:rsidR="0057567C" w:rsidRPr="00FA4ED2" w:rsidRDefault="004A387E">
            <w:pPr>
              <w:pStyle w:val="BodyText"/>
              <w:rPr>
                <w:lang w:val="fr-CA"/>
              </w:rPr>
            </w:pPr>
            <w:r w:rsidRPr="00FA4ED2">
              <w:rPr>
                <w:lang w:val="fr-CA"/>
              </w:rPr>
              <w:t>[</w:t>
            </w:r>
            <w:r w:rsidR="00DB6ECC" w:rsidRPr="00FA4ED2">
              <w:rPr>
                <w:i/>
                <w:iCs/>
                <w:lang w:val="fr-CA"/>
              </w:rPr>
              <w:t>Deuxième variante</w:t>
            </w:r>
            <w:r w:rsidRPr="00FA4ED2">
              <w:rPr>
                <w:lang w:val="fr-CA"/>
              </w:rPr>
              <w:t xml:space="preserve"> </w:t>
            </w:r>
            <w:r w:rsidRPr="00FA4ED2">
              <w:rPr>
                <w:i/>
                <w:iCs/>
                <w:lang w:val="fr-CA"/>
              </w:rPr>
              <w:t>(</w:t>
            </w:r>
            <w:r w:rsidR="00DB6ECC" w:rsidRPr="00FA4ED2">
              <w:rPr>
                <w:i/>
                <w:iCs/>
                <w:lang w:val="fr-CA"/>
              </w:rPr>
              <w:t>A</w:t>
            </w:r>
            <w:r w:rsidRPr="00FA4ED2">
              <w:rPr>
                <w:i/>
                <w:iCs/>
                <w:lang w:val="fr-CA"/>
              </w:rPr>
              <w:t xml:space="preserve">ctions privilégiées </w:t>
            </w:r>
            <w:r w:rsidR="00DB6ECC" w:rsidRPr="00FA4ED2">
              <w:rPr>
                <w:i/>
                <w:iCs/>
                <w:lang w:val="fr-CA"/>
              </w:rPr>
              <w:t>entièrement participatives</w:t>
            </w:r>
            <w:r w:rsidRPr="00FA4ED2">
              <w:rPr>
                <w:i/>
                <w:iCs/>
                <w:lang w:val="fr-CA"/>
              </w:rPr>
              <w:t>)</w:t>
            </w:r>
            <w:r w:rsidR="00DB6ECC" w:rsidRPr="00FA4ED2">
              <w:rPr>
                <w:lang w:val="fr-CA"/>
              </w:rPr>
              <w:t> </w:t>
            </w:r>
            <w:r w:rsidRPr="00FA4ED2">
              <w:rPr>
                <w:lang w:val="fr-CA"/>
              </w:rPr>
              <w:t>:</w:t>
            </w:r>
            <w:r w:rsidR="00DB6ECC" w:rsidRPr="00FA4ED2">
              <w:rPr>
                <w:lang w:val="fr-CA"/>
              </w:rPr>
              <w:t> </w:t>
            </w:r>
            <w:r w:rsidR="00C260F9" w:rsidRPr="00FA4ED2">
              <w:rPr>
                <w:lang w:val="fr-CA"/>
              </w:rPr>
              <w:t>D</w:t>
            </w:r>
            <w:r w:rsidR="00CC4D89">
              <w:rPr>
                <w:lang w:val="fr-CA"/>
              </w:rPr>
              <w:t>’</w:t>
            </w:r>
            <w:r w:rsidR="00C260F9" w:rsidRPr="00FA4ED2">
              <w:rPr>
                <w:lang w:val="fr-CA"/>
              </w:rPr>
              <w:t>abord</w:t>
            </w:r>
            <w:r w:rsidR="0005126D" w:rsidRPr="00FA4ED2">
              <w:rPr>
                <w:lang w:val="fr-CA"/>
              </w:rPr>
              <w:t xml:space="preserve">, </w:t>
            </w:r>
            <w:r w:rsidR="00D31148" w:rsidRPr="00FA4ED2">
              <w:rPr>
                <w:lang w:val="fr-CA"/>
              </w:rPr>
              <w:t xml:space="preserve">un </w:t>
            </w:r>
            <w:r w:rsidR="0005126D" w:rsidRPr="00FA4ED2">
              <w:rPr>
                <w:lang w:val="fr-CA"/>
              </w:rPr>
              <w:t xml:space="preserve">paiement </w:t>
            </w:r>
            <w:r w:rsidR="00DB6ECC" w:rsidRPr="00FA4ED2">
              <w:rPr>
                <w:lang w:val="fr-CA"/>
              </w:rPr>
              <w:t xml:space="preserve">correspondant à </w:t>
            </w:r>
            <w:r w:rsidRPr="00FA4ED2">
              <w:rPr>
                <w:lang w:val="fr-CA"/>
              </w:rPr>
              <w:t>[●</w:t>
            </w:r>
            <w:r w:rsidR="003E1439">
              <w:rPr>
                <w:lang w:val="fr-CA"/>
              </w:rPr>
              <w:t> fois</w:t>
            </w:r>
            <w:r w:rsidRPr="00FA4ED2">
              <w:rPr>
                <w:lang w:val="fr-CA"/>
              </w:rPr>
              <w:t xml:space="preserve">] le </w:t>
            </w:r>
            <w:r w:rsidR="00DB6ECC" w:rsidRPr="00FA4ED2">
              <w:rPr>
                <w:lang w:val="fr-CA"/>
              </w:rPr>
              <w:t>P</w:t>
            </w:r>
            <w:r w:rsidRPr="00FA4ED2">
              <w:rPr>
                <w:lang w:val="fr-CA"/>
              </w:rPr>
              <w:t>rix d</w:t>
            </w:r>
            <w:r w:rsidR="00CC4D89">
              <w:rPr>
                <w:lang w:val="fr-CA"/>
              </w:rPr>
              <w:t>’</w:t>
            </w:r>
            <w:r w:rsidRPr="00FA4ED2">
              <w:rPr>
                <w:lang w:val="fr-CA"/>
              </w:rPr>
              <w:t xml:space="preserve">achat initial [majoré des dividendes cumulés et déclarés et non versés] sur chaque </w:t>
            </w:r>
            <w:r w:rsidR="0005126D" w:rsidRPr="00FA4ED2">
              <w:rPr>
                <w:lang w:val="fr-CA"/>
              </w:rPr>
              <w:t>A</w:t>
            </w:r>
            <w:r w:rsidRPr="00FA4ED2">
              <w:rPr>
                <w:lang w:val="fr-CA"/>
              </w:rPr>
              <w:t xml:space="preserve">ction privilégiée de </w:t>
            </w:r>
            <w:r w:rsidR="002D3F68">
              <w:rPr>
                <w:lang w:val="fr-CA"/>
              </w:rPr>
              <w:t>catégorie A</w:t>
            </w:r>
            <w:r w:rsidRPr="00FA4ED2">
              <w:rPr>
                <w:lang w:val="fr-CA"/>
              </w:rPr>
              <w:t>. P</w:t>
            </w:r>
            <w:r w:rsidR="00C260F9" w:rsidRPr="00FA4ED2">
              <w:rPr>
                <w:lang w:val="fr-CA"/>
              </w:rPr>
              <w:t>uis</w:t>
            </w:r>
            <w:r w:rsidRPr="00FA4ED2">
              <w:rPr>
                <w:lang w:val="fr-CA"/>
              </w:rPr>
              <w:t xml:space="preserve">, les Actions privilégiées de </w:t>
            </w:r>
            <w:r w:rsidR="002D3F68">
              <w:rPr>
                <w:lang w:val="fr-CA"/>
              </w:rPr>
              <w:t>catégorie A</w:t>
            </w:r>
            <w:r w:rsidRPr="00FA4ED2">
              <w:rPr>
                <w:lang w:val="fr-CA"/>
              </w:rPr>
              <w:t xml:space="preserve"> conf</w:t>
            </w:r>
            <w:r w:rsidR="00B621D7" w:rsidRPr="00FA4ED2">
              <w:rPr>
                <w:lang w:val="fr-CA"/>
              </w:rPr>
              <w:t>éreront</w:t>
            </w:r>
            <w:r w:rsidRPr="00FA4ED2">
              <w:rPr>
                <w:lang w:val="fr-CA"/>
              </w:rPr>
              <w:t xml:space="preserve"> un droit de participation </w:t>
            </w:r>
            <w:r w:rsidR="00CC5128" w:rsidRPr="00FA4ED2">
              <w:rPr>
                <w:lang w:val="fr-CA"/>
              </w:rPr>
              <w:t>a</w:t>
            </w:r>
            <w:r w:rsidRPr="00FA4ED2">
              <w:rPr>
                <w:lang w:val="fr-CA"/>
              </w:rPr>
              <w:t xml:space="preserve">vec les </w:t>
            </w:r>
            <w:r w:rsidR="00B621D7" w:rsidRPr="00FA4ED2">
              <w:rPr>
                <w:lang w:val="fr-CA"/>
              </w:rPr>
              <w:t>A</w:t>
            </w:r>
            <w:r w:rsidRPr="00FA4ED2">
              <w:rPr>
                <w:lang w:val="fr-CA"/>
              </w:rPr>
              <w:t>ctions ordinaires</w:t>
            </w:r>
            <w:r w:rsidR="00CC5128" w:rsidRPr="00FA4ED2">
              <w:rPr>
                <w:lang w:val="fr-CA"/>
              </w:rPr>
              <w:t xml:space="preserve"> au prorata</w:t>
            </w:r>
            <w:r w:rsidRPr="00FA4ED2">
              <w:rPr>
                <w:lang w:val="fr-CA"/>
              </w:rPr>
              <w:t xml:space="preserve"> </w:t>
            </w:r>
            <w:r w:rsidR="0005126D" w:rsidRPr="00FA4ED2">
              <w:rPr>
                <w:lang w:val="fr-CA"/>
              </w:rPr>
              <w:t>comme si elles étaient converties</w:t>
            </w:r>
            <w:r w:rsidRPr="00FA4ED2">
              <w:rPr>
                <w:lang w:val="fr-CA"/>
              </w:rPr>
              <w:t>.]</w:t>
            </w:r>
          </w:p>
          <w:p w14:paraId="272A1819" w14:textId="4253C983" w:rsidR="0057567C" w:rsidRPr="00FA4ED2" w:rsidRDefault="004A387E">
            <w:pPr>
              <w:pStyle w:val="BodyText"/>
              <w:rPr>
                <w:lang w:val="fr-CA"/>
              </w:rPr>
            </w:pPr>
            <w:r w:rsidRPr="00FA4ED2">
              <w:rPr>
                <w:lang w:val="fr-CA"/>
              </w:rPr>
              <w:t>[</w:t>
            </w:r>
            <w:r w:rsidR="0005126D" w:rsidRPr="00FA4ED2">
              <w:rPr>
                <w:i/>
                <w:iCs/>
                <w:lang w:val="fr-CA"/>
              </w:rPr>
              <w:t>Troisième variante</w:t>
            </w:r>
            <w:r w:rsidRPr="00FA4ED2">
              <w:rPr>
                <w:i/>
                <w:iCs/>
                <w:lang w:val="fr-CA"/>
              </w:rPr>
              <w:t xml:space="preserve"> (plafond sur les droits de participation conférés par les Actions privilégiées)</w:t>
            </w:r>
            <w:r w:rsidR="00C260F9" w:rsidRPr="00FA4ED2">
              <w:rPr>
                <w:i/>
                <w:iCs/>
                <w:lang w:val="fr-CA"/>
              </w:rPr>
              <w:t> </w:t>
            </w:r>
            <w:r w:rsidRPr="00FA4ED2">
              <w:rPr>
                <w:lang w:val="fr-CA"/>
              </w:rPr>
              <w:t>:</w:t>
            </w:r>
            <w:r w:rsidR="00C260F9" w:rsidRPr="00FA4ED2">
              <w:rPr>
                <w:lang w:val="fr-CA"/>
              </w:rPr>
              <w:t> D</w:t>
            </w:r>
            <w:r w:rsidR="00CC4D89">
              <w:rPr>
                <w:lang w:val="fr-CA"/>
              </w:rPr>
              <w:t>’</w:t>
            </w:r>
            <w:r w:rsidR="00C260F9" w:rsidRPr="00FA4ED2">
              <w:rPr>
                <w:lang w:val="fr-CA"/>
              </w:rPr>
              <w:t>abord,</w:t>
            </w:r>
            <w:r w:rsidR="00D31148" w:rsidRPr="00FA4ED2">
              <w:rPr>
                <w:lang w:val="fr-CA"/>
              </w:rPr>
              <w:t xml:space="preserve"> un</w:t>
            </w:r>
            <w:r w:rsidR="00C260F9" w:rsidRPr="00FA4ED2">
              <w:rPr>
                <w:lang w:val="fr-CA"/>
              </w:rPr>
              <w:t xml:space="preserve"> paiement correspondant à</w:t>
            </w:r>
            <w:r w:rsidRPr="00FA4ED2">
              <w:rPr>
                <w:lang w:val="fr-CA"/>
              </w:rPr>
              <w:t xml:space="preserve"> [●</w:t>
            </w:r>
            <w:r w:rsidR="003E1439">
              <w:rPr>
                <w:lang w:val="fr-CA"/>
              </w:rPr>
              <w:t> fois</w:t>
            </w:r>
            <w:r w:rsidRPr="00FA4ED2">
              <w:rPr>
                <w:lang w:val="fr-CA"/>
              </w:rPr>
              <w:t xml:space="preserve">] le </w:t>
            </w:r>
            <w:r w:rsidR="00C260F9" w:rsidRPr="00FA4ED2">
              <w:rPr>
                <w:lang w:val="fr-CA"/>
              </w:rPr>
              <w:t>P</w:t>
            </w:r>
            <w:r w:rsidRPr="00FA4ED2">
              <w:rPr>
                <w:lang w:val="fr-CA"/>
              </w:rPr>
              <w:t>rix d</w:t>
            </w:r>
            <w:r w:rsidR="00CC4D89">
              <w:rPr>
                <w:lang w:val="fr-CA"/>
              </w:rPr>
              <w:t>’</w:t>
            </w:r>
            <w:r w:rsidRPr="00FA4ED2">
              <w:rPr>
                <w:lang w:val="fr-CA"/>
              </w:rPr>
              <w:t xml:space="preserve">achat initial [majoré des dividendes cumulés et déclarés et non versés] sur chaque </w:t>
            </w:r>
            <w:r w:rsidR="00C260F9" w:rsidRPr="00FA4ED2">
              <w:rPr>
                <w:lang w:val="fr-CA"/>
              </w:rPr>
              <w:t>A</w:t>
            </w:r>
            <w:r w:rsidRPr="00FA4ED2">
              <w:rPr>
                <w:lang w:val="fr-CA"/>
              </w:rPr>
              <w:t xml:space="preserve">ction privilégiée de </w:t>
            </w:r>
            <w:r w:rsidR="002D3F68">
              <w:rPr>
                <w:lang w:val="fr-CA"/>
              </w:rPr>
              <w:t>catégorie A</w:t>
            </w:r>
            <w:r w:rsidRPr="00FA4ED2">
              <w:rPr>
                <w:lang w:val="fr-CA"/>
              </w:rPr>
              <w:t>. P</w:t>
            </w:r>
            <w:r w:rsidR="00C260F9" w:rsidRPr="00FA4ED2">
              <w:rPr>
                <w:lang w:val="fr-CA"/>
              </w:rPr>
              <w:t>uis</w:t>
            </w:r>
            <w:r w:rsidRPr="00FA4ED2">
              <w:rPr>
                <w:lang w:val="fr-CA"/>
              </w:rPr>
              <w:t xml:space="preserve">, les Actions privilégiées de </w:t>
            </w:r>
            <w:r w:rsidR="002D3F68">
              <w:rPr>
                <w:lang w:val="fr-CA"/>
              </w:rPr>
              <w:t>catégorie A</w:t>
            </w:r>
            <w:r w:rsidRPr="00FA4ED2">
              <w:rPr>
                <w:lang w:val="fr-CA"/>
              </w:rPr>
              <w:t xml:space="preserve"> </w:t>
            </w:r>
            <w:r w:rsidR="00D31148" w:rsidRPr="00FA4ED2">
              <w:rPr>
                <w:lang w:val="fr-CA"/>
              </w:rPr>
              <w:t>conf</w:t>
            </w:r>
            <w:r w:rsidR="00675592" w:rsidRPr="00FA4ED2">
              <w:rPr>
                <w:lang w:val="fr-CA"/>
              </w:rPr>
              <w:t>éreront</w:t>
            </w:r>
            <w:r w:rsidR="00D31148" w:rsidRPr="00FA4ED2">
              <w:rPr>
                <w:lang w:val="fr-CA"/>
              </w:rPr>
              <w:t xml:space="preserve"> un droit de </w:t>
            </w:r>
            <w:r w:rsidRPr="00FA4ED2">
              <w:rPr>
                <w:lang w:val="fr-CA"/>
              </w:rPr>
              <w:t>particip</w:t>
            </w:r>
            <w:r w:rsidR="00D31148" w:rsidRPr="00FA4ED2">
              <w:rPr>
                <w:lang w:val="fr-CA"/>
              </w:rPr>
              <w:t>ation</w:t>
            </w:r>
            <w:r w:rsidRPr="00FA4ED2">
              <w:rPr>
                <w:lang w:val="fr-CA"/>
              </w:rPr>
              <w:t xml:space="preserve"> avec les Actions ordinaires</w:t>
            </w:r>
            <w:r w:rsidR="00CC5128" w:rsidRPr="00FA4ED2">
              <w:rPr>
                <w:lang w:val="fr-CA"/>
              </w:rPr>
              <w:t xml:space="preserve"> au prorata</w:t>
            </w:r>
            <w:r w:rsidRPr="00FA4ED2">
              <w:rPr>
                <w:lang w:val="fr-CA"/>
              </w:rPr>
              <w:t xml:space="preserve"> </w:t>
            </w:r>
            <w:r w:rsidR="00C260F9" w:rsidRPr="00FA4ED2">
              <w:rPr>
                <w:lang w:val="fr-CA"/>
              </w:rPr>
              <w:t>comme si elles étaient converties</w:t>
            </w:r>
            <w:r w:rsidRPr="00FA4ED2">
              <w:rPr>
                <w:lang w:val="fr-CA"/>
              </w:rPr>
              <w:t>, jusqu</w:t>
            </w:r>
            <w:r w:rsidR="00CC4D89">
              <w:rPr>
                <w:lang w:val="fr-CA"/>
              </w:rPr>
              <w:t>’</w:t>
            </w:r>
            <w:r w:rsidRPr="00FA4ED2">
              <w:rPr>
                <w:lang w:val="fr-CA"/>
              </w:rPr>
              <w:t xml:space="preserve">à ce </w:t>
            </w:r>
            <w:r w:rsidR="00D31148" w:rsidRPr="00FA4ED2">
              <w:rPr>
                <w:lang w:val="fr-CA"/>
              </w:rPr>
              <w:t>que les porteurs</w:t>
            </w:r>
            <w:r w:rsidRPr="00FA4ED2">
              <w:rPr>
                <w:lang w:val="fr-CA"/>
              </w:rPr>
              <w:t xml:space="preserve"> </w:t>
            </w:r>
            <w:r w:rsidR="00D31148" w:rsidRPr="00FA4ED2">
              <w:rPr>
                <w:lang w:val="fr-CA"/>
              </w:rPr>
              <w:t>d</w:t>
            </w:r>
            <w:r w:rsidR="00CC4D89">
              <w:rPr>
                <w:lang w:val="fr-CA"/>
              </w:rPr>
              <w:t>’</w:t>
            </w:r>
            <w:r w:rsidR="00D31148" w:rsidRPr="00FA4ED2">
              <w:rPr>
                <w:lang w:val="fr-CA"/>
              </w:rPr>
              <w:t xml:space="preserve">Actions privilégiées de </w:t>
            </w:r>
            <w:r w:rsidR="002D3F68">
              <w:rPr>
                <w:lang w:val="fr-CA"/>
              </w:rPr>
              <w:t>catégorie A</w:t>
            </w:r>
            <w:r w:rsidR="00D31148" w:rsidRPr="00FA4ED2">
              <w:rPr>
                <w:lang w:val="fr-CA"/>
              </w:rPr>
              <w:t xml:space="preserve"> </w:t>
            </w:r>
            <w:r w:rsidR="00675592" w:rsidRPr="00FA4ED2">
              <w:rPr>
                <w:lang w:val="fr-CA"/>
              </w:rPr>
              <w:t>aient reçu</w:t>
            </w:r>
            <w:r w:rsidRPr="00FA4ED2">
              <w:rPr>
                <w:lang w:val="fr-CA"/>
              </w:rPr>
              <w:t xml:space="preserve"> un </w:t>
            </w:r>
            <w:r w:rsidR="00C260F9" w:rsidRPr="00FA4ED2">
              <w:rPr>
                <w:lang w:val="fr-CA"/>
              </w:rPr>
              <w:t xml:space="preserve">montant </w:t>
            </w:r>
            <w:r w:rsidRPr="00FA4ED2">
              <w:rPr>
                <w:lang w:val="fr-CA"/>
              </w:rPr>
              <w:t xml:space="preserve">total </w:t>
            </w:r>
            <w:r w:rsidR="00C260F9" w:rsidRPr="00FA4ED2">
              <w:rPr>
                <w:lang w:val="fr-CA"/>
              </w:rPr>
              <w:t>correspondant à</w:t>
            </w:r>
            <w:r w:rsidRPr="00FA4ED2">
              <w:rPr>
                <w:lang w:val="fr-CA"/>
              </w:rPr>
              <w:t xml:space="preserve"> </w:t>
            </w:r>
            <w:r w:rsidR="00C260F9" w:rsidRPr="00FA4ED2">
              <w:rPr>
                <w:lang w:val="fr-CA"/>
              </w:rPr>
              <w:t>[</w:t>
            </w:r>
            <w:r w:rsidRPr="00FA4ED2">
              <w:rPr>
                <w:lang w:val="fr-CA"/>
              </w:rPr>
              <w:t>●</w:t>
            </w:r>
            <w:r w:rsidR="00C260F9" w:rsidRPr="00FA4ED2">
              <w:rPr>
                <w:lang w:val="fr-CA"/>
              </w:rPr>
              <w:t>]</w:t>
            </w:r>
            <w:r w:rsidR="003E1439">
              <w:rPr>
                <w:lang w:val="fr-CA"/>
              </w:rPr>
              <w:t> fois</w:t>
            </w:r>
            <w:r w:rsidRPr="00FA4ED2">
              <w:rPr>
                <w:lang w:val="fr-CA"/>
              </w:rPr>
              <w:t xml:space="preserve"> le Prix d</w:t>
            </w:r>
            <w:r w:rsidR="00CC4D89">
              <w:rPr>
                <w:lang w:val="fr-CA"/>
              </w:rPr>
              <w:t>’</w:t>
            </w:r>
            <w:r w:rsidRPr="00FA4ED2">
              <w:rPr>
                <w:lang w:val="fr-CA"/>
              </w:rPr>
              <w:t xml:space="preserve">achat initial (y compris le </w:t>
            </w:r>
            <w:r w:rsidR="00CC5128" w:rsidRPr="00FA4ED2">
              <w:rPr>
                <w:lang w:val="fr-CA"/>
              </w:rPr>
              <w:t xml:space="preserve">paiement dont il est question dans </w:t>
            </w:r>
            <w:r w:rsidRPr="00FA4ED2">
              <w:rPr>
                <w:lang w:val="fr-CA"/>
              </w:rPr>
              <w:t>la phrase précédente).]</w:t>
            </w:r>
          </w:p>
          <w:p w14:paraId="14EB447C" w14:textId="3B7F260C" w:rsidR="0057567C" w:rsidRPr="00FA4ED2" w:rsidRDefault="004A387E" w:rsidP="00EE3005">
            <w:pPr>
              <w:pStyle w:val="BodyText"/>
              <w:rPr>
                <w:lang w:val="fr-CA"/>
              </w:rPr>
            </w:pPr>
            <w:r w:rsidRPr="00FA4ED2">
              <w:rPr>
                <w:lang w:val="fr-CA"/>
              </w:rPr>
              <w:t>Une fusion, un arrangement ou un regroupement (</w:t>
            </w:r>
            <w:r w:rsidR="00C260F9" w:rsidRPr="00FA4ED2">
              <w:rPr>
                <w:lang w:val="fr-CA"/>
              </w:rPr>
              <w:t>sauf dans des circonstances où</w:t>
            </w:r>
            <w:r w:rsidRPr="00FA4ED2">
              <w:rPr>
                <w:lang w:val="fr-CA"/>
              </w:rPr>
              <w:t xml:space="preserve"> les actionnaires de la Société détiennent la majorité des droits de vote rattachés aux actions en circulation de la société issue d</w:t>
            </w:r>
            <w:r w:rsidR="00D31148" w:rsidRPr="00FA4ED2">
              <w:rPr>
                <w:lang w:val="fr-CA"/>
              </w:rPr>
              <w:t>e l</w:t>
            </w:r>
            <w:r w:rsidR="00CC4D89">
              <w:rPr>
                <w:lang w:val="fr-CA"/>
              </w:rPr>
              <w:t>’</w:t>
            </w:r>
            <w:r w:rsidR="00D31148" w:rsidRPr="00FA4ED2">
              <w:rPr>
                <w:lang w:val="fr-CA"/>
              </w:rPr>
              <w:t>opération ou</w:t>
            </w:r>
            <w:r w:rsidR="00CC5128" w:rsidRPr="00FA4ED2">
              <w:rPr>
                <w:lang w:val="fr-CA"/>
              </w:rPr>
              <w:t xml:space="preserve"> de la société</w:t>
            </w:r>
            <w:r w:rsidR="00D31148" w:rsidRPr="00FA4ED2">
              <w:rPr>
                <w:lang w:val="fr-CA"/>
              </w:rPr>
              <w:t xml:space="preserve"> qui procède à</w:t>
            </w:r>
            <w:r w:rsidRPr="00FA4ED2">
              <w:rPr>
                <w:lang w:val="fr-CA"/>
              </w:rPr>
              <w:t xml:space="preserve"> l</w:t>
            </w:r>
            <w:r w:rsidR="00CC4D89">
              <w:rPr>
                <w:lang w:val="fr-CA"/>
              </w:rPr>
              <w:t>’</w:t>
            </w:r>
            <w:r w:rsidRPr="00FA4ED2">
              <w:rPr>
                <w:lang w:val="fr-CA"/>
              </w:rPr>
              <w:t>acquisition) ou une vente, une location, un transfert, une</w:t>
            </w:r>
            <w:r w:rsidR="00B33BE6" w:rsidRPr="00FA4ED2">
              <w:rPr>
                <w:lang w:val="fr-CA"/>
              </w:rPr>
              <w:t xml:space="preserve"> concession sous</w:t>
            </w:r>
            <w:r w:rsidRPr="00FA4ED2">
              <w:rPr>
                <w:lang w:val="fr-CA"/>
              </w:rPr>
              <w:t xml:space="preserve"> licence exclusive ou une autre aliénation de la totalité ou de la quasi-totalité des actifs de la Société sera traité comme un</w:t>
            </w:r>
            <w:r w:rsidR="006B3990" w:rsidRPr="00FA4ED2">
              <w:rPr>
                <w:lang w:val="fr-CA"/>
              </w:rPr>
              <w:t xml:space="preserve">e opération </w:t>
            </w:r>
            <w:r w:rsidRPr="00FA4ED2">
              <w:rPr>
                <w:lang w:val="fr-CA"/>
              </w:rPr>
              <w:t>de liquidation (un</w:t>
            </w:r>
            <w:r w:rsidR="006B3990" w:rsidRPr="00FA4ED2">
              <w:rPr>
                <w:lang w:val="fr-CA"/>
              </w:rPr>
              <w:t>e</w:t>
            </w:r>
            <w:r w:rsidRPr="00FA4ED2">
              <w:rPr>
                <w:lang w:val="fr-CA"/>
              </w:rPr>
              <w:t xml:space="preserve"> «</w:t>
            </w:r>
            <w:r w:rsidR="0018659F" w:rsidRPr="00FA4ED2">
              <w:rPr>
                <w:lang w:val="fr-CA"/>
              </w:rPr>
              <w:t> </w:t>
            </w:r>
            <w:r w:rsidR="006B3990" w:rsidRPr="00FA4ED2">
              <w:rPr>
                <w:b/>
                <w:bCs/>
                <w:lang w:val="fr-CA"/>
              </w:rPr>
              <w:t>Opération</w:t>
            </w:r>
            <w:r w:rsidR="006B3990" w:rsidRPr="00FA4ED2">
              <w:rPr>
                <w:lang w:val="fr-CA"/>
              </w:rPr>
              <w:t xml:space="preserve"> </w:t>
            </w:r>
            <w:r w:rsidRPr="00FA4ED2">
              <w:rPr>
                <w:b/>
                <w:bCs/>
                <w:lang w:val="fr-CA"/>
              </w:rPr>
              <w:t>de liquidation réputé</w:t>
            </w:r>
            <w:r w:rsidR="006B3990" w:rsidRPr="00FA4ED2">
              <w:rPr>
                <w:b/>
                <w:bCs/>
                <w:lang w:val="fr-CA"/>
              </w:rPr>
              <w:t>e</w:t>
            </w:r>
            <w:r w:rsidR="0018659F" w:rsidRPr="00FA4ED2">
              <w:rPr>
                <w:b/>
                <w:bCs/>
                <w:lang w:val="fr-CA"/>
              </w:rPr>
              <w:t> </w:t>
            </w:r>
            <w:r w:rsidRPr="00FA4ED2">
              <w:rPr>
                <w:lang w:val="fr-CA"/>
              </w:rPr>
              <w:t xml:space="preserve">»), ce qui déclenchera le paiement des priorités en cas de liquidation décrites ci-dessus [à moins que les porteurs de </w:t>
            </w:r>
            <w:r w:rsidR="0018659F" w:rsidRPr="00FA4ED2">
              <w:rPr>
                <w:lang w:val="fr-CA"/>
              </w:rPr>
              <w:t>[</w:t>
            </w:r>
            <w:r w:rsidRPr="00FA4ED2">
              <w:rPr>
                <w:lang w:val="fr-CA"/>
              </w:rPr>
              <w:t>___</w:t>
            </w:r>
            <w:r w:rsidR="0018659F" w:rsidRPr="00FA4ED2">
              <w:rPr>
                <w:lang w:val="fr-CA"/>
              </w:rPr>
              <w:t>]</w:t>
            </w:r>
            <w:r w:rsidR="002D3F68">
              <w:rPr>
                <w:lang w:val="fr-CA"/>
              </w:rPr>
              <w:t> %</w:t>
            </w:r>
            <w:r w:rsidR="00C260F9" w:rsidRPr="008A64C8">
              <w:rPr>
                <w:rStyle w:val="FootnoteReference"/>
                <w:lang w:val="fr-CA"/>
              </w:rPr>
              <w:footnoteReference w:id="9"/>
            </w:r>
            <w:r w:rsidR="00C260F9" w:rsidRPr="00FA4ED2">
              <w:rPr>
                <w:lang w:val="fr-CA"/>
              </w:rPr>
              <w:t xml:space="preserve"> </w:t>
            </w:r>
            <w:r w:rsidRPr="00FA4ED2">
              <w:rPr>
                <w:lang w:val="fr-CA"/>
              </w:rPr>
              <w:t xml:space="preserve">des </w:t>
            </w:r>
            <w:r w:rsidR="0018659F" w:rsidRPr="00FA4ED2">
              <w:rPr>
                <w:lang w:val="fr-CA"/>
              </w:rPr>
              <w:t>A</w:t>
            </w:r>
            <w:r w:rsidRPr="00FA4ED2">
              <w:rPr>
                <w:lang w:val="fr-CA"/>
              </w:rPr>
              <w:t xml:space="preserve">ctions privilégiées de </w:t>
            </w:r>
            <w:r w:rsidR="002D3F68">
              <w:rPr>
                <w:lang w:val="fr-CA"/>
              </w:rPr>
              <w:t>catégorie A</w:t>
            </w:r>
            <w:r w:rsidRPr="00FA4ED2">
              <w:rPr>
                <w:lang w:val="fr-CA"/>
              </w:rPr>
              <w:t xml:space="preserve"> </w:t>
            </w:r>
            <w:r w:rsidR="001D4F72" w:rsidRPr="00FA4ED2">
              <w:rPr>
                <w:lang w:val="fr-CA"/>
              </w:rPr>
              <w:t>fassent un autre choix</w:t>
            </w:r>
            <w:r w:rsidRPr="00FA4ED2">
              <w:rPr>
                <w:lang w:val="fr-CA"/>
              </w:rPr>
              <w:t>] (les «</w:t>
            </w:r>
            <w:r w:rsidR="0018659F" w:rsidRPr="00FA4ED2">
              <w:rPr>
                <w:lang w:val="fr-CA"/>
              </w:rPr>
              <w:t> </w:t>
            </w:r>
            <w:r w:rsidR="0018659F" w:rsidRPr="00FA4ED2">
              <w:rPr>
                <w:b/>
                <w:bCs/>
                <w:lang w:val="fr-CA"/>
              </w:rPr>
              <w:t>P</w:t>
            </w:r>
            <w:r w:rsidRPr="00FA4ED2">
              <w:rPr>
                <w:b/>
                <w:bCs/>
                <w:lang w:val="fr-CA"/>
              </w:rPr>
              <w:t>orteurs requis</w:t>
            </w:r>
            <w:r w:rsidR="0018659F" w:rsidRPr="00FA4ED2">
              <w:rPr>
                <w:lang w:val="fr-CA"/>
              </w:rPr>
              <w:t> </w:t>
            </w:r>
            <w:r w:rsidRPr="00FA4ED2">
              <w:rPr>
                <w:lang w:val="fr-CA"/>
              </w:rPr>
              <w:t xml:space="preserve">»). [Le droit des Investisseurs à leur </w:t>
            </w:r>
            <w:r w:rsidR="0018659F" w:rsidRPr="00FA4ED2">
              <w:rPr>
                <w:lang w:val="fr-CA"/>
              </w:rPr>
              <w:t>pri</w:t>
            </w:r>
            <w:r w:rsidR="003F21E1" w:rsidRPr="00FA4ED2">
              <w:rPr>
                <w:lang w:val="fr-CA"/>
              </w:rPr>
              <w:t>orité</w:t>
            </w:r>
            <w:r w:rsidRPr="00FA4ED2">
              <w:rPr>
                <w:lang w:val="fr-CA"/>
              </w:rPr>
              <w:t xml:space="preserve"> en cas de liquidation n</w:t>
            </w:r>
            <w:r w:rsidR="00CC4D89">
              <w:rPr>
                <w:lang w:val="fr-CA"/>
              </w:rPr>
              <w:t>’</w:t>
            </w:r>
            <w:r w:rsidRPr="00FA4ED2">
              <w:rPr>
                <w:lang w:val="fr-CA"/>
              </w:rPr>
              <w:t xml:space="preserve">est pas abrogé </w:t>
            </w:r>
            <w:r w:rsidR="001D4F72" w:rsidRPr="00FA4ED2">
              <w:rPr>
                <w:lang w:val="fr-CA"/>
              </w:rPr>
              <w:t>ni</w:t>
            </w:r>
            <w:r w:rsidRPr="00FA4ED2">
              <w:rPr>
                <w:lang w:val="fr-CA"/>
              </w:rPr>
              <w:t xml:space="preserve"> réduit si la contrepartie est assujettie à une retenue </w:t>
            </w:r>
            <w:r w:rsidR="0018659F" w:rsidRPr="00FA4ED2">
              <w:rPr>
                <w:lang w:val="fr-CA"/>
              </w:rPr>
              <w:t>au</w:t>
            </w:r>
            <w:r w:rsidR="00D06899" w:rsidRPr="00FA4ED2">
              <w:rPr>
                <w:lang w:val="fr-CA"/>
              </w:rPr>
              <w:t>x fins d</w:t>
            </w:r>
            <w:r w:rsidR="00CC4D89">
              <w:rPr>
                <w:lang w:val="fr-CA"/>
              </w:rPr>
              <w:t>’</w:t>
            </w:r>
            <w:r w:rsidRPr="00FA4ED2">
              <w:rPr>
                <w:lang w:val="fr-CA"/>
              </w:rPr>
              <w:t>entiercement ou d</w:t>
            </w:r>
            <w:r w:rsidR="00CC4D89">
              <w:rPr>
                <w:lang w:val="fr-CA"/>
              </w:rPr>
              <w:t>’</w:t>
            </w:r>
            <w:r w:rsidRPr="00FA4ED2">
              <w:rPr>
                <w:lang w:val="fr-CA"/>
              </w:rPr>
              <w:t>indemnité dans le cadre d</w:t>
            </w:r>
            <w:r w:rsidR="00CC4D89">
              <w:rPr>
                <w:lang w:val="fr-CA"/>
              </w:rPr>
              <w:t>’</w:t>
            </w:r>
            <w:r w:rsidRPr="00FA4ED2">
              <w:rPr>
                <w:lang w:val="fr-CA"/>
              </w:rPr>
              <w:t>un</w:t>
            </w:r>
            <w:r w:rsidR="006B3990" w:rsidRPr="00FA4ED2">
              <w:rPr>
                <w:lang w:val="fr-CA"/>
              </w:rPr>
              <w:t>e Opération</w:t>
            </w:r>
            <w:r w:rsidRPr="00FA4ED2">
              <w:rPr>
                <w:lang w:val="fr-CA"/>
              </w:rPr>
              <w:t xml:space="preserve"> de liquidation réputé</w:t>
            </w:r>
            <w:r w:rsidR="006B3990" w:rsidRPr="00FA4ED2">
              <w:rPr>
                <w:lang w:val="fr-CA"/>
              </w:rPr>
              <w:t>e</w:t>
            </w:r>
            <w:r w:rsidR="00B33BE6" w:rsidRPr="008A64C8">
              <w:rPr>
                <w:rStyle w:val="FootnoteReference"/>
                <w:lang w:val="fr-CA"/>
              </w:rPr>
              <w:footnoteReference w:id="10"/>
            </w:r>
            <w:r w:rsidRPr="00FA4ED2">
              <w:rPr>
                <w:lang w:val="fr-CA"/>
              </w:rPr>
              <w:t>.]</w:t>
            </w:r>
          </w:p>
        </w:tc>
      </w:tr>
      <w:tr w:rsidR="00897CD8" w:rsidRPr="008E00AC" w14:paraId="4934AC44" w14:textId="77777777" w:rsidTr="00EE3005">
        <w:tblPrEx>
          <w:tblLook w:val="06A0" w:firstRow="1" w:lastRow="0" w:firstColumn="1" w:lastColumn="0" w:noHBand="1" w:noVBand="1"/>
        </w:tblPrEx>
        <w:tc>
          <w:tcPr>
            <w:tcW w:w="1585" w:type="pct"/>
            <w:shd w:val="clear" w:color="auto" w:fill="auto"/>
          </w:tcPr>
          <w:p w14:paraId="77C0A851" w14:textId="4D382820" w:rsidR="0057567C" w:rsidRPr="00FA4ED2" w:rsidRDefault="004A387E">
            <w:pPr>
              <w:pStyle w:val="TableHeading2"/>
              <w:rPr>
                <w:lang w:val="fr-CA"/>
              </w:rPr>
            </w:pPr>
            <w:r w:rsidRPr="00FA4ED2">
              <w:rPr>
                <w:lang w:val="fr-CA"/>
              </w:rPr>
              <w:t>Droits de vote</w:t>
            </w:r>
            <w:r w:rsidR="00394687" w:rsidRPr="00FA4ED2">
              <w:rPr>
                <w:lang w:val="fr-CA"/>
              </w:rPr>
              <w:t> </w:t>
            </w:r>
            <w:r w:rsidRPr="00FA4ED2">
              <w:rPr>
                <w:lang w:val="fr-CA"/>
              </w:rPr>
              <w:t>:</w:t>
            </w:r>
          </w:p>
        </w:tc>
        <w:tc>
          <w:tcPr>
            <w:tcW w:w="3415" w:type="pct"/>
            <w:shd w:val="clear" w:color="auto" w:fill="auto"/>
          </w:tcPr>
          <w:p w14:paraId="35062E8D" w14:textId="12199D0A" w:rsidR="0057567C" w:rsidRPr="00FA4ED2" w:rsidRDefault="004A387E" w:rsidP="003942E7">
            <w:pPr>
              <w:pStyle w:val="BodyText"/>
              <w:rPr>
                <w:lang w:val="fr-CA"/>
              </w:rPr>
            </w:pPr>
            <w:r w:rsidRPr="00FA4ED2">
              <w:rPr>
                <w:lang w:val="fr-CA"/>
              </w:rPr>
              <w:t xml:space="preserve">Les </w:t>
            </w:r>
            <w:r w:rsidR="00394687" w:rsidRPr="00FA4ED2">
              <w:rPr>
                <w:lang w:val="fr-CA"/>
              </w:rPr>
              <w:t>porteur d</w:t>
            </w:r>
            <w:r w:rsidR="00CC4D89">
              <w:rPr>
                <w:lang w:val="fr-CA"/>
              </w:rPr>
              <w:t>’</w:t>
            </w:r>
            <w:r w:rsidR="00394687" w:rsidRPr="00FA4ED2">
              <w:rPr>
                <w:lang w:val="fr-CA"/>
              </w:rPr>
              <w:t>A</w:t>
            </w:r>
            <w:r w:rsidRPr="00FA4ED2">
              <w:rPr>
                <w:lang w:val="fr-CA"/>
              </w:rPr>
              <w:t xml:space="preserve">ctions privilégiées de </w:t>
            </w:r>
            <w:r w:rsidR="002D3F68">
              <w:rPr>
                <w:lang w:val="fr-CA"/>
              </w:rPr>
              <w:t>catégorie A</w:t>
            </w:r>
            <w:r w:rsidRPr="00FA4ED2">
              <w:rPr>
                <w:lang w:val="fr-CA"/>
              </w:rPr>
              <w:t xml:space="preserve"> votent avec</w:t>
            </w:r>
            <w:r w:rsidR="00394687" w:rsidRPr="00FA4ED2">
              <w:rPr>
                <w:lang w:val="fr-CA"/>
              </w:rPr>
              <w:t xml:space="preserve"> </w:t>
            </w:r>
            <w:r w:rsidRPr="00FA4ED2">
              <w:rPr>
                <w:lang w:val="fr-CA"/>
              </w:rPr>
              <w:t>les</w:t>
            </w:r>
            <w:r w:rsidR="00394687" w:rsidRPr="00FA4ED2">
              <w:rPr>
                <w:lang w:val="fr-CA"/>
              </w:rPr>
              <w:t xml:space="preserve"> porteurs d</w:t>
            </w:r>
            <w:r w:rsidR="00CC4D89">
              <w:rPr>
                <w:lang w:val="fr-CA"/>
              </w:rPr>
              <w:t>’</w:t>
            </w:r>
            <w:r w:rsidR="00394687" w:rsidRPr="00FA4ED2">
              <w:rPr>
                <w:lang w:val="fr-CA"/>
              </w:rPr>
              <w:t>A</w:t>
            </w:r>
            <w:r w:rsidRPr="00FA4ED2">
              <w:rPr>
                <w:lang w:val="fr-CA"/>
              </w:rPr>
              <w:t xml:space="preserve">ctions ordinaires </w:t>
            </w:r>
            <w:r w:rsidR="00394687" w:rsidRPr="00FA4ED2">
              <w:rPr>
                <w:lang w:val="fr-CA"/>
              </w:rPr>
              <w:t>comme si elles étaient converties</w:t>
            </w:r>
            <w:r w:rsidRPr="00FA4ED2">
              <w:rPr>
                <w:lang w:val="fr-CA"/>
              </w:rPr>
              <w:t>, et non en tant que catégorie distincte</w:t>
            </w:r>
            <w:r w:rsidR="00394687" w:rsidRPr="00FA4ED2">
              <w:rPr>
                <w:lang w:val="fr-CA"/>
              </w:rPr>
              <w:t>, sous réserve de ce qui suit :</w:t>
            </w:r>
            <w:r w:rsidR="008C0577">
              <w:rPr>
                <w:lang w:val="fr-CA"/>
              </w:rPr>
              <w:t xml:space="preserve"> </w:t>
            </w:r>
            <w:r w:rsidRPr="00FA4ED2">
              <w:rPr>
                <w:lang w:val="fr-CA"/>
              </w:rPr>
              <w:t>(</w:t>
            </w:r>
            <w:r w:rsidRPr="008A64C8">
              <w:rPr>
                <w:lang w:val="fr-CA"/>
              </w:rPr>
              <w:t>i</w:t>
            </w:r>
            <w:r w:rsidRPr="00FA4ED2">
              <w:rPr>
                <w:lang w:val="fr-CA"/>
              </w:rPr>
              <w:t>)</w:t>
            </w:r>
            <w:r w:rsidR="00394687" w:rsidRPr="00FA4ED2">
              <w:rPr>
                <w:lang w:val="fr-CA"/>
              </w:rPr>
              <w:t> </w:t>
            </w:r>
            <w:r w:rsidRPr="00FA4ED2">
              <w:rPr>
                <w:lang w:val="fr-CA"/>
              </w:rPr>
              <w:t>[tant que [</w:t>
            </w:r>
            <w:r w:rsidRPr="00FA4ED2">
              <w:rPr>
                <w:i/>
                <w:iCs/>
                <w:lang w:val="fr-CA"/>
              </w:rPr>
              <w:t>indiquer le nombre ou le pourcentage</w:t>
            </w:r>
            <w:r w:rsidR="001D4F72" w:rsidRPr="00FA4ED2">
              <w:rPr>
                <w:i/>
                <w:iCs/>
                <w:lang w:val="fr-CA"/>
              </w:rPr>
              <w:t xml:space="preserve"> fixe</w:t>
            </w:r>
            <w:r w:rsidRPr="00FA4ED2">
              <w:rPr>
                <w:lang w:val="fr-CA"/>
              </w:rPr>
              <w:t xml:space="preserve">] </w:t>
            </w:r>
            <w:r w:rsidR="00A87F30" w:rsidRPr="00FA4ED2">
              <w:rPr>
                <w:lang w:val="fr-CA"/>
              </w:rPr>
              <w:t>[d</w:t>
            </w:r>
            <w:r w:rsidR="00CC4D89">
              <w:rPr>
                <w:lang w:val="fr-CA"/>
              </w:rPr>
              <w:t>’</w:t>
            </w:r>
            <w:r w:rsidR="00A87F30" w:rsidRPr="00FA4ED2">
              <w:rPr>
                <w:lang w:val="fr-CA"/>
              </w:rPr>
              <w:t>]</w:t>
            </w:r>
            <w:r w:rsidR="00394687" w:rsidRPr="00FA4ED2">
              <w:rPr>
                <w:lang w:val="fr-CA"/>
              </w:rPr>
              <w:t>A</w:t>
            </w:r>
            <w:r w:rsidRPr="00FA4ED2">
              <w:rPr>
                <w:lang w:val="fr-CA"/>
              </w:rPr>
              <w:t xml:space="preserve">ctions privilégiées de </w:t>
            </w:r>
            <w:r w:rsidR="002D3F68">
              <w:rPr>
                <w:lang w:val="fr-CA"/>
              </w:rPr>
              <w:t>catégorie A</w:t>
            </w:r>
            <w:r w:rsidR="00394687" w:rsidRPr="00FA4ED2">
              <w:rPr>
                <w:lang w:val="fr-CA"/>
              </w:rPr>
              <w:t xml:space="preserve"> </w:t>
            </w:r>
            <w:r w:rsidRPr="00FA4ED2">
              <w:rPr>
                <w:lang w:val="fr-CA"/>
              </w:rPr>
              <w:t>émises dans le cadre de l</w:t>
            </w:r>
            <w:r w:rsidR="00CC4D89">
              <w:rPr>
                <w:lang w:val="fr-CA"/>
              </w:rPr>
              <w:t>’</w:t>
            </w:r>
            <w:r w:rsidRPr="00FA4ED2">
              <w:rPr>
                <w:lang w:val="fr-CA"/>
              </w:rPr>
              <w:t>opération s</w:t>
            </w:r>
            <w:r w:rsidR="00B33BE6" w:rsidRPr="00FA4ED2">
              <w:rPr>
                <w:lang w:val="fr-CA"/>
              </w:rPr>
              <w:t>er</w:t>
            </w:r>
            <w:r w:rsidRPr="00FA4ED2">
              <w:rPr>
                <w:lang w:val="fr-CA"/>
              </w:rPr>
              <w:t xml:space="preserve">ont en circulation, les </w:t>
            </w:r>
            <w:r w:rsidR="00394687" w:rsidRPr="00FA4ED2">
              <w:rPr>
                <w:lang w:val="fr-CA"/>
              </w:rPr>
              <w:t>A</w:t>
            </w:r>
            <w:r w:rsidRPr="00FA4ED2">
              <w:rPr>
                <w:lang w:val="fr-CA"/>
              </w:rPr>
              <w:t xml:space="preserve">ctions privilégiées de </w:t>
            </w:r>
            <w:r w:rsidR="002D3F68">
              <w:rPr>
                <w:lang w:val="fr-CA"/>
              </w:rPr>
              <w:t>catégorie A</w:t>
            </w:r>
            <w:r w:rsidR="00222359" w:rsidRPr="00FA4ED2">
              <w:rPr>
                <w:lang w:val="fr-CA"/>
              </w:rPr>
              <w:t xml:space="preserve"> conf</w:t>
            </w:r>
            <w:r w:rsidR="00B33BE6" w:rsidRPr="00FA4ED2">
              <w:rPr>
                <w:lang w:val="fr-CA"/>
              </w:rPr>
              <w:t>éreront</w:t>
            </w:r>
            <w:r w:rsidR="00222359" w:rsidRPr="00FA4ED2">
              <w:rPr>
                <w:lang w:val="fr-CA"/>
              </w:rPr>
              <w:t>,</w:t>
            </w:r>
            <w:r w:rsidRPr="00FA4ED2">
              <w:rPr>
                <w:lang w:val="fr-CA"/>
              </w:rPr>
              <w:t xml:space="preserve"> en tant que catégorie distincte</w:t>
            </w:r>
            <w:r w:rsidR="00222359" w:rsidRPr="00FA4ED2">
              <w:rPr>
                <w:lang w:val="fr-CA"/>
              </w:rPr>
              <w:t>,</w:t>
            </w:r>
            <w:r w:rsidR="00394687" w:rsidRPr="00FA4ED2">
              <w:rPr>
                <w:lang w:val="fr-CA"/>
              </w:rPr>
              <w:t xml:space="preserve"> </w:t>
            </w:r>
            <w:r w:rsidRPr="00FA4ED2">
              <w:rPr>
                <w:lang w:val="fr-CA"/>
              </w:rPr>
              <w:t>le droit d</w:t>
            </w:r>
            <w:r w:rsidR="00CC4D89">
              <w:rPr>
                <w:lang w:val="fr-CA"/>
              </w:rPr>
              <w:t>’</w:t>
            </w:r>
            <w:r w:rsidRPr="00FA4ED2">
              <w:rPr>
                <w:lang w:val="fr-CA"/>
              </w:rPr>
              <w:t>élire [_______] [(_)] membres du Conseil d</w:t>
            </w:r>
            <w:r w:rsidR="00CC4D89">
              <w:rPr>
                <w:lang w:val="fr-CA"/>
              </w:rPr>
              <w:t>’</w:t>
            </w:r>
            <w:r w:rsidRPr="00FA4ED2">
              <w:rPr>
                <w:lang w:val="fr-CA"/>
              </w:rPr>
              <w:t>administration (chacun, un «</w:t>
            </w:r>
            <w:r w:rsidR="006B13AA">
              <w:rPr>
                <w:lang w:val="fr-CA"/>
              </w:rPr>
              <w:t> </w:t>
            </w:r>
            <w:r w:rsidR="00394687" w:rsidRPr="008E00AC">
              <w:rPr>
                <w:b/>
                <w:bCs/>
                <w:lang w:val="fr-CA"/>
              </w:rPr>
              <w:t>A</w:t>
            </w:r>
            <w:r w:rsidRPr="008E00AC">
              <w:rPr>
                <w:b/>
                <w:bCs/>
                <w:lang w:val="fr-CA"/>
              </w:rPr>
              <w:t>dministrateur privilégié</w:t>
            </w:r>
            <w:r w:rsidR="00394687" w:rsidRPr="00FA4ED2">
              <w:rPr>
                <w:lang w:val="fr-CA"/>
              </w:rPr>
              <w:t> </w:t>
            </w:r>
            <w:r w:rsidRPr="00FA4ED2">
              <w:rPr>
                <w:lang w:val="fr-CA"/>
              </w:rPr>
              <w:t>»), (</w:t>
            </w:r>
            <w:r w:rsidRPr="008A64C8">
              <w:rPr>
                <w:lang w:val="fr-CA"/>
              </w:rPr>
              <w:t>ii</w:t>
            </w:r>
            <w:r w:rsidRPr="00FA4ED2">
              <w:rPr>
                <w:lang w:val="fr-CA"/>
              </w:rPr>
              <w:t>)</w:t>
            </w:r>
            <w:r w:rsidR="00A87F30" w:rsidRPr="00FA4ED2">
              <w:rPr>
                <w:lang w:val="fr-CA"/>
              </w:rPr>
              <w:t> </w:t>
            </w:r>
            <w:r w:rsidR="00394687" w:rsidRPr="00FA4ED2">
              <w:rPr>
                <w:lang w:val="fr-CA"/>
              </w:rPr>
              <w:t>les exigences</w:t>
            </w:r>
            <w:r w:rsidR="001D4F72" w:rsidRPr="00FA4ED2">
              <w:rPr>
                <w:lang w:val="fr-CA"/>
              </w:rPr>
              <w:t xml:space="preserve"> </w:t>
            </w:r>
            <w:r w:rsidR="00A87F30" w:rsidRPr="00FA4ED2">
              <w:rPr>
                <w:lang w:val="fr-CA"/>
              </w:rPr>
              <w:t>de</w:t>
            </w:r>
            <w:r w:rsidR="001D4F72" w:rsidRPr="00FA4ED2">
              <w:rPr>
                <w:lang w:val="fr-CA"/>
              </w:rPr>
              <w:t xml:space="preserve"> </w:t>
            </w:r>
            <w:r w:rsidRPr="00FA4ED2">
              <w:rPr>
                <w:lang w:val="fr-CA"/>
              </w:rPr>
              <w:t>la loi</w:t>
            </w:r>
            <w:r w:rsidR="006B13AA">
              <w:rPr>
                <w:lang w:val="fr-CA"/>
              </w:rPr>
              <w:t>,</w:t>
            </w:r>
            <w:r w:rsidRPr="00FA4ED2">
              <w:rPr>
                <w:lang w:val="fr-CA"/>
              </w:rPr>
              <w:t xml:space="preserve"> et (</w:t>
            </w:r>
            <w:r w:rsidRPr="008A64C8">
              <w:rPr>
                <w:lang w:val="fr-CA"/>
              </w:rPr>
              <w:t>iii</w:t>
            </w:r>
            <w:r w:rsidRPr="00FA4ED2">
              <w:rPr>
                <w:lang w:val="fr-CA"/>
              </w:rPr>
              <w:t>)</w:t>
            </w:r>
            <w:r w:rsidR="00394687" w:rsidRPr="00FA4ED2">
              <w:rPr>
                <w:lang w:val="fr-CA"/>
              </w:rPr>
              <w:t> </w:t>
            </w:r>
            <w:r w:rsidR="008C0577">
              <w:rPr>
                <w:lang w:val="fr-CA"/>
              </w:rPr>
              <w:t xml:space="preserve">les modalités de </w:t>
            </w:r>
            <w:r w:rsidRPr="00FA4ED2">
              <w:rPr>
                <w:lang w:val="fr-CA"/>
              </w:rPr>
              <w:t>la rubrique «</w:t>
            </w:r>
            <w:r w:rsidR="00394687" w:rsidRPr="00FA4ED2">
              <w:rPr>
                <w:lang w:val="fr-CA"/>
              </w:rPr>
              <w:t> </w:t>
            </w:r>
            <w:r w:rsidRPr="00FA4ED2">
              <w:rPr>
                <w:b/>
                <w:bCs/>
                <w:lang w:val="fr-CA"/>
              </w:rPr>
              <w:t xml:space="preserve">Dispositions </w:t>
            </w:r>
            <w:r w:rsidR="00222359" w:rsidRPr="00FA4ED2">
              <w:rPr>
                <w:b/>
                <w:bCs/>
                <w:lang w:val="fr-CA"/>
              </w:rPr>
              <w:t xml:space="preserve">en matière </w:t>
            </w:r>
            <w:r w:rsidRPr="00FA4ED2">
              <w:rPr>
                <w:b/>
                <w:bCs/>
                <w:lang w:val="fr-CA"/>
              </w:rPr>
              <w:t>de protection</w:t>
            </w:r>
            <w:r w:rsidR="00394687" w:rsidRPr="00FA4ED2">
              <w:rPr>
                <w:lang w:val="fr-CA"/>
              </w:rPr>
              <w:t> </w:t>
            </w:r>
            <w:r w:rsidRPr="00FA4ED2">
              <w:rPr>
                <w:lang w:val="fr-CA"/>
              </w:rPr>
              <w:t xml:space="preserve">» ci-après. Les </w:t>
            </w:r>
            <w:r w:rsidR="00222359" w:rsidRPr="00FA4ED2">
              <w:rPr>
                <w:lang w:val="fr-CA"/>
              </w:rPr>
              <w:t>S</w:t>
            </w:r>
            <w:r w:rsidRPr="00FA4ED2">
              <w:rPr>
                <w:lang w:val="fr-CA"/>
              </w:rPr>
              <w:t>tatuts constitutifs de la Société (les «</w:t>
            </w:r>
            <w:r w:rsidR="00394687" w:rsidRPr="00FA4ED2">
              <w:rPr>
                <w:lang w:val="fr-CA"/>
              </w:rPr>
              <w:t> </w:t>
            </w:r>
            <w:r w:rsidR="00394687" w:rsidRPr="00FA4ED2">
              <w:rPr>
                <w:b/>
                <w:bCs/>
                <w:lang w:val="fr-CA"/>
              </w:rPr>
              <w:t>S</w:t>
            </w:r>
            <w:r w:rsidRPr="00FA4ED2">
              <w:rPr>
                <w:b/>
                <w:bCs/>
                <w:lang w:val="fr-CA"/>
              </w:rPr>
              <w:t>tatuts</w:t>
            </w:r>
            <w:r w:rsidR="00394687" w:rsidRPr="00FA4ED2">
              <w:rPr>
                <w:lang w:val="fr-CA"/>
              </w:rPr>
              <w:t> </w:t>
            </w:r>
            <w:r w:rsidRPr="00FA4ED2">
              <w:rPr>
                <w:lang w:val="fr-CA"/>
              </w:rPr>
              <w:t xml:space="preserve">») prévoiront, dans </w:t>
            </w:r>
            <w:r w:rsidR="00394687" w:rsidRPr="00FA4ED2">
              <w:rPr>
                <w:lang w:val="fr-CA"/>
              </w:rPr>
              <w:t>la pleine</w:t>
            </w:r>
            <w:r w:rsidRPr="00FA4ED2">
              <w:rPr>
                <w:lang w:val="fr-CA"/>
              </w:rPr>
              <w:t xml:space="preserve"> mesure permise par la [</w:t>
            </w:r>
            <w:r w:rsidRPr="00FA4ED2">
              <w:rPr>
                <w:i/>
                <w:iCs/>
                <w:lang w:val="fr-CA"/>
              </w:rPr>
              <w:t>Loi canadienne sur les sociétés par actions</w:t>
            </w:r>
            <w:r w:rsidRPr="00FA4ED2">
              <w:rPr>
                <w:lang w:val="fr-CA"/>
              </w:rPr>
              <w:t>], que le nombre d</w:t>
            </w:r>
            <w:r w:rsidR="00CC4D89">
              <w:rPr>
                <w:lang w:val="fr-CA"/>
              </w:rPr>
              <w:t>’</w:t>
            </w:r>
            <w:r w:rsidR="00394687" w:rsidRPr="00FA4ED2">
              <w:rPr>
                <w:lang w:val="fr-CA"/>
              </w:rPr>
              <w:t>A</w:t>
            </w:r>
            <w:r w:rsidRPr="00FA4ED2">
              <w:rPr>
                <w:lang w:val="fr-CA"/>
              </w:rPr>
              <w:t xml:space="preserve">ctions ordinaires autorisées peut être </w:t>
            </w:r>
            <w:r w:rsidR="00222359" w:rsidRPr="00FA4ED2">
              <w:rPr>
                <w:lang w:val="fr-CA"/>
              </w:rPr>
              <w:t>majoré</w:t>
            </w:r>
            <w:r w:rsidRPr="00FA4ED2">
              <w:rPr>
                <w:lang w:val="fr-CA"/>
              </w:rPr>
              <w:t xml:space="preserve"> ou réduit avec l</w:t>
            </w:r>
            <w:r w:rsidR="00CC4D89">
              <w:rPr>
                <w:lang w:val="fr-CA"/>
              </w:rPr>
              <w:t>’</w:t>
            </w:r>
            <w:r w:rsidRPr="00FA4ED2">
              <w:rPr>
                <w:lang w:val="fr-CA"/>
              </w:rPr>
              <w:t xml:space="preserve">approbation de la majorité des </w:t>
            </w:r>
            <w:r w:rsidR="00394687" w:rsidRPr="00FA4ED2">
              <w:rPr>
                <w:lang w:val="fr-CA"/>
              </w:rPr>
              <w:t>porteurs d</w:t>
            </w:r>
            <w:r w:rsidR="00CC4D89">
              <w:rPr>
                <w:lang w:val="fr-CA"/>
              </w:rPr>
              <w:t>’</w:t>
            </w:r>
            <w:r w:rsidR="00394687" w:rsidRPr="00FA4ED2">
              <w:rPr>
                <w:lang w:val="fr-CA"/>
              </w:rPr>
              <w:t>A</w:t>
            </w:r>
            <w:r w:rsidRPr="00FA4ED2">
              <w:rPr>
                <w:lang w:val="fr-CA"/>
              </w:rPr>
              <w:t>ctions privilégiées et d</w:t>
            </w:r>
            <w:r w:rsidR="00CC4D89">
              <w:rPr>
                <w:lang w:val="fr-CA"/>
              </w:rPr>
              <w:t>’</w:t>
            </w:r>
            <w:r w:rsidR="00394687" w:rsidRPr="00FA4ED2">
              <w:rPr>
                <w:lang w:val="fr-CA"/>
              </w:rPr>
              <w:t>A</w:t>
            </w:r>
            <w:r w:rsidRPr="00FA4ED2">
              <w:rPr>
                <w:lang w:val="fr-CA"/>
              </w:rPr>
              <w:t xml:space="preserve">ctions ordinaires, votant ensemble en tant que catégorie unique, et sans </w:t>
            </w:r>
            <w:r w:rsidR="00A87F30" w:rsidRPr="00FA4ED2">
              <w:rPr>
                <w:lang w:val="fr-CA"/>
              </w:rPr>
              <w:t xml:space="preserve">obligation de </w:t>
            </w:r>
            <w:r w:rsidR="00B33BE6" w:rsidRPr="00FA4ED2">
              <w:rPr>
                <w:lang w:val="fr-CA"/>
              </w:rPr>
              <w:t xml:space="preserve">tenir un </w:t>
            </w:r>
            <w:r w:rsidRPr="00FA4ED2">
              <w:rPr>
                <w:lang w:val="fr-CA"/>
              </w:rPr>
              <w:t>vote</w:t>
            </w:r>
            <w:r w:rsidR="00B33BE6" w:rsidRPr="00FA4ED2">
              <w:rPr>
                <w:lang w:val="fr-CA"/>
              </w:rPr>
              <w:t xml:space="preserve"> séparé</w:t>
            </w:r>
            <w:r w:rsidRPr="00FA4ED2">
              <w:rPr>
                <w:lang w:val="fr-CA"/>
              </w:rPr>
              <w:t xml:space="preserve"> par catégorie </w:t>
            </w:r>
            <w:r w:rsidR="00B33BE6" w:rsidRPr="00FA4ED2">
              <w:rPr>
                <w:lang w:val="fr-CA"/>
              </w:rPr>
              <w:t>des</w:t>
            </w:r>
            <w:r w:rsidR="00394687" w:rsidRPr="00FA4ED2">
              <w:rPr>
                <w:lang w:val="fr-CA"/>
              </w:rPr>
              <w:t xml:space="preserve"> porteurs d</w:t>
            </w:r>
            <w:r w:rsidR="00CC4D89">
              <w:rPr>
                <w:lang w:val="fr-CA"/>
              </w:rPr>
              <w:t>’</w:t>
            </w:r>
            <w:r w:rsidR="00394687" w:rsidRPr="00FA4ED2">
              <w:rPr>
                <w:lang w:val="fr-CA"/>
              </w:rPr>
              <w:t>A</w:t>
            </w:r>
            <w:r w:rsidRPr="00FA4ED2">
              <w:rPr>
                <w:lang w:val="fr-CA"/>
              </w:rPr>
              <w:t>ctions ordinaires</w:t>
            </w:r>
            <w:r w:rsidRPr="008A64C8">
              <w:rPr>
                <w:rStyle w:val="FootnoteReference"/>
                <w:lang w:val="fr-CA"/>
              </w:rPr>
              <w:footnoteReference w:id="11"/>
            </w:r>
            <w:r w:rsidR="00B33BE6" w:rsidRPr="00FA4ED2">
              <w:rPr>
                <w:lang w:val="fr-CA"/>
              </w:rPr>
              <w:t>.</w:t>
            </w:r>
          </w:p>
        </w:tc>
      </w:tr>
      <w:tr w:rsidR="00FA4ED2" w:rsidRPr="008E00AC" w14:paraId="5DDFBE2D" w14:textId="77777777" w:rsidTr="00EE3005">
        <w:tblPrEx>
          <w:tblLook w:val="06A0" w:firstRow="1" w:lastRow="0" w:firstColumn="1" w:lastColumn="0" w:noHBand="1" w:noVBand="1"/>
        </w:tblPrEx>
        <w:tc>
          <w:tcPr>
            <w:tcW w:w="1585" w:type="pct"/>
            <w:shd w:val="clear" w:color="auto" w:fill="auto"/>
          </w:tcPr>
          <w:p w14:paraId="128D85BE" w14:textId="61F0C6A3" w:rsidR="00FA4ED2" w:rsidRPr="00FA4ED2" w:rsidRDefault="00FA4ED2">
            <w:pPr>
              <w:pStyle w:val="TableHeading2"/>
              <w:rPr>
                <w:lang w:val="fr-CA"/>
              </w:rPr>
            </w:pPr>
            <w:r w:rsidRPr="00FA4ED2">
              <w:rPr>
                <w:lang w:val="fr-CA"/>
              </w:rPr>
              <w:t>Dispositions en matière de protection :</w:t>
            </w:r>
          </w:p>
        </w:tc>
        <w:tc>
          <w:tcPr>
            <w:tcW w:w="3415" w:type="pct"/>
            <w:shd w:val="clear" w:color="auto" w:fill="auto"/>
          </w:tcPr>
          <w:p w14:paraId="4672CE35" w14:textId="6ABCBD8E" w:rsidR="00FA4ED2" w:rsidRPr="00FA4ED2" w:rsidRDefault="00FA4ED2" w:rsidP="00FA4ED2">
            <w:pPr>
              <w:pStyle w:val="BodyText"/>
              <w:keepNext/>
              <w:keepLines/>
              <w:rPr>
                <w:lang w:val="fr-CA"/>
              </w:rPr>
            </w:pPr>
            <w:r w:rsidRPr="00FA4ED2">
              <w:rPr>
                <w:lang w:val="fr-CA"/>
              </w:rPr>
              <w:t>Tant que [insérer le nombre ou le pourcentage fixe] [d</w:t>
            </w:r>
            <w:r w:rsidR="00CC4D89">
              <w:rPr>
                <w:lang w:val="fr-CA"/>
              </w:rPr>
              <w:t>’</w:t>
            </w:r>
            <w:r w:rsidRPr="00FA4ED2">
              <w:rPr>
                <w:lang w:val="fr-CA"/>
              </w:rPr>
              <w:t xml:space="preserve">]Actions privilégiées de </w:t>
            </w:r>
            <w:r w:rsidR="002D3F68">
              <w:rPr>
                <w:lang w:val="fr-CA"/>
              </w:rPr>
              <w:t>catégorie A</w:t>
            </w:r>
            <w:r w:rsidRPr="00FA4ED2">
              <w:rPr>
                <w:lang w:val="fr-CA"/>
              </w:rPr>
              <w:t xml:space="preserve"> émises dans le cadre de l</w:t>
            </w:r>
            <w:r w:rsidR="00CC4D89">
              <w:rPr>
                <w:lang w:val="fr-CA"/>
              </w:rPr>
              <w:t>’</w:t>
            </w:r>
            <w:r w:rsidRPr="00FA4ED2">
              <w:rPr>
                <w:lang w:val="fr-CA"/>
              </w:rPr>
              <w:t>opération seront en circulation, en plus de tout autre vote ou de toute autre approbation requis aux termes des Statuts ou des règlements administratifs de la Société, la Société s</w:t>
            </w:r>
            <w:r w:rsidR="00CC4D89">
              <w:rPr>
                <w:lang w:val="fr-CA"/>
              </w:rPr>
              <w:t>’</w:t>
            </w:r>
            <w:r w:rsidRPr="00FA4ED2">
              <w:rPr>
                <w:lang w:val="fr-CA"/>
              </w:rPr>
              <w:t>abstiendra, sans le consentement écrit des Porteurs requis, directement ou par voie de modification, de fusion, d</w:t>
            </w:r>
            <w:r w:rsidR="00CC4D89">
              <w:rPr>
                <w:lang w:val="fr-CA"/>
              </w:rPr>
              <w:t>’</w:t>
            </w:r>
            <w:r w:rsidRPr="00FA4ED2">
              <w:rPr>
                <w:lang w:val="fr-CA"/>
              </w:rPr>
              <w:t>arrangement, de regroupement, de restructuration du capital, de reclassement ou autrement, de faire ce qui suit :</w:t>
            </w:r>
          </w:p>
          <w:p w14:paraId="5A5083DE" w14:textId="53B73B78" w:rsidR="00FA4ED2" w:rsidRPr="00FA4ED2" w:rsidRDefault="00FA4ED2" w:rsidP="00FA4ED2">
            <w:pPr>
              <w:pStyle w:val="BodyText"/>
              <w:keepNext/>
              <w:keepLines/>
              <w:ind w:left="276"/>
              <w:rPr>
                <w:lang w:val="fr-CA"/>
              </w:rPr>
            </w:pPr>
            <w:r w:rsidRPr="00FA4ED2">
              <w:rPr>
                <w:lang w:val="fr-CA"/>
              </w:rPr>
              <w:t>(</w:t>
            </w:r>
            <w:r w:rsidRPr="008A64C8">
              <w:rPr>
                <w:lang w:val="fr-CA"/>
              </w:rPr>
              <w:t>i</w:t>
            </w:r>
            <w:r w:rsidRPr="00FA4ED2">
              <w:rPr>
                <w:lang w:val="fr-CA"/>
              </w:rPr>
              <w:t>) liquider ou dissoudre la Société ou liquider ses affaires ou donner effet à une Opération de liquidation réputée; (</w:t>
            </w:r>
            <w:r w:rsidRPr="008A64C8">
              <w:rPr>
                <w:lang w:val="fr-CA"/>
              </w:rPr>
              <w:t>ii</w:t>
            </w:r>
            <w:r w:rsidRPr="00FA4ED2">
              <w:rPr>
                <w:lang w:val="fr-CA"/>
              </w:rPr>
              <w:t>) modifier ou abroger une disposition des Statuts ou des règlements administratifs de la Société [d</w:t>
            </w:r>
            <w:r w:rsidR="00CC4D89">
              <w:rPr>
                <w:lang w:val="fr-CA"/>
              </w:rPr>
              <w:t>’</w:t>
            </w:r>
            <w:r w:rsidRPr="00FA4ED2">
              <w:rPr>
                <w:lang w:val="fr-CA"/>
              </w:rPr>
              <w:t xml:space="preserve">une manière défavorable pour les Actions privilégiées de </w:t>
            </w:r>
            <w:r w:rsidR="002D3F68">
              <w:rPr>
                <w:lang w:val="fr-CA"/>
              </w:rPr>
              <w:t>catégorie A</w:t>
            </w:r>
            <w:r w:rsidRPr="00FA4ED2">
              <w:rPr>
                <w:lang w:val="fr-CA"/>
              </w:rPr>
              <w:t>]</w:t>
            </w:r>
            <w:r w:rsidRPr="008A64C8">
              <w:rPr>
                <w:rStyle w:val="FootnoteReference"/>
                <w:lang w:val="fr-CA"/>
              </w:rPr>
              <w:footnoteReference w:id="12"/>
            </w:r>
            <w:r w:rsidRPr="00FA4ED2">
              <w:rPr>
                <w:lang w:val="fr-CA"/>
              </w:rPr>
              <w:t>;</w:t>
            </w:r>
          </w:p>
        </w:tc>
      </w:tr>
      <w:tr w:rsidR="00897CD8" w:rsidRPr="008E00AC" w14:paraId="19607526" w14:textId="77777777" w:rsidTr="00FA4ED2">
        <w:tblPrEx>
          <w:tblLook w:val="06A0" w:firstRow="1" w:lastRow="0" w:firstColumn="1" w:lastColumn="0" w:noHBand="1" w:noVBand="1"/>
        </w:tblPrEx>
        <w:trPr>
          <w:trHeight w:val="1800"/>
        </w:trPr>
        <w:tc>
          <w:tcPr>
            <w:tcW w:w="1585" w:type="pct"/>
            <w:shd w:val="clear" w:color="auto" w:fill="auto"/>
          </w:tcPr>
          <w:p w14:paraId="04C18CC4" w14:textId="04A25057" w:rsidR="0057567C" w:rsidRPr="00FA4ED2" w:rsidRDefault="0057567C" w:rsidP="0057567C">
            <w:pPr>
              <w:pStyle w:val="TableHeading2"/>
              <w:keepNext/>
              <w:keepLines/>
              <w:rPr>
                <w:lang w:val="fr-CA"/>
              </w:rPr>
            </w:pPr>
          </w:p>
        </w:tc>
        <w:tc>
          <w:tcPr>
            <w:tcW w:w="3415" w:type="pct"/>
            <w:shd w:val="clear" w:color="auto" w:fill="auto"/>
          </w:tcPr>
          <w:p w14:paraId="4BA523EF" w14:textId="11EDCD81" w:rsidR="0057567C" w:rsidRPr="00FA4ED2" w:rsidRDefault="004A387E" w:rsidP="00FA4ED2">
            <w:pPr>
              <w:pStyle w:val="BodyText"/>
              <w:keepNext/>
              <w:keepLines/>
              <w:spacing w:after="120"/>
              <w:ind w:left="258"/>
              <w:rPr>
                <w:lang w:val="fr-CA"/>
              </w:rPr>
            </w:pPr>
            <w:r w:rsidRPr="00FA4ED2">
              <w:rPr>
                <w:lang w:val="fr-CA"/>
              </w:rPr>
              <w:t>(</w:t>
            </w:r>
            <w:r w:rsidRPr="008A64C8">
              <w:rPr>
                <w:lang w:val="fr-CA"/>
              </w:rPr>
              <w:t>iii</w:t>
            </w:r>
            <w:r w:rsidRPr="00FA4ED2">
              <w:rPr>
                <w:lang w:val="fr-CA"/>
              </w:rPr>
              <w:t>)</w:t>
            </w:r>
            <w:r w:rsidR="00EC321C" w:rsidRPr="00FA4ED2">
              <w:rPr>
                <w:lang w:val="fr-CA"/>
              </w:rPr>
              <w:t> </w:t>
            </w:r>
            <w:r w:rsidRPr="00FA4ED2">
              <w:rPr>
                <w:lang w:val="fr-CA"/>
              </w:rPr>
              <w:t xml:space="preserve">créer un autre titre pouvant être converti en un titre de capitaux propres ou être exercé </w:t>
            </w:r>
            <w:r w:rsidR="00EC321C" w:rsidRPr="00FA4ED2">
              <w:rPr>
                <w:lang w:val="fr-CA"/>
              </w:rPr>
              <w:t xml:space="preserve">en échange </w:t>
            </w:r>
            <w:r w:rsidR="006B707C" w:rsidRPr="00FA4ED2">
              <w:rPr>
                <w:lang w:val="fr-CA"/>
              </w:rPr>
              <w:t>d</w:t>
            </w:r>
            <w:r w:rsidR="00CC4D89">
              <w:rPr>
                <w:lang w:val="fr-CA"/>
              </w:rPr>
              <w:t>’</w:t>
            </w:r>
            <w:r w:rsidR="00EC321C" w:rsidRPr="00FA4ED2">
              <w:rPr>
                <w:lang w:val="fr-CA"/>
              </w:rPr>
              <w:t>u</w:t>
            </w:r>
            <w:r w:rsidRPr="00FA4ED2">
              <w:rPr>
                <w:lang w:val="fr-CA"/>
              </w:rPr>
              <w:t>n titre</w:t>
            </w:r>
            <w:r w:rsidR="00EC321C" w:rsidRPr="00FA4ED2">
              <w:rPr>
                <w:lang w:val="fr-CA"/>
              </w:rPr>
              <w:t xml:space="preserve"> </w:t>
            </w:r>
            <w:r w:rsidR="006B707C" w:rsidRPr="00FA4ED2">
              <w:rPr>
                <w:lang w:val="fr-CA"/>
              </w:rPr>
              <w:t xml:space="preserve">de capitaux propres </w:t>
            </w:r>
            <w:r w:rsidR="00EC321C" w:rsidRPr="00FA4ED2">
              <w:rPr>
                <w:lang w:val="fr-CA"/>
              </w:rPr>
              <w:t>ou autoriser la création ou l</w:t>
            </w:r>
            <w:r w:rsidR="00CC4D89">
              <w:rPr>
                <w:lang w:val="fr-CA"/>
              </w:rPr>
              <w:t>’</w:t>
            </w:r>
            <w:r w:rsidR="00EC321C" w:rsidRPr="00FA4ED2">
              <w:rPr>
                <w:lang w:val="fr-CA"/>
              </w:rPr>
              <w:t>émission d</w:t>
            </w:r>
            <w:r w:rsidR="00CC4D89">
              <w:rPr>
                <w:lang w:val="fr-CA"/>
              </w:rPr>
              <w:t>’</w:t>
            </w:r>
            <w:r w:rsidR="00EC321C" w:rsidRPr="00FA4ED2">
              <w:rPr>
                <w:lang w:val="fr-CA"/>
              </w:rPr>
              <w:t>un titre</w:t>
            </w:r>
            <w:r w:rsidR="00614260" w:rsidRPr="00FA4ED2">
              <w:rPr>
                <w:lang w:val="fr-CA"/>
              </w:rPr>
              <w:t xml:space="preserve"> pouvant être converti en un titre</w:t>
            </w:r>
            <w:r w:rsidR="006B707C" w:rsidRPr="00FA4ED2">
              <w:rPr>
                <w:lang w:val="fr-CA"/>
              </w:rPr>
              <w:t xml:space="preserve"> de capitaux propres</w:t>
            </w:r>
            <w:r w:rsidR="00614260" w:rsidRPr="00FA4ED2">
              <w:rPr>
                <w:lang w:val="fr-CA"/>
              </w:rPr>
              <w:t xml:space="preserve"> ou échangé contre un titre</w:t>
            </w:r>
            <w:r w:rsidR="006B707C" w:rsidRPr="00FA4ED2">
              <w:rPr>
                <w:lang w:val="fr-CA"/>
              </w:rPr>
              <w:t xml:space="preserve"> de capitaux propres</w:t>
            </w:r>
            <w:r w:rsidRPr="00FA4ED2">
              <w:rPr>
                <w:lang w:val="fr-CA"/>
              </w:rPr>
              <w:t xml:space="preserve">, à moins que ce titre ne soit de rang inférieur aux </w:t>
            </w:r>
            <w:r w:rsidR="00EC321C" w:rsidRPr="00FA4ED2">
              <w:rPr>
                <w:lang w:val="fr-CA"/>
              </w:rPr>
              <w:t>A</w:t>
            </w:r>
            <w:r w:rsidRPr="00FA4ED2">
              <w:rPr>
                <w:lang w:val="fr-CA"/>
              </w:rPr>
              <w:t xml:space="preserve">ctions privilégiées de </w:t>
            </w:r>
            <w:r w:rsidR="002D3F68">
              <w:rPr>
                <w:lang w:val="fr-CA"/>
              </w:rPr>
              <w:t>catégorie A</w:t>
            </w:r>
            <w:r w:rsidRPr="00FA4ED2">
              <w:rPr>
                <w:lang w:val="fr-CA"/>
              </w:rPr>
              <w:t xml:space="preserve"> quant à ses droits, pr</w:t>
            </w:r>
            <w:r w:rsidR="00EC321C" w:rsidRPr="00FA4ED2">
              <w:rPr>
                <w:lang w:val="fr-CA"/>
              </w:rPr>
              <w:t>iorités</w:t>
            </w:r>
            <w:r w:rsidRPr="00FA4ED2">
              <w:rPr>
                <w:lang w:val="fr-CA"/>
              </w:rPr>
              <w:t xml:space="preserve"> et privilèges, ou augmenter le nombre autorisé d</w:t>
            </w:r>
            <w:r w:rsidR="00CC4D89">
              <w:rPr>
                <w:lang w:val="fr-CA"/>
              </w:rPr>
              <w:t>’</w:t>
            </w:r>
            <w:r w:rsidR="00EC321C" w:rsidRPr="00FA4ED2">
              <w:rPr>
                <w:lang w:val="fr-CA"/>
              </w:rPr>
              <w:t>A</w:t>
            </w:r>
            <w:r w:rsidRPr="00FA4ED2">
              <w:rPr>
                <w:lang w:val="fr-CA"/>
              </w:rPr>
              <w:t xml:space="preserve">ctions privilégiées de </w:t>
            </w:r>
            <w:r w:rsidR="002D3F68">
              <w:rPr>
                <w:lang w:val="fr-CA"/>
              </w:rPr>
              <w:t>catégorie A</w:t>
            </w:r>
            <w:r w:rsidRPr="00FA4ED2">
              <w:rPr>
                <w:lang w:val="fr-CA"/>
              </w:rPr>
              <w:t>; (</w:t>
            </w:r>
            <w:r w:rsidRPr="008A64C8">
              <w:rPr>
                <w:lang w:val="fr-CA"/>
              </w:rPr>
              <w:t>iv</w:t>
            </w:r>
            <w:r w:rsidRPr="00FA4ED2">
              <w:rPr>
                <w:lang w:val="fr-CA"/>
              </w:rPr>
              <w:t>)</w:t>
            </w:r>
            <w:r w:rsidR="00EC321C" w:rsidRPr="00FA4ED2">
              <w:rPr>
                <w:lang w:val="fr-CA"/>
              </w:rPr>
              <w:t> </w:t>
            </w:r>
            <w:r w:rsidRPr="00FA4ED2">
              <w:rPr>
                <w:lang w:val="fr-CA"/>
              </w:rPr>
              <w:t>vendre, émettre, parrainer, créer ou distribuer des jetons numériques, des cryptomonnaies ou d</w:t>
            </w:r>
            <w:r w:rsidR="00CC4D89">
              <w:rPr>
                <w:lang w:val="fr-CA"/>
              </w:rPr>
              <w:t>’</w:t>
            </w:r>
            <w:r w:rsidRPr="00FA4ED2">
              <w:rPr>
                <w:lang w:val="fr-CA"/>
              </w:rPr>
              <w:t>autres actifs fondés sur des chaînes de blocs sans l</w:t>
            </w:r>
            <w:r w:rsidR="00CC4D89">
              <w:rPr>
                <w:lang w:val="fr-CA"/>
              </w:rPr>
              <w:t>’</w:t>
            </w:r>
            <w:r w:rsidRPr="00FA4ED2">
              <w:rPr>
                <w:lang w:val="fr-CA"/>
              </w:rPr>
              <w:t>approbation du Conseil d</w:t>
            </w:r>
            <w:r w:rsidR="00CC4D89">
              <w:rPr>
                <w:lang w:val="fr-CA"/>
              </w:rPr>
              <w:t>’</w:t>
            </w:r>
            <w:r w:rsidRPr="00FA4ED2">
              <w:rPr>
                <w:lang w:val="fr-CA"/>
              </w:rPr>
              <w:t xml:space="preserve">administration[, y compris les </w:t>
            </w:r>
            <w:r w:rsidR="00B3268A" w:rsidRPr="00FA4ED2">
              <w:rPr>
                <w:lang w:val="fr-CA"/>
              </w:rPr>
              <w:t>A</w:t>
            </w:r>
            <w:r w:rsidRPr="00FA4ED2">
              <w:rPr>
                <w:lang w:val="fr-CA"/>
              </w:rPr>
              <w:t>dministrateurs investisseurs]; (</w:t>
            </w:r>
            <w:r w:rsidRPr="008A64C8">
              <w:rPr>
                <w:lang w:val="fr-CA"/>
              </w:rPr>
              <w:t>v</w:t>
            </w:r>
            <w:r w:rsidRPr="00FA4ED2">
              <w:rPr>
                <w:lang w:val="fr-CA"/>
              </w:rPr>
              <w:t>)</w:t>
            </w:r>
            <w:r w:rsidR="00B3268A" w:rsidRPr="00FA4ED2">
              <w:rPr>
                <w:lang w:val="fr-CA"/>
              </w:rPr>
              <w:t xml:space="preserve"> acheter ou racheter des actions </w:t>
            </w:r>
            <w:r w:rsidR="00DC3386">
              <w:rPr>
                <w:lang w:val="fr-CA"/>
              </w:rPr>
              <w:t xml:space="preserve">du capital-actions </w:t>
            </w:r>
            <w:r w:rsidR="00B3268A" w:rsidRPr="00FA4ED2">
              <w:rPr>
                <w:lang w:val="fr-CA"/>
              </w:rPr>
              <w:t xml:space="preserve">ou </w:t>
            </w:r>
            <w:r w:rsidRPr="00FA4ED2">
              <w:rPr>
                <w:lang w:val="fr-CA"/>
              </w:rPr>
              <w:t>verse</w:t>
            </w:r>
            <w:r w:rsidR="00B3268A" w:rsidRPr="00FA4ED2">
              <w:rPr>
                <w:lang w:val="fr-CA"/>
              </w:rPr>
              <w:t>r</w:t>
            </w:r>
            <w:r w:rsidRPr="00FA4ED2">
              <w:rPr>
                <w:lang w:val="fr-CA"/>
              </w:rPr>
              <w:t xml:space="preserve"> de</w:t>
            </w:r>
            <w:r w:rsidR="00B3268A" w:rsidRPr="00FA4ED2">
              <w:rPr>
                <w:lang w:val="fr-CA"/>
              </w:rPr>
              <w:t>s</w:t>
            </w:r>
            <w:r w:rsidRPr="00FA4ED2">
              <w:rPr>
                <w:lang w:val="fr-CA"/>
              </w:rPr>
              <w:t xml:space="preserve"> dividende</w:t>
            </w:r>
            <w:r w:rsidR="00B3268A" w:rsidRPr="00FA4ED2">
              <w:rPr>
                <w:lang w:val="fr-CA"/>
              </w:rPr>
              <w:t>s</w:t>
            </w:r>
            <w:r w:rsidRPr="00FA4ED2">
              <w:rPr>
                <w:lang w:val="fr-CA"/>
              </w:rPr>
              <w:t xml:space="preserve"> sur </w:t>
            </w:r>
            <w:r w:rsidR="00DC3386" w:rsidRPr="00FA4ED2">
              <w:rPr>
                <w:lang w:val="fr-CA"/>
              </w:rPr>
              <w:t xml:space="preserve">des actions </w:t>
            </w:r>
            <w:r w:rsidR="00DC3386">
              <w:rPr>
                <w:lang w:val="fr-CA"/>
              </w:rPr>
              <w:t xml:space="preserve">du capital-actions </w:t>
            </w:r>
            <w:r w:rsidR="00B3268A" w:rsidRPr="00FA4ED2">
              <w:rPr>
                <w:lang w:val="fr-CA"/>
              </w:rPr>
              <w:t xml:space="preserve">en priorité par rapport aux Actions privilégiées de </w:t>
            </w:r>
            <w:r w:rsidR="002D3F68">
              <w:rPr>
                <w:lang w:val="fr-CA"/>
              </w:rPr>
              <w:t>catégorie A</w:t>
            </w:r>
            <w:r w:rsidRPr="00FA4ED2">
              <w:rPr>
                <w:lang w:val="fr-CA"/>
              </w:rPr>
              <w:t>, à l</w:t>
            </w:r>
            <w:r w:rsidR="00CC4D89">
              <w:rPr>
                <w:lang w:val="fr-CA"/>
              </w:rPr>
              <w:t>’</w:t>
            </w:r>
            <w:r w:rsidRPr="00FA4ED2">
              <w:rPr>
                <w:lang w:val="fr-CA"/>
              </w:rPr>
              <w:t>exception d</w:t>
            </w:r>
            <w:r w:rsidR="003E51BF" w:rsidRPr="00FA4ED2">
              <w:rPr>
                <w:lang w:val="fr-CA"/>
              </w:rPr>
              <w:t xml:space="preserve">es </w:t>
            </w:r>
            <w:r w:rsidRPr="00FA4ED2">
              <w:rPr>
                <w:lang w:val="fr-CA"/>
              </w:rPr>
              <w:t>actions rachetées au coût auprès d</w:t>
            </w:r>
            <w:r w:rsidR="00CC4D89">
              <w:rPr>
                <w:lang w:val="fr-CA"/>
              </w:rPr>
              <w:t>’</w:t>
            </w:r>
            <w:r w:rsidRPr="00FA4ED2">
              <w:rPr>
                <w:lang w:val="fr-CA"/>
              </w:rPr>
              <w:t>anciens employés et consultants dans le cadre de la cessation de leur</w:t>
            </w:r>
            <w:r w:rsidR="00B3268A" w:rsidRPr="00FA4ED2">
              <w:rPr>
                <w:lang w:val="fr-CA"/>
              </w:rPr>
              <w:t>s</w:t>
            </w:r>
            <w:r w:rsidRPr="00FA4ED2">
              <w:rPr>
                <w:lang w:val="fr-CA"/>
              </w:rPr>
              <w:t xml:space="preserve"> service</w:t>
            </w:r>
            <w:r w:rsidR="00B3268A" w:rsidRPr="00FA4ED2">
              <w:rPr>
                <w:lang w:val="fr-CA"/>
              </w:rPr>
              <w:t>s</w:t>
            </w:r>
            <w:r w:rsidRPr="00FA4ED2">
              <w:rPr>
                <w:lang w:val="fr-CA"/>
              </w:rPr>
              <w:t xml:space="preserve">, [ou </w:t>
            </w:r>
            <w:r w:rsidR="00B3268A" w:rsidRPr="00FA4ED2">
              <w:rPr>
                <w:lang w:val="fr-CA"/>
              </w:rPr>
              <w:t xml:space="preserve">par ailleurs </w:t>
            </w:r>
            <w:r w:rsidR="004628DE" w:rsidRPr="00FA4ED2">
              <w:rPr>
                <w:lang w:val="fr-CA"/>
              </w:rPr>
              <w:t xml:space="preserve">avec </w:t>
            </w:r>
            <w:r w:rsidR="00B3268A" w:rsidRPr="00FA4ED2">
              <w:rPr>
                <w:lang w:val="fr-CA"/>
              </w:rPr>
              <w:t>l</w:t>
            </w:r>
            <w:r w:rsidR="00CC4D89">
              <w:rPr>
                <w:lang w:val="fr-CA"/>
              </w:rPr>
              <w:t>’</w:t>
            </w:r>
            <w:r w:rsidR="00B3268A" w:rsidRPr="00FA4ED2">
              <w:rPr>
                <w:lang w:val="fr-CA"/>
              </w:rPr>
              <w:t>approbation du</w:t>
            </w:r>
            <w:r w:rsidRPr="00FA4ED2">
              <w:rPr>
                <w:lang w:val="fr-CA"/>
              </w:rPr>
              <w:t xml:space="preserve"> Conseil d</w:t>
            </w:r>
            <w:r w:rsidR="00CC4D89">
              <w:rPr>
                <w:lang w:val="fr-CA"/>
              </w:rPr>
              <w:t>’</w:t>
            </w:r>
            <w:r w:rsidRPr="00FA4ED2">
              <w:rPr>
                <w:lang w:val="fr-CA"/>
              </w:rPr>
              <w:t>administration, y compris l</w:t>
            </w:r>
            <w:r w:rsidR="00CC4D89">
              <w:rPr>
                <w:lang w:val="fr-CA"/>
              </w:rPr>
              <w:t>’</w:t>
            </w:r>
            <w:r w:rsidRPr="00FA4ED2">
              <w:rPr>
                <w:lang w:val="fr-CA"/>
              </w:rPr>
              <w:t xml:space="preserve">approbation </w:t>
            </w:r>
            <w:r w:rsidR="00B3268A" w:rsidRPr="00FA4ED2">
              <w:rPr>
                <w:lang w:val="fr-CA"/>
              </w:rPr>
              <w:t>[</w:t>
            </w:r>
            <w:r w:rsidRPr="00FA4ED2">
              <w:rPr>
                <w:lang w:val="fr-CA"/>
              </w:rPr>
              <w:t>d</w:t>
            </w:r>
            <w:r w:rsidR="00CC4D89">
              <w:rPr>
                <w:lang w:val="fr-CA"/>
              </w:rPr>
              <w:t>’</w:t>
            </w:r>
            <w:r w:rsidRPr="00FA4ED2">
              <w:rPr>
                <w:lang w:val="fr-CA"/>
              </w:rPr>
              <w:t>au moins un</w:t>
            </w:r>
            <w:r w:rsidR="00B3268A" w:rsidRPr="00FA4ED2">
              <w:rPr>
                <w:lang w:val="fr-CA"/>
              </w:rPr>
              <w:t>]</w:t>
            </w:r>
            <w:r w:rsidRPr="00FA4ED2">
              <w:rPr>
                <w:lang w:val="fr-CA"/>
              </w:rPr>
              <w:t xml:space="preserve"> </w:t>
            </w:r>
            <w:r w:rsidR="00B3268A" w:rsidRPr="00FA4ED2">
              <w:rPr>
                <w:lang w:val="fr-CA"/>
              </w:rPr>
              <w:t>A</w:t>
            </w:r>
            <w:r w:rsidRPr="00FA4ED2">
              <w:rPr>
                <w:lang w:val="fr-CA"/>
              </w:rPr>
              <w:t>dministrateur privilégié]; ou (</w:t>
            </w:r>
            <w:r w:rsidRPr="008A64C8">
              <w:rPr>
                <w:lang w:val="fr-CA"/>
              </w:rPr>
              <w:t>vi</w:t>
            </w:r>
            <w:r w:rsidRPr="00FA4ED2">
              <w:rPr>
                <w:lang w:val="fr-CA"/>
              </w:rPr>
              <w:t>)</w:t>
            </w:r>
            <w:r w:rsidR="00B3268A" w:rsidRPr="00FA4ED2">
              <w:rPr>
                <w:lang w:val="fr-CA"/>
              </w:rPr>
              <w:t> </w:t>
            </w:r>
            <w:r w:rsidR="00D61113">
              <w:rPr>
                <w:lang w:val="fr-CA"/>
              </w:rPr>
              <w:t>[</w:t>
            </w:r>
            <w:r w:rsidRPr="00FA4ED2">
              <w:rPr>
                <w:lang w:val="fr-CA"/>
              </w:rPr>
              <w:t>adopt</w:t>
            </w:r>
            <w:r w:rsidR="00B3268A" w:rsidRPr="00FA4ED2">
              <w:rPr>
                <w:lang w:val="fr-CA"/>
              </w:rPr>
              <w:t>er</w:t>
            </w:r>
            <w:r w:rsidRPr="00FA4ED2">
              <w:rPr>
                <w:lang w:val="fr-CA"/>
              </w:rPr>
              <w:t>, modifi</w:t>
            </w:r>
            <w:r w:rsidR="00B3268A" w:rsidRPr="00FA4ED2">
              <w:rPr>
                <w:lang w:val="fr-CA"/>
              </w:rPr>
              <w:t>er</w:t>
            </w:r>
            <w:r w:rsidRPr="00FA4ED2">
              <w:rPr>
                <w:lang w:val="fr-CA"/>
              </w:rPr>
              <w:t>, résili</w:t>
            </w:r>
            <w:r w:rsidR="00B3268A" w:rsidRPr="00FA4ED2">
              <w:rPr>
                <w:lang w:val="fr-CA"/>
              </w:rPr>
              <w:t>er</w:t>
            </w:r>
            <w:r w:rsidRPr="00FA4ED2">
              <w:rPr>
                <w:lang w:val="fr-CA"/>
              </w:rPr>
              <w:t xml:space="preserve"> ou abrog</w:t>
            </w:r>
            <w:r w:rsidR="00B3268A" w:rsidRPr="00FA4ED2">
              <w:rPr>
                <w:lang w:val="fr-CA"/>
              </w:rPr>
              <w:t>er</w:t>
            </w:r>
            <w:r w:rsidRPr="00FA4ED2">
              <w:rPr>
                <w:lang w:val="fr-CA"/>
              </w:rPr>
              <w:t xml:space="preserve"> un régime de rémunération fondé sur des titres de capitaux propres (ou lié à des titres de capitaux propres) ou modifi</w:t>
            </w:r>
            <w:r w:rsidR="00B3268A" w:rsidRPr="00FA4ED2">
              <w:rPr>
                <w:lang w:val="fr-CA"/>
              </w:rPr>
              <w:t>er</w:t>
            </w:r>
            <w:r w:rsidRPr="00FA4ED2">
              <w:rPr>
                <w:lang w:val="fr-CA"/>
              </w:rPr>
              <w:t xml:space="preserve"> des modalités d</w:t>
            </w:r>
            <w:r w:rsidR="00CC4D89">
              <w:rPr>
                <w:lang w:val="fr-CA"/>
              </w:rPr>
              <w:t>’</w:t>
            </w:r>
            <w:r w:rsidRPr="00FA4ED2">
              <w:rPr>
                <w:lang w:val="fr-CA"/>
              </w:rPr>
              <w:t>une option ou d</w:t>
            </w:r>
            <w:r w:rsidR="00CC4D89">
              <w:rPr>
                <w:lang w:val="fr-CA"/>
              </w:rPr>
              <w:t>’</w:t>
            </w:r>
            <w:r w:rsidRPr="00FA4ED2">
              <w:rPr>
                <w:lang w:val="fr-CA"/>
              </w:rPr>
              <w:t>une autre attribution aux termes d</w:t>
            </w:r>
            <w:r w:rsidR="00CC4D89">
              <w:rPr>
                <w:lang w:val="fr-CA"/>
              </w:rPr>
              <w:t>’</w:t>
            </w:r>
            <w:r w:rsidRPr="00FA4ED2">
              <w:rPr>
                <w:lang w:val="fr-CA"/>
              </w:rPr>
              <w:t>un tel régime ou renonc</w:t>
            </w:r>
            <w:r w:rsidR="008760AC" w:rsidRPr="00FA4ED2">
              <w:rPr>
                <w:lang w:val="fr-CA"/>
              </w:rPr>
              <w:t>er à de telles modalités</w:t>
            </w:r>
            <w:r w:rsidRPr="00FA4ED2">
              <w:rPr>
                <w:lang w:val="fr-CA"/>
              </w:rPr>
              <w:t>; (</w:t>
            </w:r>
            <w:r w:rsidRPr="008A64C8">
              <w:rPr>
                <w:lang w:val="fr-CA"/>
              </w:rPr>
              <w:t>vii</w:t>
            </w:r>
            <w:r w:rsidRPr="00FA4ED2">
              <w:rPr>
                <w:lang w:val="fr-CA"/>
              </w:rPr>
              <w:t>)</w:t>
            </w:r>
            <w:r w:rsidR="00EC321C" w:rsidRPr="00FA4ED2">
              <w:rPr>
                <w:lang w:val="fr-CA"/>
              </w:rPr>
              <w:t>]</w:t>
            </w:r>
            <w:r w:rsidR="00EC321C" w:rsidRPr="008A64C8">
              <w:rPr>
                <w:rStyle w:val="FootnoteReference"/>
                <w:lang w:val="fr-CA"/>
              </w:rPr>
              <w:footnoteReference w:id="13"/>
            </w:r>
            <w:r w:rsidR="003F6934" w:rsidRPr="00FA4ED2">
              <w:rPr>
                <w:lang w:val="fr-CA"/>
              </w:rPr>
              <w:t> </w:t>
            </w:r>
            <w:r w:rsidR="008760AC" w:rsidRPr="00FA4ED2">
              <w:rPr>
                <w:lang w:val="fr-CA"/>
              </w:rPr>
              <w:t>créer des titres de créance ou autoriser la création de titres de créance</w:t>
            </w:r>
            <w:r w:rsidR="003F6934" w:rsidRPr="00FA4ED2">
              <w:rPr>
                <w:lang w:val="fr-CA"/>
              </w:rPr>
              <w:t>[</w:t>
            </w:r>
            <w:r w:rsidR="008760AC" w:rsidRPr="00FA4ED2">
              <w:rPr>
                <w:lang w:val="fr-CA"/>
              </w:rPr>
              <w:t xml:space="preserve">, si la dette totale </w:t>
            </w:r>
            <w:r w:rsidRPr="00FA4ED2">
              <w:rPr>
                <w:lang w:val="fr-CA"/>
              </w:rPr>
              <w:t xml:space="preserve">de la Société et de ses filiales </w:t>
            </w:r>
            <w:r w:rsidR="003F6934" w:rsidRPr="00FA4ED2">
              <w:rPr>
                <w:lang w:val="fr-CA"/>
              </w:rPr>
              <w:t xml:space="preserve">contractée </w:t>
            </w:r>
            <w:r w:rsidRPr="00FA4ED2">
              <w:rPr>
                <w:lang w:val="fr-CA"/>
              </w:rPr>
              <w:t>pour des emprunts à la suite de cette mesure excédait [●]</w:t>
            </w:r>
            <w:r w:rsidR="002D3F68">
              <w:rPr>
                <w:lang w:val="fr-CA"/>
              </w:rPr>
              <w:t> $</w:t>
            </w:r>
            <w:r w:rsidRPr="00FA4ED2">
              <w:rPr>
                <w:lang w:val="fr-CA"/>
              </w:rPr>
              <w:t xml:space="preserve"> [sauf les contrats de location d</w:t>
            </w:r>
            <w:r w:rsidR="00CC4D89">
              <w:rPr>
                <w:lang w:val="fr-CA"/>
              </w:rPr>
              <w:t>’</w:t>
            </w:r>
            <w:r w:rsidRPr="00FA4ED2">
              <w:rPr>
                <w:lang w:val="fr-CA"/>
              </w:rPr>
              <w:t xml:space="preserve">équipement, les marges de crédit bancaires ou les </w:t>
            </w:r>
            <w:r w:rsidR="003F6934" w:rsidRPr="00FA4ED2">
              <w:rPr>
                <w:lang w:val="fr-CA"/>
              </w:rPr>
              <w:t>comptes</w:t>
            </w:r>
            <w:r w:rsidRPr="00FA4ED2">
              <w:rPr>
                <w:lang w:val="fr-CA"/>
              </w:rPr>
              <w:t xml:space="preserve"> fournisseurs </w:t>
            </w:r>
            <w:r w:rsidR="003E51BF" w:rsidRPr="00FA4ED2">
              <w:rPr>
                <w:lang w:val="fr-CA"/>
              </w:rPr>
              <w:t xml:space="preserve">conclus ou </w:t>
            </w:r>
            <w:r w:rsidR="004628DE" w:rsidRPr="00FA4ED2">
              <w:rPr>
                <w:lang w:val="fr-CA"/>
              </w:rPr>
              <w:t>contractés</w:t>
            </w:r>
            <w:r w:rsidRPr="00FA4ED2">
              <w:rPr>
                <w:lang w:val="fr-CA"/>
              </w:rPr>
              <w:t xml:space="preserve"> dans le cours normal] [à moins que ce</w:t>
            </w:r>
            <w:r w:rsidR="004628DE" w:rsidRPr="00FA4ED2">
              <w:rPr>
                <w:lang w:val="fr-CA"/>
              </w:rPr>
              <w:t>s</w:t>
            </w:r>
            <w:r w:rsidRPr="00FA4ED2">
              <w:rPr>
                <w:lang w:val="fr-CA"/>
              </w:rPr>
              <w:t xml:space="preserve"> titre</w:t>
            </w:r>
            <w:r w:rsidR="004628DE" w:rsidRPr="00FA4ED2">
              <w:rPr>
                <w:lang w:val="fr-CA"/>
              </w:rPr>
              <w:t>s</w:t>
            </w:r>
            <w:r w:rsidRPr="00FA4ED2">
              <w:rPr>
                <w:lang w:val="fr-CA"/>
              </w:rPr>
              <w:t xml:space="preserve"> d</w:t>
            </w:r>
            <w:r w:rsidR="003F6934" w:rsidRPr="00FA4ED2">
              <w:rPr>
                <w:lang w:val="fr-CA"/>
              </w:rPr>
              <w:t xml:space="preserve">e créance </w:t>
            </w:r>
            <w:r w:rsidRPr="00FA4ED2">
              <w:rPr>
                <w:lang w:val="fr-CA"/>
              </w:rPr>
              <w:t>ai</w:t>
            </w:r>
            <w:r w:rsidR="004628DE" w:rsidRPr="00FA4ED2">
              <w:rPr>
                <w:lang w:val="fr-CA"/>
              </w:rPr>
              <w:t>en</w:t>
            </w:r>
            <w:r w:rsidRPr="00FA4ED2">
              <w:rPr>
                <w:lang w:val="fr-CA"/>
              </w:rPr>
              <w:t>t reçu l</w:t>
            </w:r>
            <w:r w:rsidR="00CC4D89">
              <w:rPr>
                <w:lang w:val="fr-CA"/>
              </w:rPr>
              <w:t>’</w:t>
            </w:r>
            <w:r w:rsidRPr="00FA4ED2">
              <w:rPr>
                <w:lang w:val="fr-CA"/>
              </w:rPr>
              <w:t>approbation préalable du Conseil d</w:t>
            </w:r>
            <w:r w:rsidR="00CC4D89">
              <w:rPr>
                <w:lang w:val="fr-CA"/>
              </w:rPr>
              <w:t>’</w:t>
            </w:r>
            <w:r w:rsidRPr="00FA4ED2">
              <w:rPr>
                <w:lang w:val="fr-CA"/>
              </w:rPr>
              <w:t>administration, y compris l</w:t>
            </w:r>
            <w:r w:rsidR="00CC4D89">
              <w:rPr>
                <w:lang w:val="fr-CA"/>
              </w:rPr>
              <w:t>’</w:t>
            </w:r>
            <w:r w:rsidRPr="00FA4ED2">
              <w:rPr>
                <w:lang w:val="fr-CA"/>
              </w:rPr>
              <w:t xml:space="preserve">approbation </w:t>
            </w:r>
            <w:r w:rsidR="003F6934" w:rsidRPr="00FA4ED2">
              <w:rPr>
                <w:lang w:val="fr-CA"/>
              </w:rPr>
              <w:t>[</w:t>
            </w:r>
            <w:r w:rsidRPr="00FA4ED2">
              <w:rPr>
                <w:lang w:val="fr-CA"/>
              </w:rPr>
              <w:t>d</w:t>
            </w:r>
            <w:r w:rsidR="00CC4D89">
              <w:rPr>
                <w:lang w:val="fr-CA"/>
              </w:rPr>
              <w:t>’</w:t>
            </w:r>
            <w:r w:rsidRPr="00FA4ED2">
              <w:rPr>
                <w:lang w:val="fr-CA"/>
              </w:rPr>
              <w:t>au moins un</w:t>
            </w:r>
            <w:r w:rsidR="003F6934" w:rsidRPr="00FA4ED2">
              <w:rPr>
                <w:lang w:val="fr-CA"/>
              </w:rPr>
              <w:t>]</w:t>
            </w:r>
            <w:r w:rsidRPr="00FA4ED2">
              <w:rPr>
                <w:lang w:val="fr-CA"/>
              </w:rPr>
              <w:t xml:space="preserve"> </w:t>
            </w:r>
            <w:r w:rsidR="003F6934" w:rsidRPr="00FA4ED2">
              <w:rPr>
                <w:lang w:val="fr-CA"/>
              </w:rPr>
              <w:t>A</w:t>
            </w:r>
            <w:r w:rsidRPr="00FA4ED2">
              <w:rPr>
                <w:lang w:val="fr-CA"/>
              </w:rPr>
              <w:t>dministrateur privilégié]; [ou] (</w:t>
            </w:r>
            <w:r w:rsidRPr="008A64C8">
              <w:rPr>
                <w:lang w:val="fr-CA"/>
              </w:rPr>
              <w:t>viii</w:t>
            </w:r>
            <w:r w:rsidRPr="00FA4ED2">
              <w:rPr>
                <w:lang w:val="fr-CA"/>
              </w:rPr>
              <w:t>)</w:t>
            </w:r>
            <w:r w:rsidR="003F6934" w:rsidRPr="00FA4ED2">
              <w:rPr>
                <w:lang w:val="fr-CA"/>
              </w:rPr>
              <w:t> </w:t>
            </w:r>
            <w:r w:rsidRPr="00FA4ED2">
              <w:rPr>
                <w:lang w:val="fr-CA"/>
              </w:rPr>
              <w:t>cré</w:t>
            </w:r>
            <w:r w:rsidR="003F6934" w:rsidRPr="00FA4ED2">
              <w:rPr>
                <w:lang w:val="fr-CA"/>
              </w:rPr>
              <w:t>er</w:t>
            </w:r>
            <w:r w:rsidRPr="00FA4ED2">
              <w:rPr>
                <w:lang w:val="fr-CA"/>
              </w:rPr>
              <w:t xml:space="preserve"> ou </w:t>
            </w:r>
            <w:r w:rsidR="003F6934" w:rsidRPr="00FA4ED2">
              <w:rPr>
                <w:lang w:val="fr-CA"/>
              </w:rPr>
              <w:t xml:space="preserve">détenir des </w:t>
            </w:r>
            <w:r w:rsidRPr="00FA4ED2">
              <w:rPr>
                <w:lang w:val="fr-CA"/>
              </w:rPr>
              <w:t xml:space="preserve">actions </w:t>
            </w:r>
            <w:r w:rsidR="003F6934" w:rsidRPr="00FA4ED2">
              <w:rPr>
                <w:lang w:val="fr-CA"/>
              </w:rPr>
              <w:t>du capital</w:t>
            </w:r>
            <w:r w:rsidR="00D61113">
              <w:rPr>
                <w:lang w:val="fr-CA"/>
              </w:rPr>
              <w:t>-actions</w:t>
            </w:r>
            <w:r w:rsidR="003F6934" w:rsidRPr="00FA4ED2">
              <w:rPr>
                <w:lang w:val="fr-CA"/>
              </w:rPr>
              <w:t xml:space="preserve"> d</w:t>
            </w:r>
            <w:r w:rsidR="00CC4D89">
              <w:rPr>
                <w:lang w:val="fr-CA"/>
              </w:rPr>
              <w:t>’</w:t>
            </w:r>
            <w:r w:rsidR="003F6934" w:rsidRPr="00FA4ED2">
              <w:rPr>
                <w:lang w:val="fr-CA"/>
              </w:rPr>
              <w:t>une</w:t>
            </w:r>
            <w:r w:rsidRPr="00FA4ED2">
              <w:rPr>
                <w:lang w:val="fr-CA"/>
              </w:rPr>
              <w:t xml:space="preserve"> filiale qui n</w:t>
            </w:r>
            <w:r w:rsidR="00CC4D89">
              <w:rPr>
                <w:lang w:val="fr-CA"/>
              </w:rPr>
              <w:t>’</w:t>
            </w:r>
            <w:r w:rsidRPr="00FA4ED2">
              <w:rPr>
                <w:lang w:val="fr-CA"/>
              </w:rPr>
              <w:t xml:space="preserve">est pas </w:t>
            </w:r>
            <w:r w:rsidR="0051228E" w:rsidRPr="00FA4ED2">
              <w:rPr>
                <w:lang w:val="fr-CA"/>
              </w:rPr>
              <w:t xml:space="preserve">détenue </w:t>
            </w:r>
            <w:r w:rsidR="003F6934" w:rsidRPr="00FA4ED2">
              <w:rPr>
                <w:lang w:val="fr-CA"/>
              </w:rPr>
              <w:t>en propriété exclusive</w:t>
            </w:r>
            <w:r w:rsidRPr="00FA4ED2">
              <w:rPr>
                <w:lang w:val="fr-CA"/>
              </w:rPr>
              <w:t xml:space="preserve">, </w:t>
            </w:r>
            <w:r w:rsidR="003F6934" w:rsidRPr="00FA4ED2">
              <w:rPr>
                <w:lang w:val="fr-CA"/>
              </w:rPr>
              <w:t xml:space="preserve">ou aliéner des </w:t>
            </w:r>
            <w:r w:rsidRPr="00FA4ED2">
              <w:rPr>
                <w:lang w:val="fr-CA"/>
              </w:rPr>
              <w:t>actions d</w:t>
            </w:r>
            <w:r w:rsidR="00CC4D89">
              <w:rPr>
                <w:lang w:val="fr-CA"/>
              </w:rPr>
              <w:t>’</w:t>
            </w:r>
            <w:r w:rsidRPr="00FA4ED2">
              <w:rPr>
                <w:lang w:val="fr-CA"/>
              </w:rPr>
              <w:t>une filiale ou la totalité ou la quasi-totalité des actifs d</w:t>
            </w:r>
            <w:r w:rsidR="00CC4D89">
              <w:rPr>
                <w:lang w:val="fr-CA"/>
              </w:rPr>
              <w:t>’</w:t>
            </w:r>
            <w:r w:rsidRPr="00FA4ED2">
              <w:rPr>
                <w:lang w:val="fr-CA"/>
              </w:rPr>
              <w:t>une filiale; [ou (</w:t>
            </w:r>
            <w:r w:rsidRPr="008A64C8">
              <w:rPr>
                <w:lang w:val="fr-CA"/>
              </w:rPr>
              <w:t>ix</w:t>
            </w:r>
            <w:r w:rsidRPr="00FA4ED2">
              <w:rPr>
                <w:lang w:val="fr-CA"/>
              </w:rPr>
              <w:t>)</w:t>
            </w:r>
            <w:r w:rsidR="003F6934" w:rsidRPr="00FA4ED2">
              <w:rPr>
                <w:lang w:val="fr-CA"/>
              </w:rPr>
              <w:t> majorer ou diminuer</w:t>
            </w:r>
            <w:r w:rsidR="00FF2B36" w:rsidRPr="00FA4ED2">
              <w:rPr>
                <w:lang w:val="fr-CA"/>
              </w:rPr>
              <w:t xml:space="preserve"> le</w:t>
            </w:r>
            <w:r w:rsidRPr="00FA4ED2">
              <w:rPr>
                <w:lang w:val="fr-CA"/>
              </w:rPr>
              <w:t xml:space="preserve"> nombre </w:t>
            </w:r>
            <w:r w:rsidR="00FF2B36" w:rsidRPr="00FA4ED2">
              <w:rPr>
                <w:lang w:val="fr-CA"/>
              </w:rPr>
              <w:t xml:space="preserve">autorisé </w:t>
            </w:r>
            <w:r w:rsidRPr="00FA4ED2">
              <w:rPr>
                <w:lang w:val="fr-CA"/>
              </w:rPr>
              <w:t>d</w:t>
            </w:r>
            <w:r w:rsidR="00CC4D89">
              <w:rPr>
                <w:lang w:val="fr-CA"/>
              </w:rPr>
              <w:t>’</w:t>
            </w:r>
            <w:r w:rsidRPr="00FA4ED2">
              <w:rPr>
                <w:lang w:val="fr-CA"/>
              </w:rPr>
              <w:t>administrateurs constituant le Conseil d</w:t>
            </w:r>
            <w:r w:rsidR="00CC4D89">
              <w:rPr>
                <w:lang w:val="fr-CA"/>
              </w:rPr>
              <w:t>’</w:t>
            </w:r>
            <w:r w:rsidRPr="00FA4ED2">
              <w:rPr>
                <w:lang w:val="fr-CA"/>
              </w:rPr>
              <w:t>administration ou modifi</w:t>
            </w:r>
            <w:r w:rsidR="00FF2B36" w:rsidRPr="00FA4ED2">
              <w:rPr>
                <w:lang w:val="fr-CA"/>
              </w:rPr>
              <w:t>er</w:t>
            </w:r>
            <w:r w:rsidRPr="00FA4ED2">
              <w:rPr>
                <w:lang w:val="fr-CA"/>
              </w:rPr>
              <w:t xml:space="preserve"> </w:t>
            </w:r>
            <w:r w:rsidR="00FF2B36" w:rsidRPr="00FA4ED2">
              <w:rPr>
                <w:lang w:val="fr-CA"/>
              </w:rPr>
              <w:t>le</w:t>
            </w:r>
            <w:r w:rsidRPr="00FA4ED2">
              <w:rPr>
                <w:lang w:val="fr-CA"/>
              </w:rPr>
              <w:t xml:space="preserve"> nombre de voix </w:t>
            </w:r>
            <w:r w:rsidR="003E51BF" w:rsidRPr="00FA4ED2">
              <w:rPr>
                <w:lang w:val="fr-CA"/>
              </w:rPr>
              <w:t>qu</w:t>
            </w:r>
            <w:r w:rsidR="00CC4D89">
              <w:rPr>
                <w:lang w:val="fr-CA"/>
              </w:rPr>
              <w:t>’</w:t>
            </w:r>
            <w:r w:rsidRPr="00FA4ED2">
              <w:rPr>
                <w:lang w:val="fr-CA"/>
              </w:rPr>
              <w:t xml:space="preserve">un </w:t>
            </w:r>
            <w:r w:rsidR="00FF2B36" w:rsidRPr="00FA4ED2">
              <w:rPr>
                <w:lang w:val="fr-CA"/>
              </w:rPr>
              <w:t xml:space="preserve">ou des </w:t>
            </w:r>
            <w:r w:rsidRPr="00FA4ED2">
              <w:rPr>
                <w:lang w:val="fr-CA"/>
              </w:rPr>
              <w:t>administrateur</w:t>
            </w:r>
            <w:r w:rsidR="00FF2B36" w:rsidRPr="00FA4ED2">
              <w:rPr>
                <w:lang w:val="fr-CA"/>
              </w:rPr>
              <w:t>s</w:t>
            </w:r>
            <w:r w:rsidRPr="00FA4ED2">
              <w:rPr>
                <w:lang w:val="fr-CA"/>
              </w:rPr>
              <w:t xml:space="preserve"> </w:t>
            </w:r>
            <w:r w:rsidR="003E51BF" w:rsidRPr="00FA4ED2">
              <w:rPr>
                <w:lang w:val="fr-CA"/>
              </w:rPr>
              <w:t xml:space="preserve">peuvent exprimer </w:t>
            </w:r>
            <w:r w:rsidRPr="00FA4ED2">
              <w:rPr>
                <w:lang w:val="fr-CA"/>
              </w:rPr>
              <w:t>sur une question].</w:t>
            </w:r>
            <w:r w:rsidRPr="008A64C8">
              <w:rPr>
                <w:rStyle w:val="FootnoteReference"/>
                <w:lang w:val="fr-CA"/>
              </w:rPr>
              <w:footnoteReference w:id="14"/>
            </w:r>
          </w:p>
        </w:tc>
      </w:tr>
    </w:tbl>
    <w:p w14:paraId="2BCF86A1" w14:textId="77777777" w:rsidR="00317C55" w:rsidRPr="00A86EE3" w:rsidRDefault="00317C55">
      <w:pPr>
        <w:rPr>
          <w:lang w:val="fr-CA"/>
        </w:rPr>
      </w:pPr>
    </w:p>
    <w:tbl>
      <w:tblPr>
        <w:tblW w:w="5000" w:type="pct"/>
        <w:tblLook w:val="06A0" w:firstRow="1" w:lastRow="0" w:firstColumn="1" w:lastColumn="0" w:noHBand="1" w:noVBand="1"/>
      </w:tblPr>
      <w:tblGrid>
        <w:gridCol w:w="2967"/>
        <w:gridCol w:w="6393"/>
      </w:tblGrid>
      <w:tr w:rsidR="00897CD8" w:rsidRPr="008E00AC" w14:paraId="71FB68A3" w14:textId="77777777" w:rsidTr="00EE3005">
        <w:tc>
          <w:tcPr>
            <w:tcW w:w="1585" w:type="pct"/>
            <w:shd w:val="clear" w:color="auto" w:fill="auto"/>
          </w:tcPr>
          <w:p w14:paraId="247AE6CF" w14:textId="231EE217" w:rsidR="0057567C" w:rsidRPr="00FA4ED2" w:rsidRDefault="004A387E" w:rsidP="0057567C">
            <w:pPr>
              <w:pStyle w:val="TableHeading2"/>
              <w:keepNext/>
              <w:keepLines/>
              <w:rPr>
                <w:lang w:val="fr-CA"/>
              </w:rPr>
            </w:pPr>
            <w:r w:rsidRPr="00FA4ED2">
              <w:rPr>
                <w:lang w:val="fr-CA"/>
              </w:rPr>
              <w:t>Conversion facultative</w:t>
            </w:r>
            <w:r w:rsidR="006E4B3F" w:rsidRPr="00FA4ED2">
              <w:rPr>
                <w:lang w:val="fr-CA"/>
              </w:rPr>
              <w:t> </w:t>
            </w:r>
            <w:r w:rsidRPr="00FA4ED2">
              <w:rPr>
                <w:lang w:val="fr-CA"/>
              </w:rPr>
              <w:t>:</w:t>
            </w:r>
          </w:p>
        </w:tc>
        <w:tc>
          <w:tcPr>
            <w:tcW w:w="3415" w:type="pct"/>
            <w:shd w:val="clear" w:color="auto" w:fill="auto"/>
          </w:tcPr>
          <w:p w14:paraId="19F548ED" w14:textId="447EAFF8" w:rsidR="0057567C" w:rsidRPr="00FA4ED2" w:rsidRDefault="004A387E" w:rsidP="00317C55">
            <w:pPr>
              <w:pStyle w:val="BodyText"/>
              <w:keepNext/>
              <w:keepLines/>
              <w:rPr>
                <w:lang w:val="fr-CA"/>
              </w:rPr>
            </w:pPr>
            <w:r w:rsidRPr="00FA4ED2">
              <w:rPr>
                <w:lang w:val="fr-CA"/>
              </w:rPr>
              <w:t xml:space="preserve">Les Actions privilégiées de </w:t>
            </w:r>
            <w:r w:rsidR="002D3F68">
              <w:rPr>
                <w:lang w:val="fr-CA"/>
              </w:rPr>
              <w:t>catégorie A</w:t>
            </w:r>
            <w:r w:rsidRPr="00FA4ED2">
              <w:rPr>
                <w:lang w:val="fr-CA"/>
              </w:rPr>
              <w:t xml:space="preserve"> sont initialement converties en </w:t>
            </w:r>
            <w:r w:rsidR="00FF2B36" w:rsidRPr="00FA4ED2">
              <w:rPr>
                <w:lang w:val="fr-CA"/>
              </w:rPr>
              <w:t>A</w:t>
            </w:r>
            <w:r w:rsidRPr="00FA4ED2">
              <w:rPr>
                <w:lang w:val="fr-CA"/>
              </w:rPr>
              <w:t xml:space="preserve">ctions ordinaires </w:t>
            </w:r>
            <w:r w:rsidR="003E51BF" w:rsidRPr="00FA4ED2">
              <w:rPr>
                <w:lang w:val="fr-CA"/>
              </w:rPr>
              <w:t>à raison d</w:t>
            </w:r>
            <w:r w:rsidR="00CC4D89">
              <w:rPr>
                <w:lang w:val="fr-CA"/>
              </w:rPr>
              <w:t>’</w:t>
            </w:r>
            <w:r w:rsidR="003E51BF" w:rsidRPr="00FA4ED2">
              <w:rPr>
                <w:lang w:val="fr-CA"/>
              </w:rPr>
              <w:t xml:space="preserve">un ratio de </w:t>
            </w:r>
            <w:r w:rsidR="003E51BF" w:rsidRPr="008A64C8">
              <w:rPr>
                <w:lang w:val="fr-CA"/>
              </w:rPr>
              <w:t>1</w:t>
            </w:r>
            <w:r w:rsidR="003E51BF" w:rsidRPr="00FA4ED2">
              <w:rPr>
                <w:lang w:val="fr-CA"/>
              </w:rPr>
              <w:t> : </w:t>
            </w:r>
            <w:r w:rsidR="003E51BF" w:rsidRPr="008A64C8">
              <w:rPr>
                <w:lang w:val="fr-CA"/>
              </w:rPr>
              <w:t>1</w:t>
            </w:r>
            <w:r w:rsidR="003E51BF" w:rsidRPr="00FA4ED2">
              <w:rPr>
                <w:lang w:val="fr-CA"/>
              </w:rPr>
              <w:t xml:space="preserve"> </w:t>
            </w:r>
            <w:r w:rsidRPr="00FA4ED2">
              <w:rPr>
                <w:lang w:val="fr-CA"/>
              </w:rPr>
              <w:t>à tout moment au gré du porteur, sous réserve de rajustements pour tenir compte de dividendes en actions, de fractionnements</w:t>
            </w:r>
            <w:r w:rsidR="00C54E2E">
              <w:rPr>
                <w:lang w:val="fr-CA"/>
              </w:rPr>
              <w:t xml:space="preserve"> d’actions</w:t>
            </w:r>
            <w:r w:rsidRPr="00FA4ED2">
              <w:rPr>
                <w:lang w:val="fr-CA"/>
              </w:rPr>
              <w:t>, de regroupements</w:t>
            </w:r>
            <w:r w:rsidR="00C54E2E">
              <w:rPr>
                <w:lang w:val="fr-CA"/>
              </w:rPr>
              <w:t xml:space="preserve"> d’actions</w:t>
            </w:r>
            <w:r w:rsidRPr="00FA4ED2">
              <w:rPr>
                <w:lang w:val="fr-CA"/>
              </w:rPr>
              <w:t xml:space="preserve"> et d</w:t>
            </w:r>
            <w:r w:rsidR="00CC4D89">
              <w:rPr>
                <w:lang w:val="fr-CA"/>
              </w:rPr>
              <w:t>’</w:t>
            </w:r>
            <w:r w:rsidRPr="00FA4ED2">
              <w:rPr>
                <w:lang w:val="fr-CA"/>
              </w:rPr>
              <w:t>événements similaires et comme il est décrit ci-après à la rubrique «</w:t>
            </w:r>
            <w:r w:rsidR="006E4B3F" w:rsidRPr="00FA4ED2">
              <w:rPr>
                <w:lang w:val="fr-CA"/>
              </w:rPr>
              <w:t> </w:t>
            </w:r>
            <w:r w:rsidRPr="00FA4ED2">
              <w:rPr>
                <w:lang w:val="fr-CA"/>
              </w:rPr>
              <w:t>Dispositions antidilution</w:t>
            </w:r>
            <w:r w:rsidR="006E4B3F" w:rsidRPr="00FA4ED2">
              <w:rPr>
                <w:lang w:val="fr-CA"/>
              </w:rPr>
              <w:t> </w:t>
            </w:r>
            <w:r w:rsidRPr="00FA4ED2">
              <w:rPr>
                <w:lang w:val="fr-CA"/>
              </w:rPr>
              <w:t>».</w:t>
            </w:r>
          </w:p>
        </w:tc>
      </w:tr>
      <w:tr w:rsidR="00897CD8" w:rsidRPr="008E00AC" w14:paraId="5D0719EA" w14:textId="77777777" w:rsidTr="00EE3005">
        <w:tc>
          <w:tcPr>
            <w:tcW w:w="1585" w:type="pct"/>
            <w:shd w:val="clear" w:color="auto" w:fill="auto"/>
          </w:tcPr>
          <w:p w14:paraId="54EA2C6D" w14:textId="07FB8DD9" w:rsidR="0057567C" w:rsidRPr="009218F5" w:rsidRDefault="004A387E">
            <w:pPr>
              <w:pStyle w:val="TableHeading2"/>
              <w:rPr>
                <w:iCs/>
                <w:lang w:val="fr-CA"/>
              </w:rPr>
            </w:pPr>
            <w:r w:rsidRPr="009218F5">
              <w:rPr>
                <w:iCs/>
                <w:lang w:val="fr-CA"/>
              </w:rPr>
              <w:t>Dispositions antidilution :</w:t>
            </w:r>
          </w:p>
        </w:tc>
        <w:tc>
          <w:tcPr>
            <w:tcW w:w="3415" w:type="pct"/>
            <w:shd w:val="clear" w:color="auto" w:fill="auto"/>
          </w:tcPr>
          <w:p w14:paraId="36B72B23" w14:textId="582ADB7E" w:rsidR="0057567C" w:rsidRPr="00FA4ED2" w:rsidRDefault="004A387E" w:rsidP="00317C55">
            <w:pPr>
              <w:pStyle w:val="BodyText"/>
              <w:rPr>
                <w:lang w:val="fr-CA"/>
              </w:rPr>
            </w:pPr>
            <w:r w:rsidRPr="00FA4ED2">
              <w:rPr>
                <w:lang w:val="fr-CA"/>
              </w:rPr>
              <w:t>Si la Société émet des titres supplémentaires à un prix d</w:t>
            </w:r>
            <w:r w:rsidR="00CC4D89">
              <w:rPr>
                <w:lang w:val="fr-CA"/>
              </w:rPr>
              <w:t>’</w:t>
            </w:r>
            <w:r w:rsidRPr="00FA4ED2">
              <w:rPr>
                <w:lang w:val="fr-CA"/>
              </w:rPr>
              <w:t xml:space="preserve">achat inférieur au prix de conversion </w:t>
            </w:r>
            <w:r w:rsidR="00FF2B36" w:rsidRPr="00FA4ED2">
              <w:rPr>
                <w:lang w:val="fr-CA"/>
              </w:rPr>
              <w:t xml:space="preserve">actuel </w:t>
            </w:r>
            <w:r w:rsidRPr="00FA4ED2">
              <w:rPr>
                <w:lang w:val="fr-CA"/>
              </w:rPr>
              <w:t xml:space="preserve">des </w:t>
            </w:r>
            <w:r w:rsidR="00FF2B36" w:rsidRPr="00FA4ED2">
              <w:rPr>
                <w:lang w:val="fr-CA"/>
              </w:rPr>
              <w:t>Actions</w:t>
            </w:r>
            <w:r w:rsidRPr="00FA4ED2">
              <w:rPr>
                <w:lang w:val="fr-CA"/>
              </w:rPr>
              <w:t xml:space="preserve"> privilégié</w:t>
            </w:r>
            <w:r w:rsidR="00FF2B36" w:rsidRPr="00FA4ED2">
              <w:rPr>
                <w:lang w:val="fr-CA"/>
              </w:rPr>
              <w:t>e</w:t>
            </w:r>
            <w:r w:rsidRPr="00FA4ED2">
              <w:rPr>
                <w:lang w:val="fr-CA"/>
              </w:rPr>
              <w:t xml:space="preserve">s de </w:t>
            </w:r>
            <w:r w:rsidR="002D3F68">
              <w:rPr>
                <w:lang w:val="fr-CA"/>
              </w:rPr>
              <w:t>catégorie A</w:t>
            </w:r>
            <w:r w:rsidRPr="00FA4ED2">
              <w:rPr>
                <w:lang w:val="fr-CA"/>
              </w:rPr>
              <w:t>, ce prix de conversion sera rajusté selon la formule suivante</w:t>
            </w:r>
            <w:r w:rsidR="00FF2B36" w:rsidRPr="00FA4ED2">
              <w:rPr>
                <w:lang w:val="fr-CA"/>
              </w:rPr>
              <w:t> </w:t>
            </w:r>
            <w:r w:rsidRPr="00FA4ED2">
              <w:rPr>
                <w:lang w:val="fr-CA"/>
              </w:rPr>
              <w:t>:</w:t>
            </w:r>
          </w:p>
          <w:p w14:paraId="2BFEB9E1" w14:textId="6B6A46F3" w:rsidR="0057567C" w:rsidRPr="00FA4ED2" w:rsidRDefault="00513CE4" w:rsidP="00FA4ED2">
            <w:pPr>
              <w:pStyle w:val="BodyText"/>
              <w:spacing w:after="120"/>
              <w:jc w:val="center"/>
              <w:rPr>
                <w:lang w:val="fr-CA"/>
              </w:rPr>
            </w:pPr>
            <w:r>
              <w:rPr>
                <w:lang w:val="fr-CA"/>
              </w:rPr>
              <w:t>PC</w:t>
            </w:r>
            <w:r w:rsidR="004A387E" w:rsidRPr="008A64C8">
              <w:rPr>
                <w:vertAlign w:val="subscript"/>
                <w:lang w:val="fr-CA"/>
              </w:rPr>
              <w:t>2</w:t>
            </w:r>
            <w:r w:rsidR="004A387E" w:rsidRPr="00FA4ED2">
              <w:rPr>
                <w:lang w:val="fr-CA"/>
              </w:rPr>
              <w:t xml:space="preserve"> = </w:t>
            </w:r>
            <w:r>
              <w:rPr>
                <w:lang w:val="fr-CA"/>
              </w:rPr>
              <w:t>PC</w:t>
            </w:r>
            <w:r w:rsidR="004A387E" w:rsidRPr="008A64C8">
              <w:rPr>
                <w:vertAlign w:val="subscript"/>
                <w:lang w:val="fr-CA"/>
              </w:rPr>
              <w:t>1</w:t>
            </w:r>
            <w:r w:rsidR="004A387E" w:rsidRPr="00FA4ED2">
              <w:rPr>
                <w:lang w:val="fr-CA"/>
              </w:rPr>
              <w:t xml:space="preserve"> * (A+B) / (A+C)</w:t>
            </w:r>
          </w:p>
          <w:p w14:paraId="662DB03F" w14:textId="0FF5DFAD" w:rsidR="0057567C" w:rsidRPr="00FA4ED2" w:rsidRDefault="004A387E" w:rsidP="00EE3005">
            <w:pPr>
              <w:pStyle w:val="SubParagraphIndent"/>
              <w:tabs>
                <w:tab w:val="clear" w:pos="432"/>
              </w:tabs>
              <w:ind w:left="0" w:firstLine="0"/>
              <w:rPr>
                <w:lang w:val="fr-CA"/>
              </w:rPr>
            </w:pPr>
            <w:r w:rsidRPr="00FA4ED2">
              <w:rPr>
                <w:lang w:val="fr-CA"/>
              </w:rPr>
              <w:t>Où :</w:t>
            </w:r>
          </w:p>
          <w:p w14:paraId="01CF53FB" w14:textId="55025A0E" w:rsidR="0057567C" w:rsidRPr="00FA4ED2" w:rsidRDefault="00513CE4" w:rsidP="00EE3005">
            <w:pPr>
              <w:pStyle w:val="SubParagraphIndent"/>
              <w:ind w:left="1440"/>
              <w:rPr>
                <w:lang w:val="fr-CA"/>
              </w:rPr>
            </w:pPr>
            <w:r>
              <w:rPr>
                <w:lang w:val="fr-CA"/>
              </w:rPr>
              <w:t>PC</w:t>
            </w:r>
            <w:r w:rsidR="004A387E" w:rsidRPr="008A64C8">
              <w:rPr>
                <w:vertAlign w:val="subscript"/>
                <w:lang w:val="fr-CA"/>
              </w:rPr>
              <w:t>2</w:t>
            </w:r>
            <w:r w:rsidR="004A387E" w:rsidRPr="00FA4ED2">
              <w:rPr>
                <w:lang w:val="fr-CA"/>
              </w:rPr>
              <w:t xml:space="preserve"> =</w:t>
            </w:r>
            <w:r w:rsidR="004A387E" w:rsidRPr="00FA4ED2">
              <w:rPr>
                <w:lang w:val="fr-CA"/>
              </w:rPr>
              <w:tab/>
              <w:t xml:space="preserve">Prix de conversion des Actions de </w:t>
            </w:r>
            <w:r w:rsidR="002D3F68">
              <w:rPr>
                <w:lang w:val="fr-CA"/>
              </w:rPr>
              <w:t>catégorie A</w:t>
            </w:r>
            <w:r w:rsidR="004A387E" w:rsidRPr="00FA4ED2">
              <w:rPr>
                <w:lang w:val="fr-CA"/>
              </w:rPr>
              <w:t xml:space="preserve"> en vigueur immédiatement après la nouvelle émission</w:t>
            </w:r>
          </w:p>
          <w:p w14:paraId="09D577AA" w14:textId="4967832C" w:rsidR="0057567C" w:rsidRPr="00FA4ED2" w:rsidRDefault="00513CE4" w:rsidP="00EE3005">
            <w:pPr>
              <w:pStyle w:val="SubParagraphIndent"/>
              <w:ind w:left="1440"/>
              <w:rPr>
                <w:lang w:val="fr-CA"/>
              </w:rPr>
            </w:pPr>
            <w:r>
              <w:rPr>
                <w:lang w:val="fr-CA"/>
              </w:rPr>
              <w:t>PC</w:t>
            </w:r>
            <w:r w:rsidR="004A387E" w:rsidRPr="008A64C8">
              <w:rPr>
                <w:vertAlign w:val="subscript"/>
                <w:lang w:val="fr-CA"/>
              </w:rPr>
              <w:t>1</w:t>
            </w:r>
            <w:r w:rsidR="004A387E" w:rsidRPr="00FA4ED2">
              <w:rPr>
                <w:lang w:val="fr-CA"/>
              </w:rPr>
              <w:t xml:space="preserve"> =</w:t>
            </w:r>
            <w:r w:rsidR="004A387E" w:rsidRPr="00FA4ED2">
              <w:rPr>
                <w:lang w:val="fr-CA"/>
              </w:rPr>
              <w:tab/>
              <w:t xml:space="preserve">Prix de conversion des Actions de </w:t>
            </w:r>
            <w:r w:rsidR="002D3F68">
              <w:rPr>
                <w:lang w:val="fr-CA"/>
              </w:rPr>
              <w:t>catégorie A</w:t>
            </w:r>
            <w:r w:rsidR="004A387E" w:rsidRPr="00FA4ED2">
              <w:rPr>
                <w:lang w:val="fr-CA"/>
              </w:rPr>
              <w:t xml:space="preserve"> en vigueur immédiatement avant la nouvelle émission</w:t>
            </w:r>
          </w:p>
          <w:p w14:paraId="5D5C6011" w14:textId="59C550A5" w:rsidR="0057567C" w:rsidRPr="00FA4ED2" w:rsidRDefault="004A387E" w:rsidP="00EE3005">
            <w:pPr>
              <w:pStyle w:val="SubParagraphIndent"/>
              <w:ind w:left="1440"/>
              <w:rPr>
                <w:lang w:val="fr-CA"/>
              </w:rPr>
            </w:pPr>
            <w:r w:rsidRPr="00FA4ED2">
              <w:rPr>
                <w:lang w:val="fr-CA"/>
              </w:rPr>
              <w:t>A =</w:t>
            </w:r>
            <w:r w:rsidRPr="00FA4ED2">
              <w:rPr>
                <w:lang w:val="fr-CA"/>
              </w:rPr>
              <w:tab/>
              <w:t>Nombre d</w:t>
            </w:r>
            <w:r w:rsidR="00CC4D89">
              <w:rPr>
                <w:lang w:val="fr-CA"/>
              </w:rPr>
              <w:t>’</w:t>
            </w:r>
            <w:r w:rsidR="00FF2B36" w:rsidRPr="00FA4ED2">
              <w:rPr>
                <w:lang w:val="fr-CA"/>
              </w:rPr>
              <w:t>A</w:t>
            </w:r>
            <w:r w:rsidRPr="00FA4ED2">
              <w:rPr>
                <w:lang w:val="fr-CA"/>
              </w:rPr>
              <w:t xml:space="preserve">ctions ordinaires réputées en circulation immédiatement avant la nouvelle émission (comprend toutes les </w:t>
            </w:r>
            <w:r w:rsidR="00FF2B36" w:rsidRPr="00FA4ED2">
              <w:rPr>
                <w:lang w:val="fr-CA"/>
              </w:rPr>
              <w:t>A</w:t>
            </w:r>
            <w:r w:rsidRPr="00FA4ED2">
              <w:rPr>
                <w:lang w:val="fr-CA"/>
              </w:rPr>
              <w:t xml:space="preserve">ctions ordinaires en circulation, toutes les actions privilégiées en circulation </w:t>
            </w:r>
            <w:r w:rsidR="00FF2B36" w:rsidRPr="00FA4ED2">
              <w:rPr>
                <w:lang w:val="fr-CA"/>
              </w:rPr>
              <w:t>comme si elles étaient converties</w:t>
            </w:r>
            <w:r w:rsidRPr="00FA4ED2">
              <w:rPr>
                <w:lang w:val="fr-CA"/>
              </w:rPr>
              <w:t xml:space="preserve"> et toutes les options en c</w:t>
            </w:r>
            <w:r w:rsidR="00FF2B36" w:rsidRPr="00FA4ED2">
              <w:rPr>
                <w:lang w:val="fr-CA"/>
              </w:rPr>
              <w:t xml:space="preserve">ours comme si elles </w:t>
            </w:r>
            <w:r w:rsidR="0051228E" w:rsidRPr="00FA4ED2">
              <w:rPr>
                <w:lang w:val="fr-CA"/>
              </w:rPr>
              <w:t>étaient</w:t>
            </w:r>
            <w:r w:rsidR="00FF2B36" w:rsidRPr="00FA4ED2">
              <w:rPr>
                <w:lang w:val="fr-CA"/>
              </w:rPr>
              <w:t xml:space="preserve"> exercées</w:t>
            </w:r>
            <w:r w:rsidRPr="00FA4ED2">
              <w:rPr>
                <w:lang w:val="fr-CA"/>
              </w:rPr>
              <w:t xml:space="preserve">; </w:t>
            </w:r>
            <w:r w:rsidR="0051228E" w:rsidRPr="00FA4ED2">
              <w:rPr>
                <w:lang w:val="fr-CA"/>
              </w:rPr>
              <w:t xml:space="preserve">et </w:t>
            </w:r>
            <w:r w:rsidRPr="00FA4ED2">
              <w:rPr>
                <w:lang w:val="fr-CA"/>
              </w:rPr>
              <w:t xml:space="preserve">ne comprend pas les titres convertibles qui </w:t>
            </w:r>
            <w:r w:rsidR="00FF2B36" w:rsidRPr="00FA4ED2">
              <w:rPr>
                <w:lang w:val="fr-CA"/>
              </w:rPr>
              <w:t>sont</w:t>
            </w:r>
            <w:r w:rsidRPr="00FA4ED2">
              <w:rPr>
                <w:lang w:val="fr-CA"/>
              </w:rPr>
              <w:t xml:space="preserve"> convertis </w:t>
            </w:r>
            <w:r w:rsidR="00001B5E" w:rsidRPr="00FA4ED2">
              <w:rPr>
                <w:lang w:val="fr-CA"/>
              </w:rPr>
              <w:t>durant</w:t>
            </w:r>
            <w:r w:rsidRPr="00FA4ED2">
              <w:rPr>
                <w:lang w:val="fr-CA"/>
              </w:rPr>
              <w:t xml:space="preserve"> cette ronde de financement)</w:t>
            </w:r>
            <w:r w:rsidRPr="008A64C8">
              <w:rPr>
                <w:rStyle w:val="FootnoteReference"/>
                <w:lang w:val="fr-CA"/>
              </w:rPr>
              <w:footnoteReference w:id="15"/>
            </w:r>
          </w:p>
          <w:p w14:paraId="3BDE5C8F" w14:textId="21ED9693" w:rsidR="0057567C" w:rsidRPr="00FA4ED2" w:rsidRDefault="004A387E" w:rsidP="00FA4ED2">
            <w:pPr>
              <w:pStyle w:val="SubParagraphIndent"/>
              <w:spacing w:after="120"/>
              <w:ind w:left="1440"/>
              <w:rPr>
                <w:lang w:val="fr-CA"/>
              </w:rPr>
            </w:pPr>
            <w:r w:rsidRPr="00FA4ED2">
              <w:rPr>
                <w:lang w:val="fr-CA"/>
              </w:rPr>
              <w:t>B =</w:t>
            </w:r>
            <w:r w:rsidRPr="00FA4ED2">
              <w:rPr>
                <w:lang w:val="fr-CA"/>
              </w:rPr>
              <w:tab/>
              <w:t>Contrepartie globale reçue par la Société à l</w:t>
            </w:r>
            <w:r w:rsidR="00CC4D89">
              <w:rPr>
                <w:lang w:val="fr-CA"/>
              </w:rPr>
              <w:t>’</w:t>
            </w:r>
            <w:r w:rsidRPr="00FA4ED2">
              <w:rPr>
                <w:lang w:val="fr-CA"/>
              </w:rPr>
              <w:t xml:space="preserve">égard de la nouvelle émission divisée par </w:t>
            </w:r>
            <w:r w:rsidR="00513CE4">
              <w:rPr>
                <w:lang w:val="fr-CA"/>
              </w:rPr>
              <w:t>PC</w:t>
            </w:r>
            <w:r w:rsidRPr="008A64C8">
              <w:rPr>
                <w:vertAlign w:val="subscript"/>
                <w:lang w:val="fr-CA"/>
              </w:rPr>
              <w:t>1</w:t>
            </w:r>
          </w:p>
          <w:p w14:paraId="5C91B62F" w14:textId="0836010C" w:rsidR="0057567C" w:rsidRPr="00FA4ED2" w:rsidRDefault="004A387E" w:rsidP="00317C55">
            <w:pPr>
              <w:pStyle w:val="BodyText"/>
              <w:ind w:left="1440" w:hanging="720"/>
              <w:rPr>
                <w:lang w:val="fr-CA"/>
              </w:rPr>
            </w:pPr>
            <w:r w:rsidRPr="00FA4ED2">
              <w:rPr>
                <w:lang w:val="fr-CA"/>
              </w:rPr>
              <w:t>C =</w:t>
            </w:r>
            <w:r w:rsidRPr="00FA4ED2">
              <w:rPr>
                <w:lang w:val="fr-CA"/>
              </w:rPr>
              <w:tab/>
              <w:t>Nombre d</w:t>
            </w:r>
            <w:r w:rsidR="00CC4D89">
              <w:rPr>
                <w:lang w:val="fr-CA"/>
              </w:rPr>
              <w:t>’</w:t>
            </w:r>
            <w:r w:rsidRPr="00FA4ED2">
              <w:rPr>
                <w:lang w:val="fr-CA"/>
              </w:rPr>
              <w:t>actions émises dans le cadre de l</w:t>
            </w:r>
            <w:r w:rsidR="00CC4D89">
              <w:rPr>
                <w:lang w:val="fr-CA"/>
              </w:rPr>
              <w:t>’</w:t>
            </w:r>
            <w:r w:rsidRPr="00FA4ED2">
              <w:rPr>
                <w:lang w:val="fr-CA"/>
              </w:rPr>
              <w:t>opération visée</w:t>
            </w:r>
          </w:p>
        </w:tc>
      </w:tr>
      <w:tr w:rsidR="00897CD8" w:rsidRPr="008E00AC" w14:paraId="1A5C1C05" w14:textId="77777777" w:rsidTr="00EE3005">
        <w:tc>
          <w:tcPr>
            <w:tcW w:w="1585" w:type="pct"/>
            <w:shd w:val="clear" w:color="auto" w:fill="auto"/>
          </w:tcPr>
          <w:p w14:paraId="747A14F9" w14:textId="77777777" w:rsidR="0057567C" w:rsidRPr="00FA4ED2" w:rsidRDefault="0057567C">
            <w:pPr>
              <w:pStyle w:val="TableHeading2"/>
              <w:rPr>
                <w:lang w:val="fr-CA"/>
              </w:rPr>
            </w:pPr>
          </w:p>
        </w:tc>
        <w:tc>
          <w:tcPr>
            <w:tcW w:w="3415" w:type="pct"/>
            <w:shd w:val="clear" w:color="auto" w:fill="auto"/>
          </w:tcPr>
          <w:p w14:paraId="0A83950A" w14:textId="687EB795" w:rsidR="0057567C" w:rsidRPr="00FA4ED2" w:rsidRDefault="004A387E" w:rsidP="001410A7">
            <w:pPr>
              <w:pStyle w:val="BodyText"/>
              <w:rPr>
                <w:lang w:val="fr-CA"/>
              </w:rPr>
            </w:pPr>
            <w:r w:rsidRPr="00FA4ED2">
              <w:rPr>
                <w:lang w:val="fr-CA"/>
              </w:rPr>
              <w:t xml:space="preserve">Le texte qui précède </w:t>
            </w:r>
            <w:r w:rsidR="00FD49F1" w:rsidRPr="00FA4ED2">
              <w:rPr>
                <w:lang w:val="fr-CA"/>
              </w:rPr>
              <w:t xml:space="preserve">comporte certaines </w:t>
            </w:r>
            <w:r w:rsidRPr="00FA4ED2">
              <w:rPr>
                <w:lang w:val="fr-CA"/>
              </w:rPr>
              <w:t>exceptions usuelles, notamment les suivantes :</w:t>
            </w:r>
          </w:p>
          <w:p w14:paraId="74F9486B" w14:textId="5C6DEF6E" w:rsidR="0057567C" w:rsidRPr="00FA4ED2" w:rsidRDefault="004A387E" w:rsidP="00354E76">
            <w:pPr>
              <w:pStyle w:val="BodyText"/>
              <w:ind w:left="258"/>
              <w:rPr>
                <w:lang w:val="fr-CA"/>
              </w:rPr>
            </w:pPr>
            <w:r w:rsidRPr="00FA4ED2">
              <w:rPr>
                <w:lang w:val="fr-CA"/>
              </w:rPr>
              <w:t>(</w:t>
            </w:r>
            <w:r w:rsidRPr="008A64C8">
              <w:rPr>
                <w:lang w:val="fr-CA"/>
              </w:rPr>
              <w:t>i</w:t>
            </w:r>
            <w:r w:rsidRPr="00FA4ED2">
              <w:rPr>
                <w:lang w:val="fr-CA"/>
              </w:rPr>
              <w:t>)</w:t>
            </w:r>
            <w:r w:rsidR="00FD49F1" w:rsidRPr="00FA4ED2">
              <w:rPr>
                <w:lang w:val="fr-CA"/>
              </w:rPr>
              <w:t> </w:t>
            </w:r>
            <w:r w:rsidR="00C24F18" w:rsidRPr="00FA4ED2">
              <w:rPr>
                <w:lang w:val="fr-CA"/>
              </w:rPr>
              <w:t>l</w:t>
            </w:r>
            <w:r w:rsidRPr="00FA4ED2">
              <w:rPr>
                <w:lang w:val="fr-CA"/>
              </w:rPr>
              <w:t xml:space="preserve">es titres </w:t>
            </w:r>
            <w:r w:rsidR="00FD49F1" w:rsidRPr="00FA4ED2">
              <w:rPr>
                <w:lang w:val="fr-CA"/>
              </w:rPr>
              <w:t>de</w:t>
            </w:r>
            <w:r w:rsidRPr="00FA4ED2">
              <w:rPr>
                <w:lang w:val="fr-CA"/>
              </w:rPr>
              <w:t>vant être émis à la conversion d</w:t>
            </w:r>
            <w:r w:rsidR="00CC4D89">
              <w:rPr>
                <w:lang w:val="fr-CA"/>
              </w:rPr>
              <w:t>’</w:t>
            </w:r>
            <w:r w:rsidRPr="00FA4ED2">
              <w:rPr>
                <w:lang w:val="fr-CA"/>
              </w:rPr>
              <w:t>un</w:t>
            </w:r>
            <w:r w:rsidR="00FD49F1" w:rsidRPr="00FA4ED2">
              <w:rPr>
                <w:lang w:val="fr-CA"/>
              </w:rPr>
              <w:t xml:space="preserve">e Action privilégiée de </w:t>
            </w:r>
            <w:r w:rsidR="002D3F68">
              <w:rPr>
                <w:lang w:val="fr-CA"/>
              </w:rPr>
              <w:t>catégorie A</w:t>
            </w:r>
            <w:r w:rsidRPr="00FA4ED2">
              <w:rPr>
                <w:lang w:val="fr-CA"/>
              </w:rPr>
              <w:t>, ou à titre de dividende ou de distribution sur le</w:t>
            </w:r>
            <w:r w:rsidR="00FD49F1" w:rsidRPr="00FA4ED2">
              <w:rPr>
                <w:lang w:val="fr-CA"/>
              </w:rPr>
              <w:t>s Actions</w:t>
            </w:r>
            <w:r w:rsidRPr="00FA4ED2">
              <w:rPr>
                <w:lang w:val="fr-CA"/>
              </w:rPr>
              <w:t xml:space="preserve"> privilégié</w:t>
            </w:r>
            <w:r w:rsidR="00FD49F1" w:rsidRPr="00FA4ED2">
              <w:rPr>
                <w:lang w:val="fr-CA"/>
              </w:rPr>
              <w:t>es</w:t>
            </w:r>
            <w:r w:rsidRPr="00FA4ED2">
              <w:rPr>
                <w:lang w:val="fr-CA"/>
              </w:rPr>
              <w:t xml:space="preserve"> de </w:t>
            </w:r>
            <w:r w:rsidR="002D3F68">
              <w:rPr>
                <w:lang w:val="fr-CA"/>
              </w:rPr>
              <w:t>catégorie A</w:t>
            </w:r>
            <w:r w:rsidRPr="00FA4ED2">
              <w:rPr>
                <w:lang w:val="fr-CA"/>
              </w:rPr>
              <w:t>; (</w:t>
            </w:r>
            <w:r w:rsidRPr="008A64C8">
              <w:rPr>
                <w:lang w:val="fr-CA"/>
              </w:rPr>
              <w:t>ii</w:t>
            </w:r>
            <w:r w:rsidRPr="00FA4ED2">
              <w:rPr>
                <w:lang w:val="fr-CA"/>
              </w:rPr>
              <w:t>)</w:t>
            </w:r>
            <w:r w:rsidR="007A2C38" w:rsidRPr="00FA4ED2">
              <w:rPr>
                <w:lang w:val="fr-CA"/>
              </w:rPr>
              <w:t> </w:t>
            </w:r>
            <w:r w:rsidR="00C24F18" w:rsidRPr="00FA4ED2">
              <w:rPr>
                <w:lang w:val="fr-CA"/>
              </w:rPr>
              <w:t>l</w:t>
            </w:r>
            <w:r w:rsidRPr="00FA4ED2">
              <w:rPr>
                <w:lang w:val="fr-CA"/>
              </w:rPr>
              <w:t>es titres émis à la conversion d</w:t>
            </w:r>
            <w:r w:rsidR="00CC4D89">
              <w:rPr>
                <w:lang w:val="fr-CA"/>
              </w:rPr>
              <w:t>’</w:t>
            </w:r>
            <w:r w:rsidRPr="00FA4ED2">
              <w:rPr>
                <w:lang w:val="fr-CA"/>
              </w:rPr>
              <w:t>une débenture, d</w:t>
            </w:r>
            <w:r w:rsidR="00CC4D89">
              <w:rPr>
                <w:lang w:val="fr-CA"/>
              </w:rPr>
              <w:t>’</w:t>
            </w:r>
            <w:r w:rsidRPr="00FA4ED2">
              <w:rPr>
                <w:lang w:val="fr-CA"/>
              </w:rPr>
              <w:t>un bon de souscription, d</w:t>
            </w:r>
            <w:r w:rsidR="00CC4D89">
              <w:rPr>
                <w:lang w:val="fr-CA"/>
              </w:rPr>
              <w:t>’</w:t>
            </w:r>
            <w:r w:rsidRPr="00FA4ED2">
              <w:rPr>
                <w:lang w:val="fr-CA"/>
              </w:rPr>
              <w:t>une option ou d</w:t>
            </w:r>
            <w:r w:rsidR="00CC4D89">
              <w:rPr>
                <w:lang w:val="fr-CA"/>
              </w:rPr>
              <w:t>’</w:t>
            </w:r>
            <w:r w:rsidRPr="00FA4ED2">
              <w:rPr>
                <w:lang w:val="fr-CA"/>
              </w:rPr>
              <w:t>un autre titre convertible; (</w:t>
            </w:r>
            <w:r w:rsidRPr="008A64C8">
              <w:rPr>
                <w:lang w:val="fr-CA"/>
              </w:rPr>
              <w:t>iii</w:t>
            </w:r>
            <w:r w:rsidRPr="00FA4ED2">
              <w:rPr>
                <w:lang w:val="fr-CA"/>
              </w:rPr>
              <w:t>)</w:t>
            </w:r>
            <w:r w:rsidR="007A2C38" w:rsidRPr="00FA4ED2">
              <w:rPr>
                <w:lang w:val="fr-CA"/>
              </w:rPr>
              <w:t> </w:t>
            </w:r>
            <w:r w:rsidR="00C24F18" w:rsidRPr="00FA4ED2">
              <w:rPr>
                <w:lang w:val="fr-CA"/>
              </w:rPr>
              <w:t>l</w:t>
            </w:r>
            <w:r w:rsidRPr="00FA4ED2">
              <w:rPr>
                <w:lang w:val="fr-CA"/>
              </w:rPr>
              <w:t xml:space="preserve">es </w:t>
            </w:r>
            <w:r w:rsidR="007A2C38" w:rsidRPr="00FA4ED2">
              <w:rPr>
                <w:lang w:val="fr-CA"/>
              </w:rPr>
              <w:t>A</w:t>
            </w:r>
            <w:r w:rsidRPr="00FA4ED2">
              <w:rPr>
                <w:lang w:val="fr-CA"/>
              </w:rPr>
              <w:t xml:space="preserve">ctions ordinaires </w:t>
            </w:r>
            <w:r w:rsidR="007A2C38" w:rsidRPr="00FA4ED2">
              <w:rPr>
                <w:lang w:val="fr-CA"/>
              </w:rPr>
              <w:t>de</w:t>
            </w:r>
            <w:r w:rsidRPr="00FA4ED2">
              <w:rPr>
                <w:lang w:val="fr-CA"/>
              </w:rPr>
              <w:t xml:space="preserve">vant être émises </w:t>
            </w:r>
            <w:r w:rsidR="007A2C38" w:rsidRPr="00FA4ED2">
              <w:rPr>
                <w:lang w:val="fr-CA"/>
              </w:rPr>
              <w:t>lors d</w:t>
            </w:r>
            <w:r w:rsidR="00CC4D89">
              <w:rPr>
                <w:lang w:val="fr-CA"/>
              </w:rPr>
              <w:t>’</w:t>
            </w:r>
            <w:r w:rsidR="007A2C38" w:rsidRPr="00FA4ED2">
              <w:rPr>
                <w:lang w:val="fr-CA"/>
              </w:rPr>
              <w:t>un fractionnement d</w:t>
            </w:r>
            <w:r w:rsidR="00CC4D89">
              <w:rPr>
                <w:lang w:val="fr-CA"/>
              </w:rPr>
              <w:t>’</w:t>
            </w:r>
            <w:r w:rsidRPr="00FA4ED2">
              <w:rPr>
                <w:lang w:val="fr-CA"/>
              </w:rPr>
              <w:t>actions, d</w:t>
            </w:r>
            <w:r w:rsidR="00CC4D89">
              <w:rPr>
                <w:lang w:val="fr-CA"/>
              </w:rPr>
              <w:t>’</w:t>
            </w:r>
            <w:r w:rsidRPr="00FA4ED2">
              <w:rPr>
                <w:lang w:val="fr-CA"/>
              </w:rPr>
              <w:t>un dividende en actions ou d</w:t>
            </w:r>
            <w:r w:rsidR="00CC4D89">
              <w:rPr>
                <w:lang w:val="fr-CA"/>
              </w:rPr>
              <w:t>’</w:t>
            </w:r>
            <w:r w:rsidRPr="00FA4ED2">
              <w:rPr>
                <w:lang w:val="fr-CA"/>
              </w:rPr>
              <w:t>une subdivision d</w:t>
            </w:r>
            <w:r w:rsidR="00CC4D89">
              <w:rPr>
                <w:lang w:val="fr-CA"/>
              </w:rPr>
              <w:t>’</w:t>
            </w:r>
            <w:r w:rsidR="007A2C38" w:rsidRPr="00FA4ED2">
              <w:rPr>
                <w:lang w:val="fr-CA"/>
              </w:rPr>
              <w:t>A</w:t>
            </w:r>
            <w:r w:rsidRPr="00FA4ED2">
              <w:rPr>
                <w:lang w:val="fr-CA"/>
              </w:rPr>
              <w:t>ctions ordinaires; et (</w:t>
            </w:r>
            <w:r w:rsidRPr="008A64C8">
              <w:rPr>
                <w:lang w:val="fr-CA"/>
              </w:rPr>
              <w:t>iv</w:t>
            </w:r>
            <w:r w:rsidRPr="00FA4ED2">
              <w:rPr>
                <w:lang w:val="fr-CA"/>
              </w:rPr>
              <w:t>)</w:t>
            </w:r>
            <w:r w:rsidR="007A2C38" w:rsidRPr="00FA4ED2">
              <w:rPr>
                <w:lang w:val="fr-CA"/>
              </w:rPr>
              <w:t> </w:t>
            </w:r>
            <w:r w:rsidR="00C24F18" w:rsidRPr="00FA4ED2">
              <w:rPr>
                <w:lang w:val="fr-CA"/>
              </w:rPr>
              <w:t>l</w:t>
            </w:r>
            <w:r w:rsidRPr="00FA4ED2">
              <w:rPr>
                <w:lang w:val="fr-CA"/>
              </w:rPr>
              <w:t xml:space="preserve">es </w:t>
            </w:r>
            <w:r w:rsidR="007A2C38" w:rsidRPr="00FA4ED2">
              <w:rPr>
                <w:lang w:val="fr-CA"/>
              </w:rPr>
              <w:t>A</w:t>
            </w:r>
            <w:r w:rsidRPr="00FA4ED2">
              <w:rPr>
                <w:lang w:val="fr-CA"/>
              </w:rPr>
              <w:t xml:space="preserve">ctions ordinaires (ou </w:t>
            </w:r>
            <w:r w:rsidR="00C24F18" w:rsidRPr="00FA4ED2">
              <w:rPr>
                <w:lang w:val="fr-CA"/>
              </w:rPr>
              <w:t>l</w:t>
            </w:r>
            <w:r w:rsidRPr="00FA4ED2">
              <w:rPr>
                <w:lang w:val="fr-CA"/>
              </w:rPr>
              <w:t>es options d</w:t>
            </w:r>
            <w:r w:rsidR="00CC4D89">
              <w:rPr>
                <w:lang w:val="fr-CA"/>
              </w:rPr>
              <w:t>’</w:t>
            </w:r>
            <w:r w:rsidRPr="00FA4ED2">
              <w:rPr>
                <w:lang w:val="fr-CA"/>
              </w:rPr>
              <w:t xml:space="preserve">achat de ces </w:t>
            </w:r>
            <w:r w:rsidR="007A2C38" w:rsidRPr="00FA4ED2">
              <w:rPr>
                <w:lang w:val="fr-CA"/>
              </w:rPr>
              <w:t>A</w:t>
            </w:r>
            <w:r w:rsidRPr="00FA4ED2">
              <w:rPr>
                <w:lang w:val="fr-CA"/>
              </w:rPr>
              <w:t xml:space="preserve">ctions ordinaires) </w:t>
            </w:r>
            <w:r w:rsidR="009E3C84" w:rsidRPr="00FA4ED2">
              <w:rPr>
                <w:lang w:val="fr-CA"/>
              </w:rPr>
              <w:t xml:space="preserve">qui ont été ou doivent </w:t>
            </w:r>
            <w:r w:rsidRPr="00FA4ED2">
              <w:rPr>
                <w:lang w:val="fr-CA"/>
              </w:rPr>
              <w:t>être émises à des employés, à des administrateurs ou à des consultants de la Société aux termes d</w:t>
            </w:r>
            <w:r w:rsidR="00CC4D89">
              <w:rPr>
                <w:lang w:val="fr-CA"/>
              </w:rPr>
              <w:t>’</w:t>
            </w:r>
            <w:r w:rsidRPr="00FA4ED2">
              <w:rPr>
                <w:lang w:val="fr-CA"/>
              </w:rPr>
              <w:t>un régime approuvé par le Conseil d</w:t>
            </w:r>
            <w:r w:rsidR="00CC4D89">
              <w:rPr>
                <w:lang w:val="fr-CA"/>
              </w:rPr>
              <w:t>’</w:t>
            </w:r>
            <w:r w:rsidRPr="00FA4ED2">
              <w:rPr>
                <w:lang w:val="fr-CA"/>
              </w:rPr>
              <w:t xml:space="preserve">administration de la Société [y compris au moins </w:t>
            </w:r>
            <w:r w:rsidR="00C24F18" w:rsidRPr="00FA4ED2">
              <w:rPr>
                <w:lang w:val="fr-CA"/>
              </w:rPr>
              <w:t>[</w:t>
            </w:r>
            <w:r w:rsidRPr="00FA4ED2">
              <w:rPr>
                <w:lang w:val="fr-CA"/>
              </w:rPr>
              <w:t>un</w:t>
            </w:r>
            <w:r w:rsidR="00C24F18" w:rsidRPr="00FA4ED2">
              <w:rPr>
                <w:lang w:val="fr-CA"/>
              </w:rPr>
              <w:t>]</w:t>
            </w:r>
            <w:r w:rsidRPr="00FA4ED2">
              <w:rPr>
                <w:lang w:val="fr-CA"/>
              </w:rPr>
              <w:t xml:space="preserve"> </w:t>
            </w:r>
            <w:r w:rsidR="00C24F18" w:rsidRPr="00FA4ED2">
              <w:rPr>
                <w:lang w:val="fr-CA"/>
              </w:rPr>
              <w:t>A</w:t>
            </w:r>
            <w:r w:rsidRPr="00FA4ED2">
              <w:rPr>
                <w:lang w:val="fr-CA"/>
              </w:rPr>
              <w:t xml:space="preserve">dministrateur privilégié], et </w:t>
            </w:r>
            <w:r w:rsidR="009E3C84" w:rsidRPr="00FA4ED2">
              <w:rPr>
                <w:lang w:val="fr-CA"/>
              </w:rPr>
              <w:t>d</w:t>
            </w:r>
            <w:r w:rsidR="00CC4D89">
              <w:rPr>
                <w:lang w:val="fr-CA"/>
              </w:rPr>
              <w:t>’</w:t>
            </w:r>
            <w:r w:rsidRPr="00FA4ED2">
              <w:rPr>
                <w:lang w:val="fr-CA"/>
              </w:rPr>
              <w:t>autres exceptions usuelles.</w:t>
            </w:r>
            <w:r w:rsidRPr="008A64C8">
              <w:rPr>
                <w:rStyle w:val="FootnoteReference"/>
                <w:lang w:val="fr-CA"/>
              </w:rPr>
              <w:footnoteReference w:id="16"/>
            </w:r>
          </w:p>
        </w:tc>
      </w:tr>
      <w:tr w:rsidR="00897CD8" w:rsidRPr="008E00AC" w14:paraId="74C2D3C6" w14:textId="77777777" w:rsidTr="00EE3005">
        <w:tc>
          <w:tcPr>
            <w:tcW w:w="1585" w:type="pct"/>
            <w:shd w:val="clear" w:color="auto" w:fill="auto"/>
          </w:tcPr>
          <w:p w14:paraId="5AABBC10" w14:textId="7FFBFCBE" w:rsidR="0057567C" w:rsidRPr="00FA4ED2" w:rsidRDefault="004A387E">
            <w:pPr>
              <w:pStyle w:val="TableHeading2"/>
              <w:rPr>
                <w:lang w:val="fr-CA"/>
              </w:rPr>
            </w:pPr>
            <w:r w:rsidRPr="00FA4ED2">
              <w:rPr>
                <w:lang w:val="fr-CA"/>
              </w:rPr>
              <w:t>Conversion obligatoire</w:t>
            </w:r>
            <w:r w:rsidR="00CC6723" w:rsidRPr="00FA4ED2">
              <w:rPr>
                <w:lang w:val="fr-CA"/>
              </w:rPr>
              <w:t> </w:t>
            </w:r>
            <w:r w:rsidRPr="00FA4ED2">
              <w:rPr>
                <w:lang w:val="fr-CA"/>
              </w:rPr>
              <w:t>:</w:t>
            </w:r>
          </w:p>
        </w:tc>
        <w:tc>
          <w:tcPr>
            <w:tcW w:w="3415" w:type="pct"/>
            <w:shd w:val="clear" w:color="auto" w:fill="auto"/>
          </w:tcPr>
          <w:p w14:paraId="095AA043" w14:textId="5EA93A78" w:rsidR="0057567C" w:rsidRPr="00FA4ED2" w:rsidRDefault="004A387E" w:rsidP="00354E76">
            <w:pPr>
              <w:pStyle w:val="BodyText"/>
              <w:rPr>
                <w:lang w:val="fr-CA"/>
              </w:rPr>
            </w:pPr>
            <w:r w:rsidRPr="00FA4ED2">
              <w:rPr>
                <w:lang w:val="fr-CA"/>
              </w:rPr>
              <w:t xml:space="preserve">Chaque </w:t>
            </w:r>
            <w:r w:rsidR="009E3C84" w:rsidRPr="00FA4ED2">
              <w:rPr>
                <w:lang w:val="fr-CA"/>
              </w:rPr>
              <w:t>A</w:t>
            </w:r>
            <w:r w:rsidRPr="00FA4ED2">
              <w:rPr>
                <w:lang w:val="fr-CA"/>
              </w:rPr>
              <w:t xml:space="preserve">ction privilégiée de </w:t>
            </w:r>
            <w:r w:rsidR="002D3F68">
              <w:rPr>
                <w:lang w:val="fr-CA"/>
              </w:rPr>
              <w:t>catégorie A</w:t>
            </w:r>
            <w:r w:rsidRPr="00FA4ED2">
              <w:rPr>
                <w:lang w:val="fr-CA"/>
              </w:rPr>
              <w:t xml:space="preserve"> sera automatiquement convertie en </w:t>
            </w:r>
            <w:r w:rsidR="00BF57DC" w:rsidRPr="00FA4ED2">
              <w:rPr>
                <w:lang w:val="fr-CA"/>
              </w:rPr>
              <w:t>A</w:t>
            </w:r>
            <w:r w:rsidRPr="00FA4ED2">
              <w:rPr>
                <w:lang w:val="fr-CA"/>
              </w:rPr>
              <w:t>ctions ordinaires au taux de conversion alors applicable en cas de clôture d</w:t>
            </w:r>
            <w:r w:rsidR="00CC4D89">
              <w:rPr>
                <w:lang w:val="fr-CA"/>
              </w:rPr>
              <w:t>’</w:t>
            </w:r>
            <w:r w:rsidRPr="00FA4ED2">
              <w:rPr>
                <w:lang w:val="fr-CA"/>
              </w:rPr>
              <w:t>un appel public à l</w:t>
            </w:r>
            <w:r w:rsidR="00CC4D89">
              <w:rPr>
                <w:lang w:val="fr-CA"/>
              </w:rPr>
              <w:t>’</w:t>
            </w:r>
            <w:r w:rsidRPr="00FA4ED2">
              <w:rPr>
                <w:lang w:val="fr-CA"/>
              </w:rPr>
              <w:t xml:space="preserve">épargne par </w:t>
            </w:r>
            <w:r w:rsidR="00BF57DC" w:rsidRPr="00FA4ED2">
              <w:rPr>
                <w:lang w:val="fr-CA"/>
              </w:rPr>
              <w:t xml:space="preserve">voie de </w:t>
            </w:r>
            <w:r w:rsidRPr="00FA4ED2">
              <w:rPr>
                <w:lang w:val="fr-CA"/>
              </w:rPr>
              <w:t>prise ferme [</w:t>
            </w:r>
            <w:r w:rsidR="00BF57DC" w:rsidRPr="00FA4ED2">
              <w:rPr>
                <w:lang w:val="fr-CA"/>
              </w:rPr>
              <w:t>à un</w:t>
            </w:r>
            <w:r w:rsidRPr="00FA4ED2">
              <w:rPr>
                <w:lang w:val="fr-CA"/>
              </w:rPr>
              <w:t xml:space="preserve"> prix </w:t>
            </w:r>
            <w:r w:rsidR="00BF57DC" w:rsidRPr="00FA4ED2">
              <w:rPr>
                <w:lang w:val="fr-CA"/>
              </w:rPr>
              <w:t>correspondant à</w:t>
            </w:r>
            <w:r w:rsidRPr="00FA4ED2">
              <w:rPr>
                <w:lang w:val="fr-CA"/>
              </w:rPr>
              <w:t xml:space="preserve"> </w:t>
            </w:r>
            <w:r w:rsidR="00C855D1">
              <w:rPr>
                <w:lang w:val="fr-CA"/>
              </w:rPr>
              <w:t>[</w:t>
            </w:r>
            <w:r w:rsidRPr="00FA4ED2">
              <w:rPr>
                <w:lang w:val="fr-CA"/>
              </w:rPr>
              <w:t>___</w:t>
            </w:r>
            <w:r w:rsidR="00C855D1">
              <w:rPr>
                <w:lang w:val="fr-CA"/>
              </w:rPr>
              <w:t>]</w:t>
            </w:r>
            <w:r w:rsidR="003E1439">
              <w:rPr>
                <w:lang w:val="fr-CA"/>
              </w:rPr>
              <w:t> fois</w:t>
            </w:r>
            <w:r w:rsidRPr="00FA4ED2">
              <w:rPr>
                <w:lang w:val="fr-CA"/>
              </w:rPr>
              <w:t xml:space="preserve"> le </w:t>
            </w:r>
            <w:r w:rsidR="00CC6723" w:rsidRPr="00FA4ED2">
              <w:rPr>
                <w:lang w:val="fr-CA"/>
              </w:rPr>
              <w:t>P</w:t>
            </w:r>
            <w:r w:rsidRPr="00FA4ED2">
              <w:rPr>
                <w:lang w:val="fr-CA"/>
              </w:rPr>
              <w:t>rix d</w:t>
            </w:r>
            <w:r w:rsidR="00CC4D89">
              <w:rPr>
                <w:lang w:val="fr-CA"/>
              </w:rPr>
              <w:t>’</w:t>
            </w:r>
            <w:r w:rsidRPr="00FA4ED2">
              <w:rPr>
                <w:lang w:val="fr-CA"/>
              </w:rPr>
              <w:t>achat initial] (sous réserve de rajustements pour tenir compte de dividendes en actions, de fractionnements</w:t>
            </w:r>
            <w:r w:rsidR="00C54E2E">
              <w:rPr>
                <w:lang w:val="fr-CA"/>
              </w:rPr>
              <w:t xml:space="preserve"> d’actions</w:t>
            </w:r>
            <w:r w:rsidRPr="00FA4ED2">
              <w:rPr>
                <w:lang w:val="fr-CA"/>
              </w:rPr>
              <w:t>, de regroupements</w:t>
            </w:r>
            <w:r w:rsidR="00C54E2E">
              <w:rPr>
                <w:lang w:val="fr-CA"/>
              </w:rPr>
              <w:t xml:space="preserve"> d’actions</w:t>
            </w:r>
            <w:r w:rsidRPr="00FA4ED2">
              <w:rPr>
                <w:lang w:val="fr-CA"/>
              </w:rPr>
              <w:t xml:space="preserve"> et d</w:t>
            </w:r>
            <w:r w:rsidR="00CC4D89">
              <w:rPr>
                <w:lang w:val="fr-CA"/>
              </w:rPr>
              <w:t>’</w:t>
            </w:r>
            <w:r w:rsidRPr="00FA4ED2">
              <w:rPr>
                <w:lang w:val="fr-CA"/>
              </w:rPr>
              <w:t xml:space="preserve">événements similaires) et </w:t>
            </w:r>
            <w:r w:rsidR="00CC6723" w:rsidRPr="00FA4ED2">
              <w:rPr>
                <w:lang w:val="fr-CA"/>
              </w:rPr>
              <w:t xml:space="preserve">en contrepartie </w:t>
            </w:r>
            <w:r w:rsidRPr="00FA4ED2">
              <w:rPr>
                <w:lang w:val="fr-CA"/>
              </w:rPr>
              <w:t>d</w:t>
            </w:r>
            <w:r w:rsidR="00CC4D89">
              <w:rPr>
                <w:lang w:val="fr-CA"/>
              </w:rPr>
              <w:t>’</w:t>
            </w:r>
            <w:r w:rsidRPr="00FA4ED2">
              <w:rPr>
                <w:lang w:val="fr-CA"/>
              </w:rPr>
              <w:t>un produit brut revenant à la Société d</w:t>
            </w:r>
            <w:r w:rsidR="00CC4D89">
              <w:rPr>
                <w:lang w:val="fr-CA"/>
              </w:rPr>
              <w:t>’</w:t>
            </w:r>
            <w:r w:rsidRPr="00FA4ED2">
              <w:rPr>
                <w:lang w:val="fr-CA"/>
              </w:rPr>
              <w:t xml:space="preserve">au moins </w:t>
            </w:r>
            <w:r w:rsidR="00C855D1">
              <w:rPr>
                <w:lang w:val="fr-CA"/>
              </w:rPr>
              <w:t>[</w:t>
            </w:r>
            <w:r w:rsidRPr="00FA4ED2">
              <w:rPr>
                <w:lang w:val="fr-CA"/>
              </w:rPr>
              <w:t>_______</w:t>
            </w:r>
            <w:r w:rsidR="00C855D1">
              <w:rPr>
                <w:lang w:val="fr-CA"/>
              </w:rPr>
              <w:t>]</w:t>
            </w:r>
            <w:r w:rsidR="002D3F68">
              <w:rPr>
                <w:lang w:val="fr-CA"/>
              </w:rPr>
              <w:t> $</w:t>
            </w:r>
            <w:r w:rsidRPr="00FA4ED2">
              <w:rPr>
                <w:lang w:val="fr-CA"/>
              </w:rPr>
              <w:t xml:space="preserve"> (un «</w:t>
            </w:r>
            <w:r w:rsidR="00BF57DC" w:rsidRPr="00FA4ED2">
              <w:rPr>
                <w:lang w:val="fr-CA"/>
              </w:rPr>
              <w:t> </w:t>
            </w:r>
            <w:r w:rsidR="00BF57DC" w:rsidRPr="00FA4ED2">
              <w:rPr>
                <w:b/>
                <w:bCs/>
                <w:lang w:val="fr-CA"/>
              </w:rPr>
              <w:t>Appel public à l</w:t>
            </w:r>
            <w:r w:rsidR="00CC4D89">
              <w:rPr>
                <w:b/>
                <w:bCs/>
                <w:lang w:val="fr-CA"/>
              </w:rPr>
              <w:t>’</w:t>
            </w:r>
            <w:r w:rsidR="00BF57DC" w:rsidRPr="00FA4ED2">
              <w:rPr>
                <w:b/>
                <w:bCs/>
                <w:lang w:val="fr-CA"/>
              </w:rPr>
              <w:t>épargne admissible </w:t>
            </w:r>
            <w:r w:rsidRPr="00FA4ED2">
              <w:rPr>
                <w:lang w:val="fr-CA"/>
              </w:rPr>
              <w:t>»), ou (</w:t>
            </w:r>
            <w:r w:rsidRPr="008A64C8">
              <w:rPr>
                <w:lang w:val="fr-CA"/>
              </w:rPr>
              <w:t>ii</w:t>
            </w:r>
            <w:r w:rsidRPr="00FA4ED2">
              <w:rPr>
                <w:lang w:val="fr-CA"/>
              </w:rPr>
              <w:t>)</w:t>
            </w:r>
            <w:r w:rsidR="00BF57DC" w:rsidRPr="00FA4ED2">
              <w:rPr>
                <w:lang w:val="fr-CA"/>
              </w:rPr>
              <w:t> </w:t>
            </w:r>
            <w:r w:rsidRPr="00FA4ED2">
              <w:rPr>
                <w:lang w:val="fr-CA"/>
              </w:rPr>
              <w:t xml:space="preserve">avec le consentement écrit des </w:t>
            </w:r>
            <w:r w:rsidR="00473CC3" w:rsidRPr="00FA4ED2">
              <w:rPr>
                <w:lang w:val="fr-CA"/>
              </w:rPr>
              <w:t>P</w:t>
            </w:r>
            <w:r w:rsidRPr="00FA4ED2">
              <w:rPr>
                <w:lang w:val="fr-CA"/>
              </w:rPr>
              <w:t>orteurs requis</w:t>
            </w:r>
            <w:r w:rsidRPr="008A64C8">
              <w:rPr>
                <w:rStyle w:val="FootnoteReference"/>
                <w:lang w:val="fr-CA"/>
              </w:rPr>
              <w:footnoteReference w:id="17"/>
            </w:r>
            <w:r w:rsidR="00A4142A" w:rsidRPr="00FA4ED2">
              <w:rPr>
                <w:lang w:val="fr-CA"/>
              </w:rPr>
              <w:t>.</w:t>
            </w:r>
          </w:p>
        </w:tc>
      </w:tr>
      <w:tr w:rsidR="00897CD8" w:rsidRPr="008E00AC" w14:paraId="4097DD96" w14:textId="77777777" w:rsidTr="00EE3005">
        <w:tc>
          <w:tcPr>
            <w:tcW w:w="1585" w:type="pct"/>
            <w:shd w:val="clear" w:color="auto" w:fill="auto"/>
          </w:tcPr>
          <w:p w14:paraId="71433DED" w14:textId="6F7DAE4D" w:rsidR="0057567C" w:rsidRPr="00FA4ED2" w:rsidRDefault="004A387E">
            <w:pPr>
              <w:pStyle w:val="TableHeading2"/>
              <w:rPr>
                <w:lang w:val="fr-CA"/>
              </w:rPr>
            </w:pPr>
            <w:r w:rsidRPr="00FA4ED2">
              <w:rPr>
                <w:lang w:val="fr-CA"/>
              </w:rPr>
              <w:t>[Pa</w:t>
            </w:r>
            <w:r w:rsidR="00A4142A" w:rsidRPr="00FA4ED2">
              <w:rPr>
                <w:lang w:val="fr-CA"/>
              </w:rPr>
              <w:t>yer pour jouer </w:t>
            </w:r>
            <w:r w:rsidRPr="00FA4ED2">
              <w:rPr>
                <w:lang w:val="fr-CA"/>
              </w:rPr>
              <w:t xml:space="preserve">: </w:t>
            </w:r>
          </w:p>
        </w:tc>
        <w:tc>
          <w:tcPr>
            <w:tcW w:w="3415" w:type="pct"/>
            <w:shd w:val="clear" w:color="auto" w:fill="auto"/>
          </w:tcPr>
          <w:p w14:paraId="3BAB95A0" w14:textId="7E3980D1" w:rsidR="0057567C" w:rsidRPr="00FA4ED2" w:rsidRDefault="004A387E" w:rsidP="00EE64A8">
            <w:pPr>
              <w:pStyle w:val="BodyText"/>
              <w:rPr>
                <w:lang w:val="fr-CA"/>
              </w:rPr>
            </w:pPr>
            <w:r w:rsidRPr="00FA4ED2">
              <w:rPr>
                <w:lang w:val="fr-CA"/>
              </w:rPr>
              <w:t xml:space="preserve">À moins que les </w:t>
            </w:r>
            <w:r w:rsidR="00C7273C" w:rsidRPr="00FA4ED2">
              <w:rPr>
                <w:lang w:val="fr-CA"/>
              </w:rPr>
              <w:t>P</w:t>
            </w:r>
            <w:r w:rsidRPr="00FA4ED2">
              <w:rPr>
                <w:lang w:val="fr-CA"/>
              </w:rPr>
              <w:t>orteurs requis n</w:t>
            </w:r>
            <w:r w:rsidR="00CC4D89">
              <w:rPr>
                <w:lang w:val="fr-CA"/>
              </w:rPr>
              <w:t>’</w:t>
            </w:r>
            <w:r w:rsidRPr="00FA4ED2">
              <w:rPr>
                <w:lang w:val="fr-CA"/>
              </w:rPr>
              <w:t xml:space="preserve">en décident autrement, </w:t>
            </w:r>
            <w:r w:rsidR="00A01699" w:rsidRPr="00FA4ED2">
              <w:rPr>
                <w:lang w:val="fr-CA"/>
              </w:rPr>
              <w:t>lors de</w:t>
            </w:r>
            <w:r w:rsidRPr="00FA4ED2">
              <w:rPr>
                <w:lang w:val="fr-CA"/>
              </w:rPr>
              <w:t xml:space="preserve"> toute ronde </w:t>
            </w:r>
            <w:r w:rsidR="00F53BDA">
              <w:rPr>
                <w:lang w:val="fr-CA"/>
              </w:rPr>
              <w:t xml:space="preserve">de financement </w:t>
            </w:r>
            <w:r w:rsidRPr="00FA4ED2">
              <w:rPr>
                <w:lang w:val="fr-CA"/>
              </w:rPr>
              <w:t>subséquente</w:t>
            </w:r>
            <w:r w:rsidR="00F53BDA">
              <w:rPr>
                <w:lang w:val="fr-CA"/>
              </w:rPr>
              <w:t xml:space="preserve"> </w:t>
            </w:r>
            <w:r w:rsidR="007C029B" w:rsidRPr="00FA4ED2">
              <w:rPr>
                <w:lang w:val="fr-CA"/>
              </w:rPr>
              <w:t>[</w:t>
            </w:r>
            <w:r w:rsidR="00A01699" w:rsidRPr="00FA4ED2">
              <w:rPr>
                <w:lang w:val="fr-CA"/>
              </w:rPr>
              <w:t>à un prix inférieur</w:t>
            </w:r>
            <w:r w:rsidR="007C029B" w:rsidRPr="00FA4ED2">
              <w:rPr>
                <w:lang w:val="fr-CA"/>
              </w:rPr>
              <w:t>]</w:t>
            </w:r>
            <w:r w:rsidRPr="00FA4ED2">
              <w:rPr>
                <w:lang w:val="fr-CA"/>
              </w:rPr>
              <w:t>, tous les porteurs d</w:t>
            </w:r>
            <w:r w:rsidR="00CC4D89">
              <w:rPr>
                <w:lang w:val="fr-CA"/>
              </w:rPr>
              <w:t>’</w:t>
            </w:r>
            <w:r w:rsidR="00A01699" w:rsidRPr="00FA4ED2">
              <w:rPr>
                <w:lang w:val="fr-CA"/>
              </w:rPr>
              <w:t>Actions</w:t>
            </w:r>
            <w:r w:rsidRPr="00FA4ED2">
              <w:rPr>
                <w:lang w:val="fr-CA"/>
              </w:rPr>
              <w:t xml:space="preserve"> privilégié</w:t>
            </w:r>
            <w:r w:rsidR="00A01699" w:rsidRPr="00FA4ED2">
              <w:rPr>
                <w:lang w:val="fr-CA"/>
              </w:rPr>
              <w:t>e</w:t>
            </w:r>
            <w:r w:rsidRPr="00FA4ED2">
              <w:rPr>
                <w:lang w:val="fr-CA"/>
              </w:rPr>
              <w:t xml:space="preserve">s de </w:t>
            </w:r>
            <w:r w:rsidR="002D3F68">
              <w:rPr>
                <w:lang w:val="fr-CA"/>
              </w:rPr>
              <w:t>catégorie A</w:t>
            </w:r>
            <w:r w:rsidRPr="00FA4ED2">
              <w:rPr>
                <w:lang w:val="fr-CA"/>
              </w:rPr>
              <w:t xml:space="preserve"> sont tenus d</w:t>
            </w:r>
            <w:r w:rsidR="00CC4D89">
              <w:rPr>
                <w:lang w:val="fr-CA"/>
              </w:rPr>
              <w:t>’</w:t>
            </w:r>
            <w:r w:rsidRPr="00FA4ED2">
              <w:rPr>
                <w:lang w:val="fr-CA"/>
              </w:rPr>
              <w:t>acheter leur quote-part des titres mis de côté par le Conseil d</w:t>
            </w:r>
            <w:r w:rsidR="00CC4D89">
              <w:rPr>
                <w:lang w:val="fr-CA"/>
              </w:rPr>
              <w:t>’</w:t>
            </w:r>
            <w:r w:rsidRPr="00FA4ED2">
              <w:rPr>
                <w:lang w:val="fr-CA"/>
              </w:rPr>
              <w:t xml:space="preserve">administration </w:t>
            </w:r>
            <w:r w:rsidR="007C029B" w:rsidRPr="00FA4ED2">
              <w:rPr>
                <w:lang w:val="fr-CA"/>
              </w:rPr>
              <w:t>aux fins d</w:t>
            </w:r>
            <w:r w:rsidR="00CC4D89">
              <w:rPr>
                <w:lang w:val="fr-CA"/>
              </w:rPr>
              <w:t>’</w:t>
            </w:r>
            <w:r w:rsidR="007C029B" w:rsidRPr="00FA4ED2">
              <w:rPr>
                <w:lang w:val="fr-CA"/>
              </w:rPr>
              <w:t>achat</w:t>
            </w:r>
            <w:r w:rsidR="00F53BDA">
              <w:rPr>
                <w:lang w:val="fr-CA"/>
              </w:rPr>
              <w:t xml:space="preserve"> par ces porteurs</w:t>
            </w:r>
            <w:r w:rsidRPr="00FA4ED2">
              <w:rPr>
                <w:lang w:val="fr-CA"/>
              </w:rPr>
              <w:t xml:space="preserve">. [Un </w:t>
            </w:r>
            <w:r w:rsidR="00A01699" w:rsidRPr="00FA4ED2">
              <w:rPr>
                <w:lang w:val="fr-CA"/>
              </w:rPr>
              <w:t>nombre</w:t>
            </w:r>
            <w:r w:rsidRPr="00FA4ED2">
              <w:rPr>
                <w:lang w:val="fr-CA"/>
              </w:rPr>
              <w:t xml:space="preserve"> proportionnel/</w:t>
            </w:r>
            <w:r w:rsidR="009E1BE9">
              <w:rPr>
                <w:lang w:val="fr-CA"/>
              </w:rPr>
              <w:t>L</w:t>
            </w:r>
            <w:r w:rsidRPr="00FA4ED2">
              <w:rPr>
                <w:lang w:val="fr-CA"/>
              </w:rPr>
              <w:t xml:space="preserve">a totalité] des </w:t>
            </w:r>
            <w:r w:rsidR="00A01699" w:rsidRPr="00FA4ED2">
              <w:rPr>
                <w:lang w:val="fr-CA"/>
              </w:rPr>
              <w:t>A</w:t>
            </w:r>
            <w:r w:rsidRPr="00FA4ED2">
              <w:rPr>
                <w:lang w:val="fr-CA"/>
              </w:rPr>
              <w:t xml:space="preserve">ctions privilégiées de </w:t>
            </w:r>
            <w:r w:rsidR="002D3F68">
              <w:rPr>
                <w:lang w:val="fr-CA"/>
              </w:rPr>
              <w:t>catégorie A</w:t>
            </w:r>
            <w:r w:rsidRPr="00FA4ED2">
              <w:rPr>
                <w:lang w:val="fr-CA"/>
              </w:rPr>
              <w:t xml:space="preserve"> de tout porteur qui omet de le faire sera automatiquement converti</w:t>
            </w:r>
            <w:r w:rsidR="009E1BE9">
              <w:rPr>
                <w:lang w:val="fr-CA"/>
              </w:rPr>
              <w:t>[</w:t>
            </w:r>
            <w:r w:rsidR="007C029B" w:rsidRPr="00FA4ED2">
              <w:rPr>
                <w:lang w:val="fr-CA"/>
              </w:rPr>
              <w:t>e</w:t>
            </w:r>
            <w:r w:rsidR="009E1BE9">
              <w:rPr>
                <w:lang w:val="fr-CA"/>
              </w:rPr>
              <w:t>]</w:t>
            </w:r>
            <w:r w:rsidRPr="00FA4ED2">
              <w:rPr>
                <w:lang w:val="fr-CA"/>
              </w:rPr>
              <w:t xml:space="preserve"> en </w:t>
            </w:r>
            <w:r w:rsidR="00A01699" w:rsidRPr="00FA4ED2">
              <w:rPr>
                <w:lang w:val="fr-CA"/>
              </w:rPr>
              <w:t>A</w:t>
            </w:r>
            <w:r w:rsidRPr="00FA4ED2">
              <w:rPr>
                <w:lang w:val="fr-CA"/>
              </w:rPr>
              <w:t xml:space="preserve">ctions ordinaires et </w:t>
            </w:r>
            <w:r w:rsidR="00A01699" w:rsidRPr="00FA4ED2">
              <w:rPr>
                <w:lang w:val="fr-CA"/>
              </w:rPr>
              <w:t xml:space="preserve">le porteur </w:t>
            </w:r>
            <w:r w:rsidRPr="00FA4ED2">
              <w:rPr>
                <w:lang w:val="fr-CA"/>
              </w:rPr>
              <w:t xml:space="preserve">perdra les droits sur les actions privilégiées correspondants, comme le droit à un siège au </w:t>
            </w:r>
            <w:r w:rsidR="00A01699" w:rsidRPr="00FA4ED2">
              <w:rPr>
                <w:lang w:val="fr-CA"/>
              </w:rPr>
              <w:t>C</w:t>
            </w:r>
            <w:r w:rsidRPr="00FA4ED2">
              <w:rPr>
                <w:lang w:val="fr-CA"/>
              </w:rPr>
              <w:t xml:space="preserve">onseil, </w:t>
            </w:r>
            <w:r w:rsidR="00A01699" w:rsidRPr="00FA4ED2">
              <w:rPr>
                <w:lang w:val="fr-CA"/>
              </w:rPr>
              <w:t>s</w:t>
            </w:r>
            <w:r w:rsidR="00CC4D89">
              <w:rPr>
                <w:lang w:val="fr-CA"/>
              </w:rPr>
              <w:t>’</w:t>
            </w:r>
            <w:r w:rsidR="007C029B" w:rsidRPr="00FA4ED2">
              <w:rPr>
                <w:lang w:val="fr-CA"/>
              </w:rPr>
              <w:t>il y a lieu</w:t>
            </w:r>
            <w:r w:rsidRPr="008A64C8">
              <w:rPr>
                <w:rStyle w:val="FootnoteReference"/>
                <w:lang w:val="fr-CA"/>
              </w:rPr>
              <w:footnoteReference w:id="18"/>
            </w:r>
            <w:r w:rsidR="00A01699" w:rsidRPr="00FA4ED2">
              <w:rPr>
                <w:lang w:val="fr-CA"/>
              </w:rPr>
              <w:t>.</w:t>
            </w:r>
          </w:p>
        </w:tc>
      </w:tr>
    </w:tbl>
    <w:p w14:paraId="536C8A5B" w14:textId="77777777" w:rsidR="00317C55" w:rsidRPr="00A86EE3" w:rsidRDefault="00317C55">
      <w:pPr>
        <w:rPr>
          <w:lang w:val="fr-CA"/>
        </w:rPr>
      </w:pPr>
    </w:p>
    <w:p w14:paraId="7B11468F" w14:textId="60CCD422" w:rsidR="00317C55" w:rsidRPr="00A86EE3" w:rsidRDefault="00317C55">
      <w:pPr>
        <w:jc w:val="left"/>
        <w:rPr>
          <w:lang w:val="fr-CA"/>
        </w:rPr>
      </w:pPr>
      <w:r w:rsidRPr="00A86EE3">
        <w:rPr>
          <w:lang w:val="fr-CA"/>
        </w:rPr>
        <w:br w:type="page"/>
      </w:r>
    </w:p>
    <w:tbl>
      <w:tblPr>
        <w:tblW w:w="5000" w:type="pct"/>
        <w:tblLook w:val="06A0" w:firstRow="1" w:lastRow="0" w:firstColumn="1" w:lastColumn="0" w:noHBand="1" w:noVBand="1"/>
      </w:tblPr>
      <w:tblGrid>
        <w:gridCol w:w="2967"/>
        <w:gridCol w:w="6393"/>
      </w:tblGrid>
      <w:tr w:rsidR="00897CD8" w:rsidRPr="008E00AC" w14:paraId="47193D29" w14:textId="77777777" w:rsidTr="00EE3005">
        <w:tc>
          <w:tcPr>
            <w:tcW w:w="1585" w:type="pct"/>
            <w:shd w:val="clear" w:color="auto" w:fill="auto"/>
          </w:tcPr>
          <w:p w14:paraId="1D1CA1C1" w14:textId="6966D7B8" w:rsidR="0057567C" w:rsidRPr="00184C4C" w:rsidRDefault="004A387E">
            <w:pPr>
              <w:pStyle w:val="TableHeading2"/>
              <w:rPr>
                <w:iCs/>
                <w:lang w:val="fr-CA"/>
              </w:rPr>
            </w:pPr>
            <w:r w:rsidRPr="00184C4C">
              <w:rPr>
                <w:iCs/>
                <w:lang w:val="fr-CA"/>
              </w:rPr>
              <w:t>Droits de rachat</w:t>
            </w:r>
            <w:r w:rsidRPr="008A64C8">
              <w:rPr>
                <w:rStyle w:val="FootnoteReference"/>
                <w:iCs/>
                <w:lang w:val="fr-CA"/>
              </w:rPr>
              <w:footnoteReference w:id="19"/>
            </w:r>
            <w:r w:rsidR="009D32F0" w:rsidRPr="00184C4C">
              <w:rPr>
                <w:iCs/>
                <w:lang w:val="fr-CA"/>
              </w:rPr>
              <w:t> :</w:t>
            </w:r>
          </w:p>
        </w:tc>
        <w:tc>
          <w:tcPr>
            <w:tcW w:w="3415" w:type="pct"/>
            <w:shd w:val="clear" w:color="auto" w:fill="auto"/>
          </w:tcPr>
          <w:p w14:paraId="6E762FEB" w14:textId="2AB18644" w:rsidR="0057567C" w:rsidRPr="00FA4ED2" w:rsidRDefault="004A387E" w:rsidP="00EE64A8">
            <w:pPr>
              <w:pStyle w:val="BodyText"/>
              <w:rPr>
                <w:lang w:val="fr-CA"/>
              </w:rPr>
            </w:pPr>
            <w:r w:rsidRPr="00FA4ED2">
              <w:rPr>
                <w:lang w:val="fr-CA"/>
              </w:rPr>
              <w:t>Sauf si les lois applicables régissant les distributions aux actionnaires l</w:t>
            </w:r>
            <w:r w:rsidR="00CC4D89">
              <w:rPr>
                <w:lang w:val="fr-CA"/>
              </w:rPr>
              <w:t>’</w:t>
            </w:r>
            <w:r w:rsidRPr="00FA4ED2">
              <w:rPr>
                <w:lang w:val="fr-CA"/>
              </w:rPr>
              <w:t xml:space="preserve">interdisent, les </w:t>
            </w:r>
            <w:r w:rsidR="00FB34AD" w:rsidRPr="00FA4ED2">
              <w:rPr>
                <w:lang w:val="fr-CA"/>
              </w:rPr>
              <w:t>A</w:t>
            </w:r>
            <w:r w:rsidRPr="00FA4ED2">
              <w:rPr>
                <w:lang w:val="fr-CA"/>
              </w:rPr>
              <w:t xml:space="preserve">ctions privilégiées de </w:t>
            </w:r>
            <w:r w:rsidR="002D3F68">
              <w:rPr>
                <w:lang w:val="fr-CA"/>
              </w:rPr>
              <w:t>catégorie A</w:t>
            </w:r>
            <w:r w:rsidRPr="00FA4ED2">
              <w:rPr>
                <w:lang w:val="fr-CA"/>
              </w:rPr>
              <w:t xml:space="preserve"> sont rachetables au gré des </w:t>
            </w:r>
            <w:r w:rsidR="00FB34AD" w:rsidRPr="00FA4ED2">
              <w:rPr>
                <w:lang w:val="fr-CA"/>
              </w:rPr>
              <w:t>P</w:t>
            </w:r>
            <w:r w:rsidRPr="00FA4ED2">
              <w:rPr>
                <w:lang w:val="fr-CA"/>
              </w:rPr>
              <w:t xml:space="preserve">orteurs requis à </w:t>
            </w:r>
            <w:r w:rsidR="00FB34AD" w:rsidRPr="00FA4ED2">
              <w:rPr>
                <w:lang w:val="fr-CA"/>
              </w:rPr>
              <w:t xml:space="preserve">tout moment </w:t>
            </w:r>
            <w:r w:rsidRPr="00FA4ED2">
              <w:rPr>
                <w:lang w:val="fr-CA"/>
              </w:rPr>
              <w:t>après le cinquième</w:t>
            </w:r>
            <w:r w:rsidR="00FB34AD" w:rsidRPr="00FA4ED2">
              <w:rPr>
                <w:lang w:val="fr-CA"/>
              </w:rPr>
              <w:t> </w:t>
            </w:r>
            <w:r w:rsidRPr="00FA4ED2">
              <w:rPr>
                <w:lang w:val="fr-CA"/>
              </w:rPr>
              <w:t>(</w:t>
            </w:r>
            <w:r w:rsidRPr="008A64C8">
              <w:rPr>
                <w:lang w:val="fr-CA"/>
              </w:rPr>
              <w:t>5</w:t>
            </w:r>
            <w:r w:rsidR="00AB56A3" w:rsidRPr="00AB56A3">
              <w:rPr>
                <w:vertAlign w:val="superscript"/>
                <w:lang w:val="fr-CA"/>
              </w:rPr>
              <w:t>e</w:t>
            </w:r>
            <w:r w:rsidRPr="00FA4ED2">
              <w:rPr>
                <w:lang w:val="fr-CA"/>
              </w:rPr>
              <w:t>)</w:t>
            </w:r>
            <w:r w:rsidR="002B0D95">
              <w:rPr>
                <w:lang w:val="fr-CA"/>
              </w:rPr>
              <w:t> </w:t>
            </w:r>
            <w:r w:rsidRPr="00FA4ED2">
              <w:rPr>
                <w:lang w:val="fr-CA"/>
              </w:rPr>
              <w:t xml:space="preserve">anniversaire de la </w:t>
            </w:r>
            <w:r w:rsidR="00FB34AD" w:rsidRPr="00FA4ED2">
              <w:rPr>
                <w:lang w:val="fr-CA"/>
              </w:rPr>
              <w:t>C</w:t>
            </w:r>
            <w:r w:rsidRPr="00FA4ED2">
              <w:rPr>
                <w:lang w:val="fr-CA"/>
              </w:rPr>
              <w:t xml:space="preserve">lôture à un prix correspondant au </w:t>
            </w:r>
            <w:r w:rsidR="00FB34AD" w:rsidRPr="00FA4ED2">
              <w:rPr>
                <w:lang w:val="fr-CA"/>
              </w:rPr>
              <w:t>P</w:t>
            </w:r>
            <w:r w:rsidRPr="00FA4ED2">
              <w:rPr>
                <w:lang w:val="fr-CA"/>
              </w:rPr>
              <w:t>rix d</w:t>
            </w:r>
            <w:r w:rsidR="00CC4D89">
              <w:rPr>
                <w:lang w:val="fr-CA"/>
              </w:rPr>
              <w:t>’</w:t>
            </w:r>
            <w:r w:rsidRPr="00FA4ED2">
              <w:rPr>
                <w:lang w:val="fr-CA"/>
              </w:rPr>
              <w:t>achat initial [majoré de tous les dividendes cumulés/déclarés</w:t>
            </w:r>
            <w:r w:rsidR="00FB34AD" w:rsidRPr="00FA4ED2">
              <w:rPr>
                <w:lang w:val="fr-CA"/>
              </w:rPr>
              <w:t>,</w:t>
            </w:r>
            <w:r w:rsidRPr="00FA4ED2">
              <w:rPr>
                <w:lang w:val="fr-CA"/>
              </w:rPr>
              <w:t xml:space="preserve"> mais non versés]. Le rachat se fait en trois tranches annuelles égales. Sur </w:t>
            </w:r>
            <w:r w:rsidR="00D72A03" w:rsidRPr="00FA4ED2">
              <w:rPr>
                <w:lang w:val="fr-CA"/>
              </w:rPr>
              <w:t>réception d</w:t>
            </w:r>
            <w:r w:rsidR="00CC4D89">
              <w:rPr>
                <w:lang w:val="fr-CA"/>
              </w:rPr>
              <w:t>’</w:t>
            </w:r>
            <w:r w:rsidR="00D72A03" w:rsidRPr="00FA4ED2">
              <w:rPr>
                <w:lang w:val="fr-CA"/>
              </w:rPr>
              <w:t xml:space="preserve">une </w:t>
            </w:r>
            <w:r w:rsidRPr="00FA4ED2">
              <w:rPr>
                <w:lang w:val="fr-CA"/>
              </w:rPr>
              <w:t xml:space="preserve">demande de rachat des porteurs du pourcentage requis des </w:t>
            </w:r>
            <w:r w:rsidR="00D72A03" w:rsidRPr="00FA4ED2">
              <w:rPr>
                <w:lang w:val="fr-CA"/>
              </w:rPr>
              <w:t>A</w:t>
            </w:r>
            <w:r w:rsidRPr="00FA4ED2">
              <w:rPr>
                <w:lang w:val="fr-CA"/>
              </w:rPr>
              <w:t xml:space="preserve">ctions privilégiées de </w:t>
            </w:r>
            <w:r w:rsidR="002D3F68">
              <w:rPr>
                <w:lang w:val="fr-CA"/>
              </w:rPr>
              <w:t>catégorie A</w:t>
            </w:r>
            <w:r w:rsidRPr="00FA4ED2">
              <w:rPr>
                <w:lang w:val="fr-CA"/>
              </w:rPr>
              <w:t xml:space="preserve">, toutes les </w:t>
            </w:r>
            <w:r w:rsidR="00D72A03" w:rsidRPr="00FA4ED2">
              <w:rPr>
                <w:lang w:val="fr-CA"/>
              </w:rPr>
              <w:t>A</w:t>
            </w:r>
            <w:r w:rsidRPr="00FA4ED2">
              <w:rPr>
                <w:lang w:val="fr-CA"/>
              </w:rPr>
              <w:t xml:space="preserve">ctions privilégiées de </w:t>
            </w:r>
            <w:r w:rsidR="002D3F68">
              <w:rPr>
                <w:lang w:val="fr-CA"/>
              </w:rPr>
              <w:t>catégorie A</w:t>
            </w:r>
            <w:r w:rsidRPr="00FA4ED2">
              <w:rPr>
                <w:lang w:val="fr-CA"/>
              </w:rPr>
              <w:t xml:space="preserve"> seront rachetées [(sauf </w:t>
            </w:r>
            <w:r w:rsidR="00003DE9" w:rsidRPr="00FA4ED2">
              <w:rPr>
                <w:lang w:val="fr-CA"/>
              </w:rPr>
              <w:t>celles des</w:t>
            </w:r>
            <w:r w:rsidRPr="00FA4ED2">
              <w:rPr>
                <w:lang w:val="fr-CA"/>
              </w:rPr>
              <w:t xml:space="preserve"> porteurs </w:t>
            </w:r>
            <w:r w:rsidR="00D72A03" w:rsidRPr="00FA4ED2">
              <w:rPr>
                <w:lang w:val="fr-CA"/>
              </w:rPr>
              <w:t>d</w:t>
            </w:r>
            <w:r w:rsidR="00CC4D89">
              <w:rPr>
                <w:lang w:val="fr-CA"/>
              </w:rPr>
              <w:t>’</w:t>
            </w:r>
            <w:r w:rsidR="00D72A03" w:rsidRPr="00FA4ED2">
              <w:rPr>
                <w:lang w:val="fr-CA"/>
              </w:rPr>
              <w:t xml:space="preserve">Actions privilégiées </w:t>
            </w:r>
            <w:r w:rsidRPr="00FA4ED2">
              <w:rPr>
                <w:lang w:val="fr-CA"/>
              </w:rPr>
              <w:t xml:space="preserve">de </w:t>
            </w:r>
            <w:r w:rsidR="002D3F68">
              <w:rPr>
                <w:lang w:val="fr-CA"/>
              </w:rPr>
              <w:t>catégorie A</w:t>
            </w:r>
            <w:r w:rsidRPr="00FA4ED2">
              <w:rPr>
                <w:lang w:val="fr-CA"/>
              </w:rPr>
              <w:t xml:space="preserve"> qui </w:t>
            </w:r>
            <w:r w:rsidR="00D72A03" w:rsidRPr="00FA4ED2">
              <w:rPr>
                <w:lang w:val="fr-CA"/>
              </w:rPr>
              <w:t>auront choisi de ne pas participer à un tel rachat</w:t>
            </w:r>
            <w:r w:rsidRPr="00FA4ED2">
              <w:rPr>
                <w:lang w:val="fr-CA"/>
              </w:rPr>
              <w:t>)].</w:t>
            </w:r>
          </w:p>
        </w:tc>
      </w:tr>
    </w:tbl>
    <w:p w14:paraId="2E4C323A" w14:textId="77777777" w:rsidR="0057567C" w:rsidRPr="007757AC" w:rsidRDefault="0057567C" w:rsidP="001E5B27">
      <w:pPr>
        <w:pStyle w:val="BodyText"/>
        <w:rPr>
          <w:lang w:val="fr-CA"/>
        </w:rPr>
        <w:sectPr w:rsidR="0057567C" w:rsidRPr="007757AC">
          <w:headerReference w:type="first" r:id="rId18"/>
          <w:footerReference w:type="first" r:id="rId19"/>
          <w:pgSz w:w="12240" w:h="15840" w:code="1"/>
          <w:pgMar w:top="1440" w:right="1440" w:bottom="1440" w:left="1440" w:header="720" w:footer="432" w:gutter="0"/>
          <w:cols w:space="720"/>
          <w:titlePg/>
          <w:docGrid w:linePitch="360"/>
        </w:sectPr>
      </w:pPr>
    </w:p>
    <w:tbl>
      <w:tblPr>
        <w:tblW w:w="5000" w:type="pct"/>
        <w:tblLook w:val="0000" w:firstRow="0" w:lastRow="0" w:firstColumn="0" w:lastColumn="0" w:noHBand="0" w:noVBand="0"/>
      </w:tblPr>
      <w:tblGrid>
        <w:gridCol w:w="2971"/>
        <w:gridCol w:w="6389"/>
      </w:tblGrid>
      <w:tr w:rsidR="00892B94" w:rsidRPr="007757AC" w14:paraId="6D9DACFF" w14:textId="77777777" w:rsidTr="00057FCC">
        <w:tc>
          <w:tcPr>
            <w:tcW w:w="5000" w:type="pct"/>
            <w:gridSpan w:val="2"/>
            <w:tcBorders>
              <w:top w:val="nil"/>
              <w:left w:val="nil"/>
              <w:bottom w:val="nil"/>
              <w:right w:val="nil"/>
            </w:tcBorders>
          </w:tcPr>
          <w:p w14:paraId="6CD6202F" w14:textId="324631C9" w:rsidR="00892B94" w:rsidRPr="007757AC" w:rsidRDefault="00892B94" w:rsidP="00057FCC">
            <w:pPr>
              <w:keepNext/>
              <w:tabs>
                <w:tab w:val="left" w:pos="432"/>
              </w:tabs>
              <w:suppressAutoHyphens/>
              <w:autoSpaceDE w:val="0"/>
              <w:autoSpaceDN w:val="0"/>
              <w:adjustRightInd w:val="0"/>
              <w:spacing w:after="240"/>
              <w:jc w:val="center"/>
              <w:rPr>
                <w:rFonts w:eastAsia="Times New Roman" w:cs="Times New Roman"/>
                <w:b/>
                <w:bCs/>
                <w:u w:val="single"/>
                <w:lang w:val="fr-CA" w:eastAsia="ja-JP"/>
              </w:rPr>
            </w:pPr>
            <w:r w:rsidRPr="007757AC">
              <w:rPr>
                <w:rFonts w:eastAsia="Times New Roman" w:cs="Times New Roman"/>
                <w:b/>
                <w:bCs/>
                <w:u w:val="single"/>
                <w:lang w:val="fr-CA" w:eastAsia="ja-JP"/>
              </w:rPr>
              <w:t>CONVENTION D</w:t>
            </w:r>
            <w:r w:rsidR="00CC4D89">
              <w:rPr>
                <w:rFonts w:eastAsia="Times New Roman" w:cs="Times New Roman"/>
                <w:b/>
                <w:bCs/>
                <w:u w:val="single"/>
                <w:lang w:val="fr-CA" w:eastAsia="ja-JP"/>
              </w:rPr>
              <w:t>’</w:t>
            </w:r>
            <w:r w:rsidRPr="007757AC">
              <w:rPr>
                <w:rFonts w:eastAsia="Times New Roman" w:cs="Times New Roman"/>
                <w:b/>
                <w:bCs/>
                <w:u w:val="single"/>
                <w:lang w:val="fr-CA" w:eastAsia="ja-JP"/>
              </w:rPr>
              <w:t>ACHAT D</w:t>
            </w:r>
            <w:r w:rsidR="00CC4D89">
              <w:rPr>
                <w:rFonts w:eastAsia="Times New Roman" w:cs="Times New Roman"/>
                <w:b/>
                <w:bCs/>
                <w:u w:val="single"/>
                <w:lang w:val="fr-CA" w:eastAsia="ja-JP"/>
              </w:rPr>
              <w:t>’</w:t>
            </w:r>
            <w:r w:rsidRPr="007757AC">
              <w:rPr>
                <w:rFonts w:eastAsia="Times New Roman" w:cs="Times New Roman"/>
                <w:b/>
                <w:bCs/>
                <w:u w:val="single"/>
                <w:lang w:val="fr-CA" w:eastAsia="ja-JP"/>
              </w:rPr>
              <w:t>ACTIONS</w:t>
            </w:r>
          </w:p>
        </w:tc>
      </w:tr>
      <w:tr w:rsidR="00892B94" w:rsidRPr="008E00AC" w14:paraId="5000F44D" w14:textId="77777777" w:rsidTr="00057FCC">
        <w:tblPrEx>
          <w:tblLook w:val="06A0" w:firstRow="1" w:lastRow="0" w:firstColumn="1" w:lastColumn="0" w:noHBand="1" w:noVBand="1"/>
        </w:tblPrEx>
        <w:tc>
          <w:tcPr>
            <w:tcW w:w="1587" w:type="pct"/>
            <w:shd w:val="clear" w:color="auto" w:fill="auto"/>
          </w:tcPr>
          <w:p w14:paraId="5502B1A4" w14:textId="2A7074EC" w:rsidR="00892B94" w:rsidRPr="007757AC" w:rsidRDefault="00892B94" w:rsidP="00057FCC">
            <w:pPr>
              <w:pStyle w:val="TableHeading2"/>
              <w:rPr>
                <w:lang w:val="fr-CA"/>
              </w:rPr>
            </w:pPr>
            <w:r w:rsidRPr="007757AC">
              <w:rPr>
                <w:lang w:val="fr-CA"/>
              </w:rPr>
              <w:t>Déclarations et garanties :</w:t>
            </w:r>
          </w:p>
        </w:tc>
        <w:tc>
          <w:tcPr>
            <w:tcW w:w="3408" w:type="pct"/>
            <w:shd w:val="clear" w:color="auto" w:fill="auto"/>
          </w:tcPr>
          <w:p w14:paraId="6365B5EB" w14:textId="3C51B45C" w:rsidR="00892B94" w:rsidRPr="007757AC" w:rsidRDefault="00892B94" w:rsidP="00057FCC">
            <w:pPr>
              <w:pStyle w:val="BodyText"/>
              <w:rPr>
                <w:lang w:val="fr-CA"/>
              </w:rPr>
            </w:pPr>
            <w:r w:rsidRPr="007757AC">
              <w:rPr>
                <w:lang w:val="fr-CA"/>
              </w:rPr>
              <w:t>Déclarations et garanties standard fournies par la Société et usuelles compte tenu de sa taille et de son secteur d</w:t>
            </w:r>
            <w:r w:rsidR="00CC4D89">
              <w:rPr>
                <w:lang w:val="fr-CA"/>
              </w:rPr>
              <w:t>’</w:t>
            </w:r>
            <w:r w:rsidRPr="007757AC">
              <w:rPr>
                <w:lang w:val="fr-CA"/>
              </w:rPr>
              <w:t>activité.</w:t>
            </w:r>
          </w:p>
        </w:tc>
      </w:tr>
      <w:tr w:rsidR="00892B94" w:rsidRPr="008E00AC" w14:paraId="319012EA" w14:textId="77777777" w:rsidTr="00057FCC">
        <w:tblPrEx>
          <w:tblLook w:val="06A0" w:firstRow="1" w:lastRow="0" w:firstColumn="1" w:lastColumn="0" w:noHBand="1" w:noVBand="1"/>
        </w:tblPrEx>
        <w:tc>
          <w:tcPr>
            <w:tcW w:w="1587" w:type="pct"/>
            <w:shd w:val="clear" w:color="auto" w:fill="auto"/>
          </w:tcPr>
          <w:p w14:paraId="4FA91872" w14:textId="05FF7C41" w:rsidR="00892B94" w:rsidRPr="007757AC" w:rsidRDefault="00892B94" w:rsidP="00057FCC">
            <w:pPr>
              <w:pStyle w:val="TableHeading2"/>
              <w:rPr>
                <w:lang w:val="fr-CA"/>
              </w:rPr>
            </w:pPr>
            <w:r w:rsidRPr="007757AC">
              <w:rPr>
                <w:lang w:val="fr-CA"/>
              </w:rPr>
              <w:t>Conseillers juridiques et frais :</w:t>
            </w:r>
          </w:p>
        </w:tc>
        <w:tc>
          <w:tcPr>
            <w:tcW w:w="3408" w:type="pct"/>
            <w:shd w:val="clear" w:color="auto" w:fill="auto"/>
          </w:tcPr>
          <w:p w14:paraId="251BAB87" w14:textId="1629B6F7" w:rsidR="00892B94" w:rsidRPr="007757AC" w:rsidRDefault="00892B94" w:rsidP="00057FCC">
            <w:pPr>
              <w:pStyle w:val="BodyText"/>
              <w:rPr>
                <w:lang w:val="fr-CA"/>
              </w:rPr>
            </w:pPr>
            <w:r w:rsidRPr="007757AC">
              <w:rPr>
                <w:lang w:val="fr-CA"/>
              </w:rPr>
              <w:t xml:space="preserve">Les conseillers juridiques </w:t>
            </w:r>
            <w:r w:rsidR="00C2605E" w:rsidRPr="007757AC">
              <w:rPr>
                <w:lang w:val="fr-CA"/>
              </w:rPr>
              <w:t>[</w:t>
            </w:r>
            <w:r w:rsidRPr="007757AC">
              <w:rPr>
                <w:lang w:val="fr-CA"/>
              </w:rPr>
              <w:t>de la Société] rédigent les documents applicables. La Société paie tous les frais juridiques et administratifs liés au financement [à la Clôture], y compris (sous réserve de la Clôture) les honoraires raisonnables (d</w:t>
            </w:r>
            <w:r w:rsidR="00CC4D89">
              <w:rPr>
                <w:lang w:val="fr-CA"/>
              </w:rPr>
              <w:t>’</w:t>
            </w:r>
            <w:r w:rsidRPr="007757AC">
              <w:rPr>
                <w:lang w:val="fr-CA"/>
              </w:rPr>
              <w:t xml:space="preserve">au plus </w:t>
            </w:r>
            <w:r w:rsidR="00BD5FF2">
              <w:rPr>
                <w:lang w:val="fr-CA"/>
              </w:rPr>
              <w:t>[</w:t>
            </w:r>
            <w:r w:rsidRPr="007757AC">
              <w:rPr>
                <w:lang w:val="fr-CA"/>
              </w:rPr>
              <w:t>_____</w:t>
            </w:r>
            <w:r w:rsidR="00BD5FF2">
              <w:rPr>
                <w:lang w:val="fr-CA"/>
              </w:rPr>
              <w:t>]</w:t>
            </w:r>
            <w:r w:rsidR="002D3F68">
              <w:rPr>
                <w:lang w:val="fr-CA"/>
              </w:rPr>
              <w:t> $</w:t>
            </w:r>
            <w:r w:rsidRPr="007757AC">
              <w:rPr>
                <w:lang w:val="fr-CA"/>
              </w:rPr>
              <w:t>) et les frais des conseillers juridiques de l</w:t>
            </w:r>
            <w:r w:rsidR="00CC4D89">
              <w:rPr>
                <w:lang w:val="fr-CA"/>
              </w:rPr>
              <w:t>’</w:t>
            </w:r>
            <w:r w:rsidRPr="007757AC">
              <w:rPr>
                <w:lang w:val="fr-CA"/>
              </w:rPr>
              <w:t>Investisseur.</w:t>
            </w:r>
          </w:p>
        </w:tc>
      </w:tr>
      <w:tr w:rsidR="00892B94" w:rsidRPr="008E00AC" w14:paraId="4CF3236D" w14:textId="77777777" w:rsidTr="00057FCC">
        <w:tc>
          <w:tcPr>
            <w:tcW w:w="5000" w:type="pct"/>
            <w:gridSpan w:val="2"/>
            <w:tcBorders>
              <w:top w:val="nil"/>
              <w:left w:val="nil"/>
              <w:bottom w:val="nil"/>
              <w:right w:val="nil"/>
            </w:tcBorders>
          </w:tcPr>
          <w:p w14:paraId="7F326FAC" w14:textId="77777777" w:rsidR="00892B94" w:rsidRPr="007757AC" w:rsidRDefault="00892B94" w:rsidP="00057FCC">
            <w:pPr>
              <w:keepNext/>
              <w:tabs>
                <w:tab w:val="left" w:pos="432"/>
              </w:tabs>
              <w:suppressAutoHyphens/>
              <w:autoSpaceDE w:val="0"/>
              <w:autoSpaceDN w:val="0"/>
              <w:adjustRightInd w:val="0"/>
              <w:spacing w:after="240"/>
              <w:jc w:val="center"/>
              <w:rPr>
                <w:rFonts w:eastAsia="Times New Roman" w:cs="Times New Roman"/>
                <w:b/>
                <w:bCs/>
                <w:u w:val="single"/>
                <w:lang w:val="fr-CA" w:eastAsia="ja-JP"/>
              </w:rPr>
            </w:pPr>
            <w:r w:rsidRPr="007757AC">
              <w:rPr>
                <w:rFonts w:eastAsia="Times New Roman" w:cs="Times New Roman"/>
                <w:b/>
                <w:bCs/>
                <w:u w:val="single"/>
                <w:lang w:val="fr-CA" w:eastAsia="ja-JP"/>
              </w:rPr>
              <w:t>CONVENTION RELATIVE AUX DROITS DES INVESTISSEURS</w:t>
            </w:r>
          </w:p>
        </w:tc>
      </w:tr>
      <w:tr w:rsidR="00892B94" w:rsidRPr="007757AC" w14:paraId="4A15604A" w14:textId="77777777" w:rsidTr="00057FCC">
        <w:tc>
          <w:tcPr>
            <w:tcW w:w="1587" w:type="pct"/>
            <w:tcBorders>
              <w:top w:val="nil"/>
              <w:left w:val="nil"/>
              <w:bottom w:val="nil"/>
              <w:right w:val="nil"/>
            </w:tcBorders>
          </w:tcPr>
          <w:p w14:paraId="26A2F5E0" w14:textId="725AFCB9" w:rsidR="00892B94" w:rsidRPr="007757AC" w:rsidRDefault="00892B94" w:rsidP="00057FCC">
            <w:pPr>
              <w:tabs>
                <w:tab w:val="left" w:pos="432"/>
              </w:tabs>
              <w:suppressAutoHyphens/>
              <w:autoSpaceDE w:val="0"/>
              <w:autoSpaceDN w:val="0"/>
              <w:adjustRightInd w:val="0"/>
              <w:spacing w:after="240"/>
              <w:jc w:val="left"/>
              <w:rPr>
                <w:rFonts w:eastAsia="Times New Roman" w:cs="Times New Roman"/>
                <w:i/>
                <w:iCs/>
                <w:lang w:val="fr-CA" w:eastAsia="ja-JP"/>
              </w:rPr>
            </w:pPr>
            <w:r w:rsidRPr="007757AC">
              <w:rPr>
                <w:rFonts w:eastAsia="Times New Roman" w:cs="Times New Roman"/>
                <w:i/>
                <w:iCs/>
                <w:lang w:val="fr-CA" w:eastAsia="ja-JP"/>
              </w:rPr>
              <w:t>Droits d</w:t>
            </w:r>
            <w:r w:rsidR="00CC4D89">
              <w:rPr>
                <w:rFonts w:eastAsia="Times New Roman" w:cs="Times New Roman"/>
                <w:i/>
                <w:iCs/>
                <w:lang w:val="fr-CA" w:eastAsia="ja-JP"/>
              </w:rPr>
              <w:t>’</w:t>
            </w:r>
            <w:r w:rsidRPr="007757AC">
              <w:rPr>
                <w:rFonts w:eastAsia="Times New Roman" w:cs="Times New Roman"/>
                <w:i/>
                <w:iCs/>
                <w:lang w:val="fr-CA" w:eastAsia="ja-JP"/>
              </w:rPr>
              <w:t>inscription</w:t>
            </w:r>
            <w:r w:rsidRPr="008A64C8">
              <w:rPr>
                <w:rStyle w:val="FootnoteReference"/>
                <w:rFonts w:eastAsia="Times New Roman" w:cs="Times New Roman"/>
                <w:i/>
                <w:iCs/>
                <w:lang w:val="fr-CA" w:eastAsia="ja-JP"/>
              </w:rPr>
              <w:footnoteReference w:id="20"/>
            </w:r>
            <w:r w:rsidRPr="007757AC">
              <w:rPr>
                <w:rFonts w:eastAsia="Times New Roman" w:cs="Times New Roman"/>
                <w:i/>
                <w:iCs/>
                <w:lang w:val="fr-CA" w:eastAsia="ja-JP"/>
              </w:rPr>
              <w:t> :</w:t>
            </w:r>
          </w:p>
        </w:tc>
        <w:tc>
          <w:tcPr>
            <w:tcW w:w="3413" w:type="pct"/>
            <w:tcBorders>
              <w:top w:val="nil"/>
              <w:left w:val="nil"/>
              <w:bottom w:val="nil"/>
              <w:right w:val="nil"/>
            </w:tcBorders>
          </w:tcPr>
          <w:p w14:paraId="54BF4DB8" w14:textId="77777777" w:rsidR="00892B94" w:rsidRPr="007757AC" w:rsidRDefault="00892B94" w:rsidP="00057FCC">
            <w:pPr>
              <w:tabs>
                <w:tab w:val="left" w:pos="432"/>
              </w:tabs>
              <w:suppressAutoHyphens/>
              <w:autoSpaceDE w:val="0"/>
              <w:autoSpaceDN w:val="0"/>
              <w:adjustRightInd w:val="0"/>
              <w:spacing w:after="240"/>
              <w:rPr>
                <w:rFonts w:eastAsia="Times New Roman" w:cs="Times New Roman"/>
                <w:lang w:val="fr-CA" w:eastAsia="ja-JP"/>
              </w:rPr>
            </w:pPr>
          </w:p>
        </w:tc>
      </w:tr>
      <w:tr w:rsidR="00892B94" w:rsidRPr="008E00AC" w14:paraId="15CF616C" w14:textId="77777777" w:rsidTr="00057FCC">
        <w:tc>
          <w:tcPr>
            <w:tcW w:w="1587" w:type="pct"/>
            <w:tcBorders>
              <w:top w:val="nil"/>
              <w:left w:val="nil"/>
              <w:bottom w:val="nil"/>
              <w:right w:val="nil"/>
            </w:tcBorders>
          </w:tcPr>
          <w:p w14:paraId="311BC58F" w14:textId="321C5E6A" w:rsidR="00892B94" w:rsidRPr="007757AC" w:rsidRDefault="00892B94" w:rsidP="00057FCC">
            <w:pPr>
              <w:tabs>
                <w:tab w:val="left" w:pos="432"/>
              </w:tabs>
              <w:suppressAutoHyphens/>
              <w:autoSpaceDE w:val="0"/>
              <w:autoSpaceDN w:val="0"/>
              <w:adjustRightInd w:val="0"/>
              <w:spacing w:after="240"/>
              <w:ind w:left="360"/>
              <w:jc w:val="left"/>
              <w:rPr>
                <w:rFonts w:eastAsia="Times New Roman" w:cs="Times New Roman"/>
                <w:i/>
                <w:iCs/>
                <w:lang w:val="fr-CA" w:eastAsia="ja-JP"/>
              </w:rPr>
            </w:pPr>
            <w:r w:rsidRPr="007757AC">
              <w:rPr>
                <w:rFonts w:eastAsia="Times New Roman" w:cs="Times New Roman"/>
                <w:i/>
                <w:iCs/>
                <w:lang w:val="fr-CA" w:eastAsia="ja-JP"/>
              </w:rPr>
              <w:t xml:space="preserve">Titres à inscrire : </w:t>
            </w:r>
          </w:p>
        </w:tc>
        <w:tc>
          <w:tcPr>
            <w:tcW w:w="3413" w:type="pct"/>
            <w:tcBorders>
              <w:top w:val="nil"/>
              <w:left w:val="nil"/>
              <w:bottom w:val="nil"/>
              <w:right w:val="nil"/>
            </w:tcBorders>
          </w:tcPr>
          <w:p w14:paraId="1176CE27" w14:textId="0DC28F7A" w:rsidR="00892B94" w:rsidRPr="007757AC" w:rsidRDefault="00892B94" w:rsidP="00057FCC">
            <w:pPr>
              <w:tabs>
                <w:tab w:val="left" w:pos="432"/>
              </w:tabs>
              <w:suppressAutoHyphens/>
              <w:autoSpaceDE w:val="0"/>
              <w:autoSpaceDN w:val="0"/>
              <w:adjustRightInd w:val="0"/>
              <w:spacing w:after="240"/>
              <w:rPr>
                <w:rFonts w:eastAsia="Times New Roman" w:cs="Times New Roman"/>
                <w:vertAlign w:val="superscript"/>
                <w:lang w:val="fr-CA" w:eastAsia="ja-JP"/>
              </w:rPr>
            </w:pPr>
            <w:r w:rsidRPr="007757AC">
              <w:rPr>
                <w:rFonts w:eastAsia="Times New Roman" w:cs="Times New Roman"/>
                <w:lang w:val="fr-CA" w:eastAsia="ja-JP"/>
              </w:rPr>
              <w:t xml:space="preserve">Toutes les Actions ordinaires devant être émises à la conversion des Actions privilégiées de </w:t>
            </w:r>
            <w:r w:rsidR="002D3F68">
              <w:rPr>
                <w:rFonts w:eastAsia="Times New Roman" w:cs="Times New Roman"/>
                <w:lang w:val="fr-CA" w:eastAsia="ja-JP"/>
              </w:rPr>
              <w:t>catégorie A</w:t>
            </w:r>
            <w:r w:rsidRPr="007757AC">
              <w:rPr>
                <w:rFonts w:eastAsia="Times New Roman" w:cs="Times New Roman"/>
                <w:lang w:val="fr-CA" w:eastAsia="ja-JP"/>
              </w:rPr>
              <w:t xml:space="preserve"> et toutes les autres Actions ordinaires détenues par les Investisseurs seront réputées être des « </w:t>
            </w:r>
            <w:r w:rsidRPr="007757AC">
              <w:rPr>
                <w:rFonts w:eastAsia="Times New Roman" w:cs="Times New Roman"/>
                <w:b/>
                <w:bCs/>
                <w:lang w:val="fr-CA" w:eastAsia="ja-JP"/>
              </w:rPr>
              <w:t>Titres à inscrire</w:t>
            </w:r>
            <w:r w:rsidRPr="007757AC">
              <w:rPr>
                <w:rFonts w:eastAsia="Times New Roman" w:cs="Times New Roman"/>
                <w:lang w:val="fr-CA" w:eastAsia="ja-JP"/>
              </w:rPr>
              <w:t> »</w:t>
            </w:r>
            <w:r w:rsidRPr="008A64C8">
              <w:rPr>
                <w:rFonts w:eastAsia="Times New Roman" w:cs="Times New Roman"/>
                <w:sz w:val="20"/>
                <w:vertAlign w:val="superscript"/>
                <w:lang w:val="fr-CA" w:eastAsia="ja-JP"/>
              </w:rPr>
              <w:footnoteReference w:id="21"/>
            </w:r>
            <w:r w:rsidRPr="007757AC">
              <w:rPr>
                <w:rFonts w:eastAsia="Times New Roman" w:cs="Times New Roman"/>
                <w:lang w:val="fr-CA" w:eastAsia="ja-JP"/>
              </w:rPr>
              <w:t>.</w:t>
            </w:r>
          </w:p>
        </w:tc>
      </w:tr>
      <w:tr w:rsidR="00892B94" w:rsidRPr="008E00AC" w14:paraId="749D1B36" w14:textId="77777777" w:rsidTr="00057FCC">
        <w:tc>
          <w:tcPr>
            <w:tcW w:w="1587" w:type="pct"/>
            <w:tcBorders>
              <w:top w:val="nil"/>
              <w:left w:val="nil"/>
              <w:bottom w:val="nil"/>
              <w:right w:val="nil"/>
            </w:tcBorders>
          </w:tcPr>
          <w:p w14:paraId="4FD92900" w14:textId="0621DAFC" w:rsidR="00892B94" w:rsidRPr="007757AC" w:rsidRDefault="00892B94" w:rsidP="00057FCC">
            <w:pPr>
              <w:tabs>
                <w:tab w:val="left" w:pos="432"/>
              </w:tabs>
              <w:suppressAutoHyphens/>
              <w:autoSpaceDE w:val="0"/>
              <w:autoSpaceDN w:val="0"/>
              <w:adjustRightInd w:val="0"/>
              <w:spacing w:after="240"/>
              <w:ind w:left="360"/>
              <w:jc w:val="left"/>
              <w:rPr>
                <w:rFonts w:eastAsia="Times New Roman" w:cs="Times New Roman"/>
                <w:i/>
                <w:iCs/>
                <w:lang w:val="fr-CA" w:eastAsia="ja-JP"/>
              </w:rPr>
            </w:pPr>
            <w:r w:rsidRPr="007757AC">
              <w:rPr>
                <w:rFonts w:eastAsia="Times New Roman" w:cs="Times New Roman"/>
                <w:i/>
                <w:iCs/>
                <w:lang w:val="fr-CA" w:eastAsia="ja-JP"/>
              </w:rPr>
              <w:br w:type="page"/>
            </w:r>
            <w:r w:rsidRPr="007757AC">
              <w:rPr>
                <w:rFonts w:eastAsia="Times New Roman" w:cs="Times New Roman"/>
                <w:i/>
                <w:iCs/>
                <w:lang w:val="fr-CA" w:eastAsia="ja-JP"/>
              </w:rPr>
              <w:br w:type="page"/>
            </w:r>
            <w:r w:rsidRPr="008E00AC">
              <w:rPr>
                <w:rFonts w:eastAsia="Times New Roman" w:cs="Times New Roman"/>
                <w:i/>
                <w:iCs/>
                <w:lang w:val="fr-CA" w:eastAsia="ja-JP"/>
              </w:rPr>
              <w:t>Inscription sur demande</w:t>
            </w:r>
            <w:r w:rsidRPr="007757AC">
              <w:rPr>
                <w:rFonts w:eastAsia="Times New Roman" w:cs="Times New Roman"/>
                <w:i/>
                <w:iCs/>
                <w:lang w:val="fr-CA" w:eastAsia="ja-JP"/>
              </w:rPr>
              <w:t> :</w:t>
            </w:r>
          </w:p>
        </w:tc>
        <w:tc>
          <w:tcPr>
            <w:tcW w:w="3413" w:type="pct"/>
            <w:tcBorders>
              <w:top w:val="nil"/>
              <w:left w:val="nil"/>
              <w:bottom w:val="nil"/>
              <w:right w:val="nil"/>
            </w:tcBorders>
          </w:tcPr>
          <w:p w14:paraId="5906CAC0" w14:textId="67BA3A11" w:rsidR="00892B94" w:rsidRPr="007757AC" w:rsidRDefault="00892B94" w:rsidP="00057FCC">
            <w:pPr>
              <w:tabs>
                <w:tab w:val="left" w:pos="432"/>
              </w:tabs>
              <w:suppressAutoHyphens/>
              <w:autoSpaceDE w:val="0"/>
              <w:autoSpaceDN w:val="0"/>
              <w:adjustRightInd w:val="0"/>
              <w:spacing w:after="240"/>
              <w:rPr>
                <w:rFonts w:eastAsia="Times New Roman" w:cs="Times New Roman"/>
                <w:lang w:val="fr-CA" w:eastAsia="ja-JP"/>
              </w:rPr>
            </w:pPr>
            <w:r w:rsidRPr="007757AC">
              <w:rPr>
                <w:rFonts w:eastAsia="Times New Roman" w:cs="Times New Roman"/>
                <w:lang w:val="fr-CA" w:eastAsia="ja-JP"/>
              </w:rPr>
              <w:t>À la première des éventualités suivantes à survenir, à savoir (</w:t>
            </w:r>
            <w:r w:rsidRPr="008A64C8">
              <w:rPr>
                <w:rFonts w:eastAsia="Times New Roman" w:cs="Times New Roman"/>
                <w:lang w:val="fr-CA" w:eastAsia="ja-JP"/>
              </w:rPr>
              <w:t>i</w:t>
            </w:r>
            <w:r w:rsidRPr="007757AC">
              <w:rPr>
                <w:rFonts w:eastAsia="Times New Roman" w:cs="Times New Roman"/>
                <w:lang w:val="fr-CA" w:eastAsia="ja-JP"/>
              </w:rPr>
              <w:t>) [trois (</w:t>
            </w:r>
            <w:r w:rsidRPr="008A64C8">
              <w:rPr>
                <w:rFonts w:eastAsia="Times New Roman" w:cs="Times New Roman"/>
                <w:lang w:val="fr-CA" w:eastAsia="ja-JP"/>
              </w:rPr>
              <w:t>3</w:t>
            </w:r>
            <w:r w:rsidRPr="007757AC">
              <w:rPr>
                <w:rFonts w:eastAsia="Times New Roman" w:cs="Times New Roman"/>
                <w:lang w:val="fr-CA" w:eastAsia="ja-JP"/>
              </w:rPr>
              <w:t>)</w:t>
            </w:r>
            <w:r w:rsidR="00C37CF7">
              <w:rPr>
                <w:rFonts w:eastAsia="Times New Roman" w:cs="Times New Roman"/>
                <w:lang w:val="fr-CA" w:eastAsia="ja-JP"/>
              </w:rPr>
              <w:t xml:space="preserve"> – </w:t>
            </w:r>
            <w:r w:rsidRPr="007757AC">
              <w:rPr>
                <w:rFonts w:eastAsia="Times New Roman" w:cs="Times New Roman"/>
                <w:lang w:val="fr-CA" w:eastAsia="ja-JP"/>
              </w:rPr>
              <w:t>cinq (</w:t>
            </w:r>
            <w:r w:rsidRPr="008A64C8">
              <w:rPr>
                <w:rFonts w:eastAsia="Times New Roman" w:cs="Times New Roman"/>
                <w:lang w:val="fr-CA" w:eastAsia="ja-JP"/>
              </w:rPr>
              <w:t>5</w:t>
            </w:r>
            <w:r w:rsidRPr="007757AC">
              <w:rPr>
                <w:rFonts w:eastAsia="Times New Roman" w:cs="Times New Roman"/>
                <w:lang w:val="fr-CA" w:eastAsia="ja-JP"/>
              </w:rPr>
              <w:t>)] ans après la Clôture ou (</w:t>
            </w:r>
            <w:r w:rsidRPr="008A64C8">
              <w:rPr>
                <w:rFonts w:eastAsia="Times New Roman" w:cs="Times New Roman"/>
                <w:lang w:val="fr-CA" w:eastAsia="ja-JP"/>
              </w:rPr>
              <w:t>ii</w:t>
            </w:r>
            <w:r w:rsidRPr="007757AC">
              <w:rPr>
                <w:rFonts w:eastAsia="Times New Roman" w:cs="Times New Roman"/>
                <w:lang w:val="fr-CA" w:eastAsia="ja-JP"/>
              </w:rPr>
              <w:t>) [six (</w:t>
            </w:r>
            <w:r w:rsidRPr="008A64C8">
              <w:rPr>
                <w:rFonts w:eastAsia="Times New Roman" w:cs="Times New Roman"/>
                <w:lang w:val="fr-CA" w:eastAsia="ja-JP"/>
              </w:rPr>
              <w:t>6</w:t>
            </w:r>
            <w:r w:rsidRPr="007757AC">
              <w:rPr>
                <w:rFonts w:eastAsia="Times New Roman" w:cs="Times New Roman"/>
                <w:lang w:val="fr-CA" w:eastAsia="ja-JP"/>
              </w:rPr>
              <w:t>)] mois après un premier appel public à l</w:t>
            </w:r>
            <w:r w:rsidR="00CC4D89">
              <w:rPr>
                <w:rFonts w:eastAsia="Times New Roman" w:cs="Times New Roman"/>
                <w:lang w:val="fr-CA" w:eastAsia="ja-JP"/>
              </w:rPr>
              <w:t>’</w:t>
            </w:r>
            <w:r w:rsidRPr="007757AC">
              <w:rPr>
                <w:rFonts w:eastAsia="Times New Roman" w:cs="Times New Roman"/>
                <w:lang w:val="fr-CA" w:eastAsia="ja-JP"/>
              </w:rPr>
              <w:t>épargne (un « </w:t>
            </w:r>
            <w:r w:rsidRPr="007757AC">
              <w:rPr>
                <w:rFonts w:eastAsia="Times New Roman" w:cs="Times New Roman"/>
                <w:b/>
                <w:bCs/>
                <w:lang w:val="fr-CA" w:eastAsia="ja-JP"/>
              </w:rPr>
              <w:t>PAPE</w:t>
            </w:r>
            <w:r w:rsidRPr="007757AC">
              <w:rPr>
                <w:rFonts w:eastAsia="Times New Roman" w:cs="Times New Roman"/>
                <w:lang w:val="fr-CA" w:eastAsia="ja-JP"/>
              </w:rPr>
              <w:t> »), les personnes détenant [__]</w:t>
            </w:r>
            <w:r w:rsidR="002D3F68">
              <w:rPr>
                <w:rFonts w:eastAsia="Times New Roman" w:cs="Times New Roman"/>
                <w:lang w:val="fr-CA" w:eastAsia="ja-JP"/>
              </w:rPr>
              <w:t> %</w:t>
            </w:r>
            <w:r w:rsidRPr="008A64C8">
              <w:rPr>
                <w:rFonts w:eastAsia="Times New Roman" w:cs="Times New Roman"/>
                <w:sz w:val="20"/>
                <w:vertAlign w:val="superscript"/>
                <w:lang w:val="fr-CA" w:eastAsia="ja-JP"/>
              </w:rPr>
              <w:footnoteReference w:id="22"/>
            </w:r>
            <w:r w:rsidRPr="007757AC">
              <w:rPr>
                <w:rFonts w:eastAsia="Times New Roman" w:cs="Times New Roman"/>
                <w:lang w:val="fr-CA" w:eastAsia="ja-JP"/>
              </w:rPr>
              <w:t xml:space="preserve"> des </w:t>
            </w:r>
            <w:r w:rsidR="00003DE9">
              <w:rPr>
                <w:rFonts w:eastAsia="Times New Roman" w:cs="Times New Roman"/>
                <w:lang w:val="fr-CA" w:eastAsia="ja-JP"/>
              </w:rPr>
              <w:t>T</w:t>
            </w:r>
            <w:r w:rsidRPr="007757AC">
              <w:rPr>
                <w:rFonts w:eastAsia="Times New Roman" w:cs="Times New Roman"/>
                <w:lang w:val="fr-CA" w:eastAsia="ja-JP"/>
              </w:rPr>
              <w:t xml:space="preserve">itres </w:t>
            </w:r>
            <w:r w:rsidR="00003DE9">
              <w:rPr>
                <w:rFonts w:eastAsia="Times New Roman" w:cs="Times New Roman"/>
                <w:lang w:val="fr-CA" w:eastAsia="ja-JP"/>
              </w:rPr>
              <w:t>à</w:t>
            </w:r>
            <w:r w:rsidRPr="007757AC">
              <w:rPr>
                <w:rFonts w:eastAsia="Times New Roman" w:cs="Times New Roman"/>
                <w:lang w:val="fr-CA" w:eastAsia="ja-JP"/>
              </w:rPr>
              <w:t xml:space="preserve"> inscri</w:t>
            </w:r>
            <w:r w:rsidR="00003DE9">
              <w:rPr>
                <w:rFonts w:eastAsia="Times New Roman" w:cs="Times New Roman"/>
                <w:lang w:val="fr-CA" w:eastAsia="ja-JP"/>
              </w:rPr>
              <w:t>re</w:t>
            </w:r>
            <w:r w:rsidRPr="007757AC">
              <w:rPr>
                <w:rFonts w:eastAsia="Times New Roman" w:cs="Times New Roman"/>
                <w:lang w:val="fr-CA" w:eastAsia="ja-JP"/>
              </w:rPr>
              <w:t xml:space="preserve"> peuvent demander [une] [deux] inscription</w:t>
            </w:r>
            <w:r w:rsidR="00AF7338">
              <w:rPr>
                <w:rFonts w:eastAsia="Times New Roman" w:cs="Times New Roman"/>
                <w:lang w:val="fr-CA" w:eastAsia="ja-JP"/>
              </w:rPr>
              <w:t>[</w:t>
            </w:r>
            <w:r w:rsidRPr="007757AC">
              <w:rPr>
                <w:rFonts w:eastAsia="Times New Roman" w:cs="Times New Roman"/>
                <w:lang w:val="fr-CA" w:eastAsia="ja-JP"/>
              </w:rPr>
              <w:t>s</w:t>
            </w:r>
            <w:r w:rsidR="00AF7338">
              <w:rPr>
                <w:rFonts w:eastAsia="Times New Roman" w:cs="Times New Roman"/>
                <w:lang w:val="fr-CA" w:eastAsia="ja-JP"/>
              </w:rPr>
              <w:t>]</w:t>
            </w:r>
            <w:r w:rsidRPr="007757AC">
              <w:rPr>
                <w:rFonts w:eastAsia="Times New Roman" w:cs="Times New Roman"/>
                <w:lang w:val="fr-CA" w:eastAsia="ja-JP"/>
              </w:rPr>
              <w:t xml:space="preserve"> (réalisée</w:t>
            </w:r>
            <w:r w:rsidR="00AF7338">
              <w:rPr>
                <w:rFonts w:eastAsia="Times New Roman" w:cs="Times New Roman"/>
                <w:lang w:val="fr-CA" w:eastAsia="ja-JP"/>
              </w:rPr>
              <w:t>[</w:t>
            </w:r>
            <w:r w:rsidRPr="007757AC">
              <w:rPr>
                <w:rFonts w:eastAsia="Times New Roman" w:cs="Times New Roman"/>
                <w:lang w:val="fr-CA" w:eastAsia="ja-JP"/>
              </w:rPr>
              <w:t>s</w:t>
            </w:r>
            <w:r w:rsidR="00AF7338">
              <w:rPr>
                <w:rFonts w:eastAsia="Times New Roman" w:cs="Times New Roman"/>
                <w:lang w:val="fr-CA" w:eastAsia="ja-JP"/>
              </w:rPr>
              <w:t>]</w:t>
            </w:r>
            <w:r w:rsidRPr="007757AC">
              <w:rPr>
                <w:rFonts w:eastAsia="Times New Roman" w:cs="Times New Roman"/>
                <w:lang w:val="fr-CA" w:eastAsia="ja-JP"/>
              </w:rPr>
              <w:t>) par la Société de leurs actions. Le prix d</w:t>
            </w:r>
            <w:r w:rsidR="00CC4D89">
              <w:rPr>
                <w:rFonts w:eastAsia="Times New Roman" w:cs="Times New Roman"/>
                <w:lang w:val="fr-CA" w:eastAsia="ja-JP"/>
              </w:rPr>
              <w:t>’</w:t>
            </w:r>
            <w:r w:rsidRPr="007757AC">
              <w:rPr>
                <w:rFonts w:eastAsia="Times New Roman" w:cs="Times New Roman"/>
                <w:lang w:val="fr-CA" w:eastAsia="ja-JP"/>
              </w:rPr>
              <w:t>offre global pour cette inscription ne peut être inférieur à [</w:t>
            </w:r>
            <w:r w:rsidRPr="008A64C8">
              <w:rPr>
                <w:rFonts w:eastAsia="Times New Roman" w:cs="Times New Roman"/>
                <w:lang w:val="fr-CA" w:eastAsia="ja-JP"/>
              </w:rPr>
              <w:t>5-15</w:t>
            </w:r>
            <w:r w:rsidRPr="007757AC">
              <w:rPr>
                <w:rFonts w:eastAsia="Times New Roman" w:cs="Times New Roman"/>
                <w:lang w:val="fr-CA" w:eastAsia="ja-JP"/>
              </w:rPr>
              <w:t>]</w:t>
            </w:r>
            <w:r w:rsidR="00AF7338">
              <w:rPr>
                <w:rFonts w:eastAsia="Times New Roman" w:cs="Times New Roman"/>
                <w:lang w:val="fr-CA" w:eastAsia="ja-JP"/>
              </w:rPr>
              <w:t> </w:t>
            </w:r>
            <w:r w:rsidRPr="007757AC">
              <w:rPr>
                <w:rFonts w:eastAsia="Times New Roman" w:cs="Times New Roman"/>
                <w:lang w:val="fr-CA" w:eastAsia="ja-JP"/>
              </w:rPr>
              <w:t xml:space="preserve">M$. </w:t>
            </w:r>
            <w:r w:rsidR="004A4A31">
              <w:rPr>
                <w:rFonts w:eastAsia="Times New Roman" w:cs="Times New Roman"/>
                <w:lang w:val="fr-CA" w:eastAsia="ja-JP"/>
              </w:rPr>
              <w:t>U</w:t>
            </w:r>
            <w:r w:rsidRPr="007757AC">
              <w:rPr>
                <w:rFonts w:eastAsia="Times New Roman" w:cs="Times New Roman"/>
                <w:lang w:val="fr-CA" w:eastAsia="ja-JP"/>
              </w:rPr>
              <w:t>ne inscription ne sera prise en compte à cette fin que si (</w:t>
            </w:r>
            <w:r w:rsidRPr="008A64C8">
              <w:rPr>
                <w:rFonts w:eastAsia="Times New Roman" w:cs="Times New Roman"/>
                <w:lang w:val="fr-CA" w:eastAsia="ja-JP"/>
              </w:rPr>
              <w:t>i</w:t>
            </w:r>
            <w:r w:rsidRPr="007757AC">
              <w:rPr>
                <w:rFonts w:eastAsia="Times New Roman" w:cs="Times New Roman"/>
                <w:lang w:val="fr-CA" w:eastAsia="ja-JP"/>
              </w:rPr>
              <w:t>)</w:t>
            </w:r>
            <w:r w:rsidR="004A4A31">
              <w:rPr>
                <w:rFonts w:eastAsia="Times New Roman" w:cs="Times New Roman"/>
                <w:lang w:val="fr-CA" w:eastAsia="ja-JP"/>
              </w:rPr>
              <w:t> </w:t>
            </w:r>
            <w:r w:rsidRPr="007757AC">
              <w:rPr>
                <w:rFonts w:eastAsia="Times New Roman" w:cs="Times New Roman"/>
                <w:lang w:val="fr-CA" w:eastAsia="ja-JP"/>
              </w:rPr>
              <w:t xml:space="preserve">tous les Titres </w:t>
            </w:r>
            <w:r w:rsidR="004A4A31">
              <w:rPr>
                <w:rFonts w:eastAsia="Times New Roman" w:cs="Times New Roman"/>
                <w:lang w:val="fr-CA" w:eastAsia="ja-JP"/>
              </w:rPr>
              <w:t xml:space="preserve">à </w:t>
            </w:r>
            <w:r w:rsidRPr="007757AC">
              <w:rPr>
                <w:rFonts w:eastAsia="Times New Roman" w:cs="Times New Roman"/>
                <w:lang w:val="fr-CA" w:eastAsia="ja-JP"/>
              </w:rPr>
              <w:t>inscri</w:t>
            </w:r>
            <w:r w:rsidR="004A4A31">
              <w:rPr>
                <w:rFonts w:eastAsia="Times New Roman" w:cs="Times New Roman"/>
                <w:lang w:val="fr-CA" w:eastAsia="ja-JP"/>
              </w:rPr>
              <w:t>re</w:t>
            </w:r>
            <w:r w:rsidRPr="007757AC">
              <w:rPr>
                <w:rFonts w:eastAsia="Times New Roman" w:cs="Times New Roman"/>
                <w:lang w:val="fr-CA" w:eastAsia="ja-JP"/>
              </w:rPr>
              <w:t xml:space="preserve"> </w:t>
            </w:r>
            <w:r w:rsidR="00A94F8A">
              <w:rPr>
                <w:rFonts w:eastAsia="Times New Roman" w:cs="Times New Roman"/>
                <w:lang w:val="fr-CA" w:eastAsia="ja-JP"/>
              </w:rPr>
              <w:t>dont on a demandé l</w:t>
            </w:r>
            <w:r w:rsidR="00CC4D89">
              <w:rPr>
                <w:rFonts w:eastAsia="Times New Roman" w:cs="Times New Roman"/>
                <w:lang w:val="fr-CA" w:eastAsia="ja-JP"/>
              </w:rPr>
              <w:t>’</w:t>
            </w:r>
            <w:r w:rsidR="00A94F8A">
              <w:rPr>
                <w:rFonts w:eastAsia="Times New Roman" w:cs="Times New Roman"/>
                <w:lang w:val="fr-CA" w:eastAsia="ja-JP"/>
              </w:rPr>
              <w:t>inscription</w:t>
            </w:r>
            <w:r w:rsidRPr="007757AC">
              <w:rPr>
                <w:rFonts w:eastAsia="Times New Roman" w:cs="Times New Roman"/>
                <w:lang w:val="fr-CA" w:eastAsia="ja-JP"/>
              </w:rPr>
              <w:t xml:space="preserve"> sont inscrits et (</w:t>
            </w:r>
            <w:r w:rsidRPr="008A64C8">
              <w:rPr>
                <w:rFonts w:eastAsia="Times New Roman" w:cs="Times New Roman"/>
                <w:lang w:val="fr-CA" w:eastAsia="ja-JP"/>
              </w:rPr>
              <w:t>ii</w:t>
            </w:r>
            <w:r w:rsidRPr="007757AC">
              <w:rPr>
                <w:rFonts w:eastAsia="Times New Roman" w:cs="Times New Roman"/>
                <w:lang w:val="fr-CA" w:eastAsia="ja-JP"/>
              </w:rPr>
              <w:t>)</w:t>
            </w:r>
            <w:r w:rsidR="004A4A31">
              <w:rPr>
                <w:rFonts w:eastAsia="Times New Roman" w:cs="Times New Roman"/>
                <w:lang w:val="fr-CA" w:eastAsia="ja-JP"/>
              </w:rPr>
              <w:t> </w:t>
            </w:r>
            <w:r w:rsidR="00AF7338">
              <w:rPr>
                <w:rFonts w:eastAsia="Times New Roman" w:cs="Times New Roman"/>
                <w:lang w:val="fr-CA" w:eastAsia="ja-JP"/>
              </w:rPr>
              <w:t>sa clôture est réalisée</w:t>
            </w:r>
            <w:r w:rsidR="00C01638">
              <w:rPr>
                <w:rFonts w:eastAsia="Times New Roman" w:cs="Times New Roman"/>
                <w:lang w:val="fr-CA" w:eastAsia="ja-JP"/>
              </w:rPr>
              <w:t xml:space="preserve"> ou </w:t>
            </w:r>
            <w:r w:rsidR="00AF7338">
              <w:rPr>
                <w:rFonts w:eastAsia="Times New Roman" w:cs="Times New Roman"/>
                <w:lang w:val="fr-CA" w:eastAsia="ja-JP"/>
              </w:rPr>
              <w:t>que l’</w:t>
            </w:r>
            <w:r w:rsidR="00AF7338" w:rsidRPr="007757AC">
              <w:rPr>
                <w:rFonts w:eastAsia="Times New Roman" w:cs="Times New Roman"/>
                <w:lang w:val="fr-CA" w:eastAsia="ja-JP"/>
              </w:rPr>
              <w:t>inscription</w:t>
            </w:r>
            <w:r w:rsidR="00AF7338">
              <w:rPr>
                <w:rFonts w:eastAsia="Times New Roman" w:cs="Times New Roman"/>
                <w:lang w:val="fr-CA" w:eastAsia="ja-JP"/>
              </w:rPr>
              <w:t xml:space="preserve"> est</w:t>
            </w:r>
            <w:r w:rsidR="00C01638">
              <w:rPr>
                <w:rFonts w:eastAsia="Times New Roman" w:cs="Times New Roman"/>
                <w:lang w:val="fr-CA" w:eastAsia="ja-JP"/>
              </w:rPr>
              <w:t xml:space="preserve"> </w:t>
            </w:r>
            <w:r w:rsidRPr="007757AC">
              <w:rPr>
                <w:rFonts w:eastAsia="Times New Roman" w:cs="Times New Roman"/>
                <w:lang w:val="fr-CA" w:eastAsia="ja-JP"/>
              </w:rPr>
              <w:t>retirée à la demande des Investisseurs (autrement qu</w:t>
            </w:r>
            <w:r w:rsidR="00CC4D89">
              <w:rPr>
                <w:rFonts w:eastAsia="Times New Roman" w:cs="Times New Roman"/>
                <w:lang w:val="fr-CA" w:eastAsia="ja-JP"/>
              </w:rPr>
              <w:t>’</w:t>
            </w:r>
            <w:r w:rsidRPr="007757AC">
              <w:rPr>
                <w:rFonts w:eastAsia="Times New Roman" w:cs="Times New Roman"/>
                <w:lang w:val="fr-CA" w:eastAsia="ja-JP"/>
              </w:rPr>
              <w:t>en raison d</w:t>
            </w:r>
            <w:r w:rsidR="00CC4D89">
              <w:rPr>
                <w:rFonts w:eastAsia="Times New Roman" w:cs="Times New Roman"/>
                <w:lang w:val="fr-CA" w:eastAsia="ja-JP"/>
              </w:rPr>
              <w:t>’</w:t>
            </w:r>
            <w:r w:rsidRPr="007757AC">
              <w:rPr>
                <w:rFonts w:eastAsia="Times New Roman" w:cs="Times New Roman"/>
                <w:lang w:val="fr-CA" w:eastAsia="ja-JP"/>
              </w:rPr>
              <w:t xml:space="preserve">un changement défavorable important </w:t>
            </w:r>
            <w:r w:rsidR="004A4A31">
              <w:rPr>
                <w:rFonts w:eastAsia="Times New Roman" w:cs="Times New Roman"/>
                <w:lang w:val="fr-CA" w:eastAsia="ja-JP"/>
              </w:rPr>
              <w:t>survenu au sein de</w:t>
            </w:r>
            <w:r w:rsidRPr="007757AC">
              <w:rPr>
                <w:rFonts w:eastAsia="Times New Roman" w:cs="Times New Roman"/>
                <w:lang w:val="fr-CA" w:eastAsia="ja-JP"/>
              </w:rPr>
              <w:t xml:space="preserve"> la Société). </w:t>
            </w:r>
          </w:p>
        </w:tc>
      </w:tr>
      <w:tr w:rsidR="00892B94" w:rsidRPr="008E00AC" w14:paraId="11E460E6" w14:textId="77777777" w:rsidTr="00057FCC">
        <w:tc>
          <w:tcPr>
            <w:tcW w:w="1587" w:type="pct"/>
            <w:tcBorders>
              <w:top w:val="nil"/>
              <w:left w:val="nil"/>
              <w:bottom w:val="nil"/>
              <w:right w:val="nil"/>
            </w:tcBorders>
          </w:tcPr>
          <w:p w14:paraId="4A29E34C" w14:textId="6055E7E9" w:rsidR="00892B94" w:rsidRPr="007757AC" w:rsidRDefault="004A4A31" w:rsidP="00AB56A3">
            <w:pPr>
              <w:keepNext/>
              <w:tabs>
                <w:tab w:val="left" w:pos="432"/>
              </w:tabs>
              <w:suppressAutoHyphens/>
              <w:autoSpaceDE w:val="0"/>
              <w:autoSpaceDN w:val="0"/>
              <w:adjustRightInd w:val="0"/>
              <w:spacing w:after="240"/>
              <w:ind w:left="360"/>
              <w:jc w:val="left"/>
              <w:rPr>
                <w:rFonts w:eastAsia="Times New Roman" w:cs="Times New Roman"/>
                <w:i/>
                <w:iCs/>
                <w:lang w:val="fr-CA" w:eastAsia="ja-JP"/>
              </w:rPr>
            </w:pPr>
            <w:r>
              <w:rPr>
                <w:rFonts w:eastAsia="Times New Roman" w:cs="Times New Roman"/>
                <w:i/>
                <w:iCs/>
                <w:lang w:val="fr-CA" w:eastAsia="ja-JP"/>
              </w:rPr>
              <w:t>I</w:t>
            </w:r>
            <w:r w:rsidR="00892B94" w:rsidRPr="007757AC">
              <w:rPr>
                <w:rFonts w:eastAsia="Times New Roman" w:cs="Times New Roman"/>
                <w:i/>
                <w:iCs/>
                <w:lang w:val="fr-CA" w:eastAsia="ja-JP"/>
              </w:rPr>
              <w:t xml:space="preserve">nscription </w:t>
            </w:r>
            <w:r>
              <w:rPr>
                <w:rFonts w:eastAsia="Times New Roman" w:cs="Times New Roman"/>
                <w:i/>
                <w:iCs/>
                <w:lang w:val="fr-CA" w:eastAsia="ja-JP"/>
              </w:rPr>
              <w:t xml:space="preserve">sur </w:t>
            </w:r>
            <w:r w:rsidR="008C0037">
              <w:rPr>
                <w:rFonts w:eastAsia="Times New Roman" w:cs="Times New Roman"/>
                <w:i/>
                <w:iCs/>
                <w:lang w:val="fr-CA" w:eastAsia="ja-JP"/>
              </w:rPr>
              <w:t>Formulaire </w:t>
            </w:r>
            <w:r w:rsidR="00892B94" w:rsidRPr="007757AC">
              <w:rPr>
                <w:rFonts w:eastAsia="Times New Roman" w:cs="Times New Roman"/>
                <w:i/>
                <w:iCs/>
                <w:lang w:val="fr-CA" w:eastAsia="ja-JP"/>
              </w:rPr>
              <w:t>S-</w:t>
            </w:r>
            <w:r w:rsidR="00892B94" w:rsidRPr="008A64C8">
              <w:rPr>
                <w:rFonts w:eastAsia="Times New Roman" w:cs="Times New Roman"/>
                <w:i/>
                <w:iCs/>
                <w:lang w:val="fr-CA" w:eastAsia="ja-JP"/>
              </w:rPr>
              <w:t>3</w:t>
            </w:r>
            <w:r w:rsidR="00892B94" w:rsidRPr="007757AC">
              <w:rPr>
                <w:rFonts w:eastAsia="Times New Roman" w:cs="Times New Roman"/>
                <w:i/>
                <w:iCs/>
                <w:lang w:val="fr-CA" w:eastAsia="ja-JP"/>
              </w:rPr>
              <w:t xml:space="preserve"> :</w:t>
            </w:r>
          </w:p>
        </w:tc>
        <w:tc>
          <w:tcPr>
            <w:tcW w:w="3413" w:type="pct"/>
            <w:tcBorders>
              <w:top w:val="nil"/>
              <w:left w:val="nil"/>
              <w:bottom w:val="nil"/>
              <w:right w:val="nil"/>
            </w:tcBorders>
          </w:tcPr>
          <w:p w14:paraId="4401BE0A" w14:textId="1EBBF7E0" w:rsidR="00892B94" w:rsidRPr="007757AC" w:rsidRDefault="00892B94" w:rsidP="00AB56A3">
            <w:pPr>
              <w:keepNext/>
              <w:tabs>
                <w:tab w:val="left" w:pos="432"/>
              </w:tabs>
              <w:suppressAutoHyphens/>
              <w:autoSpaceDE w:val="0"/>
              <w:autoSpaceDN w:val="0"/>
              <w:adjustRightInd w:val="0"/>
              <w:spacing w:after="240"/>
              <w:rPr>
                <w:rFonts w:eastAsia="Times New Roman" w:cs="Times New Roman"/>
                <w:lang w:val="fr-CA" w:eastAsia="ja-JP"/>
              </w:rPr>
            </w:pPr>
            <w:r w:rsidRPr="007757AC">
              <w:rPr>
                <w:rFonts w:eastAsia="Times New Roman" w:cs="Times New Roman"/>
                <w:lang w:val="fr-CA" w:eastAsia="ja-JP"/>
              </w:rPr>
              <w:t>Les porteurs de [[</w:t>
            </w:r>
            <w:r w:rsidRPr="008A64C8">
              <w:rPr>
                <w:rFonts w:eastAsia="Times New Roman" w:cs="Times New Roman"/>
                <w:lang w:val="fr-CA" w:eastAsia="ja-JP"/>
              </w:rPr>
              <w:t>10</w:t>
            </w:r>
            <w:r w:rsidR="00A94F8A" w:rsidRPr="008A64C8">
              <w:rPr>
                <w:rFonts w:eastAsia="Times New Roman" w:cs="Times New Roman"/>
                <w:lang w:val="fr-CA" w:eastAsia="ja-JP"/>
              </w:rPr>
              <w:t>-</w:t>
            </w:r>
            <w:r w:rsidRPr="008A64C8">
              <w:rPr>
                <w:rFonts w:eastAsia="Times New Roman" w:cs="Times New Roman"/>
                <w:lang w:val="fr-CA" w:eastAsia="ja-JP"/>
              </w:rPr>
              <w:t>30</w:t>
            </w:r>
            <w:r w:rsidRPr="007757AC">
              <w:rPr>
                <w:rFonts w:eastAsia="Times New Roman" w:cs="Times New Roman"/>
                <w:lang w:val="fr-CA" w:eastAsia="ja-JP"/>
              </w:rPr>
              <w:t>]</w:t>
            </w:r>
            <w:r w:rsidR="002D3F68">
              <w:rPr>
                <w:rFonts w:eastAsia="Times New Roman" w:cs="Times New Roman"/>
                <w:lang w:val="fr-CA" w:eastAsia="ja-JP"/>
              </w:rPr>
              <w:t> %</w:t>
            </w:r>
            <w:r w:rsidRPr="007757AC">
              <w:rPr>
                <w:rFonts w:eastAsia="Times New Roman" w:cs="Times New Roman"/>
                <w:lang w:val="fr-CA" w:eastAsia="ja-JP"/>
              </w:rPr>
              <w:t xml:space="preserve"> des]</w:t>
            </w:r>
            <w:r w:rsidRPr="007757AC">
              <w:rPr>
                <w:rFonts w:eastAsia="Times New Roman" w:cs="Times New Roman"/>
                <w:sz w:val="20"/>
                <w:vertAlign w:val="superscript"/>
                <w:lang w:val="fr-CA" w:eastAsia="ja-JP"/>
              </w:rPr>
              <w:t xml:space="preserve"> </w:t>
            </w:r>
            <w:r w:rsidRPr="008A64C8">
              <w:rPr>
                <w:rFonts w:eastAsia="Times New Roman" w:cs="Times New Roman"/>
                <w:sz w:val="20"/>
                <w:vertAlign w:val="superscript"/>
                <w:lang w:val="fr-CA" w:eastAsia="ja-JP"/>
              </w:rPr>
              <w:footnoteReference w:id="23"/>
            </w:r>
            <w:r w:rsidRPr="007757AC">
              <w:rPr>
                <w:rFonts w:eastAsia="Times New Roman" w:cs="Times New Roman"/>
                <w:lang w:val="fr-CA" w:eastAsia="ja-JP"/>
              </w:rPr>
              <w:t xml:space="preserve"> Titres à inscrire auront le droit d</w:t>
            </w:r>
            <w:r w:rsidR="00CC4D89">
              <w:rPr>
                <w:rFonts w:eastAsia="Times New Roman" w:cs="Times New Roman"/>
                <w:lang w:val="fr-CA" w:eastAsia="ja-JP"/>
              </w:rPr>
              <w:t>’</w:t>
            </w:r>
            <w:r w:rsidRPr="007757AC">
              <w:rPr>
                <w:rFonts w:eastAsia="Times New Roman" w:cs="Times New Roman"/>
                <w:lang w:val="fr-CA" w:eastAsia="ja-JP"/>
              </w:rPr>
              <w:t xml:space="preserve">exiger que la Société inscrive sur </w:t>
            </w:r>
            <w:r w:rsidR="008C0037">
              <w:rPr>
                <w:rFonts w:eastAsia="Times New Roman" w:cs="Times New Roman"/>
                <w:lang w:val="fr-CA" w:eastAsia="ja-JP"/>
              </w:rPr>
              <w:t>Formulaire </w:t>
            </w:r>
            <w:r w:rsidRPr="007757AC">
              <w:rPr>
                <w:rFonts w:eastAsia="Times New Roman" w:cs="Times New Roman"/>
                <w:lang w:val="fr-CA" w:eastAsia="ja-JP"/>
              </w:rPr>
              <w:t>S-</w:t>
            </w:r>
            <w:r w:rsidRPr="008A64C8">
              <w:rPr>
                <w:rFonts w:eastAsia="Times New Roman" w:cs="Times New Roman"/>
                <w:lang w:val="fr-CA" w:eastAsia="ja-JP"/>
              </w:rPr>
              <w:t>3</w:t>
            </w:r>
            <w:r w:rsidRPr="007757AC">
              <w:rPr>
                <w:rFonts w:eastAsia="Times New Roman" w:cs="Times New Roman"/>
                <w:lang w:val="fr-CA" w:eastAsia="ja-JP"/>
              </w:rPr>
              <w:t xml:space="preserve"> (ou </w:t>
            </w:r>
            <w:r w:rsidR="00A94F8A">
              <w:rPr>
                <w:rFonts w:eastAsia="Times New Roman" w:cs="Times New Roman"/>
                <w:lang w:val="fr-CA" w:eastAsia="ja-JP"/>
              </w:rPr>
              <w:t>un</w:t>
            </w:r>
            <w:r w:rsidRPr="007757AC">
              <w:rPr>
                <w:rFonts w:eastAsia="Times New Roman" w:cs="Times New Roman"/>
                <w:lang w:val="fr-CA" w:eastAsia="ja-JP"/>
              </w:rPr>
              <w:t xml:space="preserve"> formulaire équivalent pour les émetteurs étrangers), si la Société peut l</w:t>
            </w:r>
            <w:r w:rsidR="00CC4D89">
              <w:rPr>
                <w:rFonts w:eastAsia="Times New Roman" w:cs="Times New Roman"/>
                <w:lang w:val="fr-CA" w:eastAsia="ja-JP"/>
              </w:rPr>
              <w:t>’</w:t>
            </w:r>
            <w:r w:rsidRPr="007757AC">
              <w:rPr>
                <w:rFonts w:eastAsia="Times New Roman" w:cs="Times New Roman"/>
                <w:lang w:val="fr-CA" w:eastAsia="ja-JP"/>
              </w:rPr>
              <w:t xml:space="preserve">utiliser, </w:t>
            </w:r>
            <w:r w:rsidR="004A4A31">
              <w:rPr>
                <w:rFonts w:eastAsia="Times New Roman" w:cs="Times New Roman"/>
                <w:lang w:val="fr-CA" w:eastAsia="ja-JP"/>
              </w:rPr>
              <w:t>des Titres à inscrire p</w:t>
            </w:r>
            <w:r w:rsidRPr="007757AC">
              <w:rPr>
                <w:rFonts w:eastAsia="Times New Roman" w:cs="Times New Roman"/>
                <w:lang w:val="fr-CA" w:eastAsia="ja-JP"/>
              </w:rPr>
              <w:t>our un prix d</w:t>
            </w:r>
            <w:r w:rsidR="00CC4D89">
              <w:rPr>
                <w:rFonts w:eastAsia="Times New Roman" w:cs="Times New Roman"/>
                <w:lang w:val="fr-CA" w:eastAsia="ja-JP"/>
              </w:rPr>
              <w:t>’</w:t>
            </w:r>
            <w:r w:rsidRPr="007757AC">
              <w:rPr>
                <w:rFonts w:eastAsia="Times New Roman" w:cs="Times New Roman"/>
                <w:lang w:val="fr-CA" w:eastAsia="ja-JP"/>
              </w:rPr>
              <w:t>offre global d</w:t>
            </w:r>
            <w:r w:rsidR="00CC4D89">
              <w:rPr>
                <w:rFonts w:eastAsia="Times New Roman" w:cs="Times New Roman"/>
                <w:lang w:val="fr-CA" w:eastAsia="ja-JP"/>
              </w:rPr>
              <w:t>’</w:t>
            </w:r>
            <w:r w:rsidRPr="007757AC">
              <w:rPr>
                <w:rFonts w:eastAsia="Times New Roman" w:cs="Times New Roman"/>
                <w:lang w:val="fr-CA" w:eastAsia="ja-JP"/>
              </w:rPr>
              <w:t>au moins [</w:t>
            </w:r>
            <w:r w:rsidRPr="008A64C8">
              <w:rPr>
                <w:rFonts w:eastAsia="Times New Roman" w:cs="Times New Roman"/>
                <w:lang w:val="fr-CA" w:eastAsia="ja-JP"/>
              </w:rPr>
              <w:t>3</w:t>
            </w:r>
            <w:r w:rsidR="00A94F8A" w:rsidRPr="008A64C8">
              <w:rPr>
                <w:rFonts w:eastAsia="Times New Roman" w:cs="Times New Roman"/>
                <w:lang w:val="fr-CA" w:eastAsia="ja-JP"/>
              </w:rPr>
              <w:t>-</w:t>
            </w:r>
            <w:r w:rsidRPr="008A64C8">
              <w:rPr>
                <w:rFonts w:eastAsia="Times New Roman" w:cs="Times New Roman"/>
                <w:lang w:val="fr-CA" w:eastAsia="ja-JP"/>
              </w:rPr>
              <w:t>5</w:t>
            </w:r>
            <w:r w:rsidRPr="007757AC">
              <w:rPr>
                <w:rFonts w:eastAsia="Times New Roman" w:cs="Times New Roman"/>
                <w:lang w:val="fr-CA" w:eastAsia="ja-JP"/>
              </w:rPr>
              <w:t> M</w:t>
            </w:r>
            <w:r w:rsidR="002D3F68">
              <w:rPr>
                <w:rFonts w:eastAsia="Times New Roman" w:cs="Times New Roman"/>
                <w:lang w:val="fr-CA" w:eastAsia="ja-JP"/>
              </w:rPr>
              <w:t>$</w:t>
            </w:r>
            <w:r w:rsidRPr="007757AC">
              <w:rPr>
                <w:rFonts w:eastAsia="Times New Roman" w:cs="Times New Roman"/>
                <w:lang w:val="fr-CA" w:eastAsia="ja-JP"/>
              </w:rPr>
              <w:t>]. Il n</w:t>
            </w:r>
            <w:r w:rsidR="00CC4D89">
              <w:rPr>
                <w:rFonts w:eastAsia="Times New Roman" w:cs="Times New Roman"/>
                <w:lang w:val="fr-CA" w:eastAsia="ja-JP"/>
              </w:rPr>
              <w:t>’</w:t>
            </w:r>
            <w:r w:rsidRPr="007757AC">
              <w:rPr>
                <w:rFonts w:eastAsia="Times New Roman" w:cs="Times New Roman"/>
                <w:lang w:val="fr-CA" w:eastAsia="ja-JP"/>
              </w:rPr>
              <w:t xml:space="preserve">y aura aucune limite quant au nombre total de ces inscriptions sur </w:t>
            </w:r>
            <w:r w:rsidR="008C0037">
              <w:rPr>
                <w:rFonts w:eastAsia="Times New Roman" w:cs="Times New Roman"/>
                <w:lang w:val="fr-CA" w:eastAsia="ja-JP"/>
              </w:rPr>
              <w:t>Formulaire </w:t>
            </w:r>
            <w:r w:rsidRPr="007757AC">
              <w:rPr>
                <w:rFonts w:eastAsia="Times New Roman" w:cs="Times New Roman"/>
                <w:lang w:val="fr-CA" w:eastAsia="ja-JP"/>
              </w:rPr>
              <w:t>S-</w:t>
            </w:r>
            <w:r w:rsidRPr="008A64C8">
              <w:rPr>
                <w:rFonts w:eastAsia="Times New Roman" w:cs="Times New Roman"/>
                <w:lang w:val="fr-CA" w:eastAsia="ja-JP"/>
              </w:rPr>
              <w:t>3</w:t>
            </w:r>
            <w:r w:rsidRPr="007757AC">
              <w:rPr>
                <w:rFonts w:eastAsia="Times New Roman" w:cs="Times New Roman"/>
                <w:lang w:val="fr-CA" w:eastAsia="ja-JP"/>
              </w:rPr>
              <w:t xml:space="preserve">, </w:t>
            </w:r>
            <w:r w:rsidRPr="007757AC">
              <w:rPr>
                <w:rFonts w:eastAsia="Times New Roman" w:cs="Times New Roman"/>
                <w:u w:val="single"/>
                <w:lang w:val="fr-CA" w:eastAsia="ja-JP"/>
              </w:rPr>
              <w:t>à la condition</w:t>
            </w:r>
            <w:r w:rsidRPr="007757AC">
              <w:rPr>
                <w:rFonts w:eastAsia="Times New Roman" w:cs="Times New Roman"/>
                <w:lang w:val="fr-CA" w:eastAsia="ja-JP"/>
              </w:rPr>
              <w:t xml:space="preserve"> qu</w:t>
            </w:r>
            <w:r w:rsidR="00CC4D89">
              <w:rPr>
                <w:rFonts w:eastAsia="Times New Roman" w:cs="Times New Roman"/>
                <w:lang w:val="fr-CA" w:eastAsia="ja-JP"/>
              </w:rPr>
              <w:t>’</w:t>
            </w:r>
            <w:r w:rsidRPr="007757AC">
              <w:rPr>
                <w:rFonts w:eastAsia="Times New Roman" w:cs="Times New Roman"/>
                <w:lang w:val="fr-CA" w:eastAsia="ja-JP"/>
              </w:rPr>
              <w:t>il n</w:t>
            </w:r>
            <w:r w:rsidR="00CC4D89">
              <w:rPr>
                <w:rFonts w:eastAsia="Times New Roman" w:cs="Times New Roman"/>
                <w:lang w:val="fr-CA" w:eastAsia="ja-JP"/>
              </w:rPr>
              <w:t>’</w:t>
            </w:r>
            <w:r w:rsidRPr="007757AC">
              <w:rPr>
                <w:rFonts w:eastAsia="Times New Roman" w:cs="Times New Roman"/>
                <w:lang w:val="fr-CA" w:eastAsia="ja-JP"/>
              </w:rPr>
              <w:t xml:space="preserve">y en ait </w:t>
            </w:r>
            <w:r w:rsidR="00C01638">
              <w:rPr>
                <w:rFonts w:eastAsia="Times New Roman" w:cs="Times New Roman"/>
                <w:lang w:val="fr-CA" w:eastAsia="ja-JP"/>
              </w:rPr>
              <w:t>pas plus de</w:t>
            </w:r>
            <w:r w:rsidRPr="007757AC">
              <w:rPr>
                <w:rFonts w:eastAsia="Times New Roman" w:cs="Times New Roman"/>
                <w:lang w:val="fr-CA" w:eastAsia="ja-JP"/>
              </w:rPr>
              <w:t xml:space="preserve"> [deux (</w:t>
            </w:r>
            <w:r w:rsidRPr="008A64C8">
              <w:rPr>
                <w:rFonts w:eastAsia="Times New Roman" w:cs="Times New Roman"/>
                <w:lang w:val="fr-CA" w:eastAsia="ja-JP"/>
              </w:rPr>
              <w:t>2</w:t>
            </w:r>
            <w:r w:rsidRPr="007757AC">
              <w:rPr>
                <w:rFonts w:eastAsia="Times New Roman" w:cs="Times New Roman"/>
                <w:lang w:val="fr-CA" w:eastAsia="ja-JP"/>
              </w:rPr>
              <w:t>)] par période de douze (</w:t>
            </w:r>
            <w:r w:rsidRPr="008A64C8">
              <w:rPr>
                <w:rFonts w:eastAsia="Times New Roman" w:cs="Times New Roman"/>
                <w:lang w:val="fr-CA" w:eastAsia="ja-JP"/>
              </w:rPr>
              <w:t>12</w:t>
            </w:r>
            <w:r w:rsidRPr="007757AC">
              <w:rPr>
                <w:rFonts w:eastAsia="Times New Roman" w:cs="Times New Roman"/>
                <w:lang w:val="fr-CA" w:eastAsia="ja-JP"/>
              </w:rPr>
              <w:t>) mois.</w:t>
            </w:r>
          </w:p>
        </w:tc>
      </w:tr>
      <w:tr w:rsidR="00892B94" w:rsidRPr="008E00AC" w14:paraId="359E94D1" w14:textId="77777777" w:rsidTr="00057FCC">
        <w:tc>
          <w:tcPr>
            <w:tcW w:w="1587" w:type="pct"/>
            <w:tcBorders>
              <w:top w:val="nil"/>
              <w:left w:val="nil"/>
              <w:bottom w:val="nil"/>
              <w:right w:val="nil"/>
            </w:tcBorders>
          </w:tcPr>
          <w:p w14:paraId="0166142D" w14:textId="56DF71D5" w:rsidR="00892B94" w:rsidRPr="007757AC" w:rsidRDefault="00892B94" w:rsidP="00057FCC">
            <w:pPr>
              <w:tabs>
                <w:tab w:val="left" w:pos="432"/>
              </w:tabs>
              <w:suppressAutoHyphens/>
              <w:autoSpaceDE w:val="0"/>
              <w:autoSpaceDN w:val="0"/>
              <w:adjustRightInd w:val="0"/>
              <w:spacing w:after="240"/>
              <w:ind w:left="360"/>
              <w:jc w:val="left"/>
              <w:rPr>
                <w:rFonts w:eastAsia="Times New Roman" w:cs="Times New Roman"/>
                <w:i/>
                <w:iCs/>
                <w:lang w:val="fr-CA" w:eastAsia="ja-JP"/>
              </w:rPr>
            </w:pPr>
            <w:r w:rsidRPr="007757AC">
              <w:rPr>
                <w:rFonts w:eastAsia="Times New Roman" w:cs="Times New Roman"/>
                <w:i/>
                <w:iCs/>
                <w:lang w:val="fr-CA" w:eastAsia="ja-JP"/>
              </w:rPr>
              <w:br w:type="page"/>
            </w:r>
            <w:r w:rsidR="00D317CE" w:rsidRPr="007757AC">
              <w:rPr>
                <w:rFonts w:eastAsia="Times New Roman" w:cs="Times New Roman"/>
                <w:i/>
                <w:iCs/>
                <w:lang w:val="fr-CA" w:eastAsia="ja-JP"/>
              </w:rPr>
              <w:t>Inscription</w:t>
            </w:r>
            <w:r w:rsidR="0014270E" w:rsidRPr="007757AC">
              <w:rPr>
                <w:rFonts w:eastAsia="Times New Roman" w:cs="Times New Roman"/>
                <w:i/>
                <w:iCs/>
                <w:lang w:val="fr-CA" w:eastAsia="ja-JP"/>
              </w:rPr>
              <w:t xml:space="preserve"> </w:t>
            </w:r>
            <w:r w:rsidRPr="007757AC">
              <w:rPr>
                <w:rFonts w:eastAsia="Times New Roman" w:cs="Times New Roman"/>
                <w:i/>
                <w:iCs/>
                <w:lang w:val="fr-CA" w:eastAsia="ja-JP"/>
              </w:rPr>
              <w:t>d</w:t>
            </w:r>
            <w:r w:rsidR="00CC4D89">
              <w:rPr>
                <w:rFonts w:eastAsia="Times New Roman" w:cs="Times New Roman"/>
                <w:i/>
                <w:iCs/>
                <w:lang w:val="fr-CA" w:eastAsia="ja-JP"/>
              </w:rPr>
              <w:t>’</w:t>
            </w:r>
            <w:r w:rsidRPr="007757AC">
              <w:rPr>
                <w:rFonts w:eastAsia="Times New Roman" w:cs="Times New Roman"/>
                <w:i/>
                <w:iCs/>
                <w:lang w:val="fr-CA" w:eastAsia="ja-JP"/>
              </w:rPr>
              <w:t>entra</w:t>
            </w:r>
            <w:r w:rsidR="00D317CE" w:rsidRPr="007757AC">
              <w:rPr>
                <w:rFonts w:eastAsia="Times New Roman" w:cs="Times New Roman"/>
                <w:i/>
                <w:iCs/>
                <w:lang w:val="fr-CA" w:eastAsia="ja-JP"/>
              </w:rPr>
              <w:t>î</w:t>
            </w:r>
            <w:r w:rsidRPr="007757AC">
              <w:rPr>
                <w:rFonts w:eastAsia="Times New Roman" w:cs="Times New Roman"/>
                <w:i/>
                <w:iCs/>
                <w:lang w:val="fr-CA" w:eastAsia="ja-JP"/>
              </w:rPr>
              <w:t>nement</w:t>
            </w:r>
            <w:r w:rsidR="00FC1C06" w:rsidRPr="007757AC">
              <w:rPr>
                <w:rFonts w:eastAsia="Times New Roman" w:cs="Times New Roman"/>
                <w:i/>
                <w:iCs/>
                <w:lang w:val="fr-CA" w:eastAsia="ja-JP"/>
              </w:rPr>
              <w:t> </w:t>
            </w:r>
            <w:r w:rsidRPr="007757AC">
              <w:rPr>
                <w:rFonts w:eastAsia="Times New Roman" w:cs="Times New Roman"/>
                <w:i/>
                <w:iCs/>
                <w:lang w:val="fr-CA" w:eastAsia="ja-JP"/>
              </w:rPr>
              <w:t>:</w:t>
            </w:r>
          </w:p>
        </w:tc>
        <w:tc>
          <w:tcPr>
            <w:tcW w:w="3413" w:type="pct"/>
            <w:tcBorders>
              <w:top w:val="nil"/>
              <w:left w:val="nil"/>
              <w:bottom w:val="nil"/>
              <w:right w:val="nil"/>
            </w:tcBorders>
          </w:tcPr>
          <w:p w14:paraId="4420B3CD" w14:textId="291CCCB5" w:rsidR="00892B94" w:rsidRPr="007757AC" w:rsidRDefault="00892B94" w:rsidP="00057FCC">
            <w:pPr>
              <w:tabs>
                <w:tab w:val="left" w:pos="432"/>
              </w:tabs>
              <w:suppressAutoHyphens/>
              <w:autoSpaceDE w:val="0"/>
              <w:autoSpaceDN w:val="0"/>
              <w:adjustRightInd w:val="0"/>
              <w:spacing w:after="240"/>
              <w:rPr>
                <w:rFonts w:eastAsia="Times New Roman" w:cs="Times New Roman"/>
                <w:lang w:val="fr-CA" w:eastAsia="ja-JP"/>
              </w:rPr>
            </w:pPr>
            <w:r w:rsidRPr="007757AC">
              <w:rPr>
                <w:rFonts w:eastAsia="Times New Roman" w:cs="Times New Roman"/>
                <w:lang w:val="fr-CA" w:eastAsia="ja-JP"/>
              </w:rPr>
              <w:t xml:space="preserve">Les porteurs de </w:t>
            </w:r>
            <w:r w:rsidR="00FC1C06" w:rsidRPr="007757AC">
              <w:rPr>
                <w:rFonts w:eastAsia="Times New Roman" w:cs="Times New Roman"/>
                <w:lang w:val="fr-CA" w:eastAsia="ja-JP"/>
              </w:rPr>
              <w:t>T</w:t>
            </w:r>
            <w:r w:rsidRPr="007757AC">
              <w:rPr>
                <w:rFonts w:eastAsia="Times New Roman" w:cs="Times New Roman"/>
                <w:lang w:val="fr-CA" w:eastAsia="ja-JP"/>
              </w:rPr>
              <w:t xml:space="preserve">itres </w:t>
            </w:r>
            <w:r w:rsidR="00FC1C06" w:rsidRPr="007757AC">
              <w:rPr>
                <w:rFonts w:eastAsia="Times New Roman" w:cs="Times New Roman"/>
                <w:lang w:val="fr-CA" w:eastAsia="ja-JP"/>
              </w:rPr>
              <w:t xml:space="preserve">à inscrire </w:t>
            </w:r>
            <w:r w:rsidR="00D317CE" w:rsidRPr="007757AC">
              <w:rPr>
                <w:rFonts w:eastAsia="Times New Roman" w:cs="Times New Roman"/>
                <w:lang w:val="fr-CA" w:eastAsia="ja-JP"/>
              </w:rPr>
              <w:t>jouiront de</w:t>
            </w:r>
            <w:r w:rsidR="00FC1C06" w:rsidRPr="007757AC">
              <w:rPr>
                <w:rFonts w:eastAsia="Times New Roman" w:cs="Times New Roman"/>
                <w:lang w:val="fr-CA" w:eastAsia="ja-JP"/>
              </w:rPr>
              <w:t xml:space="preserve"> droits </w:t>
            </w:r>
            <w:r w:rsidR="0014270E" w:rsidRPr="007757AC">
              <w:rPr>
                <w:rFonts w:eastAsia="Times New Roman" w:cs="Times New Roman"/>
                <w:lang w:val="fr-CA" w:eastAsia="ja-JP"/>
              </w:rPr>
              <w:t>d</w:t>
            </w:r>
            <w:r w:rsidR="00CC4D89">
              <w:rPr>
                <w:rFonts w:eastAsia="Times New Roman" w:cs="Times New Roman"/>
                <w:lang w:val="fr-CA" w:eastAsia="ja-JP"/>
              </w:rPr>
              <w:t>’</w:t>
            </w:r>
            <w:r w:rsidR="0014270E" w:rsidRPr="007757AC">
              <w:rPr>
                <w:rFonts w:eastAsia="Times New Roman" w:cs="Times New Roman"/>
                <w:lang w:val="fr-CA" w:eastAsia="ja-JP"/>
              </w:rPr>
              <w:t>inscription</w:t>
            </w:r>
            <w:r w:rsidR="00FC1C06" w:rsidRPr="007757AC">
              <w:rPr>
                <w:rFonts w:eastAsia="Times New Roman" w:cs="Times New Roman"/>
                <w:lang w:val="fr-CA" w:eastAsia="ja-JP"/>
              </w:rPr>
              <w:t xml:space="preserve"> </w:t>
            </w:r>
            <w:r w:rsidRPr="007757AC">
              <w:rPr>
                <w:rFonts w:eastAsia="Times New Roman" w:cs="Times New Roman"/>
                <w:lang w:val="fr-CA" w:eastAsia="ja-JP"/>
              </w:rPr>
              <w:t>«</w:t>
            </w:r>
            <w:r w:rsidR="00FC1C06" w:rsidRPr="007757AC">
              <w:rPr>
                <w:rFonts w:eastAsia="Times New Roman" w:cs="Times New Roman"/>
                <w:lang w:val="fr-CA" w:eastAsia="ja-JP"/>
              </w:rPr>
              <w:t> </w:t>
            </w:r>
            <w:r w:rsidRPr="007757AC">
              <w:rPr>
                <w:rFonts w:eastAsia="Times New Roman" w:cs="Times New Roman"/>
                <w:lang w:val="fr-CA" w:eastAsia="ja-JP"/>
              </w:rPr>
              <w:t>d</w:t>
            </w:r>
            <w:r w:rsidR="00CC4D89">
              <w:rPr>
                <w:rFonts w:eastAsia="Times New Roman" w:cs="Times New Roman"/>
                <w:lang w:val="fr-CA" w:eastAsia="ja-JP"/>
              </w:rPr>
              <w:t>’</w:t>
            </w:r>
            <w:r w:rsidRPr="007757AC">
              <w:rPr>
                <w:rFonts w:eastAsia="Times New Roman" w:cs="Times New Roman"/>
                <w:lang w:val="fr-CA" w:eastAsia="ja-JP"/>
              </w:rPr>
              <w:t>entraînement</w:t>
            </w:r>
            <w:r w:rsidR="00FC1C06" w:rsidRPr="007757AC">
              <w:rPr>
                <w:rFonts w:eastAsia="Times New Roman" w:cs="Times New Roman"/>
                <w:lang w:val="fr-CA" w:eastAsia="ja-JP"/>
              </w:rPr>
              <w:t> </w:t>
            </w:r>
            <w:r w:rsidRPr="007757AC">
              <w:rPr>
                <w:rFonts w:eastAsia="Times New Roman" w:cs="Times New Roman"/>
                <w:lang w:val="fr-CA" w:eastAsia="ja-JP"/>
              </w:rPr>
              <w:t xml:space="preserve">» </w:t>
            </w:r>
            <w:r w:rsidR="00D317CE" w:rsidRPr="007757AC">
              <w:rPr>
                <w:rFonts w:eastAsia="Times New Roman" w:cs="Times New Roman"/>
                <w:lang w:val="fr-CA" w:eastAsia="ja-JP"/>
              </w:rPr>
              <w:t>à l</w:t>
            </w:r>
            <w:r w:rsidR="00CC4D89">
              <w:rPr>
                <w:rFonts w:eastAsia="Times New Roman" w:cs="Times New Roman"/>
                <w:lang w:val="fr-CA" w:eastAsia="ja-JP"/>
              </w:rPr>
              <w:t>’</w:t>
            </w:r>
            <w:r w:rsidR="00D317CE" w:rsidRPr="007757AC">
              <w:rPr>
                <w:rFonts w:eastAsia="Times New Roman" w:cs="Times New Roman"/>
                <w:lang w:val="fr-CA" w:eastAsia="ja-JP"/>
              </w:rPr>
              <w:t xml:space="preserve">égard de </w:t>
            </w:r>
            <w:r w:rsidRPr="007757AC">
              <w:rPr>
                <w:rFonts w:eastAsia="Times New Roman" w:cs="Times New Roman"/>
                <w:lang w:val="fr-CA" w:eastAsia="ja-JP"/>
              </w:rPr>
              <w:t>toutes les déclarations d</w:t>
            </w:r>
            <w:r w:rsidR="00CC4D89">
              <w:rPr>
                <w:rFonts w:eastAsia="Times New Roman" w:cs="Times New Roman"/>
                <w:lang w:val="fr-CA" w:eastAsia="ja-JP"/>
              </w:rPr>
              <w:t>’</w:t>
            </w:r>
            <w:r w:rsidRPr="007757AC">
              <w:rPr>
                <w:rFonts w:eastAsia="Times New Roman" w:cs="Times New Roman"/>
                <w:lang w:val="fr-CA" w:eastAsia="ja-JP"/>
              </w:rPr>
              <w:t xml:space="preserve">inscription de la Société, sous réserve du droit, toutefois, </w:t>
            </w:r>
            <w:r w:rsidR="00D317CE" w:rsidRPr="007757AC">
              <w:rPr>
                <w:rFonts w:eastAsia="Times New Roman" w:cs="Times New Roman"/>
                <w:lang w:val="fr-CA" w:eastAsia="ja-JP"/>
              </w:rPr>
              <w:t>pour</w:t>
            </w:r>
            <w:r w:rsidRPr="007757AC">
              <w:rPr>
                <w:rFonts w:eastAsia="Times New Roman" w:cs="Times New Roman"/>
                <w:lang w:val="fr-CA" w:eastAsia="ja-JP"/>
              </w:rPr>
              <w:t xml:space="preserve"> la Société et ses preneurs fermes</w:t>
            </w:r>
            <w:r w:rsidR="00753CA8">
              <w:rPr>
                <w:rFonts w:eastAsia="Times New Roman" w:cs="Times New Roman"/>
                <w:lang w:val="fr-CA" w:eastAsia="ja-JP"/>
              </w:rPr>
              <w:t>,</w:t>
            </w:r>
            <w:r w:rsidRPr="007757AC">
              <w:rPr>
                <w:rFonts w:eastAsia="Times New Roman" w:cs="Times New Roman"/>
                <w:lang w:val="fr-CA" w:eastAsia="ja-JP"/>
              </w:rPr>
              <w:t xml:space="preserve"> de réduire le nombre d</w:t>
            </w:r>
            <w:r w:rsidR="00CC4D89">
              <w:rPr>
                <w:rFonts w:eastAsia="Times New Roman" w:cs="Times New Roman"/>
                <w:lang w:val="fr-CA" w:eastAsia="ja-JP"/>
              </w:rPr>
              <w:t>’</w:t>
            </w:r>
            <w:r w:rsidRPr="007757AC">
              <w:rPr>
                <w:rFonts w:eastAsia="Times New Roman" w:cs="Times New Roman"/>
                <w:lang w:val="fr-CA" w:eastAsia="ja-JP"/>
              </w:rPr>
              <w:t>actions qu</w:t>
            </w:r>
            <w:r w:rsidR="00CC4D89">
              <w:rPr>
                <w:rFonts w:eastAsia="Times New Roman" w:cs="Times New Roman"/>
                <w:lang w:val="fr-CA" w:eastAsia="ja-JP"/>
              </w:rPr>
              <w:t>’</w:t>
            </w:r>
            <w:r w:rsidRPr="007757AC">
              <w:rPr>
                <w:rFonts w:eastAsia="Times New Roman" w:cs="Times New Roman"/>
                <w:lang w:val="fr-CA" w:eastAsia="ja-JP"/>
              </w:rPr>
              <w:t>ils proposent d</w:t>
            </w:r>
            <w:r w:rsidR="00CC4D89">
              <w:rPr>
                <w:rFonts w:eastAsia="Times New Roman" w:cs="Times New Roman"/>
                <w:lang w:val="fr-CA" w:eastAsia="ja-JP"/>
              </w:rPr>
              <w:t>’</w:t>
            </w:r>
            <w:r w:rsidRPr="007757AC">
              <w:rPr>
                <w:rFonts w:eastAsia="Times New Roman" w:cs="Times New Roman"/>
                <w:lang w:val="fr-CA" w:eastAsia="ja-JP"/>
              </w:rPr>
              <w:t xml:space="preserve">inscrire à un minimum de </w:t>
            </w:r>
            <w:r w:rsidR="00FC1C06" w:rsidRPr="007757AC">
              <w:rPr>
                <w:rFonts w:eastAsia="Times New Roman" w:cs="Times New Roman"/>
                <w:lang w:val="fr-CA" w:eastAsia="ja-JP"/>
              </w:rPr>
              <w:t>[</w:t>
            </w:r>
            <w:r w:rsidRPr="008A64C8">
              <w:rPr>
                <w:rFonts w:eastAsia="Times New Roman" w:cs="Times New Roman"/>
                <w:lang w:val="fr-CA" w:eastAsia="ja-JP"/>
              </w:rPr>
              <w:t>20</w:t>
            </w:r>
            <w:r w:rsidR="00A94F8A" w:rsidRPr="008A64C8">
              <w:rPr>
                <w:rFonts w:eastAsia="Times New Roman" w:cs="Times New Roman"/>
                <w:lang w:val="fr-CA" w:eastAsia="ja-JP"/>
              </w:rPr>
              <w:t>-</w:t>
            </w:r>
            <w:r w:rsidRPr="008A64C8">
              <w:rPr>
                <w:rFonts w:eastAsia="Times New Roman" w:cs="Times New Roman"/>
                <w:lang w:val="fr-CA" w:eastAsia="ja-JP"/>
              </w:rPr>
              <w:t>30</w:t>
            </w:r>
            <w:r w:rsidR="00FC1C06" w:rsidRPr="007757AC">
              <w:rPr>
                <w:rFonts w:eastAsia="Times New Roman" w:cs="Times New Roman"/>
                <w:lang w:val="fr-CA" w:eastAsia="ja-JP"/>
              </w:rPr>
              <w:t>]</w:t>
            </w:r>
            <w:r w:rsidR="002D3F68">
              <w:rPr>
                <w:rFonts w:eastAsia="Times New Roman" w:cs="Times New Roman"/>
                <w:lang w:val="fr-CA" w:eastAsia="ja-JP"/>
              </w:rPr>
              <w:t> %</w:t>
            </w:r>
            <w:r w:rsidRPr="007757AC">
              <w:rPr>
                <w:rFonts w:eastAsia="Times New Roman" w:cs="Times New Roman"/>
                <w:lang w:val="fr-CA" w:eastAsia="ja-JP"/>
              </w:rPr>
              <w:t xml:space="preserve"> au prorata et de procéder à une réduction complète dans le cadre d</w:t>
            </w:r>
            <w:r w:rsidR="00CC4D89">
              <w:rPr>
                <w:rFonts w:eastAsia="Times New Roman" w:cs="Times New Roman"/>
                <w:lang w:val="fr-CA" w:eastAsia="ja-JP"/>
              </w:rPr>
              <w:t>’</w:t>
            </w:r>
            <w:r w:rsidRPr="007757AC">
              <w:rPr>
                <w:rFonts w:eastAsia="Times New Roman" w:cs="Times New Roman"/>
                <w:lang w:val="fr-CA" w:eastAsia="ja-JP"/>
              </w:rPr>
              <w:t>un PAPE à l</w:t>
            </w:r>
            <w:r w:rsidR="00CC4D89">
              <w:rPr>
                <w:rFonts w:eastAsia="Times New Roman" w:cs="Times New Roman"/>
                <w:lang w:val="fr-CA" w:eastAsia="ja-JP"/>
              </w:rPr>
              <w:t>’</w:t>
            </w:r>
            <w:r w:rsidRPr="007757AC">
              <w:rPr>
                <w:rFonts w:eastAsia="Times New Roman" w:cs="Times New Roman"/>
                <w:lang w:val="fr-CA" w:eastAsia="ja-JP"/>
              </w:rPr>
              <w:t xml:space="preserve">appréciation du preneur ferme. Dans tous les cas, les actions devant être inscrites par les porteurs de </w:t>
            </w:r>
            <w:r w:rsidR="00D317CE" w:rsidRPr="007757AC">
              <w:rPr>
                <w:rFonts w:eastAsia="Times New Roman" w:cs="Times New Roman"/>
                <w:lang w:val="fr-CA" w:eastAsia="ja-JP"/>
              </w:rPr>
              <w:t>T</w:t>
            </w:r>
            <w:r w:rsidRPr="007757AC">
              <w:rPr>
                <w:rFonts w:eastAsia="Times New Roman" w:cs="Times New Roman"/>
                <w:lang w:val="fr-CA" w:eastAsia="ja-JP"/>
              </w:rPr>
              <w:t xml:space="preserve">itres </w:t>
            </w:r>
            <w:r w:rsidR="00D317CE" w:rsidRPr="007757AC">
              <w:rPr>
                <w:rFonts w:eastAsia="Times New Roman" w:cs="Times New Roman"/>
                <w:lang w:val="fr-CA" w:eastAsia="ja-JP"/>
              </w:rPr>
              <w:t>à inscrire</w:t>
            </w:r>
            <w:r w:rsidRPr="007757AC">
              <w:rPr>
                <w:rFonts w:eastAsia="Times New Roman" w:cs="Times New Roman"/>
                <w:lang w:val="fr-CA" w:eastAsia="ja-JP"/>
              </w:rPr>
              <w:t xml:space="preserve"> ne seront réduites qu</w:t>
            </w:r>
            <w:r w:rsidR="00CC4D89">
              <w:rPr>
                <w:rFonts w:eastAsia="Times New Roman" w:cs="Times New Roman"/>
                <w:lang w:val="fr-CA" w:eastAsia="ja-JP"/>
              </w:rPr>
              <w:t>’</w:t>
            </w:r>
            <w:r w:rsidRPr="007757AC">
              <w:rPr>
                <w:rFonts w:eastAsia="Times New Roman" w:cs="Times New Roman"/>
                <w:lang w:val="fr-CA" w:eastAsia="ja-JP"/>
              </w:rPr>
              <w:t xml:space="preserve">après </w:t>
            </w:r>
            <w:r w:rsidR="00A94F8A">
              <w:rPr>
                <w:rFonts w:eastAsia="Times New Roman" w:cs="Times New Roman"/>
                <w:lang w:val="fr-CA" w:eastAsia="ja-JP"/>
              </w:rPr>
              <w:t>que</w:t>
            </w:r>
            <w:r w:rsidRPr="007757AC">
              <w:rPr>
                <w:rFonts w:eastAsia="Times New Roman" w:cs="Times New Roman"/>
                <w:lang w:val="fr-CA" w:eastAsia="ja-JP"/>
              </w:rPr>
              <w:t xml:space="preserve"> toutes les actions des</w:t>
            </w:r>
            <w:r w:rsidR="00A94F8A">
              <w:rPr>
                <w:rFonts w:eastAsia="Times New Roman" w:cs="Times New Roman"/>
                <w:lang w:val="fr-CA" w:eastAsia="ja-JP"/>
              </w:rPr>
              <w:t xml:space="preserve"> autres</w:t>
            </w:r>
            <w:r w:rsidRPr="007757AC">
              <w:rPr>
                <w:rFonts w:eastAsia="Times New Roman" w:cs="Times New Roman"/>
                <w:lang w:val="fr-CA" w:eastAsia="ja-JP"/>
              </w:rPr>
              <w:t xml:space="preserve"> actionnaires</w:t>
            </w:r>
            <w:r w:rsidR="00A94F8A">
              <w:rPr>
                <w:rFonts w:eastAsia="Times New Roman" w:cs="Times New Roman"/>
                <w:lang w:val="fr-CA" w:eastAsia="ja-JP"/>
              </w:rPr>
              <w:t xml:space="preserve"> auront été réduites</w:t>
            </w:r>
            <w:r w:rsidRPr="007757AC">
              <w:rPr>
                <w:rFonts w:eastAsia="Times New Roman" w:cs="Times New Roman"/>
                <w:lang w:val="fr-CA" w:eastAsia="ja-JP"/>
              </w:rPr>
              <w:t xml:space="preserve">. </w:t>
            </w:r>
          </w:p>
        </w:tc>
      </w:tr>
      <w:tr w:rsidR="00892B94" w:rsidRPr="008E00AC" w14:paraId="092F3746" w14:textId="77777777" w:rsidTr="00057FCC">
        <w:tc>
          <w:tcPr>
            <w:tcW w:w="1587" w:type="pct"/>
            <w:tcBorders>
              <w:top w:val="nil"/>
              <w:left w:val="nil"/>
              <w:bottom w:val="nil"/>
              <w:right w:val="nil"/>
            </w:tcBorders>
          </w:tcPr>
          <w:p w14:paraId="1FBFF6F6" w14:textId="108E14EF" w:rsidR="00892B94" w:rsidRPr="007757AC" w:rsidRDefault="00892B94" w:rsidP="00057FCC">
            <w:pPr>
              <w:tabs>
                <w:tab w:val="left" w:pos="432"/>
              </w:tabs>
              <w:suppressAutoHyphens/>
              <w:autoSpaceDE w:val="0"/>
              <w:autoSpaceDN w:val="0"/>
              <w:adjustRightInd w:val="0"/>
              <w:spacing w:after="240"/>
              <w:ind w:left="360"/>
              <w:jc w:val="left"/>
              <w:rPr>
                <w:rFonts w:eastAsia="Times New Roman" w:cs="Times New Roman"/>
                <w:i/>
                <w:iCs/>
                <w:lang w:val="fr-CA" w:eastAsia="ja-JP"/>
              </w:rPr>
            </w:pPr>
            <w:r w:rsidRPr="007757AC">
              <w:rPr>
                <w:rFonts w:eastAsia="Times New Roman" w:cs="Times New Roman"/>
                <w:i/>
                <w:iCs/>
                <w:lang w:val="fr-CA" w:eastAsia="ja-JP"/>
              </w:rPr>
              <w:t>Frais</w:t>
            </w:r>
            <w:r w:rsidR="00D317CE" w:rsidRPr="007757AC">
              <w:rPr>
                <w:rFonts w:eastAsia="Times New Roman" w:cs="Times New Roman"/>
                <w:i/>
                <w:iCs/>
                <w:lang w:val="fr-CA" w:eastAsia="ja-JP"/>
              </w:rPr>
              <w:t> </w:t>
            </w:r>
            <w:r w:rsidRPr="007757AC">
              <w:rPr>
                <w:rFonts w:eastAsia="Times New Roman" w:cs="Times New Roman"/>
                <w:i/>
                <w:iCs/>
                <w:lang w:val="fr-CA" w:eastAsia="ja-JP"/>
              </w:rPr>
              <w:t>:</w:t>
            </w:r>
          </w:p>
        </w:tc>
        <w:tc>
          <w:tcPr>
            <w:tcW w:w="3413" w:type="pct"/>
            <w:tcBorders>
              <w:top w:val="nil"/>
              <w:left w:val="nil"/>
              <w:bottom w:val="nil"/>
              <w:right w:val="nil"/>
            </w:tcBorders>
          </w:tcPr>
          <w:p w14:paraId="2271F776" w14:textId="35A0DA72" w:rsidR="00892B94" w:rsidRPr="007757AC" w:rsidRDefault="00892B94" w:rsidP="00057FCC">
            <w:pPr>
              <w:tabs>
                <w:tab w:val="left" w:pos="432"/>
              </w:tabs>
              <w:suppressAutoHyphens/>
              <w:autoSpaceDE w:val="0"/>
              <w:autoSpaceDN w:val="0"/>
              <w:adjustRightInd w:val="0"/>
              <w:spacing w:after="240"/>
              <w:rPr>
                <w:rFonts w:eastAsia="Times New Roman" w:cs="Times New Roman"/>
                <w:lang w:val="fr-CA" w:eastAsia="ja-JP"/>
              </w:rPr>
            </w:pPr>
            <w:r w:rsidRPr="007757AC">
              <w:rPr>
                <w:rFonts w:eastAsia="Times New Roman" w:cs="Times New Roman"/>
                <w:lang w:val="fr-CA" w:eastAsia="ja-JP"/>
              </w:rPr>
              <w:t>Les frais d</w:t>
            </w:r>
            <w:r w:rsidR="00CC4D89">
              <w:rPr>
                <w:rFonts w:eastAsia="Times New Roman" w:cs="Times New Roman"/>
                <w:lang w:val="fr-CA" w:eastAsia="ja-JP"/>
              </w:rPr>
              <w:t>’</w:t>
            </w:r>
            <w:r w:rsidRPr="007757AC">
              <w:rPr>
                <w:rFonts w:eastAsia="Times New Roman" w:cs="Times New Roman"/>
                <w:lang w:val="fr-CA" w:eastAsia="ja-JP"/>
              </w:rPr>
              <w:t>inscription (à l</w:t>
            </w:r>
            <w:r w:rsidR="00CC4D89">
              <w:rPr>
                <w:rFonts w:eastAsia="Times New Roman" w:cs="Times New Roman"/>
                <w:lang w:val="fr-CA" w:eastAsia="ja-JP"/>
              </w:rPr>
              <w:t>’</w:t>
            </w:r>
            <w:r w:rsidRPr="007757AC">
              <w:rPr>
                <w:rFonts w:eastAsia="Times New Roman" w:cs="Times New Roman"/>
                <w:lang w:val="fr-CA" w:eastAsia="ja-JP"/>
              </w:rPr>
              <w:t xml:space="preserve">exclusion des taxes </w:t>
            </w:r>
            <w:r w:rsidR="00480F8A">
              <w:rPr>
                <w:rFonts w:eastAsia="Times New Roman" w:cs="Times New Roman"/>
                <w:lang w:val="fr-CA" w:eastAsia="ja-JP"/>
              </w:rPr>
              <w:t>sur le</w:t>
            </w:r>
            <w:r w:rsidRPr="007757AC">
              <w:rPr>
                <w:rFonts w:eastAsia="Times New Roman" w:cs="Times New Roman"/>
                <w:lang w:val="fr-CA" w:eastAsia="ja-JP"/>
              </w:rPr>
              <w:t xml:space="preserve"> transfert d</w:t>
            </w:r>
            <w:r w:rsidR="00CC4D89">
              <w:rPr>
                <w:rFonts w:eastAsia="Times New Roman" w:cs="Times New Roman"/>
                <w:lang w:val="fr-CA" w:eastAsia="ja-JP"/>
              </w:rPr>
              <w:t>’</w:t>
            </w:r>
            <w:r w:rsidRPr="007757AC">
              <w:rPr>
                <w:rFonts w:eastAsia="Times New Roman" w:cs="Times New Roman"/>
                <w:lang w:val="fr-CA" w:eastAsia="ja-JP"/>
              </w:rPr>
              <w:t xml:space="preserve">actions, des </w:t>
            </w:r>
            <w:r w:rsidR="00D317CE" w:rsidRPr="007757AC">
              <w:rPr>
                <w:rFonts w:eastAsia="Times New Roman" w:cs="Times New Roman"/>
                <w:lang w:val="fr-CA" w:eastAsia="ja-JP"/>
              </w:rPr>
              <w:t>décotes</w:t>
            </w:r>
            <w:r w:rsidRPr="007757AC">
              <w:rPr>
                <w:rFonts w:eastAsia="Times New Roman" w:cs="Times New Roman"/>
                <w:lang w:val="fr-CA" w:eastAsia="ja-JP"/>
              </w:rPr>
              <w:t xml:space="preserve"> de prise ferme et des commissions) seront </w:t>
            </w:r>
            <w:r w:rsidR="00D317CE" w:rsidRPr="007757AC">
              <w:rPr>
                <w:rFonts w:eastAsia="Times New Roman" w:cs="Times New Roman"/>
                <w:lang w:val="fr-CA" w:eastAsia="ja-JP"/>
              </w:rPr>
              <w:t>pris en charge</w:t>
            </w:r>
            <w:r w:rsidRPr="007757AC">
              <w:rPr>
                <w:rFonts w:eastAsia="Times New Roman" w:cs="Times New Roman"/>
                <w:lang w:val="fr-CA" w:eastAsia="ja-JP"/>
              </w:rPr>
              <w:t xml:space="preserve"> par la Société. La Société paiera également les honoraires et frais raisonnables, </w:t>
            </w:r>
            <w:r w:rsidR="00D317CE" w:rsidRPr="007757AC">
              <w:rPr>
                <w:rFonts w:eastAsia="Times New Roman" w:cs="Times New Roman"/>
                <w:lang w:val="fr-CA" w:eastAsia="ja-JP"/>
              </w:rPr>
              <w:t>d</w:t>
            </w:r>
            <w:r w:rsidR="00CC4D89">
              <w:rPr>
                <w:rFonts w:eastAsia="Times New Roman" w:cs="Times New Roman"/>
                <w:lang w:val="fr-CA" w:eastAsia="ja-JP"/>
              </w:rPr>
              <w:t>’</w:t>
            </w:r>
            <w:r w:rsidR="00D317CE" w:rsidRPr="007757AC">
              <w:rPr>
                <w:rFonts w:eastAsia="Times New Roman" w:cs="Times New Roman"/>
                <w:lang w:val="fr-CA" w:eastAsia="ja-JP"/>
              </w:rPr>
              <w:t>au plus</w:t>
            </w:r>
            <w:r w:rsidRPr="007757AC">
              <w:rPr>
                <w:rFonts w:eastAsia="Times New Roman" w:cs="Times New Roman"/>
                <w:lang w:val="fr-CA" w:eastAsia="ja-JP"/>
              </w:rPr>
              <w:t xml:space="preserve"> </w:t>
            </w:r>
            <w:r w:rsidR="00753CA8">
              <w:rPr>
                <w:rFonts w:eastAsia="Times New Roman" w:cs="Times New Roman"/>
                <w:lang w:val="fr-CA" w:eastAsia="ja-JP"/>
              </w:rPr>
              <w:t>[</w:t>
            </w:r>
            <w:r w:rsidRPr="007757AC">
              <w:rPr>
                <w:rFonts w:eastAsia="Times New Roman" w:cs="Times New Roman"/>
                <w:lang w:val="fr-CA" w:eastAsia="ja-JP"/>
              </w:rPr>
              <w:t>______</w:t>
            </w:r>
            <w:r w:rsidR="00753CA8">
              <w:rPr>
                <w:rFonts w:eastAsia="Times New Roman" w:cs="Times New Roman"/>
                <w:lang w:val="fr-CA" w:eastAsia="ja-JP"/>
              </w:rPr>
              <w:t>]</w:t>
            </w:r>
            <w:r w:rsidR="002D3F68">
              <w:rPr>
                <w:rFonts w:eastAsia="Times New Roman" w:cs="Times New Roman"/>
                <w:lang w:val="fr-CA" w:eastAsia="ja-JP"/>
              </w:rPr>
              <w:t> $</w:t>
            </w:r>
            <w:r w:rsidRPr="007757AC">
              <w:rPr>
                <w:rFonts w:eastAsia="Times New Roman" w:cs="Times New Roman"/>
                <w:lang w:val="fr-CA" w:eastAsia="ja-JP"/>
              </w:rPr>
              <w:t xml:space="preserve"> par inscription, d</w:t>
            </w:r>
            <w:r w:rsidR="00CC4D89">
              <w:rPr>
                <w:rFonts w:eastAsia="Times New Roman" w:cs="Times New Roman"/>
                <w:lang w:val="fr-CA" w:eastAsia="ja-JP"/>
              </w:rPr>
              <w:t>’</w:t>
            </w:r>
            <w:r w:rsidRPr="007757AC">
              <w:rPr>
                <w:rFonts w:eastAsia="Times New Roman" w:cs="Times New Roman"/>
                <w:lang w:val="fr-CA" w:eastAsia="ja-JP"/>
              </w:rPr>
              <w:t xml:space="preserve">un conseiller juridique spécial </w:t>
            </w:r>
            <w:r w:rsidR="00D317CE" w:rsidRPr="007757AC">
              <w:rPr>
                <w:rFonts w:eastAsia="Times New Roman" w:cs="Times New Roman"/>
                <w:lang w:val="fr-CA" w:eastAsia="ja-JP"/>
              </w:rPr>
              <w:t>chargé de</w:t>
            </w:r>
            <w:r w:rsidRPr="007757AC">
              <w:rPr>
                <w:rFonts w:eastAsia="Times New Roman" w:cs="Times New Roman"/>
                <w:lang w:val="fr-CA" w:eastAsia="ja-JP"/>
              </w:rPr>
              <w:t xml:space="preserve"> représenter tous les actionnaires participants. </w:t>
            </w:r>
          </w:p>
        </w:tc>
      </w:tr>
      <w:tr w:rsidR="00892B94" w:rsidRPr="008E00AC" w14:paraId="17B1F48E" w14:textId="77777777" w:rsidTr="00057FCC">
        <w:tc>
          <w:tcPr>
            <w:tcW w:w="1587" w:type="pct"/>
            <w:tcBorders>
              <w:top w:val="nil"/>
              <w:left w:val="nil"/>
              <w:bottom w:val="nil"/>
              <w:right w:val="nil"/>
            </w:tcBorders>
          </w:tcPr>
          <w:p w14:paraId="73681DE4" w14:textId="1208B689" w:rsidR="00892B94" w:rsidRPr="007757AC" w:rsidRDefault="00892B94" w:rsidP="00057FCC">
            <w:pPr>
              <w:tabs>
                <w:tab w:val="left" w:pos="432"/>
              </w:tabs>
              <w:suppressAutoHyphens/>
              <w:autoSpaceDE w:val="0"/>
              <w:autoSpaceDN w:val="0"/>
              <w:adjustRightInd w:val="0"/>
              <w:spacing w:after="240"/>
              <w:ind w:left="360"/>
              <w:jc w:val="left"/>
              <w:rPr>
                <w:rFonts w:eastAsia="Times New Roman" w:cs="Times New Roman"/>
                <w:i/>
                <w:iCs/>
                <w:lang w:val="fr-CA" w:eastAsia="ja-JP"/>
              </w:rPr>
            </w:pPr>
            <w:r w:rsidRPr="007757AC">
              <w:rPr>
                <w:rFonts w:eastAsia="Times New Roman" w:cs="Times New Roman"/>
                <w:i/>
                <w:iCs/>
                <w:lang w:val="fr-CA" w:eastAsia="ja-JP"/>
              </w:rPr>
              <w:t>Blocage</w:t>
            </w:r>
            <w:r w:rsidR="001B1548" w:rsidRPr="007757AC">
              <w:rPr>
                <w:rFonts w:eastAsia="Times New Roman" w:cs="Times New Roman"/>
                <w:i/>
                <w:iCs/>
                <w:lang w:val="fr-CA" w:eastAsia="ja-JP"/>
              </w:rPr>
              <w:t> </w:t>
            </w:r>
            <w:r w:rsidRPr="007757AC">
              <w:rPr>
                <w:rFonts w:eastAsia="Times New Roman" w:cs="Times New Roman"/>
                <w:i/>
                <w:iCs/>
                <w:lang w:val="fr-CA" w:eastAsia="ja-JP"/>
              </w:rPr>
              <w:t>:</w:t>
            </w:r>
          </w:p>
        </w:tc>
        <w:tc>
          <w:tcPr>
            <w:tcW w:w="3413" w:type="pct"/>
            <w:tcBorders>
              <w:top w:val="nil"/>
              <w:left w:val="nil"/>
              <w:bottom w:val="nil"/>
              <w:right w:val="nil"/>
            </w:tcBorders>
          </w:tcPr>
          <w:p w14:paraId="7C4FAD22" w14:textId="640465A1" w:rsidR="00892B94" w:rsidRPr="007757AC" w:rsidRDefault="00892B94" w:rsidP="00057FCC">
            <w:pPr>
              <w:tabs>
                <w:tab w:val="left" w:pos="432"/>
              </w:tabs>
              <w:suppressAutoHyphens/>
              <w:autoSpaceDE w:val="0"/>
              <w:autoSpaceDN w:val="0"/>
              <w:adjustRightInd w:val="0"/>
              <w:spacing w:after="240"/>
              <w:rPr>
                <w:rFonts w:eastAsia="Times New Roman" w:cs="Times New Roman"/>
                <w:lang w:val="fr-CA" w:eastAsia="ja-JP"/>
              </w:rPr>
            </w:pPr>
            <w:r w:rsidRPr="007757AC">
              <w:rPr>
                <w:rFonts w:eastAsia="Times New Roman" w:cs="Times New Roman"/>
                <w:lang w:val="fr-CA" w:eastAsia="ja-JP"/>
              </w:rPr>
              <w:t>À la demande du p</w:t>
            </w:r>
            <w:r w:rsidR="001B1548" w:rsidRPr="007757AC">
              <w:rPr>
                <w:rFonts w:eastAsia="Times New Roman" w:cs="Times New Roman"/>
                <w:lang w:val="fr-CA" w:eastAsia="ja-JP"/>
              </w:rPr>
              <w:t>reneur ferme chef de file</w:t>
            </w:r>
            <w:r w:rsidRPr="007757AC">
              <w:rPr>
                <w:rFonts w:eastAsia="Times New Roman" w:cs="Times New Roman"/>
                <w:lang w:val="fr-CA" w:eastAsia="ja-JP"/>
              </w:rPr>
              <w:t xml:space="preserve">, les Investisseurs </w:t>
            </w:r>
            <w:r w:rsidR="001B1548" w:rsidRPr="007757AC">
              <w:rPr>
                <w:rFonts w:eastAsia="Times New Roman" w:cs="Times New Roman"/>
                <w:lang w:val="fr-CA" w:eastAsia="ja-JP"/>
              </w:rPr>
              <w:t>s</w:t>
            </w:r>
            <w:r w:rsidR="00CC4D89">
              <w:rPr>
                <w:rFonts w:eastAsia="Times New Roman" w:cs="Times New Roman"/>
                <w:lang w:val="fr-CA" w:eastAsia="ja-JP"/>
              </w:rPr>
              <w:t>’</w:t>
            </w:r>
            <w:r w:rsidR="001B1548" w:rsidRPr="007757AC">
              <w:rPr>
                <w:rFonts w:eastAsia="Times New Roman" w:cs="Times New Roman"/>
                <w:lang w:val="fr-CA" w:eastAsia="ja-JP"/>
              </w:rPr>
              <w:t>engagent</w:t>
            </w:r>
            <w:r w:rsidR="00C35F41">
              <w:rPr>
                <w:rFonts w:eastAsia="Times New Roman" w:cs="Times New Roman"/>
                <w:lang w:val="fr-CA" w:eastAsia="ja-JP"/>
              </w:rPr>
              <w:t>,</w:t>
            </w:r>
            <w:r w:rsidRPr="007757AC">
              <w:rPr>
                <w:rFonts w:eastAsia="Times New Roman" w:cs="Times New Roman"/>
                <w:lang w:val="fr-CA" w:eastAsia="ja-JP"/>
              </w:rPr>
              <w:t xml:space="preserve"> dans le cadre du PAPE</w:t>
            </w:r>
            <w:r w:rsidR="00C35F41">
              <w:rPr>
                <w:rFonts w:eastAsia="Times New Roman" w:cs="Times New Roman"/>
                <w:lang w:val="fr-CA" w:eastAsia="ja-JP"/>
              </w:rPr>
              <w:t>,</w:t>
            </w:r>
            <w:r w:rsidRPr="007757AC">
              <w:rPr>
                <w:rFonts w:eastAsia="Times New Roman" w:cs="Times New Roman"/>
                <w:lang w:val="fr-CA" w:eastAsia="ja-JP"/>
              </w:rPr>
              <w:t xml:space="preserve"> </w:t>
            </w:r>
            <w:r w:rsidR="001B1548" w:rsidRPr="007757AC">
              <w:rPr>
                <w:rFonts w:eastAsia="Times New Roman" w:cs="Times New Roman"/>
                <w:lang w:val="fr-CA" w:eastAsia="ja-JP"/>
              </w:rPr>
              <w:t>à</w:t>
            </w:r>
            <w:r w:rsidRPr="007757AC">
              <w:rPr>
                <w:rFonts w:eastAsia="Times New Roman" w:cs="Times New Roman"/>
                <w:lang w:val="fr-CA" w:eastAsia="ja-JP"/>
              </w:rPr>
              <w:t xml:space="preserve"> ne pas vendre ni transférer d</w:t>
            </w:r>
            <w:r w:rsidR="00CC4D89">
              <w:rPr>
                <w:rFonts w:eastAsia="Times New Roman" w:cs="Times New Roman"/>
                <w:lang w:val="fr-CA" w:eastAsia="ja-JP"/>
              </w:rPr>
              <w:t>’</w:t>
            </w:r>
            <w:r w:rsidRPr="007757AC">
              <w:rPr>
                <w:rFonts w:eastAsia="Times New Roman" w:cs="Times New Roman"/>
                <w:lang w:val="fr-CA" w:eastAsia="ja-JP"/>
              </w:rPr>
              <w:t>Actions ordinaires de la Société détenues immédiatement avant la date de prise d</w:t>
            </w:r>
            <w:r w:rsidR="00CC4D89">
              <w:rPr>
                <w:rFonts w:eastAsia="Times New Roman" w:cs="Times New Roman"/>
                <w:lang w:val="fr-CA" w:eastAsia="ja-JP"/>
              </w:rPr>
              <w:t>’</w:t>
            </w:r>
            <w:r w:rsidRPr="007757AC">
              <w:rPr>
                <w:rFonts w:eastAsia="Times New Roman" w:cs="Times New Roman"/>
                <w:lang w:val="fr-CA" w:eastAsia="ja-JP"/>
              </w:rPr>
              <w:t xml:space="preserve">effet du PAPE pendant une période maximale de </w:t>
            </w:r>
            <w:r w:rsidRPr="008A64C8">
              <w:rPr>
                <w:rFonts w:eastAsia="Times New Roman" w:cs="Times New Roman"/>
                <w:lang w:val="fr-CA" w:eastAsia="ja-JP"/>
              </w:rPr>
              <w:t>180</w:t>
            </w:r>
            <w:r w:rsidRPr="007757AC">
              <w:rPr>
                <w:rFonts w:eastAsia="Times New Roman" w:cs="Times New Roman"/>
                <w:lang w:val="fr-CA" w:eastAsia="ja-JP"/>
              </w:rPr>
              <w:t xml:space="preserve"> jours après le PAPE (à la condition que tous les administrateurs et dirigeants de la Société [et les actionnaires </w:t>
            </w:r>
            <w:r w:rsidR="001B1548" w:rsidRPr="007757AC">
              <w:rPr>
                <w:rFonts w:eastAsia="Times New Roman" w:cs="Times New Roman"/>
                <w:lang w:val="fr-CA" w:eastAsia="ja-JP"/>
              </w:rPr>
              <w:t>détenant une participation de</w:t>
            </w:r>
            <w:r w:rsidRPr="007757AC">
              <w:rPr>
                <w:rFonts w:eastAsia="Times New Roman" w:cs="Times New Roman"/>
                <w:lang w:val="fr-CA" w:eastAsia="ja-JP"/>
              </w:rPr>
              <w:t xml:space="preserve"> [</w:t>
            </w:r>
            <w:r w:rsidRPr="008A64C8">
              <w:rPr>
                <w:rFonts w:eastAsia="Times New Roman" w:cs="Times New Roman"/>
                <w:lang w:val="fr-CA" w:eastAsia="ja-JP"/>
              </w:rPr>
              <w:t>1</w:t>
            </w:r>
            <w:r w:rsidR="00480F8A" w:rsidRPr="008A64C8">
              <w:rPr>
                <w:rFonts w:eastAsia="Times New Roman" w:cs="Times New Roman"/>
                <w:lang w:val="fr-CA" w:eastAsia="ja-JP"/>
              </w:rPr>
              <w:t>-</w:t>
            </w:r>
            <w:r w:rsidRPr="008A64C8">
              <w:rPr>
                <w:rFonts w:eastAsia="Times New Roman" w:cs="Times New Roman"/>
                <w:lang w:val="fr-CA" w:eastAsia="ja-JP"/>
              </w:rPr>
              <w:t>5</w:t>
            </w:r>
            <w:r w:rsidRPr="007757AC">
              <w:rPr>
                <w:rFonts w:eastAsia="Times New Roman" w:cs="Times New Roman"/>
                <w:lang w:val="fr-CA" w:eastAsia="ja-JP"/>
              </w:rPr>
              <w:t>]</w:t>
            </w:r>
            <w:r w:rsidR="002D3F68">
              <w:rPr>
                <w:rFonts w:eastAsia="Times New Roman" w:cs="Times New Roman"/>
                <w:lang w:val="fr-CA" w:eastAsia="ja-JP"/>
              </w:rPr>
              <w:t> %</w:t>
            </w:r>
            <w:r w:rsidR="00480F8A">
              <w:rPr>
                <w:rFonts w:eastAsia="Times New Roman" w:cs="Times New Roman"/>
                <w:lang w:val="fr-CA" w:eastAsia="ja-JP"/>
              </w:rPr>
              <w:t>]</w:t>
            </w:r>
            <w:r w:rsidRPr="007757AC">
              <w:rPr>
                <w:rFonts w:eastAsia="Times New Roman" w:cs="Times New Roman"/>
                <w:lang w:val="fr-CA" w:eastAsia="ja-JP"/>
              </w:rPr>
              <w:t xml:space="preserve"> acceptent la même période de blocage). [Cette convention de blocage prévoit que toute renonciation </w:t>
            </w:r>
            <w:r w:rsidR="00480F8A">
              <w:rPr>
                <w:rFonts w:eastAsia="Times New Roman" w:cs="Times New Roman"/>
                <w:lang w:val="fr-CA" w:eastAsia="ja-JP"/>
              </w:rPr>
              <w:t xml:space="preserve">discrétionnaire </w:t>
            </w:r>
            <w:r w:rsidR="00C35F41">
              <w:rPr>
                <w:rFonts w:eastAsia="Times New Roman" w:cs="Times New Roman"/>
                <w:lang w:val="fr-CA" w:eastAsia="ja-JP"/>
              </w:rPr>
              <w:t>aux</w:t>
            </w:r>
            <w:r w:rsidRPr="007757AC">
              <w:rPr>
                <w:rFonts w:eastAsia="Times New Roman" w:cs="Times New Roman"/>
                <w:lang w:val="fr-CA" w:eastAsia="ja-JP"/>
              </w:rPr>
              <w:t xml:space="preserve"> restrictions de ces conventions </w:t>
            </w:r>
            <w:r w:rsidR="00C35F41">
              <w:rPr>
                <w:rFonts w:eastAsia="Times New Roman" w:cs="Times New Roman"/>
                <w:lang w:val="fr-CA" w:eastAsia="ja-JP"/>
              </w:rPr>
              <w:t xml:space="preserve">ou toute résiliation discrétionnaire de celles-ci </w:t>
            </w:r>
            <w:r w:rsidRPr="007757AC">
              <w:rPr>
                <w:rFonts w:eastAsia="Times New Roman" w:cs="Times New Roman"/>
                <w:lang w:val="fr-CA" w:eastAsia="ja-JP"/>
              </w:rPr>
              <w:t>par la Société ou les représentants des preneurs fermes s</w:t>
            </w:r>
            <w:r w:rsidR="00CC4D89">
              <w:rPr>
                <w:rFonts w:eastAsia="Times New Roman" w:cs="Times New Roman"/>
                <w:lang w:val="fr-CA" w:eastAsia="ja-JP"/>
              </w:rPr>
              <w:t>’</w:t>
            </w:r>
            <w:r w:rsidRPr="007757AC">
              <w:rPr>
                <w:rFonts w:eastAsia="Times New Roman" w:cs="Times New Roman"/>
                <w:lang w:val="fr-CA" w:eastAsia="ja-JP"/>
              </w:rPr>
              <w:t>applique aux Investisseurs, au prorata, en fonction du nombre d</w:t>
            </w:r>
            <w:r w:rsidR="00CC4D89">
              <w:rPr>
                <w:rFonts w:eastAsia="Times New Roman" w:cs="Times New Roman"/>
                <w:lang w:val="fr-CA" w:eastAsia="ja-JP"/>
              </w:rPr>
              <w:t>’</w:t>
            </w:r>
            <w:r w:rsidRPr="007757AC">
              <w:rPr>
                <w:rFonts w:eastAsia="Times New Roman" w:cs="Times New Roman"/>
                <w:lang w:val="fr-CA" w:eastAsia="ja-JP"/>
              </w:rPr>
              <w:t>actions détenues.]</w:t>
            </w:r>
          </w:p>
        </w:tc>
      </w:tr>
      <w:tr w:rsidR="00892B94" w:rsidRPr="008E00AC" w14:paraId="65F89C97" w14:textId="77777777" w:rsidTr="00057FCC">
        <w:tc>
          <w:tcPr>
            <w:tcW w:w="1587" w:type="pct"/>
            <w:tcBorders>
              <w:top w:val="nil"/>
              <w:left w:val="nil"/>
              <w:bottom w:val="nil"/>
              <w:right w:val="nil"/>
            </w:tcBorders>
          </w:tcPr>
          <w:p w14:paraId="20FFA129" w14:textId="40824B9F" w:rsidR="00892B94" w:rsidRPr="007757AC" w:rsidRDefault="00892B94" w:rsidP="00AB56A3">
            <w:pPr>
              <w:keepNext/>
              <w:tabs>
                <w:tab w:val="left" w:pos="432"/>
              </w:tabs>
              <w:suppressAutoHyphens/>
              <w:autoSpaceDE w:val="0"/>
              <w:autoSpaceDN w:val="0"/>
              <w:adjustRightInd w:val="0"/>
              <w:spacing w:after="240"/>
              <w:ind w:left="360"/>
              <w:jc w:val="left"/>
              <w:rPr>
                <w:rFonts w:eastAsia="Times New Roman" w:cs="Times New Roman"/>
                <w:i/>
                <w:iCs/>
                <w:lang w:val="fr-CA" w:eastAsia="ja-JP"/>
              </w:rPr>
            </w:pPr>
            <w:r w:rsidRPr="007757AC">
              <w:rPr>
                <w:rFonts w:eastAsia="Times New Roman" w:cs="Times New Roman"/>
                <w:i/>
                <w:iCs/>
                <w:lang w:val="fr-CA" w:eastAsia="ja-JP"/>
              </w:rPr>
              <w:br w:type="page"/>
              <w:t>Dissolution</w:t>
            </w:r>
            <w:r w:rsidR="001B1548" w:rsidRPr="007757AC">
              <w:rPr>
                <w:rFonts w:eastAsia="Times New Roman" w:cs="Times New Roman"/>
                <w:i/>
                <w:iCs/>
                <w:lang w:val="fr-CA" w:eastAsia="ja-JP"/>
              </w:rPr>
              <w:t> </w:t>
            </w:r>
            <w:r w:rsidRPr="007757AC">
              <w:rPr>
                <w:rFonts w:eastAsia="Times New Roman" w:cs="Times New Roman"/>
                <w:i/>
                <w:iCs/>
                <w:lang w:val="fr-CA" w:eastAsia="ja-JP"/>
              </w:rPr>
              <w:t>:</w:t>
            </w:r>
          </w:p>
        </w:tc>
        <w:tc>
          <w:tcPr>
            <w:tcW w:w="3413" w:type="pct"/>
            <w:tcBorders>
              <w:top w:val="nil"/>
              <w:left w:val="nil"/>
              <w:bottom w:val="nil"/>
              <w:right w:val="nil"/>
            </w:tcBorders>
          </w:tcPr>
          <w:p w14:paraId="09D676DE" w14:textId="0D80FAE5" w:rsidR="00892B94" w:rsidRPr="007757AC" w:rsidRDefault="00892B94" w:rsidP="00AB56A3">
            <w:pPr>
              <w:keepNext/>
              <w:tabs>
                <w:tab w:val="left" w:pos="432"/>
              </w:tabs>
              <w:suppressAutoHyphens/>
              <w:autoSpaceDE w:val="0"/>
              <w:autoSpaceDN w:val="0"/>
              <w:adjustRightInd w:val="0"/>
              <w:spacing w:after="240"/>
              <w:rPr>
                <w:rFonts w:eastAsia="Times New Roman" w:cs="Times New Roman"/>
                <w:lang w:val="fr-CA" w:eastAsia="ja-JP"/>
              </w:rPr>
            </w:pPr>
            <w:r w:rsidRPr="007757AC">
              <w:rPr>
                <w:rFonts w:eastAsia="Times New Roman" w:cs="Times New Roman"/>
                <w:lang w:val="fr-CA" w:eastAsia="ja-JP"/>
              </w:rPr>
              <w:t>[</w:t>
            </w:r>
            <w:r w:rsidR="001B1548" w:rsidRPr="007757AC">
              <w:rPr>
                <w:rFonts w:eastAsia="Times New Roman" w:cs="Times New Roman"/>
                <w:lang w:val="fr-CA" w:eastAsia="ja-JP"/>
              </w:rPr>
              <w:t xml:space="preserve">À la survenance </w:t>
            </w:r>
            <w:r w:rsidRPr="007757AC">
              <w:rPr>
                <w:rFonts w:eastAsia="Times New Roman" w:cs="Times New Roman"/>
                <w:lang w:val="fr-CA" w:eastAsia="ja-JP"/>
              </w:rPr>
              <w:t>d</w:t>
            </w:r>
            <w:r w:rsidR="00CC4D89">
              <w:rPr>
                <w:rFonts w:eastAsia="Times New Roman" w:cs="Times New Roman"/>
                <w:lang w:val="fr-CA" w:eastAsia="ja-JP"/>
              </w:rPr>
              <w:t>’</w:t>
            </w:r>
            <w:r w:rsidRPr="007757AC">
              <w:rPr>
                <w:rFonts w:eastAsia="Times New Roman" w:cs="Times New Roman"/>
                <w:lang w:val="fr-CA" w:eastAsia="ja-JP"/>
              </w:rPr>
              <w:t>un</w:t>
            </w:r>
            <w:r w:rsidR="00A726E1">
              <w:rPr>
                <w:rFonts w:eastAsia="Times New Roman" w:cs="Times New Roman"/>
                <w:lang w:val="fr-CA" w:eastAsia="ja-JP"/>
              </w:rPr>
              <w:t>e Opération</w:t>
            </w:r>
            <w:r w:rsidRPr="007757AC">
              <w:rPr>
                <w:rFonts w:eastAsia="Times New Roman" w:cs="Times New Roman"/>
                <w:lang w:val="fr-CA" w:eastAsia="ja-JP"/>
              </w:rPr>
              <w:t xml:space="preserve"> de liquidation réputé</w:t>
            </w:r>
            <w:r w:rsidR="00A726E1">
              <w:rPr>
                <w:rFonts w:eastAsia="Times New Roman" w:cs="Times New Roman"/>
                <w:lang w:val="fr-CA" w:eastAsia="ja-JP"/>
              </w:rPr>
              <w:t>e</w:t>
            </w:r>
            <w:r w:rsidRPr="007757AC">
              <w:rPr>
                <w:rFonts w:eastAsia="Times New Roman" w:cs="Times New Roman"/>
                <w:lang w:val="fr-CA" w:eastAsia="ja-JP"/>
              </w:rPr>
              <w:t xml:space="preserve"> [</w:t>
            </w:r>
            <w:r w:rsidR="001B1548" w:rsidRPr="007757AC">
              <w:rPr>
                <w:rFonts w:eastAsia="Times New Roman" w:cs="Times New Roman"/>
                <w:lang w:val="fr-CA" w:eastAsia="ja-JP"/>
              </w:rPr>
              <w:t>aux termes d</w:t>
            </w:r>
            <w:r w:rsidR="00C35F41">
              <w:rPr>
                <w:rFonts w:eastAsia="Times New Roman" w:cs="Times New Roman"/>
                <w:lang w:val="fr-CA" w:eastAsia="ja-JP"/>
              </w:rPr>
              <w:t>e laquelle</w:t>
            </w:r>
            <w:r w:rsidRPr="007757AC">
              <w:rPr>
                <w:rFonts w:eastAsia="Times New Roman" w:cs="Times New Roman"/>
                <w:lang w:val="fr-CA" w:eastAsia="ja-JP"/>
              </w:rPr>
              <w:t xml:space="preserve"> des droits similaires sont accordés ou la contrepartie payable aux Investisseurs consiste en </w:t>
            </w:r>
            <w:r w:rsidR="001B1548" w:rsidRPr="007757AC">
              <w:rPr>
                <w:rFonts w:eastAsia="Times New Roman" w:cs="Times New Roman"/>
                <w:lang w:val="fr-CA" w:eastAsia="ja-JP"/>
              </w:rPr>
              <w:t xml:space="preserve">des </w:t>
            </w:r>
            <w:r w:rsidRPr="007757AC">
              <w:rPr>
                <w:rFonts w:eastAsia="Times New Roman" w:cs="Times New Roman"/>
                <w:lang w:val="fr-CA" w:eastAsia="ja-JP"/>
              </w:rPr>
              <w:t xml:space="preserve">espèces ou </w:t>
            </w:r>
            <w:r w:rsidR="001B1548" w:rsidRPr="007757AC">
              <w:rPr>
                <w:rFonts w:eastAsia="Times New Roman" w:cs="Times New Roman"/>
                <w:lang w:val="fr-CA" w:eastAsia="ja-JP"/>
              </w:rPr>
              <w:t>des</w:t>
            </w:r>
            <w:r w:rsidRPr="007757AC">
              <w:rPr>
                <w:rFonts w:eastAsia="Times New Roman" w:cs="Times New Roman"/>
                <w:lang w:val="fr-CA" w:eastAsia="ja-JP"/>
              </w:rPr>
              <w:t xml:space="preserve"> titres d</w:t>
            </w:r>
            <w:r w:rsidR="00CC4D89">
              <w:rPr>
                <w:rFonts w:eastAsia="Times New Roman" w:cs="Times New Roman"/>
                <w:lang w:val="fr-CA" w:eastAsia="ja-JP"/>
              </w:rPr>
              <w:t>’</w:t>
            </w:r>
            <w:r w:rsidRPr="007757AC">
              <w:rPr>
                <w:rFonts w:eastAsia="Times New Roman" w:cs="Times New Roman"/>
                <w:lang w:val="fr-CA" w:eastAsia="ja-JP"/>
              </w:rPr>
              <w:t>une catégorie inscrite à la cote d</w:t>
            </w:r>
            <w:r w:rsidR="00CC4D89">
              <w:rPr>
                <w:rFonts w:eastAsia="Times New Roman" w:cs="Times New Roman"/>
                <w:lang w:val="fr-CA" w:eastAsia="ja-JP"/>
              </w:rPr>
              <w:t>’</w:t>
            </w:r>
            <w:r w:rsidRPr="007757AC">
              <w:rPr>
                <w:rFonts w:eastAsia="Times New Roman" w:cs="Times New Roman"/>
                <w:lang w:val="fr-CA" w:eastAsia="ja-JP"/>
              </w:rPr>
              <w:t xml:space="preserve">une bourse nationale] [et/ou après le PAPE, </w:t>
            </w:r>
            <w:r w:rsidR="00480F8A">
              <w:rPr>
                <w:rFonts w:eastAsia="Times New Roman" w:cs="Times New Roman"/>
                <w:lang w:val="fr-CA" w:eastAsia="ja-JP"/>
              </w:rPr>
              <w:t>si</w:t>
            </w:r>
            <w:r w:rsidRPr="007757AC">
              <w:rPr>
                <w:rFonts w:eastAsia="Times New Roman" w:cs="Times New Roman"/>
                <w:lang w:val="fr-CA" w:eastAsia="ja-JP"/>
              </w:rPr>
              <w:t xml:space="preserve"> l</w:t>
            </w:r>
            <w:r w:rsidR="00CC4D89">
              <w:rPr>
                <w:rFonts w:eastAsia="Times New Roman" w:cs="Times New Roman"/>
                <w:lang w:val="fr-CA" w:eastAsia="ja-JP"/>
              </w:rPr>
              <w:t>’</w:t>
            </w:r>
            <w:r w:rsidRPr="007757AC">
              <w:rPr>
                <w:rFonts w:eastAsia="Times New Roman" w:cs="Times New Roman"/>
                <w:lang w:val="fr-CA" w:eastAsia="ja-JP"/>
              </w:rPr>
              <w:t xml:space="preserve">Investisseur et les membres de son groupe </w:t>
            </w:r>
            <w:r w:rsidR="001B1548" w:rsidRPr="007757AC">
              <w:rPr>
                <w:rFonts w:eastAsia="Times New Roman" w:cs="Times New Roman"/>
                <w:lang w:val="fr-CA" w:eastAsia="ja-JP"/>
              </w:rPr>
              <w:t>aux termes de</w:t>
            </w:r>
            <w:r w:rsidRPr="007757AC">
              <w:rPr>
                <w:rFonts w:eastAsia="Times New Roman" w:cs="Times New Roman"/>
                <w:lang w:val="fr-CA" w:eastAsia="ja-JP"/>
              </w:rPr>
              <w:t xml:space="preserve"> </w:t>
            </w:r>
            <w:r w:rsidR="00C35F41">
              <w:rPr>
                <w:rFonts w:eastAsia="Times New Roman" w:cs="Times New Roman"/>
                <w:lang w:val="fr-CA" w:eastAsia="ja-JP"/>
              </w:rPr>
              <w:t xml:space="preserve">la </w:t>
            </w:r>
            <w:r w:rsidR="00806B24">
              <w:rPr>
                <w:rFonts w:eastAsia="Times New Roman" w:cs="Times New Roman"/>
                <w:lang w:val="fr-CA" w:eastAsia="ja-JP"/>
              </w:rPr>
              <w:t>Rule </w:t>
            </w:r>
            <w:r w:rsidR="00806B24" w:rsidRPr="008A64C8">
              <w:rPr>
                <w:rFonts w:eastAsia="Times New Roman" w:cs="Times New Roman"/>
                <w:lang w:val="fr-CA" w:eastAsia="ja-JP"/>
              </w:rPr>
              <w:t>144</w:t>
            </w:r>
            <w:r w:rsidRPr="007757AC">
              <w:rPr>
                <w:rFonts w:eastAsia="Times New Roman" w:cs="Times New Roman"/>
                <w:lang w:val="fr-CA" w:eastAsia="ja-JP"/>
              </w:rPr>
              <w:t xml:space="preserve"> détiennent moins de </w:t>
            </w:r>
            <w:r w:rsidRPr="008A64C8">
              <w:rPr>
                <w:rFonts w:eastAsia="Times New Roman" w:cs="Times New Roman"/>
                <w:lang w:val="fr-CA" w:eastAsia="ja-JP"/>
              </w:rPr>
              <w:t>1</w:t>
            </w:r>
            <w:r w:rsidR="002D3F68">
              <w:rPr>
                <w:rFonts w:eastAsia="Times New Roman" w:cs="Times New Roman"/>
                <w:lang w:val="fr-CA" w:eastAsia="ja-JP"/>
              </w:rPr>
              <w:t> %</w:t>
            </w:r>
            <w:r w:rsidRPr="007757AC">
              <w:rPr>
                <w:rFonts w:eastAsia="Times New Roman" w:cs="Times New Roman"/>
                <w:lang w:val="fr-CA" w:eastAsia="ja-JP"/>
              </w:rPr>
              <w:t xml:space="preserve"> des actions de la Société et que toutes les actions d</w:t>
            </w:r>
            <w:r w:rsidR="00CC4D89">
              <w:rPr>
                <w:rFonts w:eastAsia="Times New Roman" w:cs="Times New Roman"/>
                <w:lang w:val="fr-CA" w:eastAsia="ja-JP"/>
              </w:rPr>
              <w:t>’</w:t>
            </w:r>
            <w:r w:rsidRPr="007757AC">
              <w:rPr>
                <w:rFonts w:eastAsia="Times New Roman" w:cs="Times New Roman"/>
                <w:lang w:val="fr-CA" w:eastAsia="ja-JP"/>
              </w:rPr>
              <w:t xml:space="preserve">un Investisseur peuvent être vendues sans restriction aux termes de la </w:t>
            </w:r>
            <w:r w:rsidR="00806B24">
              <w:rPr>
                <w:rFonts w:eastAsia="Times New Roman" w:cs="Times New Roman"/>
                <w:lang w:val="fr-CA" w:eastAsia="ja-JP"/>
              </w:rPr>
              <w:t>Rule </w:t>
            </w:r>
            <w:r w:rsidR="00806B24" w:rsidRPr="008A64C8">
              <w:rPr>
                <w:rFonts w:eastAsia="Times New Roman" w:cs="Times New Roman"/>
                <w:lang w:val="fr-CA" w:eastAsia="ja-JP"/>
              </w:rPr>
              <w:t>144</w:t>
            </w:r>
            <w:r w:rsidRPr="007757AC">
              <w:rPr>
                <w:rFonts w:eastAsia="Times New Roman" w:cs="Times New Roman"/>
                <w:lang w:val="fr-CA" w:eastAsia="ja-JP"/>
              </w:rPr>
              <w:t xml:space="preserve"> et/ou] [</w:t>
            </w:r>
            <w:r w:rsidR="002878A1">
              <w:rPr>
                <w:rFonts w:eastAsia="Times New Roman" w:cs="Times New Roman"/>
                <w:lang w:val="fr-CA" w:eastAsia="ja-JP"/>
              </w:rPr>
              <w:t>au</w:t>
            </w:r>
            <w:r w:rsidR="001B1548" w:rsidRPr="007757AC">
              <w:rPr>
                <w:rFonts w:eastAsia="Times New Roman" w:cs="Times New Roman"/>
                <w:lang w:val="fr-CA" w:eastAsia="ja-JP"/>
              </w:rPr>
              <w:t xml:space="preserve"> </w:t>
            </w:r>
            <w:r w:rsidRPr="007757AC">
              <w:rPr>
                <w:rFonts w:eastAsia="Times New Roman" w:cs="Times New Roman"/>
                <w:lang w:val="fr-CA" w:eastAsia="ja-JP"/>
              </w:rPr>
              <w:t>troisième</w:t>
            </w:r>
            <w:r w:rsidR="002878A1">
              <w:rPr>
                <w:rFonts w:eastAsia="Times New Roman" w:cs="Times New Roman"/>
                <w:lang w:val="fr-CA" w:eastAsia="ja-JP"/>
              </w:rPr>
              <w:t>-</w:t>
            </w:r>
            <w:r w:rsidRPr="007757AC">
              <w:rPr>
                <w:rFonts w:eastAsia="Times New Roman" w:cs="Times New Roman"/>
                <w:lang w:val="fr-CA" w:eastAsia="ja-JP"/>
              </w:rPr>
              <w:t>cinquième] anniversaire du PAPE.</w:t>
            </w:r>
          </w:p>
          <w:p w14:paraId="039AD561" w14:textId="11D42D93" w:rsidR="00892B94" w:rsidRPr="007757AC" w:rsidRDefault="00892B94" w:rsidP="00AB56A3">
            <w:pPr>
              <w:keepNext/>
              <w:tabs>
                <w:tab w:val="left" w:pos="432"/>
              </w:tabs>
              <w:suppressAutoHyphens/>
              <w:autoSpaceDE w:val="0"/>
              <w:autoSpaceDN w:val="0"/>
              <w:adjustRightInd w:val="0"/>
              <w:spacing w:after="240"/>
              <w:rPr>
                <w:rFonts w:eastAsia="Times New Roman" w:cs="Times New Roman"/>
                <w:lang w:val="fr-CA" w:eastAsia="ja-JP"/>
              </w:rPr>
            </w:pPr>
            <w:r w:rsidRPr="007757AC">
              <w:rPr>
                <w:rFonts w:eastAsia="Times New Roman" w:cs="Times New Roman"/>
                <w:lang w:val="fr-CA" w:eastAsia="ja-JP"/>
              </w:rPr>
              <w:t>Aucun droit d</w:t>
            </w:r>
            <w:r w:rsidR="00CC4D89">
              <w:rPr>
                <w:rFonts w:eastAsia="Times New Roman" w:cs="Times New Roman"/>
                <w:lang w:val="fr-CA" w:eastAsia="ja-JP"/>
              </w:rPr>
              <w:t>’</w:t>
            </w:r>
            <w:r w:rsidRPr="007757AC">
              <w:rPr>
                <w:rFonts w:eastAsia="Times New Roman" w:cs="Times New Roman"/>
                <w:lang w:val="fr-CA" w:eastAsia="ja-JP"/>
              </w:rPr>
              <w:t>inscription futur ne peut être accordé sans le consentement des porteurs de [</w:t>
            </w:r>
            <w:r w:rsidR="00480F8A">
              <w:rPr>
                <w:rFonts w:eastAsia="Times New Roman" w:cs="Times New Roman"/>
                <w:lang w:val="fr-CA" w:eastAsia="ja-JP"/>
              </w:rPr>
              <w:t>la</w:t>
            </w:r>
            <w:r w:rsidRPr="007757AC">
              <w:rPr>
                <w:rFonts w:eastAsia="Times New Roman" w:cs="Times New Roman"/>
                <w:lang w:val="fr-CA" w:eastAsia="ja-JP"/>
              </w:rPr>
              <w:t xml:space="preserve"> majorité] des </w:t>
            </w:r>
            <w:r w:rsidR="00480F8A">
              <w:rPr>
                <w:rFonts w:eastAsia="Times New Roman" w:cs="Times New Roman"/>
                <w:lang w:val="fr-CA" w:eastAsia="ja-JP"/>
              </w:rPr>
              <w:t>T</w:t>
            </w:r>
            <w:r w:rsidRPr="007757AC">
              <w:rPr>
                <w:rFonts w:eastAsia="Times New Roman" w:cs="Times New Roman"/>
                <w:lang w:val="fr-CA" w:eastAsia="ja-JP"/>
              </w:rPr>
              <w:t xml:space="preserve">itres </w:t>
            </w:r>
            <w:r w:rsidR="00480F8A">
              <w:rPr>
                <w:rFonts w:eastAsia="Times New Roman" w:cs="Times New Roman"/>
                <w:lang w:val="fr-CA" w:eastAsia="ja-JP"/>
              </w:rPr>
              <w:t>à inscrire</w:t>
            </w:r>
            <w:r w:rsidRPr="007757AC">
              <w:rPr>
                <w:rFonts w:eastAsia="Times New Roman" w:cs="Times New Roman"/>
                <w:lang w:val="fr-CA" w:eastAsia="ja-JP"/>
              </w:rPr>
              <w:t>, à moins qu</w:t>
            </w:r>
            <w:r w:rsidR="00CC4D89">
              <w:rPr>
                <w:rFonts w:eastAsia="Times New Roman" w:cs="Times New Roman"/>
                <w:lang w:val="fr-CA" w:eastAsia="ja-JP"/>
              </w:rPr>
              <w:t>’</w:t>
            </w:r>
            <w:r w:rsidRPr="007757AC">
              <w:rPr>
                <w:rFonts w:eastAsia="Times New Roman" w:cs="Times New Roman"/>
                <w:lang w:val="fr-CA" w:eastAsia="ja-JP"/>
              </w:rPr>
              <w:t>il ne soit subordonné aux droits de l</w:t>
            </w:r>
            <w:r w:rsidR="00CC4D89">
              <w:rPr>
                <w:rFonts w:eastAsia="Times New Roman" w:cs="Times New Roman"/>
                <w:lang w:val="fr-CA" w:eastAsia="ja-JP"/>
              </w:rPr>
              <w:t>’</w:t>
            </w:r>
            <w:r w:rsidRPr="007757AC">
              <w:rPr>
                <w:rFonts w:eastAsia="Times New Roman" w:cs="Times New Roman"/>
                <w:lang w:val="fr-CA" w:eastAsia="ja-JP"/>
              </w:rPr>
              <w:t>Investisseur.</w:t>
            </w:r>
          </w:p>
        </w:tc>
      </w:tr>
      <w:tr w:rsidR="00892B94" w:rsidRPr="008E00AC" w14:paraId="3EB51391" w14:textId="77777777" w:rsidTr="00057FCC">
        <w:tc>
          <w:tcPr>
            <w:tcW w:w="1587" w:type="pct"/>
            <w:tcBorders>
              <w:top w:val="nil"/>
              <w:left w:val="nil"/>
              <w:bottom w:val="nil"/>
              <w:right w:val="nil"/>
            </w:tcBorders>
          </w:tcPr>
          <w:p w14:paraId="0D9C2918" w14:textId="35EAB6D9" w:rsidR="00892B94" w:rsidRPr="007757AC" w:rsidRDefault="00892B94" w:rsidP="00057FCC">
            <w:pPr>
              <w:tabs>
                <w:tab w:val="left" w:pos="432"/>
              </w:tabs>
              <w:suppressAutoHyphens/>
              <w:autoSpaceDE w:val="0"/>
              <w:autoSpaceDN w:val="0"/>
              <w:adjustRightInd w:val="0"/>
              <w:spacing w:after="240"/>
              <w:jc w:val="left"/>
              <w:rPr>
                <w:rFonts w:eastAsia="Times New Roman" w:cs="Times New Roman"/>
                <w:i/>
                <w:iCs/>
                <w:lang w:val="fr-CA" w:eastAsia="ja-JP"/>
              </w:rPr>
            </w:pPr>
            <w:r w:rsidRPr="007757AC">
              <w:rPr>
                <w:rFonts w:eastAsia="Times New Roman" w:cs="Times New Roman"/>
                <w:i/>
                <w:iCs/>
                <w:lang w:val="fr-CA" w:eastAsia="ja-JP"/>
              </w:rPr>
              <w:t>Droits de gestion et d</w:t>
            </w:r>
            <w:r w:rsidR="00CC4D89">
              <w:rPr>
                <w:rFonts w:eastAsia="Times New Roman" w:cs="Times New Roman"/>
                <w:i/>
                <w:iCs/>
                <w:lang w:val="fr-CA" w:eastAsia="ja-JP"/>
              </w:rPr>
              <w:t>’</w:t>
            </w:r>
            <w:r w:rsidRPr="007757AC">
              <w:rPr>
                <w:rFonts w:eastAsia="Times New Roman" w:cs="Times New Roman"/>
                <w:i/>
                <w:iCs/>
                <w:lang w:val="fr-CA" w:eastAsia="ja-JP"/>
              </w:rPr>
              <w:t>information</w:t>
            </w:r>
            <w:r w:rsidR="0040599D" w:rsidRPr="007757AC">
              <w:rPr>
                <w:rFonts w:eastAsia="Times New Roman" w:cs="Times New Roman"/>
                <w:i/>
                <w:iCs/>
                <w:lang w:val="fr-CA" w:eastAsia="ja-JP"/>
              </w:rPr>
              <w:t> </w:t>
            </w:r>
            <w:r w:rsidRPr="007757AC">
              <w:rPr>
                <w:rFonts w:eastAsia="Times New Roman" w:cs="Times New Roman"/>
                <w:i/>
                <w:iCs/>
                <w:lang w:val="fr-CA" w:eastAsia="ja-JP"/>
              </w:rPr>
              <w:t xml:space="preserve">: </w:t>
            </w:r>
          </w:p>
        </w:tc>
        <w:tc>
          <w:tcPr>
            <w:tcW w:w="3413" w:type="pct"/>
            <w:tcBorders>
              <w:top w:val="nil"/>
              <w:left w:val="nil"/>
              <w:bottom w:val="nil"/>
              <w:right w:val="nil"/>
            </w:tcBorders>
          </w:tcPr>
          <w:p w14:paraId="3AE14833" w14:textId="7FBA2138" w:rsidR="00892B94" w:rsidRPr="007757AC" w:rsidRDefault="00892B94" w:rsidP="00057FCC">
            <w:pPr>
              <w:tabs>
                <w:tab w:val="left" w:pos="432"/>
              </w:tabs>
              <w:suppressAutoHyphens/>
              <w:autoSpaceDE w:val="0"/>
              <w:autoSpaceDN w:val="0"/>
              <w:adjustRightInd w:val="0"/>
              <w:spacing w:after="240"/>
              <w:rPr>
                <w:rFonts w:eastAsia="Times New Roman" w:cs="Times New Roman"/>
                <w:lang w:val="fr-CA" w:eastAsia="ja-JP"/>
              </w:rPr>
            </w:pPr>
            <w:r w:rsidRPr="007757AC">
              <w:rPr>
                <w:rFonts w:eastAsia="Times New Roman" w:cs="Times New Roman"/>
                <w:lang w:val="fr-CA" w:eastAsia="ja-JP"/>
              </w:rPr>
              <w:t xml:space="preserve">Une </w:t>
            </w:r>
            <w:r w:rsidR="0040599D" w:rsidRPr="007757AC">
              <w:rPr>
                <w:rFonts w:eastAsia="Times New Roman" w:cs="Times New Roman"/>
                <w:lang w:val="fr-CA" w:eastAsia="ja-JP"/>
              </w:rPr>
              <w:t>L</w:t>
            </w:r>
            <w:r w:rsidRPr="007757AC">
              <w:rPr>
                <w:rFonts w:eastAsia="Times New Roman" w:cs="Times New Roman"/>
                <w:lang w:val="fr-CA" w:eastAsia="ja-JP"/>
              </w:rPr>
              <w:t xml:space="preserve">ettre relative aux droits de gestion de la Société, </w:t>
            </w:r>
            <w:r w:rsidR="0040599D" w:rsidRPr="007757AC">
              <w:rPr>
                <w:rFonts w:eastAsia="Times New Roman" w:cs="Times New Roman"/>
                <w:lang w:val="fr-CA" w:eastAsia="ja-JP"/>
              </w:rPr>
              <w:t>présentée dans</w:t>
            </w:r>
            <w:r w:rsidRPr="007757AC">
              <w:rPr>
                <w:rFonts w:eastAsia="Times New Roman" w:cs="Times New Roman"/>
                <w:lang w:val="fr-CA" w:eastAsia="ja-JP"/>
              </w:rPr>
              <w:t xml:space="preserve"> une forme que les Investisseurs jugent raisonnablement acceptable, sera remise avant la Clôture à chaque Investisseur qui en </w:t>
            </w:r>
            <w:r w:rsidR="0040599D" w:rsidRPr="007757AC">
              <w:rPr>
                <w:rFonts w:eastAsia="Times New Roman" w:cs="Times New Roman"/>
                <w:lang w:val="fr-CA" w:eastAsia="ja-JP"/>
              </w:rPr>
              <w:t>demande une</w:t>
            </w:r>
            <w:r w:rsidRPr="008A64C8">
              <w:rPr>
                <w:rFonts w:eastAsia="Times New Roman" w:cs="Times New Roman"/>
                <w:sz w:val="20"/>
                <w:vertAlign w:val="superscript"/>
                <w:lang w:val="fr-CA" w:eastAsia="ja-JP"/>
              </w:rPr>
              <w:footnoteReference w:id="24"/>
            </w:r>
            <w:r w:rsidR="0040599D" w:rsidRPr="007757AC">
              <w:rPr>
                <w:rFonts w:eastAsia="Times New Roman" w:cs="Times New Roman"/>
                <w:lang w:val="fr-CA" w:eastAsia="ja-JP"/>
              </w:rPr>
              <w:t>.</w:t>
            </w:r>
          </w:p>
          <w:p w14:paraId="6F9B9521" w14:textId="7D00AF0C" w:rsidR="00892B94" w:rsidRPr="007757AC" w:rsidRDefault="00892B94" w:rsidP="00057FCC">
            <w:pPr>
              <w:tabs>
                <w:tab w:val="left" w:pos="432"/>
              </w:tabs>
              <w:suppressAutoHyphens/>
              <w:autoSpaceDE w:val="0"/>
              <w:autoSpaceDN w:val="0"/>
              <w:adjustRightInd w:val="0"/>
              <w:spacing w:after="240"/>
              <w:rPr>
                <w:rFonts w:eastAsia="Times New Roman" w:cs="Times New Roman"/>
                <w:lang w:val="fr-CA" w:eastAsia="ja-JP"/>
              </w:rPr>
            </w:pPr>
            <w:r w:rsidRPr="007757AC">
              <w:rPr>
                <w:rFonts w:eastAsia="Times New Roman" w:cs="Times New Roman"/>
                <w:lang w:val="fr-CA" w:eastAsia="ja-JP"/>
              </w:rPr>
              <w:t>Tout Investisseur [important] (qui n</w:t>
            </w:r>
            <w:r w:rsidR="00CC4D89">
              <w:rPr>
                <w:rFonts w:eastAsia="Times New Roman" w:cs="Times New Roman"/>
                <w:lang w:val="fr-CA" w:eastAsia="ja-JP"/>
              </w:rPr>
              <w:t>’</w:t>
            </w:r>
            <w:r w:rsidRPr="007757AC">
              <w:rPr>
                <w:rFonts w:eastAsia="Times New Roman" w:cs="Times New Roman"/>
                <w:lang w:val="fr-CA" w:eastAsia="ja-JP"/>
              </w:rPr>
              <w:t xml:space="preserve">est pas un concurrent) </w:t>
            </w:r>
            <w:r w:rsidR="002878A1">
              <w:rPr>
                <w:rFonts w:eastAsia="Times New Roman" w:cs="Times New Roman"/>
                <w:lang w:val="fr-CA" w:eastAsia="ja-JP"/>
              </w:rPr>
              <w:t>se verra accorder l</w:t>
            </w:r>
            <w:r w:rsidR="00CC4D89">
              <w:rPr>
                <w:rFonts w:eastAsia="Times New Roman" w:cs="Times New Roman"/>
                <w:lang w:val="fr-CA" w:eastAsia="ja-JP"/>
              </w:rPr>
              <w:t>’</w:t>
            </w:r>
            <w:r w:rsidRPr="007757AC">
              <w:rPr>
                <w:rFonts w:eastAsia="Times New Roman" w:cs="Times New Roman"/>
                <w:lang w:val="fr-CA" w:eastAsia="ja-JP"/>
              </w:rPr>
              <w:t>accès aux installations et au personnel de la Société pendant les heures d</w:t>
            </w:r>
            <w:r w:rsidR="00CC4D89">
              <w:rPr>
                <w:rFonts w:eastAsia="Times New Roman" w:cs="Times New Roman"/>
                <w:lang w:val="fr-CA" w:eastAsia="ja-JP"/>
              </w:rPr>
              <w:t>’</w:t>
            </w:r>
            <w:r w:rsidRPr="007757AC">
              <w:rPr>
                <w:rFonts w:eastAsia="Times New Roman" w:cs="Times New Roman"/>
                <w:lang w:val="fr-CA" w:eastAsia="ja-JP"/>
              </w:rPr>
              <w:t xml:space="preserve">ouverture </w:t>
            </w:r>
            <w:r w:rsidR="0040599D" w:rsidRPr="007757AC">
              <w:rPr>
                <w:rFonts w:eastAsia="Times New Roman" w:cs="Times New Roman"/>
                <w:lang w:val="fr-CA" w:eastAsia="ja-JP"/>
              </w:rPr>
              <w:t xml:space="preserve">habituelles </w:t>
            </w:r>
            <w:r w:rsidRPr="007757AC">
              <w:rPr>
                <w:rFonts w:eastAsia="Times New Roman" w:cs="Times New Roman"/>
                <w:lang w:val="fr-CA" w:eastAsia="ja-JP"/>
              </w:rPr>
              <w:t>et moyennant un préavis raisonnable. La Société remettra à cet Investisseur [</w:t>
            </w:r>
            <w:r w:rsidR="0040599D" w:rsidRPr="007757AC">
              <w:rPr>
                <w:rFonts w:eastAsia="Times New Roman" w:cs="Times New Roman"/>
                <w:lang w:val="fr-CA" w:eastAsia="ja-JP"/>
              </w:rPr>
              <w:t>important</w:t>
            </w:r>
            <w:r w:rsidRPr="007757AC">
              <w:rPr>
                <w:rFonts w:eastAsia="Times New Roman" w:cs="Times New Roman"/>
                <w:lang w:val="fr-CA" w:eastAsia="ja-JP"/>
              </w:rPr>
              <w:t>] (</w:t>
            </w:r>
            <w:r w:rsidRPr="008A64C8">
              <w:rPr>
                <w:rFonts w:eastAsia="Times New Roman" w:cs="Times New Roman"/>
                <w:lang w:val="fr-CA" w:eastAsia="ja-JP"/>
              </w:rPr>
              <w:t>i</w:t>
            </w:r>
            <w:r w:rsidRPr="007757AC">
              <w:rPr>
                <w:rFonts w:eastAsia="Times New Roman" w:cs="Times New Roman"/>
                <w:lang w:val="fr-CA" w:eastAsia="ja-JP"/>
              </w:rPr>
              <w:t>)</w:t>
            </w:r>
            <w:r w:rsidR="0040599D" w:rsidRPr="007757AC">
              <w:rPr>
                <w:rFonts w:eastAsia="Times New Roman" w:cs="Times New Roman"/>
                <w:lang w:val="fr-CA" w:eastAsia="ja-JP"/>
              </w:rPr>
              <w:t> </w:t>
            </w:r>
            <w:r w:rsidRPr="007757AC">
              <w:rPr>
                <w:rFonts w:eastAsia="Times New Roman" w:cs="Times New Roman"/>
                <w:lang w:val="fr-CA" w:eastAsia="ja-JP"/>
              </w:rPr>
              <w:t>des états financiers annuels, trimestriels, [et mensuels] et d</w:t>
            </w:r>
            <w:r w:rsidR="00CC4D89">
              <w:rPr>
                <w:rFonts w:eastAsia="Times New Roman" w:cs="Times New Roman"/>
                <w:lang w:val="fr-CA" w:eastAsia="ja-JP"/>
              </w:rPr>
              <w:t>’</w:t>
            </w:r>
            <w:r w:rsidRPr="007757AC">
              <w:rPr>
                <w:rFonts w:eastAsia="Times New Roman" w:cs="Times New Roman"/>
                <w:lang w:val="fr-CA" w:eastAsia="ja-JP"/>
              </w:rPr>
              <w:t>autres renseignements déterminés par le Conseil d</w:t>
            </w:r>
            <w:r w:rsidR="00CC4D89">
              <w:rPr>
                <w:rFonts w:eastAsia="Times New Roman" w:cs="Times New Roman"/>
                <w:lang w:val="fr-CA" w:eastAsia="ja-JP"/>
              </w:rPr>
              <w:t>’</w:t>
            </w:r>
            <w:r w:rsidRPr="007757AC">
              <w:rPr>
                <w:rFonts w:eastAsia="Times New Roman" w:cs="Times New Roman"/>
                <w:lang w:val="fr-CA" w:eastAsia="ja-JP"/>
              </w:rPr>
              <w:t>administration; [et] (</w:t>
            </w:r>
            <w:r w:rsidRPr="008A64C8">
              <w:rPr>
                <w:rFonts w:eastAsia="Times New Roman" w:cs="Times New Roman"/>
                <w:lang w:val="fr-CA" w:eastAsia="ja-JP"/>
              </w:rPr>
              <w:t>ii</w:t>
            </w:r>
            <w:r w:rsidRPr="007757AC">
              <w:rPr>
                <w:rFonts w:eastAsia="Times New Roman" w:cs="Times New Roman"/>
                <w:lang w:val="fr-CA" w:eastAsia="ja-JP"/>
              </w:rPr>
              <w:t>)</w:t>
            </w:r>
            <w:r w:rsidR="0040599D" w:rsidRPr="007757AC">
              <w:rPr>
                <w:rFonts w:eastAsia="Times New Roman" w:cs="Times New Roman"/>
                <w:lang w:val="fr-CA" w:eastAsia="ja-JP"/>
              </w:rPr>
              <w:t> </w:t>
            </w:r>
            <w:r w:rsidRPr="007757AC">
              <w:rPr>
                <w:rFonts w:eastAsia="Times New Roman" w:cs="Times New Roman"/>
                <w:lang w:val="fr-CA" w:eastAsia="ja-JP"/>
              </w:rPr>
              <w:t>trente jours avant la fin de chaque exercice, un budget d</w:t>
            </w:r>
            <w:r w:rsidR="00CC4D89">
              <w:rPr>
                <w:rFonts w:eastAsia="Times New Roman" w:cs="Times New Roman"/>
                <w:lang w:val="fr-CA" w:eastAsia="ja-JP"/>
              </w:rPr>
              <w:t>’</w:t>
            </w:r>
            <w:r w:rsidRPr="007757AC">
              <w:rPr>
                <w:rFonts w:eastAsia="Times New Roman" w:cs="Times New Roman"/>
                <w:lang w:val="fr-CA" w:eastAsia="ja-JP"/>
              </w:rPr>
              <w:t xml:space="preserve">exploitation </w:t>
            </w:r>
            <w:r w:rsidR="002878A1">
              <w:rPr>
                <w:rFonts w:eastAsia="Times New Roman" w:cs="Times New Roman"/>
                <w:lang w:val="fr-CA" w:eastAsia="ja-JP"/>
              </w:rPr>
              <w:t>complet</w:t>
            </w:r>
            <w:r w:rsidRPr="007757AC">
              <w:rPr>
                <w:rFonts w:eastAsia="Times New Roman" w:cs="Times New Roman"/>
                <w:lang w:val="fr-CA" w:eastAsia="ja-JP"/>
              </w:rPr>
              <w:t xml:space="preserve"> prévisionnel des produits, des charges et de la situation de trésorerie de la Société </w:t>
            </w:r>
            <w:r w:rsidR="00480F8A">
              <w:rPr>
                <w:rFonts w:eastAsia="Times New Roman" w:cs="Times New Roman"/>
                <w:lang w:val="fr-CA" w:eastAsia="ja-JP"/>
              </w:rPr>
              <w:t>pour chaque mois de</w:t>
            </w:r>
            <w:r w:rsidRPr="007757AC">
              <w:rPr>
                <w:rFonts w:eastAsia="Times New Roman" w:cs="Times New Roman"/>
                <w:lang w:val="fr-CA" w:eastAsia="ja-JP"/>
              </w:rPr>
              <w:t xml:space="preserve"> l</w:t>
            </w:r>
            <w:r w:rsidR="00CC4D89">
              <w:rPr>
                <w:rFonts w:eastAsia="Times New Roman" w:cs="Times New Roman"/>
                <w:lang w:val="fr-CA" w:eastAsia="ja-JP"/>
              </w:rPr>
              <w:t>’</w:t>
            </w:r>
            <w:r w:rsidRPr="007757AC">
              <w:rPr>
                <w:rFonts w:eastAsia="Times New Roman" w:cs="Times New Roman"/>
                <w:lang w:val="fr-CA" w:eastAsia="ja-JP"/>
              </w:rPr>
              <w:t>exercice à venir[; et (</w:t>
            </w:r>
            <w:r w:rsidRPr="008A64C8">
              <w:rPr>
                <w:rFonts w:eastAsia="Times New Roman" w:cs="Times New Roman"/>
                <w:lang w:val="fr-CA" w:eastAsia="ja-JP"/>
              </w:rPr>
              <w:t>iii</w:t>
            </w:r>
            <w:r w:rsidRPr="007757AC">
              <w:rPr>
                <w:rFonts w:eastAsia="Times New Roman" w:cs="Times New Roman"/>
                <w:lang w:val="fr-CA" w:eastAsia="ja-JP"/>
              </w:rPr>
              <w:t>)</w:t>
            </w:r>
            <w:r w:rsidR="00480F8A">
              <w:rPr>
                <w:rFonts w:eastAsia="Times New Roman" w:cs="Times New Roman"/>
                <w:lang w:val="fr-CA" w:eastAsia="ja-JP"/>
              </w:rPr>
              <w:t> </w:t>
            </w:r>
            <w:r w:rsidRPr="007757AC">
              <w:rPr>
                <w:rFonts w:eastAsia="Times New Roman" w:cs="Times New Roman"/>
                <w:lang w:val="fr-CA" w:eastAsia="ja-JP"/>
              </w:rPr>
              <w:t>dans les plus brefs délais après la fin de chaque trimestre, un tableau de</w:t>
            </w:r>
            <w:r w:rsidR="0040599D" w:rsidRPr="007757AC">
              <w:rPr>
                <w:rFonts w:eastAsia="Times New Roman" w:cs="Times New Roman"/>
                <w:lang w:val="fr-CA" w:eastAsia="ja-JP"/>
              </w:rPr>
              <w:t xml:space="preserve"> la structure du capital </w:t>
            </w:r>
            <w:r w:rsidRPr="007757AC">
              <w:rPr>
                <w:rFonts w:eastAsia="Times New Roman" w:cs="Times New Roman"/>
                <w:lang w:val="fr-CA" w:eastAsia="ja-JP"/>
              </w:rPr>
              <w:t>à jour]. [Un «</w:t>
            </w:r>
            <w:r w:rsidR="0040599D" w:rsidRPr="007757AC">
              <w:rPr>
                <w:rFonts w:eastAsia="Times New Roman" w:cs="Times New Roman"/>
                <w:lang w:val="fr-CA" w:eastAsia="ja-JP"/>
              </w:rPr>
              <w:t> </w:t>
            </w:r>
            <w:r w:rsidRPr="007757AC">
              <w:rPr>
                <w:rFonts w:eastAsia="Times New Roman" w:cs="Times New Roman"/>
                <w:lang w:val="fr-CA" w:eastAsia="ja-JP"/>
              </w:rPr>
              <w:t>Investisseur important</w:t>
            </w:r>
            <w:r w:rsidR="0040599D" w:rsidRPr="007757AC">
              <w:rPr>
                <w:rFonts w:eastAsia="Times New Roman" w:cs="Times New Roman"/>
                <w:lang w:val="fr-CA" w:eastAsia="ja-JP"/>
              </w:rPr>
              <w:t> </w:t>
            </w:r>
            <w:r w:rsidRPr="007757AC">
              <w:rPr>
                <w:rFonts w:eastAsia="Times New Roman" w:cs="Times New Roman"/>
                <w:lang w:val="fr-CA" w:eastAsia="ja-JP"/>
              </w:rPr>
              <w:t xml:space="preserve">» désigne tout Investisseur qui achète </w:t>
            </w:r>
            <w:r w:rsidR="0040599D" w:rsidRPr="007757AC">
              <w:rPr>
                <w:rFonts w:eastAsia="Times New Roman" w:cs="Times New Roman"/>
                <w:lang w:val="fr-CA" w:eastAsia="ja-JP"/>
              </w:rPr>
              <w:t xml:space="preserve">pour </w:t>
            </w:r>
            <w:r w:rsidRPr="007757AC">
              <w:rPr>
                <w:rFonts w:eastAsia="Times New Roman" w:cs="Times New Roman"/>
                <w:lang w:val="fr-CA" w:eastAsia="ja-JP"/>
              </w:rPr>
              <w:t xml:space="preserve">au moins </w:t>
            </w:r>
            <w:r w:rsidR="00AF4461">
              <w:rPr>
                <w:rFonts w:eastAsia="Times New Roman" w:cs="Times New Roman"/>
                <w:lang w:val="fr-CA" w:eastAsia="ja-JP"/>
              </w:rPr>
              <w:t>[</w:t>
            </w:r>
            <w:r w:rsidRPr="007757AC">
              <w:rPr>
                <w:rFonts w:eastAsia="Times New Roman" w:cs="Times New Roman"/>
                <w:lang w:val="fr-CA" w:eastAsia="ja-JP"/>
              </w:rPr>
              <w:t>______</w:t>
            </w:r>
            <w:r w:rsidR="00AF4461">
              <w:rPr>
                <w:rFonts w:eastAsia="Times New Roman" w:cs="Times New Roman"/>
                <w:lang w:val="fr-CA" w:eastAsia="ja-JP"/>
              </w:rPr>
              <w:t>]</w:t>
            </w:r>
            <w:r w:rsidR="002D3F68">
              <w:rPr>
                <w:rFonts w:eastAsia="Times New Roman" w:cs="Times New Roman"/>
                <w:lang w:val="fr-CA" w:eastAsia="ja-JP"/>
              </w:rPr>
              <w:t> $</w:t>
            </w:r>
            <w:r w:rsidRPr="007757AC">
              <w:rPr>
                <w:rFonts w:eastAsia="Times New Roman" w:cs="Times New Roman"/>
                <w:lang w:val="fr-CA" w:eastAsia="ja-JP"/>
              </w:rPr>
              <w:t xml:space="preserve"> d</w:t>
            </w:r>
            <w:r w:rsidR="00CC4D89">
              <w:rPr>
                <w:rFonts w:eastAsia="Times New Roman" w:cs="Times New Roman"/>
                <w:lang w:val="fr-CA" w:eastAsia="ja-JP"/>
              </w:rPr>
              <w:t>’</w:t>
            </w:r>
            <w:r w:rsidR="00433710">
              <w:rPr>
                <w:rFonts w:eastAsia="Times New Roman" w:cs="Times New Roman"/>
                <w:lang w:val="fr-CA" w:eastAsia="ja-JP"/>
              </w:rPr>
              <w:t xml:space="preserve">Actions </w:t>
            </w:r>
            <w:r w:rsidRPr="007757AC">
              <w:rPr>
                <w:rFonts w:eastAsia="Times New Roman" w:cs="Times New Roman"/>
                <w:lang w:val="fr-CA" w:eastAsia="ja-JP"/>
              </w:rPr>
              <w:t xml:space="preserve">privilégiées de </w:t>
            </w:r>
            <w:r w:rsidR="002D3F68">
              <w:rPr>
                <w:rFonts w:eastAsia="Times New Roman" w:cs="Times New Roman"/>
                <w:lang w:val="fr-CA" w:eastAsia="ja-JP"/>
              </w:rPr>
              <w:t>catégorie A</w:t>
            </w:r>
            <w:r w:rsidRPr="007757AC">
              <w:rPr>
                <w:rFonts w:eastAsia="Times New Roman" w:cs="Times New Roman"/>
                <w:lang w:val="fr-CA" w:eastAsia="ja-JP"/>
              </w:rPr>
              <w:t>.]</w:t>
            </w:r>
          </w:p>
        </w:tc>
      </w:tr>
      <w:tr w:rsidR="00892B94" w:rsidRPr="008E00AC" w14:paraId="34957492" w14:textId="77777777" w:rsidTr="00057FCC">
        <w:tc>
          <w:tcPr>
            <w:tcW w:w="1587" w:type="pct"/>
            <w:tcBorders>
              <w:top w:val="nil"/>
              <w:left w:val="nil"/>
              <w:bottom w:val="nil"/>
              <w:right w:val="nil"/>
            </w:tcBorders>
          </w:tcPr>
          <w:p w14:paraId="43BC6FD3" w14:textId="08A8571B" w:rsidR="00892B94" w:rsidRPr="007757AC" w:rsidRDefault="00892B94" w:rsidP="00057FCC">
            <w:pPr>
              <w:tabs>
                <w:tab w:val="left" w:pos="432"/>
              </w:tabs>
              <w:suppressAutoHyphens/>
              <w:autoSpaceDE w:val="0"/>
              <w:autoSpaceDN w:val="0"/>
              <w:adjustRightInd w:val="0"/>
              <w:spacing w:after="240"/>
              <w:jc w:val="left"/>
              <w:rPr>
                <w:rFonts w:eastAsia="Times New Roman" w:cs="Times New Roman"/>
                <w:i/>
                <w:iCs/>
                <w:lang w:val="fr-CA" w:eastAsia="ja-JP"/>
              </w:rPr>
            </w:pPr>
            <w:r w:rsidRPr="007757AC">
              <w:rPr>
                <w:rFonts w:eastAsia="Times New Roman" w:cs="Times New Roman"/>
                <w:i/>
                <w:iCs/>
                <w:lang w:val="fr-CA" w:eastAsia="ja-JP"/>
              </w:rPr>
              <w:br w:type="page"/>
            </w:r>
            <w:r w:rsidRPr="007757AC">
              <w:rPr>
                <w:rFonts w:eastAsia="Times New Roman" w:cs="Times New Roman"/>
                <w:i/>
                <w:iCs/>
                <w:lang w:val="fr-CA" w:eastAsia="ja-JP"/>
              </w:rPr>
              <w:br w:type="page"/>
            </w:r>
            <w:r w:rsidRPr="007757AC">
              <w:rPr>
                <w:rFonts w:eastAsia="Times New Roman" w:cs="Times New Roman"/>
                <w:i/>
                <w:iCs/>
                <w:lang w:val="fr-CA" w:eastAsia="ja-JP"/>
              </w:rPr>
              <w:br w:type="page"/>
              <w:t>Droit de participer au prorata aux rondes futures</w:t>
            </w:r>
            <w:r w:rsidR="00FF244E" w:rsidRPr="007757AC">
              <w:rPr>
                <w:rFonts w:eastAsia="Times New Roman" w:cs="Times New Roman"/>
                <w:i/>
                <w:iCs/>
                <w:lang w:val="fr-CA" w:eastAsia="ja-JP"/>
              </w:rPr>
              <w:t> </w:t>
            </w:r>
            <w:r w:rsidRPr="007757AC">
              <w:rPr>
                <w:rFonts w:eastAsia="Times New Roman" w:cs="Times New Roman"/>
                <w:i/>
                <w:iCs/>
                <w:lang w:val="fr-CA" w:eastAsia="ja-JP"/>
              </w:rPr>
              <w:t>:</w:t>
            </w:r>
          </w:p>
        </w:tc>
        <w:tc>
          <w:tcPr>
            <w:tcW w:w="3413" w:type="pct"/>
            <w:tcBorders>
              <w:top w:val="nil"/>
              <w:left w:val="nil"/>
              <w:bottom w:val="nil"/>
              <w:right w:val="nil"/>
            </w:tcBorders>
          </w:tcPr>
          <w:p w14:paraId="2F1ADCCD" w14:textId="5D6EB1A3" w:rsidR="00892B94" w:rsidRPr="007757AC" w:rsidRDefault="00892B94" w:rsidP="00057FCC">
            <w:pPr>
              <w:tabs>
                <w:tab w:val="left" w:pos="432"/>
              </w:tabs>
              <w:suppressAutoHyphens/>
              <w:autoSpaceDE w:val="0"/>
              <w:autoSpaceDN w:val="0"/>
              <w:adjustRightInd w:val="0"/>
              <w:spacing w:after="240"/>
              <w:rPr>
                <w:rFonts w:eastAsia="Times New Roman" w:cs="Times New Roman"/>
                <w:lang w:val="fr-CA" w:eastAsia="ja-JP"/>
              </w:rPr>
            </w:pPr>
            <w:r w:rsidRPr="007757AC">
              <w:rPr>
                <w:rFonts w:eastAsia="Times New Roman" w:cs="Times New Roman"/>
                <w:lang w:val="fr-CA" w:eastAsia="ja-JP"/>
              </w:rPr>
              <w:t xml:space="preserve">Tous les </w:t>
            </w:r>
            <w:r w:rsidR="00FF244E" w:rsidRPr="007757AC">
              <w:rPr>
                <w:rFonts w:eastAsia="Times New Roman" w:cs="Times New Roman"/>
                <w:lang w:val="fr-CA" w:eastAsia="ja-JP"/>
              </w:rPr>
              <w:t>I</w:t>
            </w:r>
            <w:r w:rsidRPr="007757AC">
              <w:rPr>
                <w:rFonts w:eastAsia="Times New Roman" w:cs="Times New Roman"/>
                <w:lang w:val="fr-CA" w:eastAsia="ja-JP"/>
              </w:rPr>
              <w:t>nvestisseurs [</w:t>
            </w:r>
            <w:r w:rsidR="00FF244E" w:rsidRPr="007757AC">
              <w:rPr>
                <w:rFonts w:eastAsia="Times New Roman" w:cs="Times New Roman"/>
                <w:lang w:val="fr-CA" w:eastAsia="ja-JP"/>
              </w:rPr>
              <w:t>importants</w:t>
            </w:r>
            <w:r w:rsidRPr="007757AC">
              <w:rPr>
                <w:rFonts w:eastAsia="Times New Roman" w:cs="Times New Roman"/>
                <w:lang w:val="fr-CA" w:eastAsia="ja-JP"/>
              </w:rPr>
              <w:t xml:space="preserve">] </w:t>
            </w:r>
            <w:r w:rsidR="001C527E" w:rsidRPr="007757AC">
              <w:rPr>
                <w:rFonts w:eastAsia="Times New Roman" w:cs="Times New Roman"/>
                <w:lang w:val="fr-CA" w:eastAsia="ja-JP"/>
              </w:rPr>
              <w:t>jouissent d</w:t>
            </w:r>
            <w:r w:rsidR="00CC4D89">
              <w:rPr>
                <w:rFonts w:eastAsia="Times New Roman" w:cs="Times New Roman"/>
                <w:lang w:val="fr-CA" w:eastAsia="ja-JP"/>
              </w:rPr>
              <w:t>’</w:t>
            </w:r>
            <w:r w:rsidRPr="007757AC">
              <w:rPr>
                <w:rFonts w:eastAsia="Times New Roman" w:cs="Times New Roman"/>
                <w:lang w:val="fr-CA" w:eastAsia="ja-JP"/>
              </w:rPr>
              <w:t xml:space="preserve">un droit proportionnel, </w:t>
            </w:r>
            <w:r w:rsidR="00433710">
              <w:rPr>
                <w:rFonts w:eastAsia="Times New Roman" w:cs="Times New Roman"/>
                <w:lang w:val="fr-CA" w:eastAsia="ja-JP"/>
              </w:rPr>
              <w:t xml:space="preserve">établi en fonction de </w:t>
            </w:r>
            <w:r w:rsidRPr="007757AC">
              <w:rPr>
                <w:rFonts w:eastAsia="Times New Roman" w:cs="Times New Roman"/>
                <w:lang w:val="fr-CA" w:eastAsia="ja-JP"/>
              </w:rPr>
              <w:t xml:space="preserve">leur </w:t>
            </w:r>
            <w:r w:rsidR="001C527E" w:rsidRPr="007757AC">
              <w:rPr>
                <w:rFonts w:eastAsia="Times New Roman" w:cs="Times New Roman"/>
                <w:lang w:val="fr-CA" w:eastAsia="ja-JP"/>
              </w:rPr>
              <w:t xml:space="preserve">pourcentage de </w:t>
            </w:r>
            <w:r w:rsidRPr="007757AC">
              <w:rPr>
                <w:rFonts w:eastAsia="Times New Roman" w:cs="Times New Roman"/>
                <w:lang w:val="fr-CA" w:eastAsia="ja-JP"/>
              </w:rPr>
              <w:t>participation</w:t>
            </w:r>
            <w:r w:rsidR="001C527E" w:rsidRPr="007757AC">
              <w:rPr>
                <w:rFonts w:eastAsia="Times New Roman" w:cs="Times New Roman"/>
                <w:lang w:val="fr-CA" w:eastAsia="ja-JP"/>
              </w:rPr>
              <w:t xml:space="preserve"> </w:t>
            </w:r>
            <w:r w:rsidRPr="007757AC">
              <w:rPr>
                <w:rFonts w:eastAsia="Times New Roman" w:cs="Times New Roman"/>
                <w:lang w:val="fr-CA" w:eastAsia="ja-JP"/>
              </w:rPr>
              <w:t>dans la Société (dans l</w:t>
            </w:r>
            <w:r w:rsidR="00CC4D89">
              <w:rPr>
                <w:rFonts w:eastAsia="Times New Roman" w:cs="Times New Roman"/>
                <w:lang w:val="fr-CA" w:eastAsia="ja-JP"/>
              </w:rPr>
              <w:t>’</w:t>
            </w:r>
            <w:r w:rsidRPr="007757AC">
              <w:rPr>
                <w:rFonts w:eastAsia="Times New Roman" w:cs="Times New Roman"/>
                <w:lang w:val="fr-CA" w:eastAsia="ja-JP"/>
              </w:rPr>
              <w:t>hypothèse de la conversion de toutes les</w:t>
            </w:r>
            <w:r w:rsidR="001C527E" w:rsidRPr="007757AC">
              <w:rPr>
                <w:rFonts w:eastAsia="Times New Roman" w:cs="Times New Roman"/>
                <w:lang w:val="fr-CA" w:eastAsia="ja-JP"/>
              </w:rPr>
              <w:t xml:space="preserve"> A</w:t>
            </w:r>
            <w:r w:rsidRPr="007757AC">
              <w:rPr>
                <w:rFonts w:eastAsia="Times New Roman" w:cs="Times New Roman"/>
                <w:lang w:val="fr-CA" w:eastAsia="ja-JP"/>
              </w:rPr>
              <w:t xml:space="preserve">ctions privilégiées en circulation en </w:t>
            </w:r>
            <w:r w:rsidR="001C527E" w:rsidRPr="007757AC">
              <w:rPr>
                <w:rFonts w:eastAsia="Times New Roman" w:cs="Times New Roman"/>
                <w:lang w:val="fr-CA" w:eastAsia="ja-JP"/>
              </w:rPr>
              <w:t>A</w:t>
            </w:r>
            <w:r w:rsidRPr="007757AC">
              <w:rPr>
                <w:rFonts w:eastAsia="Times New Roman" w:cs="Times New Roman"/>
                <w:lang w:val="fr-CA" w:eastAsia="ja-JP"/>
              </w:rPr>
              <w:t>ctions ordinaires et de l</w:t>
            </w:r>
            <w:r w:rsidR="00CC4D89">
              <w:rPr>
                <w:rFonts w:eastAsia="Times New Roman" w:cs="Times New Roman"/>
                <w:lang w:val="fr-CA" w:eastAsia="ja-JP"/>
              </w:rPr>
              <w:t>’</w:t>
            </w:r>
            <w:r w:rsidRPr="007757AC">
              <w:rPr>
                <w:rFonts w:eastAsia="Times New Roman" w:cs="Times New Roman"/>
                <w:lang w:val="fr-CA" w:eastAsia="ja-JP"/>
              </w:rPr>
              <w:t>exercice de toutes les options en cours aux termes des régimes d</w:t>
            </w:r>
            <w:r w:rsidR="00CC4D89">
              <w:rPr>
                <w:rFonts w:eastAsia="Times New Roman" w:cs="Times New Roman"/>
                <w:lang w:val="fr-CA" w:eastAsia="ja-JP"/>
              </w:rPr>
              <w:t>’</w:t>
            </w:r>
            <w:r w:rsidRPr="007757AC">
              <w:rPr>
                <w:rFonts w:eastAsia="Times New Roman" w:cs="Times New Roman"/>
                <w:lang w:val="fr-CA" w:eastAsia="ja-JP"/>
              </w:rPr>
              <w:t>achat d</w:t>
            </w:r>
            <w:r w:rsidR="00CC4D89">
              <w:rPr>
                <w:rFonts w:eastAsia="Times New Roman" w:cs="Times New Roman"/>
                <w:lang w:val="fr-CA" w:eastAsia="ja-JP"/>
              </w:rPr>
              <w:t>’</w:t>
            </w:r>
            <w:r w:rsidRPr="007757AC">
              <w:rPr>
                <w:rFonts w:eastAsia="Times New Roman" w:cs="Times New Roman"/>
                <w:lang w:val="fr-CA" w:eastAsia="ja-JP"/>
              </w:rPr>
              <w:t>actions de la Société), de participer aux émissions ultérieures de titres de capitaux propres de la Société (à l</w:t>
            </w:r>
            <w:r w:rsidR="00CC4D89">
              <w:rPr>
                <w:rFonts w:eastAsia="Times New Roman" w:cs="Times New Roman"/>
                <w:lang w:val="fr-CA" w:eastAsia="ja-JP"/>
              </w:rPr>
              <w:t>’</w:t>
            </w:r>
            <w:r w:rsidRPr="007757AC">
              <w:rPr>
                <w:rFonts w:eastAsia="Times New Roman" w:cs="Times New Roman"/>
                <w:lang w:val="fr-CA" w:eastAsia="ja-JP"/>
              </w:rPr>
              <w:t xml:space="preserve">exclusion des émissions </w:t>
            </w:r>
            <w:r w:rsidR="001C527E" w:rsidRPr="007757AC">
              <w:rPr>
                <w:rFonts w:eastAsia="Times New Roman" w:cs="Times New Roman"/>
                <w:lang w:val="fr-CA" w:eastAsia="ja-JP"/>
              </w:rPr>
              <w:t xml:space="preserve">dont il est question </w:t>
            </w:r>
            <w:r w:rsidRPr="007757AC">
              <w:rPr>
                <w:rFonts w:eastAsia="Times New Roman" w:cs="Times New Roman"/>
                <w:lang w:val="fr-CA" w:eastAsia="ja-JP"/>
              </w:rPr>
              <w:t>à la fin de la rubrique</w:t>
            </w:r>
            <w:r w:rsidR="001C527E" w:rsidRPr="007757AC">
              <w:rPr>
                <w:rFonts w:eastAsia="Times New Roman" w:cs="Times New Roman"/>
                <w:lang w:val="fr-CA" w:eastAsia="ja-JP"/>
              </w:rPr>
              <w:t> </w:t>
            </w:r>
            <w:r w:rsidRPr="007757AC">
              <w:rPr>
                <w:rFonts w:eastAsia="Times New Roman" w:cs="Times New Roman"/>
                <w:lang w:val="fr-CA" w:eastAsia="ja-JP"/>
              </w:rPr>
              <w:t>«</w:t>
            </w:r>
            <w:r w:rsidR="001C527E" w:rsidRPr="007757AC">
              <w:rPr>
                <w:rFonts w:eastAsia="Times New Roman" w:cs="Times New Roman"/>
                <w:lang w:val="fr-CA" w:eastAsia="ja-JP"/>
              </w:rPr>
              <w:t> </w:t>
            </w:r>
            <w:r w:rsidRPr="007757AC">
              <w:rPr>
                <w:rFonts w:eastAsia="Times New Roman" w:cs="Times New Roman"/>
                <w:lang w:val="fr-CA" w:eastAsia="ja-JP"/>
              </w:rPr>
              <w:t>Dispositions antidilution</w:t>
            </w:r>
            <w:r w:rsidR="001C527E" w:rsidRPr="007757AC">
              <w:rPr>
                <w:rFonts w:eastAsia="Times New Roman" w:cs="Times New Roman"/>
                <w:lang w:val="fr-CA" w:eastAsia="ja-JP"/>
              </w:rPr>
              <w:t> </w:t>
            </w:r>
            <w:r w:rsidRPr="007757AC">
              <w:rPr>
                <w:rFonts w:eastAsia="Times New Roman" w:cs="Times New Roman"/>
                <w:lang w:val="fr-CA" w:eastAsia="ja-JP"/>
              </w:rPr>
              <w:t xml:space="preserve">» du présent </w:t>
            </w:r>
            <w:r w:rsidR="00433710">
              <w:rPr>
                <w:rFonts w:eastAsia="Times New Roman" w:cs="Times New Roman"/>
                <w:lang w:val="fr-CA" w:eastAsia="ja-JP"/>
              </w:rPr>
              <w:t>S</w:t>
            </w:r>
            <w:r w:rsidRPr="007757AC">
              <w:rPr>
                <w:rFonts w:eastAsia="Times New Roman" w:cs="Times New Roman"/>
                <w:lang w:val="fr-CA" w:eastAsia="ja-JP"/>
              </w:rPr>
              <w:t>ommaire des modalités et des actions émises dans le cadre d</w:t>
            </w:r>
            <w:r w:rsidR="00CC4D89">
              <w:rPr>
                <w:rFonts w:eastAsia="Times New Roman" w:cs="Times New Roman"/>
                <w:lang w:val="fr-CA" w:eastAsia="ja-JP"/>
              </w:rPr>
              <w:t>’</w:t>
            </w:r>
            <w:r w:rsidRPr="007757AC">
              <w:rPr>
                <w:rFonts w:eastAsia="Times New Roman" w:cs="Times New Roman"/>
                <w:lang w:val="fr-CA" w:eastAsia="ja-JP"/>
              </w:rPr>
              <w:t>un PAPE). En outre, si un Investisseur [</w:t>
            </w:r>
            <w:r w:rsidR="001C527E" w:rsidRPr="007757AC">
              <w:rPr>
                <w:rFonts w:eastAsia="Times New Roman" w:cs="Times New Roman"/>
                <w:lang w:val="fr-CA" w:eastAsia="ja-JP"/>
              </w:rPr>
              <w:t>important</w:t>
            </w:r>
            <w:r w:rsidRPr="007757AC">
              <w:rPr>
                <w:rFonts w:eastAsia="Times New Roman" w:cs="Times New Roman"/>
                <w:lang w:val="fr-CA" w:eastAsia="ja-JP"/>
              </w:rPr>
              <w:t xml:space="preserve">] choisit de ne pas acheter </w:t>
            </w:r>
            <w:r w:rsidR="001C527E" w:rsidRPr="007757AC">
              <w:rPr>
                <w:rFonts w:eastAsia="Times New Roman" w:cs="Times New Roman"/>
                <w:lang w:val="fr-CA" w:eastAsia="ja-JP"/>
              </w:rPr>
              <w:t xml:space="preserve">en entier </w:t>
            </w:r>
            <w:r w:rsidRPr="007757AC">
              <w:rPr>
                <w:rFonts w:eastAsia="Times New Roman" w:cs="Times New Roman"/>
                <w:lang w:val="fr-CA" w:eastAsia="ja-JP"/>
              </w:rPr>
              <w:t>sa quote-part, les Investisseurs [</w:t>
            </w:r>
            <w:r w:rsidR="001C527E" w:rsidRPr="007757AC">
              <w:rPr>
                <w:rFonts w:eastAsia="Times New Roman" w:cs="Times New Roman"/>
                <w:lang w:val="fr-CA" w:eastAsia="ja-JP"/>
              </w:rPr>
              <w:t>importants</w:t>
            </w:r>
            <w:r w:rsidRPr="007757AC">
              <w:rPr>
                <w:rFonts w:eastAsia="Times New Roman" w:cs="Times New Roman"/>
                <w:lang w:val="fr-CA" w:eastAsia="ja-JP"/>
              </w:rPr>
              <w:t>] restants auront le droit d</w:t>
            </w:r>
            <w:r w:rsidR="00CC4D89">
              <w:rPr>
                <w:rFonts w:eastAsia="Times New Roman" w:cs="Times New Roman"/>
                <w:lang w:val="fr-CA" w:eastAsia="ja-JP"/>
              </w:rPr>
              <w:t>’</w:t>
            </w:r>
            <w:r w:rsidRPr="007757AC">
              <w:rPr>
                <w:rFonts w:eastAsia="Times New Roman" w:cs="Times New Roman"/>
                <w:lang w:val="fr-CA" w:eastAsia="ja-JP"/>
              </w:rPr>
              <w:t xml:space="preserve">acheter </w:t>
            </w:r>
            <w:r w:rsidR="001C527E" w:rsidRPr="007757AC">
              <w:rPr>
                <w:rFonts w:eastAsia="Times New Roman" w:cs="Times New Roman"/>
                <w:lang w:val="fr-CA" w:eastAsia="ja-JP"/>
              </w:rPr>
              <w:t>la</w:t>
            </w:r>
            <w:r w:rsidRPr="007757AC">
              <w:rPr>
                <w:rFonts w:eastAsia="Times New Roman" w:cs="Times New Roman"/>
                <w:lang w:val="fr-CA" w:eastAsia="ja-JP"/>
              </w:rPr>
              <w:t xml:space="preserve"> quote-part restante.</w:t>
            </w:r>
          </w:p>
        </w:tc>
      </w:tr>
      <w:tr w:rsidR="00892B94" w:rsidRPr="008E00AC" w14:paraId="4885400A" w14:textId="77777777" w:rsidTr="00057FCC">
        <w:tc>
          <w:tcPr>
            <w:tcW w:w="1587" w:type="pct"/>
            <w:tcBorders>
              <w:top w:val="nil"/>
              <w:left w:val="nil"/>
              <w:bottom w:val="nil"/>
              <w:right w:val="nil"/>
            </w:tcBorders>
          </w:tcPr>
          <w:p w14:paraId="64A5E58B" w14:textId="22821A15" w:rsidR="00892B94" w:rsidRPr="007757AC" w:rsidRDefault="00892B94" w:rsidP="00057FCC">
            <w:pPr>
              <w:tabs>
                <w:tab w:val="left" w:pos="432"/>
              </w:tabs>
              <w:suppressAutoHyphens/>
              <w:autoSpaceDE w:val="0"/>
              <w:autoSpaceDN w:val="0"/>
              <w:adjustRightInd w:val="0"/>
              <w:spacing w:after="240"/>
              <w:jc w:val="left"/>
              <w:rPr>
                <w:rFonts w:eastAsia="Times New Roman" w:cs="Times New Roman"/>
                <w:b/>
                <w:bCs/>
                <w:i/>
                <w:iCs/>
                <w:lang w:val="fr-CA" w:eastAsia="ja-JP"/>
              </w:rPr>
            </w:pPr>
            <w:r w:rsidRPr="007757AC">
              <w:rPr>
                <w:rFonts w:eastAsia="Times New Roman" w:cs="Times New Roman"/>
                <w:i/>
                <w:iCs/>
                <w:lang w:val="fr-CA" w:eastAsia="ja-JP"/>
              </w:rPr>
              <w:t>Questions nécessitant l</w:t>
            </w:r>
            <w:r w:rsidR="00CC4D89">
              <w:rPr>
                <w:rFonts w:eastAsia="Times New Roman" w:cs="Times New Roman"/>
                <w:i/>
                <w:iCs/>
                <w:lang w:val="fr-CA" w:eastAsia="ja-JP"/>
              </w:rPr>
              <w:t>’</w:t>
            </w:r>
            <w:r w:rsidRPr="007757AC">
              <w:rPr>
                <w:rFonts w:eastAsia="Times New Roman" w:cs="Times New Roman"/>
                <w:i/>
                <w:iCs/>
                <w:lang w:val="fr-CA" w:eastAsia="ja-JP"/>
              </w:rPr>
              <w:t>approbation des Administrateurs privilégiés</w:t>
            </w:r>
            <w:r w:rsidR="001C527E" w:rsidRPr="007757AC">
              <w:rPr>
                <w:rFonts w:eastAsia="Times New Roman" w:cs="Times New Roman"/>
                <w:i/>
                <w:iCs/>
                <w:lang w:val="fr-CA" w:eastAsia="ja-JP"/>
              </w:rPr>
              <w:t> :</w:t>
            </w:r>
          </w:p>
        </w:tc>
        <w:tc>
          <w:tcPr>
            <w:tcW w:w="3413" w:type="pct"/>
            <w:tcBorders>
              <w:top w:val="nil"/>
              <w:left w:val="nil"/>
              <w:bottom w:val="nil"/>
              <w:right w:val="nil"/>
            </w:tcBorders>
          </w:tcPr>
          <w:p w14:paraId="4B6403E6" w14:textId="47B58D89" w:rsidR="00892B94" w:rsidRPr="007757AC" w:rsidRDefault="00892B94" w:rsidP="00057FCC">
            <w:pPr>
              <w:tabs>
                <w:tab w:val="left" w:pos="432"/>
              </w:tabs>
              <w:suppressAutoHyphens/>
              <w:autoSpaceDE w:val="0"/>
              <w:autoSpaceDN w:val="0"/>
              <w:adjustRightInd w:val="0"/>
              <w:spacing w:after="240"/>
              <w:rPr>
                <w:rFonts w:eastAsia="Times New Roman" w:cs="Times New Roman"/>
                <w:b/>
                <w:bCs/>
                <w:lang w:val="fr-CA" w:eastAsia="ja-JP"/>
              </w:rPr>
            </w:pPr>
            <w:r w:rsidRPr="007757AC">
              <w:rPr>
                <w:rFonts w:eastAsia="Times New Roman" w:cs="Times New Roman"/>
                <w:lang w:val="fr-CA" w:eastAsia="ja-JP"/>
              </w:rPr>
              <w:t>Tant que les porteurs d</w:t>
            </w:r>
            <w:r w:rsidR="00CC4D89">
              <w:rPr>
                <w:rFonts w:eastAsia="Times New Roman" w:cs="Times New Roman"/>
                <w:lang w:val="fr-CA" w:eastAsia="ja-JP"/>
              </w:rPr>
              <w:t>’</w:t>
            </w:r>
            <w:r w:rsidRPr="007757AC">
              <w:rPr>
                <w:rFonts w:eastAsia="Times New Roman" w:cs="Times New Roman"/>
                <w:lang w:val="fr-CA" w:eastAsia="ja-JP"/>
              </w:rPr>
              <w:t xml:space="preserve">Actions privilégiées de </w:t>
            </w:r>
            <w:r w:rsidR="002D3F68">
              <w:rPr>
                <w:rFonts w:eastAsia="Times New Roman" w:cs="Times New Roman"/>
                <w:lang w:val="fr-CA" w:eastAsia="ja-JP"/>
              </w:rPr>
              <w:t>catégorie A</w:t>
            </w:r>
            <w:r w:rsidRPr="007757AC">
              <w:rPr>
                <w:rFonts w:eastAsia="Times New Roman" w:cs="Times New Roman"/>
                <w:lang w:val="fr-CA" w:eastAsia="ja-JP"/>
              </w:rPr>
              <w:t xml:space="preserve"> </w:t>
            </w:r>
            <w:r w:rsidR="00433710">
              <w:rPr>
                <w:rFonts w:eastAsia="Times New Roman" w:cs="Times New Roman"/>
                <w:lang w:val="fr-CA" w:eastAsia="ja-JP"/>
              </w:rPr>
              <w:t>aur</w:t>
            </w:r>
            <w:r w:rsidRPr="007757AC">
              <w:rPr>
                <w:rFonts w:eastAsia="Times New Roman" w:cs="Times New Roman"/>
                <w:lang w:val="fr-CA" w:eastAsia="ja-JP"/>
              </w:rPr>
              <w:t>ont le droit d</w:t>
            </w:r>
            <w:r w:rsidR="00CC4D89">
              <w:rPr>
                <w:rFonts w:eastAsia="Times New Roman" w:cs="Times New Roman"/>
                <w:lang w:val="fr-CA" w:eastAsia="ja-JP"/>
              </w:rPr>
              <w:t>’</w:t>
            </w:r>
            <w:r w:rsidRPr="007757AC">
              <w:rPr>
                <w:rFonts w:eastAsia="Times New Roman" w:cs="Times New Roman"/>
                <w:lang w:val="fr-CA" w:eastAsia="ja-JP"/>
              </w:rPr>
              <w:t>élire un Administrateur, la Société ne pourra, sans l</w:t>
            </w:r>
            <w:r w:rsidR="00CC4D89">
              <w:rPr>
                <w:rFonts w:eastAsia="Times New Roman" w:cs="Times New Roman"/>
                <w:lang w:val="fr-CA" w:eastAsia="ja-JP"/>
              </w:rPr>
              <w:t>’</w:t>
            </w:r>
            <w:r w:rsidRPr="007757AC">
              <w:rPr>
                <w:rFonts w:eastAsia="Times New Roman" w:cs="Times New Roman"/>
                <w:lang w:val="fr-CA" w:eastAsia="ja-JP"/>
              </w:rPr>
              <w:t>approbation du Conseil, laquelle approbation doit comprendre le vote affirmatif [d</w:t>
            </w:r>
            <w:r w:rsidR="00CC4D89">
              <w:rPr>
                <w:rFonts w:eastAsia="Times New Roman" w:cs="Times New Roman"/>
                <w:lang w:val="fr-CA" w:eastAsia="ja-JP"/>
              </w:rPr>
              <w:t>’</w:t>
            </w:r>
            <w:r w:rsidRPr="007757AC">
              <w:rPr>
                <w:rFonts w:eastAsia="Times New Roman" w:cs="Times New Roman"/>
                <w:lang w:val="fr-CA" w:eastAsia="ja-JP"/>
              </w:rPr>
              <w:t xml:space="preserve">au moins un/de chacun] des Administrateurs privilégiés alors en </w:t>
            </w:r>
            <w:r w:rsidR="00433710">
              <w:rPr>
                <w:rFonts w:eastAsia="Times New Roman" w:cs="Times New Roman"/>
                <w:lang w:val="fr-CA" w:eastAsia="ja-JP"/>
              </w:rPr>
              <w:t>fonction</w:t>
            </w:r>
            <w:r w:rsidR="001C527E" w:rsidRPr="007757AC">
              <w:rPr>
                <w:rFonts w:eastAsia="Times New Roman" w:cs="Times New Roman"/>
                <w:lang w:val="fr-CA" w:eastAsia="ja-JP"/>
              </w:rPr>
              <w:t> </w:t>
            </w:r>
            <w:r w:rsidRPr="007757AC">
              <w:rPr>
                <w:rFonts w:eastAsia="Times New Roman" w:cs="Times New Roman"/>
                <w:lang w:val="fr-CA" w:eastAsia="ja-JP"/>
              </w:rPr>
              <w:t>:</w:t>
            </w:r>
          </w:p>
          <w:p w14:paraId="56F678CD" w14:textId="2C9855F0" w:rsidR="00892B94" w:rsidRPr="007757AC" w:rsidRDefault="00892B94" w:rsidP="00057FCC">
            <w:pPr>
              <w:pStyle w:val="BodyText"/>
              <w:ind w:left="258"/>
              <w:rPr>
                <w:b/>
                <w:bCs/>
                <w:lang w:val="fr-CA" w:eastAsia="ja-JP"/>
              </w:rPr>
            </w:pPr>
            <w:r w:rsidRPr="007757AC">
              <w:rPr>
                <w:lang w:val="fr-CA" w:eastAsia="ja-JP"/>
              </w:rPr>
              <w:t>(</w:t>
            </w:r>
            <w:r w:rsidRPr="008A64C8">
              <w:rPr>
                <w:lang w:val="fr-CA" w:eastAsia="ja-JP"/>
              </w:rPr>
              <w:t>i</w:t>
            </w:r>
            <w:r w:rsidRPr="007757AC">
              <w:rPr>
                <w:lang w:val="fr-CA" w:eastAsia="ja-JP"/>
              </w:rPr>
              <w:t>)</w:t>
            </w:r>
            <w:r w:rsidR="001C527E" w:rsidRPr="007757AC">
              <w:rPr>
                <w:lang w:val="fr-CA" w:eastAsia="ja-JP"/>
              </w:rPr>
              <w:t> </w:t>
            </w:r>
            <w:r w:rsidRPr="007757AC">
              <w:rPr>
                <w:lang w:val="fr-CA" w:eastAsia="ja-JP"/>
              </w:rPr>
              <w:t>consentir un prêt ou une avance à une filiale ou à une autre société</w:t>
            </w:r>
            <w:r w:rsidR="00472FB4">
              <w:rPr>
                <w:lang w:val="fr-CA" w:eastAsia="ja-JP"/>
              </w:rPr>
              <w:t xml:space="preserve"> par actions</w:t>
            </w:r>
            <w:r w:rsidRPr="007757AC">
              <w:rPr>
                <w:lang w:val="fr-CA" w:eastAsia="ja-JP"/>
              </w:rPr>
              <w:t xml:space="preserve">, société de personnes ou entité, ou </w:t>
            </w:r>
            <w:r w:rsidR="001C527E" w:rsidRPr="007757AC">
              <w:rPr>
                <w:lang w:val="fr-CA" w:eastAsia="ja-JP"/>
              </w:rPr>
              <w:t>avoir la propriété</w:t>
            </w:r>
            <w:r w:rsidRPr="007757AC">
              <w:rPr>
                <w:lang w:val="fr-CA" w:eastAsia="ja-JP"/>
              </w:rPr>
              <w:t xml:space="preserve"> d</w:t>
            </w:r>
            <w:r w:rsidR="00CC4D89">
              <w:rPr>
                <w:lang w:val="fr-CA" w:eastAsia="ja-JP"/>
              </w:rPr>
              <w:t>’</w:t>
            </w:r>
            <w:r w:rsidRPr="007757AC">
              <w:rPr>
                <w:lang w:val="fr-CA" w:eastAsia="ja-JP"/>
              </w:rPr>
              <w:t>actions ou d</w:t>
            </w:r>
            <w:r w:rsidR="00CC4D89">
              <w:rPr>
                <w:lang w:val="fr-CA" w:eastAsia="ja-JP"/>
              </w:rPr>
              <w:t>’</w:t>
            </w:r>
            <w:r w:rsidRPr="007757AC">
              <w:rPr>
                <w:lang w:val="fr-CA" w:eastAsia="ja-JP"/>
              </w:rPr>
              <w:t>autres titres d</w:t>
            </w:r>
            <w:r w:rsidR="00CC4D89">
              <w:rPr>
                <w:lang w:val="fr-CA" w:eastAsia="ja-JP"/>
              </w:rPr>
              <w:t>’</w:t>
            </w:r>
            <w:r w:rsidRPr="007757AC">
              <w:rPr>
                <w:lang w:val="fr-CA" w:eastAsia="ja-JP"/>
              </w:rPr>
              <w:t>une filiale ou d</w:t>
            </w:r>
            <w:r w:rsidR="00CC4D89">
              <w:rPr>
                <w:lang w:val="fr-CA" w:eastAsia="ja-JP"/>
              </w:rPr>
              <w:t>’</w:t>
            </w:r>
            <w:r w:rsidRPr="007757AC">
              <w:rPr>
                <w:lang w:val="fr-CA" w:eastAsia="ja-JP"/>
              </w:rPr>
              <w:t>une autre société</w:t>
            </w:r>
            <w:r w:rsidR="00472FB4">
              <w:rPr>
                <w:lang w:val="fr-CA" w:eastAsia="ja-JP"/>
              </w:rPr>
              <w:t xml:space="preserve"> par actions</w:t>
            </w:r>
            <w:r w:rsidRPr="007757AC">
              <w:rPr>
                <w:lang w:val="fr-CA" w:eastAsia="ja-JP"/>
              </w:rPr>
              <w:t xml:space="preserve">, société de personnes ou entité, </w:t>
            </w:r>
            <w:r w:rsidR="001C527E" w:rsidRPr="007757AC">
              <w:rPr>
                <w:lang w:val="fr-CA" w:eastAsia="ja-JP"/>
              </w:rPr>
              <w:t xml:space="preserve">sauf si la Société en a la </w:t>
            </w:r>
            <w:r w:rsidRPr="007757AC">
              <w:rPr>
                <w:lang w:val="fr-CA" w:eastAsia="ja-JP"/>
              </w:rPr>
              <w:t>propriété exclusive; (</w:t>
            </w:r>
            <w:r w:rsidRPr="008A64C8">
              <w:rPr>
                <w:lang w:val="fr-CA" w:eastAsia="ja-JP"/>
              </w:rPr>
              <w:t>ii</w:t>
            </w:r>
            <w:r w:rsidRPr="007757AC">
              <w:rPr>
                <w:lang w:val="fr-CA" w:eastAsia="ja-JP"/>
              </w:rPr>
              <w:t>)</w:t>
            </w:r>
            <w:r w:rsidR="001C527E" w:rsidRPr="007757AC">
              <w:rPr>
                <w:lang w:val="fr-CA" w:eastAsia="ja-JP"/>
              </w:rPr>
              <w:t> </w:t>
            </w:r>
            <w:r w:rsidRPr="007757AC">
              <w:rPr>
                <w:lang w:val="fr-CA" w:eastAsia="ja-JP"/>
              </w:rPr>
              <w:t>consentir un prêt ou une avance à une personne, y compris un employé ou un administrateur, à l</w:t>
            </w:r>
            <w:r w:rsidR="00CC4D89">
              <w:rPr>
                <w:lang w:val="fr-CA" w:eastAsia="ja-JP"/>
              </w:rPr>
              <w:t>’</w:t>
            </w:r>
            <w:r w:rsidRPr="007757AC">
              <w:rPr>
                <w:lang w:val="fr-CA" w:eastAsia="ja-JP"/>
              </w:rPr>
              <w:t xml:space="preserve">exception des avances et des dépenses similaires </w:t>
            </w:r>
            <w:r w:rsidR="00472FB4">
              <w:rPr>
                <w:lang w:val="fr-CA" w:eastAsia="ja-JP"/>
              </w:rPr>
              <w:t xml:space="preserve">consenties ou engagées </w:t>
            </w:r>
            <w:r w:rsidRPr="007757AC">
              <w:rPr>
                <w:lang w:val="fr-CA" w:eastAsia="ja-JP"/>
              </w:rPr>
              <w:t xml:space="preserve">dans le cours normal des </w:t>
            </w:r>
            <w:r w:rsidR="00433710">
              <w:rPr>
                <w:lang w:val="fr-CA" w:eastAsia="ja-JP"/>
              </w:rPr>
              <w:t>affaires</w:t>
            </w:r>
            <w:r w:rsidRPr="007757AC">
              <w:rPr>
                <w:lang w:val="fr-CA" w:eastAsia="ja-JP"/>
              </w:rPr>
              <w:t xml:space="preserve"> [ou aux termes d</w:t>
            </w:r>
            <w:r w:rsidR="00CC4D89">
              <w:rPr>
                <w:lang w:val="fr-CA" w:eastAsia="ja-JP"/>
              </w:rPr>
              <w:t>’</w:t>
            </w:r>
            <w:r w:rsidRPr="007757AC">
              <w:rPr>
                <w:lang w:val="fr-CA" w:eastAsia="ja-JP"/>
              </w:rPr>
              <w:t>un régime d</w:t>
            </w:r>
            <w:r w:rsidR="00CC4D89">
              <w:rPr>
                <w:lang w:val="fr-CA" w:eastAsia="ja-JP"/>
              </w:rPr>
              <w:t>’</w:t>
            </w:r>
            <w:r w:rsidRPr="007757AC">
              <w:rPr>
                <w:lang w:val="fr-CA" w:eastAsia="ja-JP"/>
              </w:rPr>
              <w:t>achat d</w:t>
            </w:r>
            <w:r w:rsidR="00CC4D89">
              <w:rPr>
                <w:lang w:val="fr-CA" w:eastAsia="ja-JP"/>
              </w:rPr>
              <w:t>’</w:t>
            </w:r>
            <w:r w:rsidRPr="007757AC">
              <w:rPr>
                <w:lang w:val="fr-CA" w:eastAsia="ja-JP"/>
              </w:rPr>
              <w:t>actions ou d</w:t>
            </w:r>
            <w:r w:rsidR="00CC4D89">
              <w:rPr>
                <w:lang w:val="fr-CA" w:eastAsia="ja-JP"/>
              </w:rPr>
              <w:t>’</w:t>
            </w:r>
            <w:r w:rsidRPr="007757AC">
              <w:rPr>
                <w:lang w:val="fr-CA" w:eastAsia="ja-JP"/>
              </w:rPr>
              <w:t>options des employés approuvé par le Conseil</w:t>
            </w:r>
            <w:r w:rsidR="00433710">
              <w:rPr>
                <w:lang w:val="fr-CA" w:eastAsia="ja-JP"/>
              </w:rPr>
              <w:t xml:space="preserve"> d</w:t>
            </w:r>
            <w:r w:rsidR="00CC4D89">
              <w:rPr>
                <w:lang w:val="fr-CA" w:eastAsia="ja-JP"/>
              </w:rPr>
              <w:t>’</w:t>
            </w:r>
            <w:r w:rsidR="00433710">
              <w:rPr>
                <w:lang w:val="fr-CA" w:eastAsia="ja-JP"/>
              </w:rPr>
              <w:t>administration</w:t>
            </w:r>
            <w:r w:rsidRPr="007757AC">
              <w:rPr>
                <w:lang w:val="fr-CA" w:eastAsia="ja-JP"/>
              </w:rPr>
              <w:t>]; (</w:t>
            </w:r>
            <w:r w:rsidRPr="008A64C8">
              <w:rPr>
                <w:lang w:val="fr-CA" w:eastAsia="ja-JP"/>
              </w:rPr>
              <w:t>iii</w:t>
            </w:r>
            <w:r w:rsidRPr="007757AC">
              <w:rPr>
                <w:lang w:val="fr-CA" w:eastAsia="ja-JP"/>
              </w:rPr>
              <w:t>)</w:t>
            </w:r>
            <w:r w:rsidR="001C527E" w:rsidRPr="007757AC">
              <w:rPr>
                <w:lang w:val="fr-CA" w:eastAsia="ja-JP"/>
              </w:rPr>
              <w:t> </w:t>
            </w:r>
            <w:r w:rsidRPr="007757AC">
              <w:rPr>
                <w:lang w:val="fr-CA" w:eastAsia="ja-JP"/>
              </w:rPr>
              <w:t xml:space="preserve">garantir une dette, sauf les comptes </w:t>
            </w:r>
            <w:r w:rsidR="00E40502" w:rsidRPr="007757AC">
              <w:rPr>
                <w:lang w:val="fr-CA" w:eastAsia="ja-JP"/>
              </w:rPr>
              <w:t xml:space="preserve">fournisseurs </w:t>
            </w:r>
            <w:r w:rsidRPr="007757AC">
              <w:rPr>
                <w:lang w:val="fr-CA" w:eastAsia="ja-JP"/>
              </w:rPr>
              <w:t>de la Société ou d</w:t>
            </w:r>
            <w:r w:rsidR="00CC4D89">
              <w:rPr>
                <w:lang w:val="fr-CA" w:eastAsia="ja-JP"/>
              </w:rPr>
              <w:t>’</w:t>
            </w:r>
            <w:r w:rsidRPr="007757AC">
              <w:rPr>
                <w:lang w:val="fr-CA" w:eastAsia="ja-JP"/>
              </w:rPr>
              <w:t>une filiale</w:t>
            </w:r>
            <w:r w:rsidR="00E40502" w:rsidRPr="007757AC">
              <w:rPr>
                <w:lang w:val="fr-CA" w:eastAsia="ja-JP"/>
              </w:rPr>
              <w:t xml:space="preserve"> qui découlent du</w:t>
            </w:r>
            <w:r w:rsidRPr="007757AC">
              <w:rPr>
                <w:lang w:val="fr-CA" w:eastAsia="ja-JP"/>
              </w:rPr>
              <w:t xml:space="preserve"> cours normal des a</w:t>
            </w:r>
            <w:r w:rsidR="00E40502" w:rsidRPr="007757AC">
              <w:rPr>
                <w:lang w:val="fr-CA" w:eastAsia="ja-JP"/>
              </w:rPr>
              <w:t>ffaires</w:t>
            </w:r>
            <w:r w:rsidRPr="007757AC">
              <w:rPr>
                <w:lang w:val="fr-CA" w:eastAsia="ja-JP"/>
              </w:rPr>
              <w:t>;</w:t>
            </w:r>
            <w:r w:rsidR="00E40502" w:rsidRPr="007757AC">
              <w:rPr>
                <w:lang w:val="fr-CA" w:eastAsia="ja-JP"/>
              </w:rPr>
              <w:t xml:space="preserve"> [(</w:t>
            </w:r>
            <w:r w:rsidR="00E40502" w:rsidRPr="008A64C8">
              <w:rPr>
                <w:lang w:val="fr-CA" w:eastAsia="ja-JP"/>
              </w:rPr>
              <w:t>iv</w:t>
            </w:r>
            <w:r w:rsidR="00E40502" w:rsidRPr="007757AC">
              <w:rPr>
                <w:lang w:val="fr-CA" w:eastAsia="ja-JP"/>
              </w:rPr>
              <w:t>)</w:t>
            </w:r>
            <w:r w:rsidR="00433710">
              <w:rPr>
                <w:lang w:val="fr-CA" w:eastAsia="ja-JP"/>
              </w:rPr>
              <w:t> </w:t>
            </w:r>
            <w:r w:rsidR="00E40502" w:rsidRPr="007757AC">
              <w:rPr>
                <w:lang w:val="fr-CA" w:eastAsia="ja-JP"/>
              </w:rPr>
              <w:t>effectuer un placement non conforme à la politique en matière de placement approuvée par le Conseil d</w:t>
            </w:r>
            <w:r w:rsidR="00CC4D89">
              <w:rPr>
                <w:lang w:val="fr-CA" w:eastAsia="ja-JP"/>
              </w:rPr>
              <w:t>’</w:t>
            </w:r>
            <w:r w:rsidR="00E40502" w:rsidRPr="007757AC">
              <w:rPr>
                <w:lang w:val="fr-CA" w:eastAsia="ja-JP"/>
              </w:rPr>
              <w:t>administration]; (</w:t>
            </w:r>
            <w:r w:rsidR="00E40502" w:rsidRPr="008A64C8">
              <w:rPr>
                <w:lang w:val="fr-CA" w:eastAsia="ja-JP"/>
              </w:rPr>
              <w:t>v</w:t>
            </w:r>
            <w:r w:rsidR="00E40502" w:rsidRPr="007757AC">
              <w:rPr>
                <w:lang w:val="fr-CA" w:eastAsia="ja-JP"/>
              </w:rPr>
              <w:t xml:space="preserve">) contracter une dette </w:t>
            </w:r>
            <w:r w:rsidR="00433710">
              <w:rPr>
                <w:lang w:val="fr-CA" w:eastAsia="ja-JP"/>
              </w:rPr>
              <w:t>d</w:t>
            </w:r>
            <w:r w:rsidR="00CC4D89">
              <w:rPr>
                <w:lang w:val="fr-CA" w:eastAsia="ja-JP"/>
              </w:rPr>
              <w:t>’</w:t>
            </w:r>
            <w:r w:rsidR="00433710">
              <w:rPr>
                <w:lang w:val="fr-CA" w:eastAsia="ja-JP"/>
              </w:rPr>
              <w:t>un</w:t>
            </w:r>
            <w:r w:rsidR="00E40502" w:rsidRPr="007757AC">
              <w:rPr>
                <w:lang w:val="fr-CA" w:eastAsia="ja-JP"/>
              </w:rPr>
              <w:t xml:space="preserve"> montant total </w:t>
            </w:r>
            <w:r w:rsidR="00433710">
              <w:rPr>
                <w:lang w:val="fr-CA" w:eastAsia="ja-JP"/>
              </w:rPr>
              <w:t xml:space="preserve">qui </w:t>
            </w:r>
            <w:r w:rsidR="00E40502" w:rsidRPr="007757AC">
              <w:rPr>
                <w:lang w:val="fr-CA" w:eastAsia="ja-JP"/>
              </w:rPr>
              <w:t>excède [</w:t>
            </w:r>
            <w:r w:rsidRPr="007757AC">
              <w:rPr>
                <w:lang w:val="fr-CA" w:eastAsia="ja-JP"/>
              </w:rPr>
              <w:t>_____]</w:t>
            </w:r>
            <w:r w:rsidR="002D3F68">
              <w:rPr>
                <w:lang w:val="fr-CA" w:eastAsia="ja-JP"/>
              </w:rPr>
              <w:t> $</w:t>
            </w:r>
            <w:r w:rsidRPr="007757AC">
              <w:rPr>
                <w:lang w:val="fr-CA" w:eastAsia="ja-JP"/>
              </w:rPr>
              <w:t xml:space="preserve"> </w:t>
            </w:r>
            <w:r w:rsidR="00E40502" w:rsidRPr="007757AC">
              <w:rPr>
                <w:lang w:val="fr-CA" w:eastAsia="ja-JP"/>
              </w:rPr>
              <w:t xml:space="preserve">et </w:t>
            </w:r>
            <w:r w:rsidR="00433710">
              <w:rPr>
                <w:lang w:val="fr-CA" w:eastAsia="ja-JP"/>
              </w:rPr>
              <w:t xml:space="preserve">qui </w:t>
            </w:r>
            <w:r w:rsidRPr="007757AC">
              <w:rPr>
                <w:lang w:val="fr-CA" w:eastAsia="ja-JP"/>
              </w:rPr>
              <w:t>n</w:t>
            </w:r>
            <w:r w:rsidR="00CC4D89">
              <w:rPr>
                <w:lang w:val="fr-CA" w:eastAsia="ja-JP"/>
              </w:rPr>
              <w:t>’</w:t>
            </w:r>
            <w:r w:rsidRPr="007757AC">
              <w:rPr>
                <w:lang w:val="fr-CA" w:eastAsia="ja-JP"/>
              </w:rPr>
              <w:t>est pas déjà inclus</w:t>
            </w:r>
            <w:r w:rsidR="00433710">
              <w:rPr>
                <w:lang w:val="fr-CA" w:eastAsia="ja-JP"/>
              </w:rPr>
              <w:t>e</w:t>
            </w:r>
            <w:r w:rsidRPr="007757AC">
              <w:rPr>
                <w:lang w:val="fr-CA" w:eastAsia="ja-JP"/>
              </w:rPr>
              <w:t xml:space="preserve"> dans un budget approuvé par le </w:t>
            </w:r>
            <w:r w:rsidR="00E40502" w:rsidRPr="007757AC">
              <w:rPr>
                <w:lang w:val="fr-CA" w:eastAsia="ja-JP"/>
              </w:rPr>
              <w:t>C</w:t>
            </w:r>
            <w:r w:rsidRPr="007757AC">
              <w:rPr>
                <w:lang w:val="fr-CA" w:eastAsia="ja-JP"/>
              </w:rPr>
              <w:t>onseil, à l</w:t>
            </w:r>
            <w:r w:rsidR="00CC4D89">
              <w:rPr>
                <w:lang w:val="fr-CA" w:eastAsia="ja-JP"/>
              </w:rPr>
              <w:t>’</w:t>
            </w:r>
            <w:r w:rsidRPr="007757AC">
              <w:rPr>
                <w:lang w:val="fr-CA" w:eastAsia="ja-JP"/>
              </w:rPr>
              <w:t xml:space="preserve">exception du crédit commercial </w:t>
            </w:r>
            <w:r w:rsidR="00E40502" w:rsidRPr="007757AC">
              <w:rPr>
                <w:lang w:val="fr-CA" w:eastAsia="ja-JP"/>
              </w:rPr>
              <w:t>obtenu</w:t>
            </w:r>
            <w:r w:rsidRPr="007757AC">
              <w:rPr>
                <w:lang w:val="fr-CA" w:eastAsia="ja-JP"/>
              </w:rPr>
              <w:t xml:space="preserve"> dans le cours normal des a</w:t>
            </w:r>
            <w:r w:rsidR="00B4000C" w:rsidRPr="007757AC">
              <w:rPr>
                <w:lang w:val="fr-CA" w:eastAsia="ja-JP"/>
              </w:rPr>
              <w:t>ffaires</w:t>
            </w:r>
            <w:r w:rsidRPr="007757AC">
              <w:rPr>
                <w:lang w:val="fr-CA" w:eastAsia="ja-JP"/>
              </w:rPr>
              <w:t>; (</w:t>
            </w:r>
            <w:r w:rsidRPr="008A64C8">
              <w:rPr>
                <w:lang w:val="fr-CA" w:eastAsia="ja-JP"/>
              </w:rPr>
              <w:t>vi</w:t>
            </w:r>
            <w:r w:rsidRPr="007757AC">
              <w:rPr>
                <w:lang w:val="fr-CA" w:eastAsia="ja-JP"/>
              </w:rPr>
              <w:t>)</w:t>
            </w:r>
            <w:r w:rsidR="00B4000C" w:rsidRPr="007757AC">
              <w:rPr>
                <w:lang w:val="fr-CA" w:eastAsia="ja-JP"/>
              </w:rPr>
              <w:t> </w:t>
            </w:r>
            <w:r w:rsidRPr="007757AC">
              <w:rPr>
                <w:lang w:val="fr-CA" w:eastAsia="ja-JP"/>
              </w:rPr>
              <w:t>embaucher</w:t>
            </w:r>
            <w:r w:rsidR="00B4000C" w:rsidRPr="007757AC">
              <w:rPr>
                <w:lang w:val="fr-CA" w:eastAsia="ja-JP"/>
              </w:rPr>
              <w:t xml:space="preserve"> ou</w:t>
            </w:r>
            <w:r w:rsidRPr="007757AC">
              <w:rPr>
                <w:lang w:val="fr-CA" w:eastAsia="ja-JP"/>
              </w:rPr>
              <w:t xml:space="preserve"> congédier des membres de la haute direction</w:t>
            </w:r>
            <w:r w:rsidR="00B4000C" w:rsidRPr="007757AC">
              <w:rPr>
                <w:lang w:val="fr-CA" w:eastAsia="ja-JP"/>
              </w:rPr>
              <w:t xml:space="preserve"> ou modifier leur rémunération</w:t>
            </w:r>
            <w:r w:rsidRPr="007757AC">
              <w:rPr>
                <w:lang w:val="fr-CA" w:eastAsia="ja-JP"/>
              </w:rPr>
              <w:t xml:space="preserve">, y compris approuver </w:t>
            </w:r>
            <w:r w:rsidR="004017E8">
              <w:rPr>
                <w:lang w:val="fr-CA" w:eastAsia="ja-JP"/>
              </w:rPr>
              <w:t>d</w:t>
            </w:r>
            <w:r w:rsidRPr="007757AC">
              <w:rPr>
                <w:lang w:val="fr-CA" w:eastAsia="ja-JP"/>
              </w:rPr>
              <w:t>es attributions d</w:t>
            </w:r>
            <w:r w:rsidR="00CC4D89">
              <w:rPr>
                <w:lang w:val="fr-CA" w:eastAsia="ja-JP"/>
              </w:rPr>
              <w:t>’</w:t>
            </w:r>
            <w:r w:rsidRPr="007757AC">
              <w:rPr>
                <w:lang w:val="fr-CA" w:eastAsia="ja-JP"/>
              </w:rPr>
              <w:t>options; (</w:t>
            </w:r>
            <w:r w:rsidRPr="008A64C8">
              <w:rPr>
                <w:lang w:val="fr-CA" w:eastAsia="ja-JP"/>
              </w:rPr>
              <w:t>vii</w:t>
            </w:r>
            <w:r w:rsidRPr="007757AC">
              <w:rPr>
                <w:lang w:val="fr-CA" w:eastAsia="ja-JP"/>
              </w:rPr>
              <w:t>)</w:t>
            </w:r>
            <w:r w:rsidR="00B4000C" w:rsidRPr="007757AC">
              <w:rPr>
                <w:lang w:val="fr-CA" w:eastAsia="ja-JP"/>
              </w:rPr>
              <w:t> </w:t>
            </w:r>
            <w:r w:rsidRPr="007757AC">
              <w:rPr>
                <w:lang w:val="fr-CA" w:eastAsia="ja-JP"/>
              </w:rPr>
              <w:t>modifier l</w:t>
            </w:r>
            <w:r w:rsidR="00CC4D89">
              <w:rPr>
                <w:lang w:val="fr-CA" w:eastAsia="ja-JP"/>
              </w:rPr>
              <w:t>’</w:t>
            </w:r>
            <w:r w:rsidR="00472FB4">
              <w:rPr>
                <w:lang w:val="fr-CA" w:eastAsia="ja-JP"/>
              </w:rPr>
              <w:t>activité</w:t>
            </w:r>
            <w:r w:rsidRPr="007757AC">
              <w:rPr>
                <w:lang w:val="fr-CA" w:eastAsia="ja-JP"/>
              </w:rPr>
              <w:t xml:space="preserve"> principale de la Société, </w:t>
            </w:r>
            <w:r w:rsidR="00433710">
              <w:rPr>
                <w:lang w:val="fr-CA" w:eastAsia="ja-JP"/>
              </w:rPr>
              <w:t>exercer des activités dans de</w:t>
            </w:r>
            <w:r w:rsidR="00AF7338">
              <w:rPr>
                <w:lang w:val="fr-CA" w:eastAsia="ja-JP"/>
              </w:rPr>
              <w:t xml:space="preserve"> </w:t>
            </w:r>
            <w:r w:rsidRPr="007757AC">
              <w:rPr>
                <w:lang w:val="fr-CA" w:eastAsia="ja-JP"/>
              </w:rPr>
              <w:t xml:space="preserve">nouveaux secteurs ou </w:t>
            </w:r>
            <w:r w:rsidR="007F7C2E" w:rsidRPr="007757AC">
              <w:rPr>
                <w:lang w:val="fr-CA" w:eastAsia="ja-JP"/>
              </w:rPr>
              <w:t xml:space="preserve">abandonner </w:t>
            </w:r>
            <w:r w:rsidRPr="007757AC">
              <w:rPr>
                <w:lang w:val="fr-CA" w:eastAsia="ja-JP"/>
              </w:rPr>
              <w:t>le secteur d</w:t>
            </w:r>
            <w:r w:rsidR="00CC4D89">
              <w:rPr>
                <w:lang w:val="fr-CA" w:eastAsia="ja-JP"/>
              </w:rPr>
              <w:t>’</w:t>
            </w:r>
            <w:r w:rsidRPr="007757AC">
              <w:rPr>
                <w:lang w:val="fr-CA" w:eastAsia="ja-JP"/>
              </w:rPr>
              <w:t>activité actuel; (</w:t>
            </w:r>
            <w:r w:rsidRPr="008A64C8">
              <w:rPr>
                <w:lang w:val="fr-CA" w:eastAsia="ja-JP"/>
              </w:rPr>
              <w:t>viii</w:t>
            </w:r>
            <w:r w:rsidRPr="007757AC">
              <w:rPr>
                <w:lang w:val="fr-CA" w:eastAsia="ja-JP"/>
              </w:rPr>
              <w:t>)</w:t>
            </w:r>
            <w:r w:rsidR="007F7C2E" w:rsidRPr="007757AC">
              <w:rPr>
                <w:lang w:val="fr-CA" w:eastAsia="ja-JP"/>
              </w:rPr>
              <w:t> </w:t>
            </w:r>
            <w:r w:rsidRPr="007757AC">
              <w:rPr>
                <w:lang w:val="fr-CA" w:eastAsia="ja-JP"/>
              </w:rPr>
              <w:t>vendre, céder, concéder sous licence, donner en gage ou grever d</w:t>
            </w:r>
            <w:r w:rsidR="00CC4D89">
              <w:rPr>
                <w:lang w:val="fr-CA" w:eastAsia="ja-JP"/>
              </w:rPr>
              <w:t>’</w:t>
            </w:r>
            <w:r w:rsidRPr="007757AC">
              <w:rPr>
                <w:lang w:val="fr-CA" w:eastAsia="ja-JP"/>
              </w:rPr>
              <w:t xml:space="preserve">une charge </w:t>
            </w:r>
            <w:r w:rsidR="007F7C2E" w:rsidRPr="007757AC">
              <w:rPr>
                <w:lang w:val="fr-CA" w:eastAsia="ja-JP"/>
              </w:rPr>
              <w:t>des</w:t>
            </w:r>
            <w:r w:rsidRPr="007757AC">
              <w:rPr>
                <w:lang w:val="fr-CA" w:eastAsia="ja-JP"/>
              </w:rPr>
              <w:t xml:space="preserve"> technologie</w:t>
            </w:r>
            <w:r w:rsidR="007F7C2E" w:rsidRPr="007757AC">
              <w:rPr>
                <w:lang w:val="fr-CA" w:eastAsia="ja-JP"/>
              </w:rPr>
              <w:t>s</w:t>
            </w:r>
            <w:r w:rsidRPr="007757AC">
              <w:rPr>
                <w:lang w:val="fr-CA" w:eastAsia="ja-JP"/>
              </w:rPr>
              <w:t xml:space="preserve"> ou </w:t>
            </w:r>
            <w:r w:rsidR="007F7C2E" w:rsidRPr="007757AC">
              <w:rPr>
                <w:lang w:val="fr-CA" w:eastAsia="ja-JP"/>
              </w:rPr>
              <w:t>des droits de</w:t>
            </w:r>
            <w:r w:rsidRPr="007757AC">
              <w:rPr>
                <w:lang w:val="fr-CA" w:eastAsia="ja-JP"/>
              </w:rPr>
              <w:t xml:space="preserve"> propriété intellectuelle important</w:t>
            </w:r>
            <w:r w:rsidR="007F7C2E" w:rsidRPr="007757AC">
              <w:rPr>
                <w:lang w:val="fr-CA" w:eastAsia="ja-JP"/>
              </w:rPr>
              <w:t>s</w:t>
            </w:r>
            <w:r w:rsidRPr="007757AC">
              <w:rPr>
                <w:lang w:val="fr-CA" w:eastAsia="ja-JP"/>
              </w:rPr>
              <w:t>, à l</w:t>
            </w:r>
            <w:r w:rsidR="00CC4D89">
              <w:rPr>
                <w:lang w:val="fr-CA" w:eastAsia="ja-JP"/>
              </w:rPr>
              <w:t>’</w:t>
            </w:r>
            <w:r w:rsidRPr="007757AC">
              <w:rPr>
                <w:lang w:val="fr-CA" w:eastAsia="ja-JP"/>
              </w:rPr>
              <w:t>exception des licences accordées dans le cours normal des a</w:t>
            </w:r>
            <w:r w:rsidR="007F7C2E" w:rsidRPr="007757AC">
              <w:rPr>
                <w:lang w:val="fr-CA" w:eastAsia="ja-JP"/>
              </w:rPr>
              <w:t>ffaires</w:t>
            </w:r>
            <w:r w:rsidRPr="007757AC">
              <w:rPr>
                <w:lang w:val="fr-CA" w:eastAsia="ja-JP"/>
              </w:rPr>
              <w:t>; ou (</w:t>
            </w:r>
            <w:r w:rsidRPr="008A64C8">
              <w:rPr>
                <w:lang w:val="fr-CA" w:eastAsia="ja-JP"/>
              </w:rPr>
              <w:t>ix</w:t>
            </w:r>
            <w:r w:rsidRPr="007757AC">
              <w:rPr>
                <w:lang w:val="fr-CA" w:eastAsia="ja-JP"/>
              </w:rPr>
              <w:t>)</w:t>
            </w:r>
            <w:r w:rsidR="007F7C2E" w:rsidRPr="007757AC">
              <w:rPr>
                <w:lang w:val="fr-CA" w:eastAsia="ja-JP"/>
              </w:rPr>
              <w:t> </w:t>
            </w:r>
            <w:r w:rsidRPr="007757AC">
              <w:rPr>
                <w:lang w:val="fr-CA" w:eastAsia="ja-JP"/>
              </w:rPr>
              <w:t>établir une relation stratégique d</w:t>
            </w:r>
            <w:r w:rsidR="00CC4D89">
              <w:rPr>
                <w:lang w:val="fr-CA" w:eastAsia="ja-JP"/>
              </w:rPr>
              <w:t>’</w:t>
            </w:r>
            <w:r w:rsidRPr="007757AC">
              <w:rPr>
                <w:lang w:val="fr-CA" w:eastAsia="ja-JP"/>
              </w:rPr>
              <w:t xml:space="preserve">entreprise prévoyant le versement </w:t>
            </w:r>
            <w:r w:rsidR="007F7C2E" w:rsidRPr="007757AC">
              <w:rPr>
                <w:lang w:val="fr-CA" w:eastAsia="ja-JP"/>
              </w:rPr>
              <w:t>d</w:t>
            </w:r>
            <w:r w:rsidR="00CC4D89">
              <w:rPr>
                <w:lang w:val="fr-CA" w:eastAsia="ja-JP"/>
              </w:rPr>
              <w:t>’</w:t>
            </w:r>
            <w:r w:rsidR="007F7C2E" w:rsidRPr="007757AC">
              <w:rPr>
                <w:lang w:val="fr-CA" w:eastAsia="ja-JP"/>
              </w:rPr>
              <w:t xml:space="preserve">une contribution </w:t>
            </w:r>
            <w:r w:rsidRPr="007757AC">
              <w:rPr>
                <w:lang w:val="fr-CA" w:eastAsia="ja-JP"/>
              </w:rPr>
              <w:t xml:space="preserve">par la Société ou la cession </w:t>
            </w:r>
            <w:r w:rsidR="007F7C2E" w:rsidRPr="007757AC">
              <w:rPr>
                <w:lang w:val="fr-CA" w:eastAsia="ja-JP"/>
              </w:rPr>
              <w:t xml:space="preserve">par </w:t>
            </w:r>
            <w:r w:rsidRPr="007757AC">
              <w:rPr>
                <w:lang w:val="fr-CA" w:eastAsia="ja-JP"/>
              </w:rPr>
              <w:t xml:space="preserve">la Société </w:t>
            </w:r>
            <w:r w:rsidR="007F7C2E" w:rsidRPr="007757AC">
              <w:rPr>
                <w:lang w:val="fr-CA" w:eastAsia="ja-JP"/>
              </w:rPr>
              <w:t xml:space="preserve">ou en sa faveur </w:t>
            </w:r>
            <w:r w:rsidRPr="007757AC">
              <w:rPr>
                <w:lang w:val="fr-CA" w:eastAsia="ja-JP"/>
              </w:rPr>
              <w:t>d</w:t>
            </w:r>
            <w:r w:rsidR="00CC4D89">
              <w:rPr>
                <w:lang w:val="fr-CA" w:eastAsia="ja-JP"/>
              </w:rPr>
              <w:t>’</w:t>
            </w:r>
            <w:r w:rsidRPr="007757AC">
              <w:rPr>
                <w:lang w:val="fr-CA" w:eastAsia="ja-JP"/>
              </w:rPr>
              <w:t xml:space="preserve">actifs </w:t>
            </w:r>
            <w:r w:rsidR="007F7C2E" w:rsidRPr="007757AC">
              <w:rPr>
                <w:lang w:val="fr-CA" w:eastAsia="ja-JP"/>
              </w:rPr>
              <w:t>d</w:t>
            </w:r>
            <w:r w:rsidR="00CC4D89">
              <w:rPr>
                <w:lang w:val="fr-CA" w:eastAsia="ja-JP"/>
              </w:rPr>
              <w:t>’</w:t>
            </w:r>
            <w:r w:rsidR="007F7C2E" w:rsidRPr="007757AC">
              <w:rPr>
                <w:lang w:val="fr-CA" w:eastAsia="ja-JP"/>
              </w:rPr>
              <w:t xml:space="preserve">un montant </w:t>
            </w:r>
            <w:r w:rsidRPr="007757AC">
              <w:rPr>
                <w:lang w:val="fr-CA" w:eastAsia="ja-JP"/>
              </w:rPr>
              <w:t>supérieur à [________</w:t>
            </w:r>
            <w:r w:rsidR="0089418C">
              <w:rPr>
                <w:lang w:val="fr-CA" w:eastAsia="ja-JP"/>
              </w:rPr>
              <w:t>]</w:t>
            </w:r>
            <w:r w:rsidR="002D3F68">
              <w:rPr>
                <w:lang w:val="fr-CA" w:eastAsia="ja-JP"/>
              </w:rPr>
              <w:t> $</w:t>
            </w:r>
            <w:r w:rsidRPr="007757AC">
              <w:rPr>
                <w:lang w:val="fr-CA" w:eastAsia="ja-JP"/>
              </w:rPr>
              <w:t xml:space="preserve">. </w:t>
            </w:r>
          </w:p>
        </w:tc>
      </w:tr>
      <w:tr w:rsidR="00892B94" w:rsidRPr="008E00AC" w14:paraId="263869F8" w14:textId="77777777" w:rsidTr="00057FCC">
        <w:tc>
          <w:tcPr>
            <w:tcW w:w="1587" w:type="pct"/>
            <w:tcBorders>
              <w:top w:val="nil"/>
              <w:left w:val="nil"/>
              <w:bottom w:val="nil"/>
              <w:right w:val="nil"/>
            </w:tcBorders>
          </w:tcPr>
          <w:p w14:paraId="3AF6AB3B" w14:textId="24A1485C" w:rsidR="00892B94" w:rsidRPr="007757AC" w:rsidRDefault="0053232A" w:rsidP="00057FCC">
            <w:pPr>
              <w:tabs>
                <w:tab w:val="left" w:pos="432"/>
              </w:tabs>
              <w:suppressAutoHyphens/>
              <w:autoSpaceDE w:val="0"/>
              <w:autoSpaceDN w:val="0"/>
              <w:adjustRightInd w:val="0"/>
              <w:spacing w:after="240"/>
              <w:jc w:val="left"/>
              <w:rPr>
                <w:rFonts w:eastAsia="Times New Roman" w:cs="Times New Roman"/>
                <w:i/>
                <w:iCs/>
                <w:lang w:val="fr-CA" w:eastAsia="ja-JP"/>
              </w:rPr>
            </w:pPr>
            <w:r>
              <w:rPr>
                <w:rFonts w:eastAsia="Times New Roman" w:cs="Times New Roman"/>
                <w:i/>
                <w:iCs/>
                <w:lang w:val="fr-CA" w:eastAsia="ja-JP"/>
              </w:rPr>
              <w:t>Ententes</w:t>
            </w:r>
            <w:r w:rsidR="00892B94" w:rsidRPr="007757AC">
              <w:rPr>
                <w:rFonts w:eastAsia="Times New Roman" w:cs="Times New Roman"/>
                <w:i/>
                <w:iCs/>
                <w:lang w:val="fr-CA" w:eastAsia="ja-JP"/>
              </w:rPr>
              <w:t xml:space="preserve"> de non-concurrence</w:t>
            </w:r>
            <w:r w:rsidR="00892B94" w:rsidRPr="008A64C8">
              <w:rPr>
                <w:rFonts w:eastAsia="Times New Roman" w:cs="Times New Roman"/>
                <w:i/>
                <w:iCs/>
                <w:sz w:val="20"/>
                <w:vertAlign w:val="superscript"/>
                <w:lang w:val="fr-CA" w:eastAsia="ja-JP"/>
              </w:rPr>
              <w:footnoteReference w:id="25"/>
            </w:r>
            <w:r w:rsidR="00EB0765">
              <w:rPr>
                <w:rFonts w:eastAsia="Times New Roman" w:cs="Times New Roman"/>
                <w:i/>
                <w:iCs/>
                <w:lang w:val="fr-CA" w:eastAsia="ja-JP"/>
              </w:rPr>
              <w:t> :</w:t>
            </w:r>
            <w:r w:rsidR="00892B94" w:rsidRPr="007757AC">
              <w:rPr>
                <w:rFonts w:eastAsia="Times New Roman" w:cs="Times New Roman"/>
                <w:i/>
                <w:iCs/>
                <w:lang w:val="fr-CA" w:eastAsia="ja-JP"/>
              </w:rPr>
              <w:t xml:space="preserve"> </w:t>
            </w:r>
          </w:p>
        </w:tc>
        <w:tc>
          <w:tcPr>
            <w:tcW w:w="3413" w:type="pct"/>
            <w:tcBorders>
              <w:top w:val="nil"/>
              <w:left w:val="nil"/>
              <w:bottom w:val="nil"/>
              <w:right w:val="nil"/>
            </w:tcBorders>
          </w:tcPr>
          <w:p w14:paraId="2413C9FB" w14:textId="3C38E0D6" w:rsidR="00892B94" w:rsidRPr="007757AC" w:rsidRDefault="00892B94" w:rsidP="00057FCC">
            <w:pPr>
              <w:tabs>
                <w:tab w:val="left" w:pos="432"/>
              </w:tabs>
              <w:suppressAutoHyphens/>
              <w:autoSpaceDE w:val="0"/>
              <w:autoSpaceDN w:val="0"/>
              <w:adjustRightInd w:val="0"/>
              <w:spacing w:after="240"/>
              <w:rPr>
                <w:rFonts w:eastAsia="Times New Roman" w:cs="Times New Roman"/>
                <w:lang w:val="fr-CA" w:eastAsia="ja-JP"/>
              </w:rPr>
            </w:pPr>
            <w:r w:rsidRPr="007757AC">
              <w:rPr>
                <w:rFonts w:eastAsia="Times New Roman" w:cs="Times New Roman"/>
                <w:lang w:val="fr-CA" w:eastAsia="ja-JP"/>
              </w:rPr>
              <w:t>Les fondateurs et les employés clés concluront un</w:t>
            </w:r>
            <w:r w:rsidR="0053232A">
              <w:rPr>
                <w:rFonts w:eastAsia="Times New Roman" w:cs="Times New Roman"/>
                <w:lang w:val="fr-CA" w:eastAsia="ja-JP"/>
              </w:rPr>
              <w:t>e entente</w:t>
            </w:r>
            <w:r w:rsidRPr="007757AC">
              <w:rPr>
                <w:rFonts w:eastAsia="Times New Roman" w:cs="Times New Roman"/>
                <w:lang w:val="fr-CA" w:eastAsia="ja-JP"/>
              </w:rPr>
              <w:t xml:space="preserve"> de non-concurrence d</w:t>
            </w:r>
            <w:r w:rsidR="00CC4D89">
              <w:rPr>
                <w:rFonts w:eastAsia="Times New Roman" w:cs="Times New Roman"/>
                <w:lang w:val="fr-CA" w:eastAsia="ja-JP"/>
              </w:rPr>
              <w:t>’</w:t>
            </w:r>
            <w:r w:rsidRPr="007757AC">
              <w:rPr>
                <w:rFonts w:eastAsia="Times New Roman" w:cs="Times New Roman"/>
                <w:lang w:val="fr-CA" w:eastAsia="ja-JP"/>
              </w:rPr>
              <w:t xml:space="preserve">une durée de [un] an </w:t>
            </w:r>
            <w:r w:rsidR="005141ED" w:rsidRPr="007757AC">
              <w:rPr>
                <w:rFonts w:eastAsia="Times New Roman" w:cs="Times New Roman"/>
                <w:lang w:val="fr-CA" w:eastAsia="ja-JP"/>
              </w:rPr>
              <w:t>présenté</w:t>
            </w:r>
            <w:r w:rsidR="0053232A">
              <w:rPr>
                <w:rFonts w:eastAsia="Times New Roman" w:cs="Times New Roman"/>
                <w:lang w:val="fr-CA" w:eastAsia="ja-JP"/>
              </w:rPr>
              <w:t>e</w:t>
            </w:r>
            <w:r w:rsidR="005141ED" w:rsidRPr="007757AC">
              <w:rPr>
                <w:rFonts w:eastAsia="Times New Roman" w:cs="Times New Roman"/>
                <w:lang w:val="fr-CA" w:eastAsia="ja-JP"/>
              </w:rPr>
              <w:t xml:space="preserve"> dans </w:t>
            </w:r>
            <w:r w:rsidRPr="007757AC">
              <w:rPr>
                <w:rFonts w:eastAsia="Times New Roman" w:cs="Times New Roman"/>
                <w:lang w:val="fr-CA" w:eastAsia="ja-JP"/>
              </w:rPr>
              <w:t>une forme que les Investisseurs jugent raisonnablement acceptable.</w:t>
            </w:r>
          </w:p>
        </w:tc>
      </w:tr>
      <w:tr w:rsidR="00892B94" w:rsidRPr="008E00AC" w14:paraId="1C46D6DA" w14:textId="77777777" w:rsidTr="00057FCC">
        <w:tc>
          <w:tcPr>
            <w:tcW w:w="1587" w:type="pct"/>
            <w:tcBorders>
              <w:top w:val="nil"/>
              <w:left w:val="nil"/>
              <w:bottom w:val="nil"/>
              <w:right w:val="nil"/>
            </w:tcBorders>
          </w:tcPr>
          <w:p w14:paraId="5D460305" w14:textId="3A8EAA4E" w:rsidR="00892B94" w:rsidRPr="007757AC" w:rsidRDefault="00892B94" w:rsidP="00057FCC">
            <w:pPr>
              <w:tabs>
                <w:tab w:val="left" w:pos="432"/>
              </w:tabs>
              <w:suppressAutoHyphens/>
              <w:autoSpaceDE w:val="0"/>
              <w:autoSpaceDN w:val="0"/>
              <w:adjustRightInd w:val="0"/>
              <w:spacing w:after="240"/>
              <w:jc w:val="left"/>
              <w:rPr>
                <w:rFonts w:eastAsia="Times New Roman" w:cs="Times New Roman"/>
                <w:i/>
                <w:iCs/>
                <w:lang w:val="fr-CA" w:eastAsia="ja-JP"/>
              </w:rPr>
            </w:pPr>
            <w:r w:rsidRPr="007757AC">
              <w:rPr>
                <w:rFonts w:eastAsia="Times New Roman" w:cs="Times New Roman"/>
                <w:i/>
                <w:iCs/>
                <w:lang w:val="fr-CA" w:eastAsia="ja-JP"/>
              </w:rPr>
              <w:t>Entente de non-divulgation, de non-sollicitation et de développement</w:t>
            </w:r>
            <w:r w:rsidR="0079050B" w:rsidRPr="007757AC">
              <w:rPr>
                <w:rFonts w:eastAsia="Times New Roman" w:cs="Times New Roman"/>
                <w:i/>
                <w:iCs/>
                <w:lang w:val="fr-CA" w:eastAsia="ja-JP"/>
              </w:rPr>
              <w:t> </w:t>
            </w:r>
            <w:r w:rsidRPr="007757AC">
              <w:rPr>
                <w:rFonts w:eastAsia="Times New Roman" w:cs="Times New Roman"/>
                <w:i/>
                <w:iCs/>
                <w:lang w:val="fr-CA" w:eastAsia="ja-JP"/>
              </w:rPr>
              <w:t>:</w:t>
            </w:r>
          </w:p>
        </w:tc>
        <w:tc>
          <w:tcPr>
            <w:tcW w:w="3413" w:type="pct"/>
            <w:tcBorders>
              <w:top w:val="nil"/>
              <w:left w:val="nil"/>
              <w:bottom w:val="nil"/>
              <w:right w:val="nil"/>
            </w:tcBorders>
          </w:tcPr>
          <w:p w14:paraId="61EEABEF" w14:textId="173CB61C" w:rsidR="00892B94" w:rsidRPr="007757AC" w:rsidRDefault="00892B94" w:rsidP="00057FCC">
            <w:pPr>
              <w:tabs>
                <w:tab w:val="left" w:pos="432"/>
              </w:tabs>
              <w:suppressAutoHyphens/>
              <w:autoSpaceDE w:val="0"/>
              <w:autoSpaceDN w:val="0"/>
              <w:adjustRightInd w:val="0"/>
              <w:spacing w:after="240"/>
              <w:rPr>
                <w:rFonts w:eastAsia="Times New Roman" w:cs="Times New Roman"/>
                <w:lang w:val="fr-CA" w:eastAsia="ja-JP"/>
              </w:rPr>
            </w:pPr>
            <w:r w:rsidRPr="007757AC">
              <w:rPr>
                <w:rFonts w:eastAsia="Times New Roman" w:cs="Times New Roman"/>
                <w:lang w:val="fr-CA" w:eastAsia="ja-JP"/>
              </w:rPr>
              <w:t xml:space="preserve">Chaque fondateur, employé </w:t>
            </w:r>
            <w:r w:rsidR="00472FB4">
              <w:rPr>
                <w:rFonts w:eastAsia="Times New Roman" w:cs="Times New Roman"/>
                <w:lang w:val="fr-CA" w:eastAsia="ja-JP"/>
              </w:rPr>
              <w:t>ou</w:t>
            </w:r>
            <w:r w:rsidRPr="007757AC">
              <w:rPr>
                <w:rFonts w:eastAsia="Times New Roman" w:cs="Times New Roman"/>
                <w:lang w:val="fr-CA" w:eastAsia="ja-JP"/>
              </w:rPr>
              <w:t xml:space="preserve"> consultant actuel</w:t>
            </w:r>
            <w:r w:rsidR="005141ED" w:rsidRPr="007757AC">
              <w:rPr>
                <w:rFonts w:eastAsia="Times New Roman" w:cs="Times New Roman"/>
                <w:lang w:val="fr-CA" w:eastAsia="ja-JP"/>
              </w:rPr>
              <w:t xml:space="preserve"> ou</w:t>
            </w:r>
            <w:r w:rsidRPr="007757AC">
              <w:rPr>
                <w:rFonts w:eastAsia="Times New Roman" w:cs="Times New Roman"/>
                <w:lang w:val="fr-CA" w:eastAsia="ja-JP"/>
              </w:rPr>
              <w:t xml:space="preserve"> futur et</w:t>
            </w:r>
            <w:r w:rsidR="005141ED" w:rsidRPr="007757AC">
              <w:rPr>
                <w:rFonts w:eastAsia="Times New Roman" w:cs="Times New Roman"/>
                <w:lang w:val="fr-CA" w:eastAsia="ja-JP"/>
              </w:rPr>
              <w:t xml:space="preserve"> chaque</w:t>
            </w:r>
            <w:r w:rsidRPr="007757AC">
              <w:rPr>
                <w:rFonts w:eastAsia="Times New Roman" w:cs="Times New Roman"/>
                <w:lang w:val="fr-CA" w:eastAsia="ja-JP"/>
              </w:rPr>
              <w:t xml:space="preserve"> ancien </w:t>
            </w:r>
            <w:r w:rsidR="005141ED" w:rsidRPr="007757AC">
              <w:rPr>
                <w:rFonts w:eastAsia="Times New Roman" w:cs="Times New Roman"/>
                <w:lang w:val="fr-CA" w:eastAsia="ja-JP"/>
              </w:rPr>
              <w:t xml:space="preserve">fondateur, employé et consultant </w:t>
            </w:r>
            <w:r w:rsidRPr="007757AC">
              <w:rPr>
                <w:rFonts w:eastAsia="Times New Roman" w:cs="Times New Roman"/>
                <w:lang w:val="fr-CA" w:eastAsia="ja-JP"/>
              </w:rPr>
              <w:t>conclur</w:t>
            </w:r>
            <w:r w:rsidR="005141ED" w:rsidRPr="007757AC">
              <w:rPr>
                <w:rFonts w:eastAsia="Times New Roman" w:cs="Times New Roman"/>
                <w:lang w:val="fr-CA" w:eastAsia="ja-JP"/>
              </w:rPr>
              <w:t>ont</w:t>
            </w:r>
            <w:r w:rsidRPr="007757AC">
              <w:rPr>
                <w:rFonts w:eastAsia="Times New Roman" w:cs="Times New Roman"/>
                <w:lang w:val="fr-CA" w:eastAsia="ja-JP"/>
              </w:rPr>
              <w:t xml:space="preserve"> une </w:t>
            </w:r>
            <w:r w:rsidR="0053232A">
              <w:rPr>
                <w:rFonts w:eastAsia="Times New Roman" w:cs="Times New Roman"/>
                <w:lang w:val="fr-CA" w:eastAsia="ja-JP"/>
              </w:rPr>
              <w:t>entente</w:t>
            </w:r>
            <w:r w:rsidRPr="007757AC">
              <w:rPr>
                <w:rFonts w:eastAsia="Times New Roman" w:cs="Times New Roman"/>
                <w:lang w:val="fr-CA" w:eastAsia="ja-JP"/>
              </w:rPr>
              <w:t xml:space="preserve"> de non-divulgation, de non-sollicitation et de cession de droits de propriété </w:t>
            </w:r>
            <w:r w:rsidR="005141ED" w:rsidRPr="007757AC">
              <w:rPr>
                <w:rFonts w:eastAsia="Times New Roman" w:cs="Times New Roman"/>
                <w:lang w:val="fr-CA" w:eastAsia="ja-JP"/>
              </w:rPr>
              <w:t xml:space="preserve">présentée dans </w:t>
            </w:r>
            <w:r w:rsidRPr="007757AC">
              <w:rPr>
                <w:rFonts w:eastAsia="Times New Roman" w:cs="Times New Roman"/>
                <w:lang w:val="fr-CA" w:eastAsia="ja-JP"/>
              </w:rPr>
              <w:t xml:space="preserve">une forme </w:t>
            </w:r>
            <w:r w:rsidR="005141ED" w:rsidRPr="007757AC">
              <w:rPr>
                <w:rFonts w:eastAsia="Times New Roman" w:cs="Times New Roman"/>
                <w:lang w:val="fr-CA" w:eastAsia="ja-JP"/>
              </w:rPr>
              <w:t xml:space="preserve">jugée </w:t>
            </w:r>
            <w:r w:rsidRPr="007757AC">
              <w:rPr>
                <w:rFonts w:eastAsia="Times New Roman" w:cs="Times New Roman"/>
                <w:lang w:val="fr-CA" w:eastAsia="ja-JP"/>
              </w:rPr>
              <w:t>raisonnablement acceptable p</w:t>
            </w:r>
            <w:r w:rsidR="005141ED" w:rsidRPr="007757AC">
              <w:rPr>
                <w:rFonts w:eastAsia="Times New Roman" w:cs="Times New Roman"/>
                <w:lang w:val="fr-CA" w:eastAsia="ja-JP"/>
              </w:rPr>
              <w:t>ar</w:t>
            </w:r>
            <w:r w:rsidRPr="007757AC">
              <w:rPr>
                <w:rFonts w:eastAsia="Times New Roman" w:cs="Times New Roman"/>
                <w:lang w:val="fr-CA" w:eastAsia="ja-JP"/>
              </w:rPr>
              <w:t xml:space="preserve"> les Investisseurs. </w:t>
            </w:r>
          </w:p>
        </w:tc>
      </w:tr>
      <w:tr w:rsidR="00892B94" w:rsidRPr="008E00AC" w14:paraId="24B11F9C" w14:textId="77777777" w:rsidTr="00057FCC">
        <w:tc>
          <w:tcPr>
            <w:tcW w:w="1587" w:type="pct"/>
            <w:tcBorders>
              <w:top w:val="nil"/>
              <w:left w:val="nil"/>
              <w:bottom w:val="nil"/>
              <w:right w:val="nil"/>
            </w:tcBorders>
          </w:tcPr>
          <w:p w14:paraId="64AD39AB" w14:textId="0BB5C042" w:rsidR="00892B94" w:rsidRPr="007757AC" w:rsidRDefault="00892B94" w:rsidP="00057FCC">
            <w:pPr>
              <w:tabs>
                <w:tab w:val="left" w:pos="432"/>
              </w:tabs>
              <w:suppressAutoHyphens/>
              <w:autoSpaceDE w:val="0"/>
              <w:autoSpaceDN w:val="0"/>
              <w:adjustRightInd w:val="0"/>
              <w:spacing w:after="240"/>
              <w:jc w:val="left"/>
              <w:rPr>
                <w:rFonts w:eastAsia="Times New Roman" w:cs="Times New Roman"/>
                <w:i/>
                <w:iCs/>
                <w:lang w:val="fr-CA" w:eastAsia="ja-JP"/>
              </w:rPr>
            </w:pPr>
            <w:r w:rsidRPr="007757AC">
              <w:rPr>
                <w:rFonts w:eastAsia="Times New Roman" w:cs="Times New Roman"/>
                <w:i/>
                <w:iCs/>
                <w:lang w:val="fr-CA" w:eastAsia="ja-JP"/>
              </w:rPr>
              <w:t>Questions relatives au Conseil</w:t>
            </w:r>
            <w:r w:rsidR="0079050B" w:rsidRPr="007757AC">
              <w:rPr>
                <w:rFonts w:eastAsia="Times New Roman" w:cs="Times New Roman"/>
                <w:i/>
                <w:iCs/>
                <w:lang w:val="fr-CA" w:eastAsia="ja-JP"/>
              </w:rPr>
              <w:t> :</w:t>
            </w:r>
          </w:p>
        </w:tc>
        <w:tc>
          <w:tcPr>
            <w:tcW w:w="3413" w:type="pct"/>
            <w:tcBorders>
              <w:top w:val="nil"/>
              <w:left w:val="nil"/>
              <w:bottom w:val="nil"/>
              <w:right w:val="nil"/>
            </w:tcBorders>
          </w:tcPr>
          <w:p w14:paraId="648A321B" w14:textId="6670EE87" w:rsidR="00892B94" w:rsidRPr="007757AC" w:rsidRDefault="00892B94" w:rsidP="00057FCC">
            <w:pPr>
              <w:tabs>
                <w:tab w:val="left" w:pos="432"/>
              </w:tabs>
              <w:suppressAutoHyphens/>
              <w:autoSpaceDE w:val="0"/>
              <w:autoSpaceDN w:val="0"/>
              <w:adjustRightInd w:val="0"/>
              <w:spacing w:after="240"/>
              <w:rPr>
                <w:rFonts w:eastAsia="Times New Roman" w:cs="Times New Roman"/>
                <w:lang w:val="fr-CA" w:eastAsia="ja-JP"/>
              </w:rPr>
            </w:pPr>
            <w:r w:rsidRPr="007757AC">
              <w:rPr>
                <w:rFonts w:eastAsia="Times New Roman" w:cs="Times New Roman"/>
                <w:lang w:val="fr-CA" w:eastAsia="ja-JP"/>
              </w:rPr>
              <w:t xml:space="preserve">[Chaque comité du </w:t>
            </w:r>
            <w:r w:rsidR="0079050B" w:rsidRPr="007757AC">
              <w:rPr>
                <w:rFonts w:eastAsia="Times New Roman" w:cs="Times New Roman"/>
                <w:lang w:val="fr-CA" w:eastAsia="ja-JP"/>
              </w:rPr>
              <w:t>C</w:t>
            </w:r>
            <w:r w:rsidRPr="007757AC">
              <w:rPr>
                <w:rFonts w:eastAsia="Times New Roman" w:cs="Times New Roman"/>
                <w:lang w:val="fr-CA" w:eastAsia="ja-JP"/>
              </w:rPr>
              <w:t>onseil/</w:t>
            </w:r>
            <w:r w:rsidR="00145B88">
              <w:rPr>
                <w:rFonts w:eastAsia="Times New Roman" w:cs="Times New Roman"/>
                <w:lang w:val="fr-CA" w:eastAsia="ja-JP"/>
              </w:rPr>
              <w:t>L</w:t>
            </w:r>
            <w:r w:rsidR="0079050B" w:rsidRPr="007757AC">
              <w:rPr>
                <w:rFonts w:eastAsia="Times New Roman" w:cs="Times New Roman"/>
                <w:lang w:val="fr-CA" w:eastAsia="ja-JP"/>
              </w:rPr>
              <w:t xml:space="preserve">e </w:t>
            </w:r>
            <w:r w:rsidRPr="007757AC">
              <w:rPr>
                <w:rFonts w:eastAsia="Times New Roman" w:cs="Times New Roman"/>
                <w:lang w:val="fr-CA" w:eastAsia="ja-JP"/>
              </w:rPr>
              <w:t>comité de mise en candidature et d</w:t>
            </w:r>
            <w:r w:rsidR="00CC4D89">
              <w:rPr>
                <w:rFonts w:eastAsia="Times New Roman" w:cs="Times New Roman"/>
                <w:lang w:val="fr-CA" w:eastAsia="ja-JP"/>
              </w:rPr>
              <w:t>’</w:t>
            </w:r>
            <w:r w:rsidRPr="007757AC">
              <w:rPr>
                <w:rFonts w:eastAsia="Times New Roman" w:cs="Times New Roman"/>
                <w:lang w:val="fr-CA" w:eastAsia="ja-JP"/>
              </w:rPr>
              <w:t xml:space="preserve">audit doit comprendre au moins un </w:t>
            </w:r>
            <w:r w:rsidR="0079050B" w:rsidRPr="007757AC">
              <w:rPr>
                <w:rFonts w:eastAsia="Times New Roman" w:cs="Times New Roman"/>
                <w:lang w:val="fr-CA" w:eastAsia="ja-JP"/>
              </w:rPr>
              <w:t>A</w:t>
            </w:r>
            <w:r w:rsidRPr="007757AC">
              <w:rPr>
                <w:rFonts w:eastAsia="Times New Roman" w:cs="Times New Roman"/>
                <w:lang w:val="fr-CA" w:eastAsia="ja-JP"/>
              </w:rPr>
              <w:t>dministrateur privilégié.] La Société remboursera aux administrateurs [non-</w:t>
            </w:r>
            <w:r w:rsidR="0079050B" w:rsidRPr="007757AC">
              <w:rPr>
                <w:rFonts w:eastAsia="Times New Roman" w:cs="Times New Roman"/>
                <w:lang w:val="fr-CA" w:eastAsia="ja-JP"/>
              </w:rPr>
              <w:t>salariés</w:t>
            </w:r>
            <w:r w:rsidRPr="007757AC">
              <w:rPr>
                <w:rFonts w:eastAsia="Times New Roman" w:cs="Times New Roman"/>
                <w:lang w:val="fr-CA" w:eastAsia="ja-JP"/>
              </w:rPr>
              <w:t xml:space="preserve">] les frais raisonnables engagés </w:t>
            </w:r>
            <w:r w:rsidR="0079050B" w:rsidRPr="007757AC">
              <w:rPr>
                <w:rFonts w:eastAsia="Times New Roman" w:cs="Times New Roman"/>
                <w:lang w:val="fr-CA" w:eastAsia="ja-JP"/>
              </w:rPr>
              <w:t>pour assister aux</w:t>
            </w:r>
            <w:r w:rsidRPr="007757AC">
              <w:rPr>
                <w:rFonts w:eastAsia="Times New Roman" w:cs="Times New Roman"/>
                <w:lang w:val="fr-CA" w:eastAsia="ja-JP"/>
              </w:rPr>
              <w:t xml:space="preserve"> réunions du </w:t>
            </w:r>
            <w:r w:rsidR="0079050B" w:rsidRPr="007757AC">
              <w:rPr>
                <w:rFonts w:eastAsia="Times New Roman" w:cs="Times New Roman"/>
                <w:lang w:val="fr-CA" w:eastAsia="ja-JP"/>
              </w:rPr>
              <w:t>C</w:t>
            </w:r>
            <w:r w:rsidRPr="007757AC">
              <w:rPr>
                <w:rFonts w:eastAsia="Times New Roman" w:cs="Times New Roman"/>
                <w:lang w:val="fr-CA" w:eastAsia="ja-JP"/>
              </w:rPr>
              <w:t xml:space="preserve">onseil. La Société </w:t>
            </w:r>
            <w:r w:rsidR="00846E92" w:rsidRPr="007757AC">
              <w:rPr>
                <w:rFonts w:eastAsia="Times New Roman" w:cs="Times New Roman"/>
                <w:lang w:val="fr-CA" w:eastAsia="ja-JP"/>
              </w:rPr>
              <w:t>contractera auprès d</w:t>
            </w:r>
            <w:r w:rsidR="00CC4D89">
              <w:rPr>
                <w:rFonts w:eastAsia="Times New Roman" w:cs="Times New Roman"/>
                <w:lang w:val="fr-CA" w:eastAsia="ja-JP"/>
              </w:rPr>
              <w:t>’</w:t>
            </w:r>
            <w:r w:rsidR="00846E92" w:rsidRPr="007757AC">
              <w:rPr>
                <w:rFonts w:eastAsia="Times New Roman" w:cs="Times New Roman"/>
                <w:lang w:val="fr-CA" w:eastAsia="ja-JP"/>
              </w:rPr>
              <w:t>une société d</w:t>
            </w:r>
            <w:r w:rsidR="00CC4D89">
              <w:rPr>
                <w:rFonts w:eastAsia="Times New Roman" w:cs="Times New Roman"/>
                <w:lang w:val="fr-CA" w:eastAsia="ja-JP"/>
              </w:rPr>
              <w:t>’</w:t>
            </w:r>
            <w:r w:rsidR="00846E92" w:rsidRPr="007757AC">
              <w:rPr>
                <w:rFonts w:eastAsia="Times New Roman" w:cs="Times New Roman"/>
                <w:lang w:val="fr-CA" w:eastAsia="ja-JP"/>
              </w:rPr>
              <w:t xml:space="preserve">assurance une </w:t>
            </w:r>
            <w:r w:rsidRPr="007757AC">
              <w:rPr>
                <w:rFonts w:eastAsia="Times New Roman" w:cs="Times New Roman"/>
                <w:lang w:val="fr-CA" w:eastAsia="ja-JP"/>
              </w:rPr>
              <w:t>assurance</w:t>
            </w:r>
            <w:r w:rsidR="00846E92" w:rsidRPr="007757AC">
              <w:rPr>
                <w:rFonts w:eastAsia="Times New Roman" w:cs="Times New Roman"/>
                <w:lang w:val="fr-CA" w:eastAsia="ja-JP"/>
              </w:rPr>
              <w:t xml:space="preserve"> responsabilité </w:t>
            </w:r>
            <w:r w:rsidRPr="007757AC">
              <w:rPr>
                <w:rFonts w:eastAsia="Times New Roman" w:cs="Times New Roman"/>
                <w:lang w:val="fr-CA" w:eastAsia="ja-JP"/>
              </w:rPr>
              <w:t xml:space="preserve">des administrateurs et dirigeants </w:t>
            </w:r>
            <w:r w:rsidR="00846E92" w:rsidRPr="007757AC">
              <w:rPr>
                <w:rFonts w:eastAsia="Times New Roman" w:cs="Times New Roman"/>
                <w:lang w:val="fr-CA" w:eastAsia="ja-JP"/>
              </w:rPr>
              <w:t>d</w:t>
            </w:r>
            <w:r w:rsidR="00CC4D89">
              <w:rPr>
                <w:rFonts w:eastAsia="Times New Roman" w:cs="Times New Roman"/>
                <w:lang w:val="fr-CA" w:eastAsia="ja-JP"/>
              </w:rPr>
              <w:t>’</w:t>
            </w:r>
            <w:r w:rsidR="00846E92" w:rsidRPr="007757AC">
              <w:rPr>
                <w:rFonts w:eastAsia="Times New Roman" w:cs="Times New Roman"/>
                <w:lang w:val="fr-CA" w:eastAsia="ja-JP"/>
              </w:rPr>
              <w:t xml:space="preserve">un montant </w:t>
            </w:r>
            <w:r w:rsidRPr="007757AC">
              <w:rPr>
                <w:rFonts w:eastAsia="Times New Roman" w:cs="Times New Roman"/>
                <w:lang w:val="fr-CA" w:eastAsia="ja-JP"/>
              </w:rPr>
              <w:t>jugé satisfaisant par le Conseil d</w:t>
            </w:r>
            <w:r w:rsidR="00CC4D89">
              <w:rPr>
                <w:rFonts w:eastAsia="Times New Roman" w:cs="Times New Roman"/>
                <w:lang w:val="fr-CA" w:eastAsia="ja-JP"/>
              </w:rPr>
              <w:t>’</w:t>
            </w:r>
            <w:r w:rsidRPr="007757AC">
              <w:rPr>
                <w:rFonts w:eastAsia="Times New Roman" w:cs="Times New Roman"/>
                <w:lang w:val="fr-CA" w:eastAsia="ja-JP"/>
              </w:rPr>
              <w:t xml:space="preserve">administration. La Société conclura une </w:t>
            </w:r>
            <w:r w:rsidR="00846E92" w:rsidRPr="007757AC">
              <w:rPr>
                <w:rFonts w:eastAsia="Times New Roman" w:cs="Times New Roman"/>
                <w:lang w:val="fr-CA" w:eastAsia="ja-JP"/>
              </w:rPr>
              <w:t>C</w:t>
            </w:r>
            <w:r w:rsidRPr="007757AC">
              <w:rPr>
                <w:rFonts w:eastAsia="Times New Roman" w:cs="Times New Roman"/>
                <w:lang w:val="fr-CA" w:eastAsia="ja-JP"/>
              </w:rPr>
              <w:t>onvention d</w:t>
            </w:r>
            <w:r w:rsidR="00CC4D89">
              <w:rPr>
                <w:rFonts w:eastAsia="Times New Roman" w:cs="Times New Roman"/>
                <w:lang w:val="fr-CA" w:eastAsia="ja-JP"/>
              </w:rPr>
              <w:t>’</w:t>
            </w:r>
            <w:r w:rsidRPr="007757AC">
              <w:rPr>
                <w:rFonts w:eastAsia="Times New Roman" w:cs="Times New Roman"/>
                <w:lang w:val="fr-CA" w:eastAsia="ja-JP"/>
              </w:rPr>
              <w:t xml:space="preserve">indemnisation avec chacun] des </w:t>
            </w:r>
            <w:r w:rsidR="00846E92" w:rsidRPr="007757AC">
              <w:rPr>
                <w:rFonts w:eastAsia="Times New Roman" w:cs="Times New Roman"/>
                <w:lang w:val="fr-CA" w:eastAsia="ja-JP"/>
              </w:rPr>
              <w:t>A</w:t>
            </w:r>
            <w:r w:rsidRPr="007757AC">
              <w:rPr>
                <w:rFonts w:eastAsia="Times New Roman" w:cs="Times New Roman"/>
                <w:lang w:val="fr-CA" w:eastAsia="ja-JP"/>
              </w:rPr>
              <w:t xml:space="preserve">dministrateurs privilégiés comportant des dispositions </w:t>
            </w:r>
            <w:r w:rsidR="00145B88">
              <w:rPr>
                <w:rFonts w:eastAsia="Times New Roman" w:cs="Times New Roman"/>
                <w:lang w:val="fr-CA" w:eastAsia="ja-JP"/>
              </w:rPr>
              <w:t>s’appliquant au profit d</w:t>
            </w:r>
            <w:r w:rsidRPr="007757AC">
              <w:rPr>
                <w:rFonts w:eastAsia="Times New Roman" w:cs="Times New Roman"/>
                <w:lang w:val="fr-CA" w:eastAsia="ja-JP"/>
              </w:rPr>
              <w:t>es fonds membres de leur groupe</w:t>
            </w:r>
            <w:r w:rsidR="00846E92" w:rsidRPr="007757AC">
              <w:rPr>
                <w:rFonts w:eastAsia="Times New Roman" w:cs="Times New Roman"/>
                <w:lang w:val="fr-CA" w:eastAsia="ja-JP"/>
              </w:rPr>
              <w:t xml:space="preserve"> et présentée</w:t>
            </w:r>
            <w:r w:rsidRPr="007757AC">
              <w:rPr>
                <w:rFonts w:eastAsia="Times New Roman" w:cs="Times New Roman"/>
                <w:lang w:val="fr-CA" w:eastAsia="ja-JP"/>
              </w:rPr>
              <w:t xml:space="preserve"> dans une forme que </w:t>
            </w:r>
            <w:r w:rsidR="00846E92" w:rsidRPr="007757AC">
              <w:rPr>
                <w:rFonts w:eastAsia="Times New Roman" w:cs="Times New Roman"/>
                <w:lang w:val="fr-CA" w:eastAsia="ja-JP"/>
              </w:rPr>
              <w:t>l</w:t>
            </w:r>
            <w:r w:rsidR="00CC4D89">
              <w:rPr>
                <w:rFonts w:eastAsia="Times New Roman" w:cs="Times New Roman"/>
                <w:lang w:val="fr-CA" w:eastAsia="ja-JP"/>
              </w:rPr>
              <w:t>’</w:t>
            </w:r>
            <w:r w:rsidRPr="007757AC">
              <w:rPr>
                <w:rFonts w:eastAsia="Times New Roman" w:cs="Times New Roman"/>
                <w:lang w:val="fr-CA" w:eastAsia="ja-JP"/>
              </w:rPr>
              <w:t>administrateur juge acceptable. Si la Société fusionne avec une autre entité et n</w:t>
            </w:r>
            <w:r w:rsidR="00CC4D89">
              <w:rPr>
                <w:rFonts w:eastAsia="Times New Roman" w:cs="Times New Roman"/>
                <w:lang w:val="fr-CA" w:eastAsia="ja-JP"/>
              </w:rPr>
              <w:t>’</w:t>
            </w:r>
            <w:r w:rsidRPr="007757AC">
              <w:rPr>
                <w:rFonts w:eastAsia="Times New Roman" w:cs="Times New Roman"/>
                <w:lang w:val="fr-CA" w:eastAsia="ja-JP"/>
              </w:rPr>
              <w:t>est pas l</w:t>
            </w:r>
            <w:r w:rsidR="00CC4D89">
              <w:rPr>
                <w:rFonts w:eastAsia="Times New Roman" w:cs="Times New Roman"/>
                <w:lang w:val="fr-CA" w:eastAsia="ja-JP"/>
              </w:rPr>
              <w:t>’</w:t>
            </w:r>
            <w:r w:rsidRPr="007757AC">
              <w:rPr>
                <w:rFonts w:eastAsia="Times New Roman" w:cs="Times New Roman"/>
                <w:lang w:val="fr-CA" w:eastAsia="ja-JP"/>
              </w:rPr>
              <w:t>entité issue de la fusion, ou transf</w:t>
            </w:r>
            <w:r w:rsidR="00846E92" w:rsidRPr="007757AC">
              <w:rPr>
                <w:rFonts w:eastAsia="Times New Roman" w:cs="Times New Roman"/>
                <w:lang w:val="fr-CA" w:eastAsia="ja-JP"/>
              </w:rPr>
              <w:t>ère</w:t>
            </w:r>
            <w:r w:rsidRPr="007757AC">
              <w:rPr>
                <w:rFonts w:eastAsia="Times New Roman" w:cs="Times New Roman"/>
                <w:lang w:val="fr-CA" w:eastAsia="ja-JP"/>
              </w:rPr>
              <w:t xml:space="preserve"> la totalité de ses actifs, des dispositions appropriées doivent être pr</w:t>
            </w:r>
            <w:r w:rsidR="00846E92" w:rsidRPr="007757AC">
              <w:rPr>
                <w:rFonts w:eastAsia="Times New Roman" w:cs="Times New Roman"/>
                <w:lang w:val="fr-CA" w:eastAsia="ja-JP"/>
              </w:rPr>
              <w:t>évues</w:t>
            </w:r>
            <w:r w:rsidRPr="007757AC">
              <w:rPr>
                <w:rFonts w:eastAsia="Times New Roman" w:cs="Times New Roman"/>
                <w:lang w:val="fr-CA" w:eastAsia="ja-JP"/>
              </w:rPr>
              <w:t xml:space="preserve"> pour que les successeurs de la Société assument les obligations de la Société en ce qui concerne l</w:t>
            </w:r>
            <w:r w:rsidR="00CC4D89">
              <w:rPr>
                <w:rFonts w:eastAsia="Times New Roman" w:cs="Times New Roman"/>
                <w:lang w:val="fr-CA" w:eastAsia="ja-JP"/>
              </w:rPr>
              <w:t>’</w:t>
            </w:r>
            <w:r w:rsidRPr="007757AC">
              <w:rPr>
                <w:rFonts w:eastAsia="Times New Roman" w:cs="Times New Roman"/>
                <w:lang w:val="fr-CA" w:eastAsia="ja-JP"/>
              </w:rPr>
              <w:t xml:space="preserve">indemnisation des Administrateurs. </w:t>
            </w:r>
          </w:p>
        </w:tc>
      </w:tr>
      <w:tr w:rsidR="00892B94" w:rsidRPr="008E00AC" w14:paraId="4E2CF508" w14:textId="77777777" w:rsidTr="00057FCC">
        <w:tc>
          <w:tcPr>
            <w:tcW w:w="1587" w:type="pct"/>
            <w:tcBorders>
              <w:top w:val="nil"/>
              <w:left w:val="nil"/>
              <w:bottom w:val="nil"/>
              <w:right w:val="nil"/>
            </w:tcBorders>
          </w:tcPr>
          <w:p w14:paraId="3A16696E" w14:textId="00073A59" w:rsidR="00892B94" w:rsidRPr="007757AC" w:rsidRDefault="00892B94" w:rsidP="00057FCC">
            <w:pPr>
              <w:tabs>
                <w:tab w:val="left" w:pos="432"/>
              </w:tabs>
              <w:suppressAutoHyphens/>
              <w:autoSpaceDE w:val="0"/>
              <w:autoSpaceDN w:val="0"/>
              <w:adjustRightInd w:val="0"/>
              <w:spacing w:after="240"/>
              <w:jc w:val="left"/>
              <w:rPr>
                <w:rFonts w:eastAsia="Times New Roman" w:cs="Times New Roman"/>
                <w:i/>
                <w:iCs/>
                <w:lang w:val="fr-CA" w:eastAsia="ja-JP"/>
              </w:rPr>
            </w:pPr>
            <w:r w:rsidRPr="007757AC">
              <w:rPr>
                <w:rFonts w:eastAsia="Times New Roman" w:cs="Times New Roman"/>
                <w:i/>
                <w:iCs/>
                <w:lang w:val="fr-CA" w:eastAsia="ja-JP"/>
              </w:rPr>
              <w:t>Options d</w:t>
            </w:r>
            <w:r w:rsidR="00CC4D89">
              <w:rPr>
                <w:rFonts w:eastAsia="Times New Roman" w:cs="Times New Roman"/>
                <w:i/>
                <w:iCs/>
                <w:lang w:val="fr-CA" w:eastAsia="ja-JP"/>
              </w:rPr>
              <w:t>’</w:t>
            </w:r>
            <w:r w:rsidRPr="007757AC">
              <w:rPr>
                <w:rFonts w:eastAsia="Times New Roman" w:cs="Times New Roman"/>
                <w:i/>
                <w:iCs/>
                <w:lang w:val="fr-CA" w:eastAsia="ja-JP"/>
              </w:rPr>
              <w:t>achat d</w:t>
            </w:r>
            <w:r w:rsidR="00CC4D89">
              <w:rPr>
                <w:rFonts w:eastAsia="Times New Roman" w:cs="Times New Roman"/>
                <w:i/>
                <w:iCs/>
                <w:lang w:val="fr-CA" w:eastAsia="ja-JP"/>
              </w:rPr>
              <w:t>’</w:t>
            </w:r>
            <w:r w:rsidRPr="007757AC">
              <w:rPr>
                <w:rFonts w:eastAsia="Times New Roman" w:cs="Times New Roman"/>
                <w:i/>
                <w:iCs/>
                <w:lang w:val="fr-CA" w:eastAsia="ja-JP"/>
              </w:rPr>
              <w:t xml:space="preserve">actions </w:t>
            </w:r>
            <w:r w:rsidR="00D33D76" w:rsidRPr="007757AC">
              <w:rPr>
                <w:rFonts w:eastAsia="Times New Roman" w:cs="Times New Roman"/>
                <w:i/>
                <w:iCs/>
                <w:lang w:val="fr-CA" w:eastAsia="ja-JP"/>
              </w:rPr>
              <w:t>des</w:t>
            </w:r>
            <w:r w:rsidRPr="007757AC">
              <w:rPr>
                <w:rFonts w:eastAsia="Times New Roman" w:cs="Times New Roman"/>
                <w:i/>
                <w:iCs/>
                <w:lang w:val="fr-CA" w:eastAsia="ja-JP"/>
              </w:rPr>
              <w:t xml:space="preserve"> employés</w:t>
            </w:r>
            <w:r w:rsidR="00E80447">
              <w:rPr>
                <w:rFonts w:eastAsia="Times New Roman" w:cs="Times New Roman"/>
                <w:i/>
                <w:iCs/>
                <w:lang w:val="fr-CA" w:eastAsia="ja-JP"/>
              </w:rPr>
              <w:t> :</w:t>
            </w:r>
          </w:p>
        </w:tc>
        <w:tc>
          <w:tcPr>
            <w:tcW w:w="3413" w:type="pct"/>
            <w:tcBorders>
              <w:top w:val="nil"/>
              <w:left w:val="nil"/>
              <w:bottom w:val="nil"/>
              <w:right w:val="nil"/>
            </w:tcBorders>
          </w:tcPr>
          <w:p w14:paraId="08D77EED" w14:textId="68832868" w:rsidR="00892B94" w:rsidRPr="007757AC" w:rsidRDefault="00D33D76" w:rsidP="00057FCC">
            <w:pPr>
              <w:tabs>
                <w:tab w:val="left" w:pos="432"/>
              </w:tabs>
              <w:suppressAutoHyphens/>
              <w:autoSpaceDE w:val="0"/>
              <w:autoSpaceDN w:val="0"/>
              <w:adjustRightInd w:val="0"/>
              <w:spacing w:after="240"/>
              <w:rPr>
                <w:rFonts w:eastAsia="Times New Roman" w:cs="Times New Roman"/>
                <w:lang w:val="fr-CA" w:eastAsia="ja-JP"/>
              </w:rPr>
            </w:pPr>
            <w:r w:rsidRPr="007757AC">
              <w:rPr>
                <w:rFonts w:eastAsia="Times New Roman" w:cs="Times New Roman"/>
                <w:lang w:val="fr-CA" w:eastAsia="ja-JP"/>
              </w:rPr>
              <w:t>Tous les droits rattachés aux</w:t>
            </w:r>
            <w:r w:rsidR="00892B94" w:rsidRPr="007757AC">
              <w:rPr>
                <w:rFonts w:eastAsia="Times New Roman" w:cs="Times New Roman"/>
                <w:lang w:val="fr-CA" w:eastAsia="ja-JP"/>
              </w:rPr>
              <w:t xml:space="preserve"> options [futures] des employés seront acquis comme suit</w:t>
            </w:r>
            <w:r w:rsidRPr="007757AC">
              <w:rPr>
                <w:rFonts w:eastAsia="Times New Roman" w:cs="Times New Roman"/>
                <w:lang w:val="fr-CA" w:eastAsia="ja-JP"/>
              </w:rPr>
              <w:t> </w:t>
            </w:r>
            <w:r w:rsidR="00892B94" w:rsidRPr="007757AC">
              <w:rPr>
                <w:rFonts w:eastAsia="Times New Roman" w:cs="Times New Roman"/>
                <w:lang w:val="fr-CA" w:eastAsia="ja-JP"/>
              </w:rPr>
              <w:t>: [</w:t>
            </w:r>
            <w:r w:rsidR="00892B94" w:rsidRPr="008A64C8">
              <w:rPr>
                <w:rFonts w:eastAsia="Times New Roman" w:cs="Times New Roman"/>
                <w:lang w:val="fr-CA" w:eastAsia="ja-JP"/>
              </w:rPr>
              <w:t>25</w:t>
            </w:r>
            <w:r w:rsidR="002D3F68">
              <w:rPr>
                <w:rFonts w:eastAsia="Times New Roman" w:cs="Times New Roman"/>
                <w:lang w:val="fr-CA" w:eastAsia="ja-JP"/>
              </w:rPr>
              <w:t> %</w:t>
            </w:r>
            <w:r w:rsidR="00892B94" w:rsidRPr="007757AC">
              <w:rPr>
                <w:rFonts w:eastAsia="Times New Roman" w:cs="Times New Roman"/>
                <w:lang w:val="fr-CA" w:eastAsia="ja-JP"/>
              </w:rPr>
              <w:t xml:space="preserve"> après un an,</w:t>
            </w:r>
            <w:r w:rsidR="00472FB4">
              <w:rPr>
                <w:rFonts w:eastAsia="Times New Roman" w:cs="Times New Roman"/>
                <w:lang w:val="fr-CA" w:eastAsia="ja-JP"/>
              </w:rPr>
              <w:t xml:space="preserve"> et</w:t>
            </w:r>
            <w:r w:rsidR="00892B94" w:rsidRPr="007757AC">
              <w:rPr>
                <w:rFonts w:eastAsia="Times New Roman" w:cs="Times New Roman"/>
                <w:lang w:val="fr-CA" w:eastAsia="ja-JP"/>
              </w:rPr>
              <w:t xml:space="preserve"> le reste </w:t>
            </w:r>
            <w:r w:rsidR="00472FB4">
              <w:rPr>
                <w:rFonts w:eastAsia="Times New Roman" w:cs="Times New Roman"/>
                <w:lang w:val="fr-CA" w:eastAsia="ja-JP"/>
              </w:rPr>
              <w:t>sera</w:t>
            </w:r>
            <w:r w:rsidR="00892B94" w:rsidRPr="007757AC">
              <w:rPr>
                <w:rFonts w:eastAsia="Times New Roman" w:cs="Times New Roman"/>
                <w:lang w:val="fr-CA" w:eastAsia="ja-JP"/>
              </w:rPr>
              <w:t xml:space="preserve"> acquis mensuellement au cours des </w:t>
            </w:r>
            <w:r w:rsidR="00892B94" w:rsidRPr="008A64C8">
              <w:rPr>
                <w:rFonts w:eastAsia="Times New Roman" w:cs="Times New Roman"/>
                <w:lang w:val="fr-CA" w:eastAsia="ja-JP"/>
              </w:rPr>
              <w:t>36</w:t>
            </w:r>
            <w:r w:rsidR="00892B94" w:rsidRPr="007757AC">
              <w:rPr>
                <w:rFonts w:eastAsia="Times New Roman" w:cs="Times New Roman"/>
                <w:lang w:val="fr-CA" w:eastAsia="ja-JP"/>
              </w:rPr>
              <w:t xml:space="preserve"> prochains mois].</w:t>
            </w:r>
          </w:p>
        </w:tc>
      </w:tr>
      <w:tr w:rsidR="00892B94" w:rsidRPr="008E00AC" w14:paraId="6F56505A" w14:textId="77777777" w:rsidTr="00057FCC">
        <w:tc>
          <w:tcPr>
            <w:tcW w:w="1587" w:type="pct"/>
            <w:tcBorders>
              <w:top w:val="nil"/>
              <w:left w:val="nil"/>
              <w:bottom w:val="nil"/>
              <w:right w:val="nil"/>
            </w:tcBorders>
          </w:tcPr>
          <w:p w14:paraId="2DC110D2" w14:textId="77777777" w:rsidR="00892B94" w:rsidRPr="00E80447" w:rsidRDefault="00892B94" w:rsidP="00057FCC">
            <w:pPr>
              <w:tabs>
                <w:tab w:val="left" w:pos="432"/>
              </w:tabs>
              <w:suppressAutoHyphens/>
              <w:autoSpaceDE w:val="0"/>
              <w:autoSpaceDN w:val="0"/>
              <w:adjustRightInd w:val="0"/>
              <w:spacing w:after="240"/>
              <w:jc w:val="left"/>
              <w:rPr>
                <w:rFonts w:eastAsia="Times New Roman" w:cs="Times New Roman"/>
                <w:i/>
                <w:lang w:val="fr-CA" w:eastAsia="ja-JP"/>
              </w:rPr>
            </w:pPr>
            <w:r w:rsidRPr="00E80447">
              <w:rPr>
                <w:rFonts w:eastAsia="Times New Roman" w:cs="Times New Roman"/>
                <w:i/>
                <w:lang w:val="fr-CA" w:eastAsia="ja-JP"/>
              </w:rPr>
              <w:t>Autres engagements :</w:t>
            </w:r>
          </w:p>
        </w:tc>
        <w:tc>
          <w:tcPr>
            <w:tcW w:w="3413" w:type="pct"/>
            <w:tcBorders>
              <w:top w:val="nil"/>
              <w:left w:val="nil"/>
              <w:bottom w:val="nil"/>
              <w:right w:val="nil"/>
            </w:tcBorders>
          </w:tcPr>
          <w:p w14:paraId="62AF04C1" w14:textId="43427520" w:rsidR="00892B94" w:rsidRPr="007757AC" w:rsidRDefault="0053232A" w:rsidP="00057FCC">
            <w:pPr>
              <w:tabs>
                <w:tab w:val="left" w:pos="432"/>
              </w:tabs>
              <w:suppressAutoHyphens/>
              <w:autoSpaceDE w:val="0"/>
              <w:autoSpaceDN w:val="0"/>
              <w:adjustRightInd w:val="0"/>
              <w:spacing w:after="240"/>
              <w:rPr>
                <w:rFonts w:eastAsia="Times New Roman" w:cs="Times New Roman"/>
                <w:lang w:val="fr-CA" w:eastAsia="ja-JP"/>
              </w:rPr>
            </w:pPr>
            <w:r>
              <w:rPr>
                <w:rFonts w:eastAsia="Times New Roman" w:cs="Times New Roman"/>
                <w:lang w:val="fr-CA" w:eastAsia="ja-JP"/>
              </w:rPr>
              <w:t>Voir</w:t>
            </w:r>
            <w:r w:rsidR="00892B94" w:rsidRPr="007757AC">
              <w:rPr>
                <w:rFonts w:eastAsia="Times New Roman" w:cs="Times New Roman"/>
                <w:lang w:val="fr-CA" w:eastAsia="ja-JP"/>
              </w:rPr>
              <w:t xml:space="preserve"> le modèle de </w:t>
            </w:r>
            <w:r>
              <w:rPr>
                <w:rFonts w:eastAsia="Times New Roman" w:cs="Times New Roman"/>
                <w:lang w:val="fr-CA" w:eastAsia="ja-JP"/>
              </w:rPr>
              <w:t>C</w:t>
            </w:r>
            <w:r w:rsidR="00892B94" w:rsidRPr="007757AC">
              <w:rPr>
                <w:rFonts w:eastAsia="Times New Roman" w:cs="Times New Roman"/>
                <w:lang w:val="fr-CA" w:eastAsia="ja-JP"/>
              </w:rPr>
              <w:t>onvention relative aux droits des investisseurs de l</w:t>
            </w:r>
            <w:r w:rsidR="00CC4D89">
              <w:rPr>
                <w:rFonts w:eastAsia="Times New Roman" w:cs="Times New Roman"/>
                <w:lang w:val="fr-CA" w:eastAsia="ja-JP"/>
              </w:rPr>
              <w:t>’</w:t>
            </w:r>
            <w:r w:rsidR="00B93FE1">
              <w:rPr>
                <w:rFonts w:eastAsia="Times New Roman" w:cs="Times New Roman"/>
                <w:lang w:val="fr-CA" w:eastAsia="ja-JP"/>
              </w:rPr>
              <w:t xml:space="preserve">ACCRI </w:t>
            </w:r>
            <w:r w:rsidR="00892B94" w:rsidRPr="007757AC">
              <w:rPr>
                <w:rFonts w:eastAsia="Times New Roman" w:cs="Times New Roman"/>
                <w:lang w:val="fr-CA" w:eastAsia="ja-JP"/>
              </w:rPr>
              <w:t xml:space="preserve">pour </w:t>
            </w:r>
            <w:r w:rsidR="00B93FE1">
              <w:rPr>
                <w:rFonts w:eastAsia="Times New Roman" w:cs="Times New Roman"/>
                <w:lang w:val="fr-CA" w:eastAsia="ja-JP"/>
              </w:rPr>
              <w:t>des exemples d</w:t>
            </w:r>
            <w:r w:rsidR="00CC4D89">
              <w:rPr>
                <w:rFonts w:eastAsia="Times New Roman" w:cs="Times New Roman"/>
                <w:lang w:val="fr-CA" w:eastAsia="ja-JP"/>
              </w:rPr>
              <w:t>’</w:t>
            </w:r>
            <w:r w:rsidR="00B93FE1">
              <w:rPr>
                <w:rFonts w:eastAsia="Times New Roman" w:cs="Times New Roman"/>
                <w:lang w:val="fr-CA" w:eastAsia="ja-JP"/>
              </w:rPr>
              <w:t>autres types d</w:t>
            </w:r>
            <w:r w:rsidR="00CC4D89">
              <w:rPr>
                <w:rFonts w:eastAsia="Times New Roman" w:cs="Times New Roman"/>
                <w:lang w:val="fr-CA" w:eastAsia="ja-JP"/>
              </w:rPr>
              <w:t>’</w:t>
            </w:r>
            <w:r w:rsidR="00892B94" w:rsidRPr="007757AC">
              <w:rPr>
                <w:rFonts w:eastAsia="Times New Roman" w:cs="Times New Roman"/>
                <w:lang w:val="fr-CA" w:eastAsia="ja-JP"/>
              </w:rPr>
              <w:t>engagements que les Investisseurs p</w:t>
            </w:r>
            <w:r w:rsidR="00B93FE1">
              <w:rPr>
                <w:rFonts w:eastAsia="Times New Roman" w:cs="Times New Roman"/>
                <w:lang w:val="fr-CA" w:eastAsia="ja-JP"/>
              </w:rPr>
              <w:t>ourraient</w:t>
            </w:r>
            <w:r w:rsidR="00892B94" w:rsidRPr="007757AC">
              <w:rPr>
                <w:rFonts w:eastAsia="Times New Roman" w:cs="Times New Roman"/>
                <w:lang w:val="fr-CA" w:eastAsia="ja-JP"/>
              </w:rPr>
              <w:t xml:space="preserve"> chercher à obtenir; les Investisseurs devraient inclure les engagements </w:t>
            </w:r>
            <w:r w:rsidR="00B93FE1">
              <w:rPr>
                <w:rFonts w:eastAsia="Times New Roman" w:cs="Times New Roman"/>
                <w:lang w:val="fr-CA" w:eastAsia="ja-JP"/>
              </w:rPr>
              <w:t>qui, selon eux, pourraient donner lieu à des litiges s</w:t>
            </w:r>
            <w:r w:rsidR="00CC4D89">
              <w:rPr>
                <w:rFonts w:eastAsia="Times New Roman" w:cs="Times New Roman"/>
                <w:lang w:val="fr-CA" w:eastAsia="ja-JP"/>
              </w:rPr>
              <w:t>’</w:t>
            </w:r>
            <w:r w:rsidR="00B93FE1">
              <w:rPr>
                <w:rFonts w:eastAsia="Times New Roman" w:cs="Times New Roman"/>
                <w:lang w:val="fr-CA" w:eastAsia="ja-JP"/>
              </w:rPr>
              <w:t>ils ne sont pas mentionnés à l</w:t>
            </w:r>
            <w:r w:rsidR="00CC4D89">
              <w:rPr>
                <w:rFonts w:eastAsia="Times New Roman" w:cs="Times New Roman"/>
                <w:lang w:val="fr-CA" w:eastAsia="ja-JP"/>
              </w:rPr>
              <w:t>’</w:t>
            </w:r>
            <w:r w:rsidR="00B93FE1">
              <w:rPr>
                <w:rFonts w:eastAsia="Times New Roman" w:cs="Times New Roman"/>
                <w:lang w:val="fr-CA" w:eastAsia="ja-JP"/>
              </w:rPr>
              <w:t>étape de la préparation du</w:t>
            </w:r>
            <w:r w:rsidR="00D33D76" w:rsidRPr="007757AC">
              <w:rPr>
                <w:rFonts w:eastAsia="Times New Roman" w:cs="Times New Roman"/>
                <w:lang w:val="fr-CA" w:eastAsia="ja-JP"/>
              </w:rPr>
              <w:t xml:space="preserve"> </w:t>
            </w:r>
            <w:r>
              <w:rPr>
                <w:rFonts w:eastAsia="Times New Roman" w:cs="Times New Roman"/>
                <w:lang w:val="fr-CA" w:eastAsia="ja-JP"/>
              </w:rPr>
              <w:t>S</w:t>
            </w:r>
            <w:r w:rsidR="00D33D76" w:rsidRPr="007757AC">
              <w:rPr>
                <w:rFonts w:eastAsia="Times New Roman" w:cs="Times New Roman"/>
                <w:lang w:val="fr-CA" w:eastAsia="ja-JP"/>
              </w:rPr>
              <w:t>ommaire des modalités</w:t>
            </w:r>
            <w:r>
              <w:rPr>
                <w:rFonts w:eastAsia="Times New Roman" w:cs="Times New Roman"/>
                <w:lang w:val="fr-CA" w:eastAsia="ja-JP"/>
              </w:rPr>
              <w:t>.</w:t>
            </w:r>
          </w:p>
        </w:tc>
      </w:tr>
    </w:tbl>
    <w:p w14:paraId="5D5590A4" w14:textId="77777777" w:rsidR="00892B94" w:rsidRPr="007757AC" w:rsidRDefault="00892B94" w:rsidP="00892B94">
      <w:pPr>
        <w:pStyle w:val="BodyText"/>
        <w:rPr>
          <w:lang w:val="fr-CA"/>
        </w:rPr>
        <w:sectPr w:rsidR="00892B94" w:rsidRPr="007757AC">
          <w:headerReference w:type="default" r:id="rId20"/>
          <w:footerReference w:type="default" r:id="rId21"/>
          <w:pgSz w:w="12240" w:h="15840" w:code="1"/>
          <w:pgMar w:top="1440" w:right="1440" w:bottom="1440" w:left="1440" w:header="720" w:footer="432" w:gutter="0"/>
          <w:cols w:space="720"/>
          <w:titlePg/>
          <w:docGrid w:linePitch="360"/>
        </w:sectPr>
      </w:pPr>
    </w:p>
    <w:tbl>
      <w:tblPr>
        <w:tblW w:w="5000" w:type="pct"/>
        <w:tblLook w:val="0000" w:firstRow="0" w:lastRow="0" w:firstColumn="0" w:lastColumn="0" w:noHBand="0" w:noVBand="0"/>
      </w:tblPr>
      <w:tblGrid>
        <w:gridCol w:w="2971"/>
        <w:gridCol w:w="6389"/>
      </w:tblGrid>
      <w:tr w:rsidR="00892B94" w:rsidRPr="008E00AC" w14:paraId="6E6389DC" w14:textId="77777777" w:rsidTr="00057FCC">
        <w:tc>
          <w:tcPr>
            <w:tcW w:w="5000" w:type="pct"/>
            <w:gridSpan w:val="2"/>
            <w:tcBorders>
              <w:top w:val="nil"/>
              <w:left w:val="nil"/>
              <w:bottom w:val="nil"/>
              <w:right w:val="nil"/>
            </w:tcBorders>
          </w:tcPr>
          <w:p w14:paraId="369ADED6" w14:textId="77777777" w:rsidR="00892B94" w:rsidRPr="007757AC" w:rsidRDefault="00892B94" w:rsidP="00057FCC">
            <w:pPr>
              <w:keepNext/>
              <w:tabs>
                <w:tab w:val="left" w:pos="432"/>
              </w:tabs>
              <w:suppressAutoHyphens/>
              <w:autoSpaceDE w:val="0"/>
              <w:autoSpaceDN w:val="0"/>
              <w:adjustRightInd w:val="0"/>
              <w:spacing w:after="240"/>
              <w:jc w:val="center"/>
              <w:rPr>
                <w:rFonts w:eastAsia="Times New Roman" w:cs="Times New Roman"/>
                <w:b/>
                <w:bCs/>
                <w:u w:val="single"/>
                <w:lang w:val="fr-CA" w:eastAsia="ja-JP"/>
              </w:rPr>
            </w:pPr>
            <w:r w:rsidRPr="007757AC">
              <w:rPr>
                <w:rFonts w:eastAsia="Times New Roman" w:cs="Times New Roman"/>
                <w:b/>
                <w:bCs/>
                <w:u w:val="single"/>
                <w:lang w:val="fr-CA" w:eastAsia="ja-JP"/>
              </w:rPr>
              <w:t>CONVENTION DE DROIT DE PREMIER REFUS ET DE VENTE CONJOINTE</w:t>
            </w:r>
          </w:p>
        </w:tc>
      </w:tr>
      <w:tr w:rsidR="00892B94" w:rsidRPr="008E00AC" w14:paraId="6DF91692" w14:textId="77777777" w:rsidTr="00057FCC">
        <w:tc>
          <w:tcPr>
            <w:tcW w:w="1587" w:type="pct"/>
            <w:tcBorders>
              <w:top w:val="nil"/>
              <w:left w:val="nil"/>
              <w:bottom w:val="nil"/>
              <w:right w:val="nil"/>
            </w:tcBorders>
          </w:tcPr>
          <w:p w14:paraId="7BACC01E" w14:textId="38CDFFE5" w:rsidR="00892B94" w:rsidRPr="007757AC" w:rsidRDefault="00892B94" w:rsidP="00057FCC">
            <w:pPr>
              <w:pStyle w:val="TableItalics"/>
              <w:rPr>
                <w:lang w:val="fr-CA"/>
              </w:rPr>
            </w:pPr>
            <w:r w:rsidRPr="007757AC">
              <w:rPr>
                <w:lang w:val="fr-CA"/>
              </w:rPr>
              <w:br w:type="page"/>
              <w:t>Droit de premier refus/</w:t>
            </w:r>
            <w:r w:rsidRPr="007757AC">
              <w:rPr>
                <w:lang w:val="fr-CA"/>
              </w:rPr>
              <w:br/>
            </w:r>
            <w:r w:rsidR="00D33D76" w:rsidRPr="007757AC">
              <w:rPr>
                <w:iCs w:val="0"/>
                <w:lang w:val="fr-CA"/>
              </w:rPr>
              <w:t>d</w:t>
            </w:r>
            <w:r w:rsidRPr="007757AC">
              <w:rPr>
                <w:iCs w:val="0"/>
                <w:lang w:val="fr-CA"/>
              </w:rPr>
              <w:t>roit de vente</w:t>
            </w:r>
            <w:r w:rsidR="00D33D76" w:rsidRPr="007757AC">
              <w:rPr>
                <w:iCs w:val="0"/>
                <w:lang w:val="fr-CA"/>
              </w:rPr>
              <w:t xml:space="preserve"> conjointe</w:t>
            </w:r>
            <w:r w:rsidRPr="007757AC">
              <w:rPr>
                <w:i w:val="0"/>
                <w:lang w:val="fr-CA"/>
              </w:rPr>
              <w:t xml:space="preserve"> (</w:t>
            </w:r>
            <w:r w:rsidRPr="007757AC">
              <w:rPr>
                <w:i w:val="0"/>
                <w:iCs w:val="0"/>
                <w:lang w:val="fr-CA"/>
              </w:rPr>
              <w:t>Take-Me-Along</w:t>
            </w:r>
            <w:r w:rsidRPr="007757AC">
              <w:rPr>
                <w:i w:val="0"/>
                <w:lang w:val="fr-CA"/>
              </w:rPr>
              <w:t xml:space="preserve">) </w:t>
            </w:r>
            <w:r w:rsidRPr="00B93FE1">
              <w:rPr>
                <w:iCs w:val="0"/>
                <w:lang w:val="fr-CA"/>
              </w:rPr>
              <w:t>:</w:t>
            </w:r>
          </w:p>
        </w:tc>
        <w:tc>
          <w:tcPr>
            <w:tcW w:w="3413" w:type="pct"/>
            <w:tcBorders>
              <w:top w:val="nil"/>
              <w:left w:val="nil"/>
              <w:bottom w:val="nil"/>
              <w:right w:val="nil"/>
            </w:tcBorders>
          </w:tcPr>
          <w:p w14:paraId="2D534133" w14:textId="244792DB" w:rsidR="00892B94" w:rsidRPr="007757AC" w:rsidRDefault="00892B94" w:rsidP="00057FCC">
            <w:pPr>
              <w:pStyle w:val="BodyText"/>
              <w:rPr>
                <w:lang w:val="fr-CA"/>
              </w:rPr>
            </w:pPr>
            <w:r w:rsidRPr="007757AC">
              <w:rPr>
                <w:bCs/>
                <w:lang w:val="fr-CA"/>
              </w:rPr>
              <w:t>La Société</w:t>
            </w:r>
            <w:r w:rsidR="00D33D76" w:rsidRPr="007757AC">
              <w:rPr>
                <w:bCs/>
                <w:lang w:val="fr-CA"/>
              </w:rPr>
              <w:t xml:space="preserve"> jouira</w:t>
            </w:r>
            <w:r w:rsidRPr="007757AC">
              <w:rPr>
                <w:bCs/>
                <w:lang w:val="fr-CA"/>
              </w:rPr>
              <w:t xml:space="preserve"> d</w:t>
            </w:r>
            <w:r w:rsidR="00CC4D89">
              <w:rPr>
                <w:bCs/>
                <w:lang w:val="fr-CA"/>
              </w:rPr>
              <w:t>’</w:t>
            </w:r>
            <w:r w:rsidRPr="007757AC">
              <w:rPr>
                <w:bCs/>
                <w:lang w:val="fr-CA"/>
              </w:rPr>
              <w:t>abord</w:t>
            </w:r>
            <w:r w:rsidR="00DE3681" w:rsidRPr="007757AC">
              <w:rPr>
                <w:bCs/>
                <w:lang w:val="fr-CA"/>
              </w:rPr>
              <w:t>,</w:t>
            </w:r>
            <w:r w:rsidRPr="007757AC">
              <w:rPr>
                <w:bCs/>
                <w:lang w:val="fr-CA"/>
              </w:rPr>
              <w:t xml:space="preserve"> et les Investisseurs </w:t>
            </w:r>
            <w:r w:rsidR="00D33D76" w:rsidRPr="007757AC">
              <w:rPr>
                <w:bCs/>
                <w:lang w:val="fr-CA"/>
              </w:rPr>
              <w:t xml:space="preserve">jouiront </w:t>
            </w:r>
            <w:r w:rsidRPr="007757AC">
              <w:rPr>
                <w:bCs/>
                <w:lang w:val="fr-CA"/>
              </w:rPr>
              <w:t>ensuite</w:t>
            </w:r>
            <w:r w:rsidR="00A4081F" w:rsidRPr="007757AC">
              <w:rPr>
                <w:bCs/>
                <w:lang w:val="fr-CA"/>
              </w:rPr>
              <w:t>,</w:t>
            </w:r>
            <w:r w:rsidRPr="007757AC">
              <w:rPr>
                <w:bCs/>
                <w:lang w:val="fr-CA"/>
              </w:rPr>
              <w:t xml:space="preserve"> </w:t>
            </w:r>
            <w:r w:rsidR="00D33D76" w:rsidRPr="007757AC">
              <w:rPr>
                <w:bCs/>
                <w:lang w:val="fr-CA"/>
              </w:rPr>
              <w:t>d</w:t>
            </w:r>
            <w:r w:rsidR="00CC4D89">
              <w:rPr>
                <w:bCs/>
                <w:lang w:val="fr-CA"/>
              </w:rPr>
              <w:t>’</w:t>
            </w:r>
            <w:r w:rsidRPr="007757AC">
              <w:rPr>
                <w:bCs/>
                <w:lang w:val="fr-CA"/>
              </w:rPr>
              <w:t>un droit de premier refus à l</w:t>
            </w:r>
            <w:r w:rsidR="00CC4D89">
              <w:rPr>
                <w:bCs/>
                <w:lang w:val="fr-CA"/>
              </w:rPr>
              <w:t>’</w:t>
            </w:r>
            <w:r w:rsidRPr="007757AC">
              <w:rPr>
                <w:bCs/>
                <w:lang w:val="fr-CA"/>
              </w:rPr>
              <w:t xml:space="preserve">égard des actions de la Société que les employés actuels et futurs qui détiennent </w:t>
            </w:r>
            <w:r w:rsidR="00157543" w:rsidRPr="007757AC">
              <w:rPr>
                <w:bCs/>
                <w:lang w:val="fr-CA"/>
              </w:rPr>
              <w:t xml:space="preserve">au moins </w:t>
            </w:r>
            <w:r w:rsidRPr="008A64C8">
              <w:rPr>
                <w:bCs/>
                <w:lang w:val="fr-CA"/>
              </w:rPr>
              <w:t>1</w:t>
            </w:r>
            <w:r w:rsidR="002D3F68">
              <w:rPr>
                <w:bCs/>
                <w:lang w:val="fr-CA"/>
              </w:rPr>
              <w:t> %</w:t>
            </w:r>
            <w:r w:rsidRPr="007757AC">
              <w:rPr>
                <w:bCs/>
                <w:lang w:val="fr-CA"/>
              </w:rPr>
              <w:t xml:space="preserve"> des Actions ordinaires de la Société se proposent de transférer (dans l</w:t>
            </w:r>
            <w:r w:rsidR="00CC4D89">
              <w:rPr>
                <w:bCs/>
                <w:lang w:val="fr-CA"/>
              </w:rPr>
              <w:t>’</w:t>
            </w:r>
            <w:r w:rsidRPr="007757AC">
              <w:rPr>
                <w:bCs/>
                <w:lang w:val="fr-CA"/>
              </w:rPr>
              <w:t xml:space="preserve">hypothèse </w:t>
            </w:r>
            <w:r w:rsidR="00B93FE1">
              <w:rPr>
                <w:bCs/>
                <w:lang w:val="fr-CA"/>
              </w:rPr>
              <w:t>de la conversion des</w:t>
            </w:r>
            <w:r w:rsidRPr="007757AC">
              <w:rPr>
                <w:bCs/>
                <w:lang w:val="fr-CA"/>
              </w:rPr>
              <w:t xml:space="preserve"> Actions privilégiées</w:t>
            </w:r>
            <w:r w:rsidR="00B93FE1">
              <w:rPr>
                <w:bCs/>
                <w:lang w:val="fr-CA"/>
              </w:rPr>
              <w:t xml:space="preserve"> </w:t>
            </w:r>
            <w:r w:rsidRPr="007757AC">
              <w:rPr>
                <w:bCs/>
                <w:lang w:val="fr-CA"/>
              </w:rPr>
              <w:t>et qu</w:t>
            </w:r>
            <w:r w:rsidR="00B93FE1">
              <w:rPr>
                <w:bCs/>
                <w:lang w:val="fr-CA"/>
              </w:rPr>
              <w:t>e ces actions</w:t>
            </w:r>
            <w:r w:rsidRPr="007757AC">
              <w:rPr>
                <w:bCs/>
                <w:lang w:val="fr-CA"/>
              </w:rPr>
              <w:t xml:space="preserve"> soient alors détenues ou assujetties à l</w:t>
            </w:r>
            <w:r w:rsidR="00CC4D89">
              <w:rPr>
                <w:bCs/>
                <w:lang w:val="fr-CA"/>
              </w:rPr>
              <w:t>’</w:t>
            </w:r>
            <w:r w:rsidRPr="007757AC">
              <w:rPr>
                <w:bCs/>
                <w:lang w:val="fr-CA"/>
              </w:rPr>
              <w:t>exercice d</w:t>
            </w:r>
            <w:r w:rsidR="00CC4D89">
              <w:rPr>
                <w:bCs/>
                <w:lang w:val="fr-CA"/>
              </w:rPr>
              <w:t>’</w:t>
            </w:r>
            <w:r w:rsidRPr="007757AC">
              <w:rPr>
                <w:bCs/>
                <w:lang w:val="fr-CA"/>
              </w:rPr>
              <w:t xml:space="preserve">options), </w:t>
            </w:r>
            <w:r w:rsidR="00B93FE1">
              <w:rPr>
                <w:bCs/>
                <w:lang w:val="fr-CA"/>
              </w:rPr>
              <w:t xml:space="preserve">et les Investisseurs </w:t>
            </w:r>
            <w:r w:rsidR="00B93FE1" w:rsidRPr="007757AC">
              <w:rPr>
                <w:bCs/>
                <w:lang w:val="fr-CA"/>
              </w:rPr>
              <w:t>d</w:t>
            </w:r>
            <w:r w:rsidR="00CC4D89">
              <w:rPr>
                <w:bCs/>
                <w:lang w:val="fr-CA"/>
              </w:rPr>
              <w:t>’</w:t>
            </w:r>
            <w:r w:rsidR="00B93FE1" w:rsidRPr="007757AC">
              <w:rPr>
                <w:bCs/>
                <w:lang w:val="fr-CA"/>
              </w:rPr>
              <w:t>actions non souscrites par les autres Investisseurs</w:t>
            </w:r>
            <w:r w:rsidR="00B93FE1">
              <w:rPr>
                <w:bCs/>
                <w:lang w:val="fr-CA"/>
              </w:rPr>
              <w:t xml:space="preserve"> jouiront </w:t>
            </w:r>
            <w:r w:rsidR="00E579F6" w:rsidRPr="008E00AC">
              <w:rPr>
                <w:bCs/>
                <w:lang w:val="fr-CA"/>
              </w:rPr>
              <w:t>d</w:t>
            </w:r>
            <w:r w:rsidR="00CC4D89" w:rsidRPr="008E00AC">
              <w:rPr>
                <w:bCs/>
                <w:lang w:val="fr-CA"/>
              </w:rPr>
              <w:t>’</w:t>
            </w:r>
            <w:r w:rsidRPr="008E00AC">
              <w:rPr>
                <w:bCs/>
                <w:lang w:val="fr-CA"/>
              </w:rPr>
              <w:t xml:space="preserve">un droit de </w:t>
            </w:r>
            <w:r w:rsidR="00157543" w:rsidRPr="008E00AC">
              <w:rPr>
                <w:bCs/>
                <w:lang w:val="fr-CA"/>
              </w:rPr>
              <w:t>dépassement de souscr</w:t>
            </w:r>
            <w:r w:rsidRPr="008E00AC">
              <w:rPr>
                <w:bCs/>
                <w:lang w:val="fr-CA"/>
              </w:rPr>
              <w:t>iption</w:t>
            </w:r>
            <w:r w:rsidRPr="007757AC">
              <w:rPr>
                <w:bCs/>
                <w:lang w:val="fr-CA"/>
              </w:rPr>
              <w:t>.</w:t>
            </w:r>
            <w:r w:rsidRPr="007757AC">
              <w:rPr>
                <w:lang w:val="fr-CA"/>
              </w:rPr>
              <w:t xml:space="preserve"> </w:t>
            </w:r>
            <w:r w:rsidR="00A4081F" w:rsidRPr="007757AC">
              <w:rPr>
                <w:lang w:val="fr-CA"/>
              </w:rPr>
              <w:t>Pour pouvoir v</w:t>
            </w:r>
            <w:r w:rsidRPr="007757AC">
              <w:rPr>
                <w:lang w:val="fr-CA"/>
              </w:rPr>
              <w:t xml:space="preserve">endre des </w:t>
            </w:r>
            <w:r w:rsidR="00DE3681" w:rsidRPr="007757AC">
              <w:rPr>
                <w:lang w:val="fr-CA"/>
              </w:rPr>
              <w:t>A</w:t>
            </w:r>
            <w:r w:rsidRPr="007757AC">
              <w:rPr>
                <w:lang w:val="fr-CA"/>
              </w:rPr>
              <w:t xml:space="preserve">ctions ordinaires, </w:t>
            </w:r>
            <w:r w:rsidR="00A4081F" w:rsidRPr="007757AC">
              <w:rPr>
                <w:lang w:val="fr-CA"/>
              </w:rPr>
              <w:t>une telle personne doit</w:t>
            </w:r>
            <w:r w:rsidRPr="007757AC">
              <w:rPr>
                <w:lang w:val="fr-CA"/>
              </w:rPr>
              <w:t xml:space="preserve"> donner aux Investisseurs l</w:t>
            </w:r>
            <w:r w:rsidR="00CC4D89">
              <w:rPr>
                <w:lang w:val="fr-CA"/>
              </w:rPr>
              <w:t>’</w:t>
            </w:r>
            <w:r w:rsidRPr="007757AC">
              <w:rPr>
                <w:lang w:val="fr-CA"/>
              </w:rPr>
              <w:t xml:space="preserve">occasion de participer à </w:t>
            </w:r>
            <w:r w:rsidR="00DE3681" w:rsidRPr="007757AC">
              <w:rPr>
                <w:lang w:val="fr-CA"/>
              </w:rPr>
              <w:t>une telle</w:t>
            </w:r>
            <w:r w:rsidRPr="007757AC">
              <w:rPr>
                <w:lang w:val="fr-CA"/>
              </w:rPr>
              <w:t xml:space="preserve"> vente </w:t>
            </w:r>
            <w:r w:rsidR="00B93FE1">
              <w:rPr>
                <w:lang w:val="fr-CA"/>
              </w:rPr>
              <w:t>sur une base proportionnelle par rapport au</w:t>
            </w:r>
            <w:r w:rsidRPr="007757AC">
              <w:rPr>
                <w:lang w:val="fr-CA"/>
              </w:rPr>
              <w:t xml:space="preserve"> nombre de titres détenus par le vendeur et </w:t>
            </w:r>
            <w:r w:rsidR="00B93FE1">
              <w:rPr>
                <w:lang w:val="fr-CA"/>
              </w:rPr>
              <w:t>aux titres</w:t>
            </w:r>
            <w:r w:rsidRPr="007757AC">
              <w:rPr>
                <w:lang w:val="fr-CA"/>
              </w:rPr>
              <w:t xml:space="preserve"> détenus par les Investisseurs participants</w:t>
            </w:r>
            <w:r w:rsidRPr="008A64C8">
              <w:rPr>
                <w:rStyle w:val="FootnoteReference"/>
                <w:lang w:val="fr-CA"/>
              </w:rPr>
              <w:footnoteReference w:id="26"/>
            </w:r>
            <w:r w:rsidR="00A4081F" w:rsidRPr="007757AC">
              <w:rPr>
                <w:lang w:val="fr-CA"/>
              </w:rPr>
              <w:t>.</w:t>
            </w:r>
          </w:p>
        </w:tc>
      </w:tr>
      <w:tr w:rsidR="00892B94" w:rsidRPr="007757AC" w14:paraId="4726F6D3" w14:textId="77777777" w:rsidTr="00057FCC">
        <w:tc>
          <w:tcPr>
            <w:tcW w:w="5000" w:type="pct"/>
            <w:gridSpan w:val="2"/>
            <w:tcBorders>
              <w:top w:val="nil"/>
              <w:left w:val="nil"/>
              <w:bottom w:val="nil"/>
              <w:right w:val="nil"/>
            </w:tcBorders>
          </w:tcPr>
          <w:p w14:paraId="07E3BF1A" w14:textId="77777777" w:rsidR="00892B94" w:rsidRPr="007757AC" w:rsidRDefault="00892B94" w:rsidP="00057FCC">
            <w:pPr>
              <w:keepNext/>
              <w:tabs>
                <w:tab w:val="left" w:pos="432"/>
              </w:tabs>
              <w:suppressAutoHyphens/>
              <w:autoSpaceDE w:val="0"/>
              <w:autoSpaceDN w:val="0"/>
              <w:adjustRightInd w:val="0"/>
              <w:spacing w:after="240"/>
              <w:jc w:val="center"/>
              <w:rPr>
                <w:rFonts w:eastAsia="Times New Roman" w:cs="Times New Roman"/>
                <w:b/>
                <w:bCs/>
                <w:u w:val="single"/>
                <w:lang w:val="fr-CA" w:eastAsia="ja-JP"/>
              </w:rPr>
            </w:pPr>
            <w:r w:rsidRPr="007757AC">
              <w:rPr>
                <w:rFonts w:eastAsia="Times New Roman" w:cs="Times New Roman"/>
                <w:b/>
                <w:bCs/>
                <w:u w:val="single"/>
                <w:lang w:val="fr-CA" w:eastAsia="ja-JP"/>
              </w:rPr>
              <w:t>CONVENTION DE VOTE</w:t>
            </w:r>
          </w:p>
        </w:tc>
      </w:tr>
      <w:tr w:rsidR="00892B94" w:rsidRPr="008E00AC" w14:paraId="01FF396D" w14:textId="77777777" w:rsidTr="00057FCC">
        <w:tblPrEx>
          <w:tblLook w:val="06A0" w:firstRow="1" w:lastRow="0" w:firstColumn="1" w:lastColumn="0" w:noHBand="1" w:noVBand="1"/>
        </w:tblPrEx>
        <w:tc>
          <w:tcPr>
            <w:tcW w:w="1587" w:type="pct"/>
            <w:shd w:val="clear" w:color="auto" w:fill="auto"/>
          </w:tcPr>
          <w:p w14:paraId="3CD7E733" w14:textId="2D8902F5" w:rsidR="00892B94" w:rsidRPr="00B93FE1" w:rsidRDefault="00892B94" w:rsidP="00057FCC">
            <w:pPr>
              <w:pStyle w:val="TableItalics"/>
              <w:rPr>
                <w:iCs w:val="0"/>
                <w:lang w:val="fr-CA"/>
              </w:rPr>
            </w:pPr>
            <w:r w:rsidRPr="007757AC">
              <w:rPr>
                <w:lang w:val="fr-CA"/>
              </w:rPr>
              <w:br w:type="page"/>
            </w:r>
            <w:r w:rsidRPr="00B93FE1">
              <w:rPr>
                <w:iCs w:val="0"/>
                <w:lang w:val="fr-CA"/>
              </w:rPr>
              <w:t>Conseil d</w:t>
            </w:r>
            <w:r w:rsidR="00CC4D89">
              <w:rPr>
                <w:iCs w:val="0"/>
                <w:lang w:val="fr-CA"/>
              </w:rPr>
              <w:t>’</w:t>
            </w:r>
            <w:r w:rsidRPr="00B93FE1">
              <w:rPr>
                <w:iCs w:val="0"/>
                <w:lang w:val="fr-CA"/>
              </w:rPr>
              <w:t>administration :</w:t>
            </w:r>
          </w:p>
        </w:tc>
        <w:tc>
          <w:tcPr>
            <w:tcW w:w="3408" w:type="pct"/>
            <w:shd w:val="clear" w:color="auto" w:fill="auto"/>
          </w:tcPr>
          <w:p w14:paraId="41CD749B" w14:textId="580B57DD" w:rsidR="00892B94" w:rsidRPr="007757AC" w:rsidRDefault="00892B94" w:rsidP="00057FCC">
            <w:pPr>
              <w:pStyle w:val="BodyText"/>
              <w:rPr>
                <w:lang w:val="fr-CA"/>
              </w:rPr>
            </w:pPr>
            <w:r w:rsidRPr="007757AC">
              <w:rPr>
                <w:lang w:val="fr-CA"/>
              </w:rPr>
              <w:t>À la Clôture, le Conseil d</w:t>
            </w:r>
            <w:r w:rsidR="00CC4D89">
              <w:rPr>
                <w:lang w:val="fr-CA"/>
              </w:rPr>
              <w:t>’</w:t>
            </w:r>
            <w:r w:rsidRPr="007757AC">
              <w:rPr>
                <w:lang w:val="fr-CA"/>
              </w:rPr>
              <w:t>administration se</w:t>
            </w:r>
            <w:r w:rsidR="00A4081F" w:rsidRPr="007757AC">
              <w:rPr>
                <w:lang w:val="fr-CA"/>
              </w:rPr>
              <w:t>ra</w:t>
            </w:r>
            <w:r w:rsidRPr="007757AC">
              <w:rPr>
                <w:lang w:val="fr-CA"/>
              </w:rPr>
              <w:t xml:space="preserve"> compos</w:t>
            </w:r>
            <w:r w:rsidR="00A4081F" w:rsidRPr="007757AC">
              <w:rPr>
                <w:lang w:val="fr-CA"/>
              </w:rPr>
              <w:t>é</w:t>
            </w:r>
            <w:r w:rsidRPr="007757AC">
              <w:rPr>
                <w:lang w:val="fr-CA"/>
              </w:rPr>
              <w:t xml:space="preserve"> de [______] membres co</w:t>
            </w:r>
            <w:r w:rsidR="00A4081F" w:rsidRPr="007757AC">
              <w:rPr>
                <w:lang w:val="fr-CA"/>
              </w:rPr>
              <w:t>nstitués</w:t>
            </w:r>
            <w:r w:rsidRPr="007757AC">
              <w:rPr>
                <w:lang w:val="fr-CA"/>
              </w:rPr>
              <w:t xml:space="preserve"> (</w:t>
            </w:r>
            <w:r w:rsidRPr="008A64C8">
              <w:rPr>
                <w:lang w:val="fr-CA"/>
              </w:rPr>
              <w:t>i</w:t>
            </w:r>
            <w:r w:rsidRPr="007757AC">
              <w:rPr>
                <w:lang w:val="fr-CA"/>
              </w:rPr>
              <w:t>)</w:t>
            </w:r>
            <w:r w:rsidR="00A4081F" w:rsidRPr="007757AC">
              <w:rPr>
                <w:lang w:val="fr-CA"/>
              </w:rPr>
              <w:t> </w:t>
            </w:r>
            <w:r w:rsidRPr="007757AC">
              <w:rPr>
                <w:lang w:val="fr-CA"/>
              </w:rPr>
              <w:t>de [</w:t>
            </w:r>
            <w:r w:rsidRPr="007757AC">
              <w:rPr>
                <w:i/>
                <w:iCs/>
                <w:lang w:val="fr-CA"/>
              </w:rPr>
              <w:t>nom</w:t>
            </w:r>
            <w:r w:rsidRPr="007757AC">
              <w:rPr>
                <w:lang w:val="fr-CA"/>
              </w:rPr>
              <w:t xml:space="preserve">] à titre de [représentant désigné par [____], </w:t>
            </w:r>
            <w:r w:rsidR="00A4081F" w:rsidRPr="007757AC">
              <w:rPr>
                <w:lang w:val="fr-CA"/>
              </w:rPr>
              <w:t>en tant qu</w:t>
            </w:r>
            <w:r w:rsidR="00CC4D89">
              <w:rPr>
                <w:lang w:val="fr-CA"/>
              </w:rPr>
              <w:t>’</w:t>
            </w:r>
            <w:r w:rsidRPr="007757AC">
              <w:rPr>
                <w:lang w:val="fr-CA"/>
              </w:rPr>
              <w:t>Investisseur principal, (</w:t>
            </w:r>
            <w:r w:rsidRPr="008A64C8">
              <w:rPr>
                <w:lang w:val="fr-CA"/>
              </w:rPr>
              <w:t>ii</w:t>
            </w:r>
            <w:r w:rsidRPr="007757AC">
              <w:rPr>
                <w:lang w:val="fr-CA"/>
              </w:rPr>
              <w:t>)</w:t>
            </w:r>
            <w:r w:rsidR="00A4081F" w:rsidRPr="007757AC">
              <w:rPr>
                <w:lang w:val="fr-CA"/>
              </w:rPr>
              <w:t> </w:t>
            </w:r>
            <w:r w:rsidRPr="007757AC">
              <w:rPr>
                <w:lang w:val="fr-CA"/>
              </w:rPr>
              <w:t>de [</w:t>
            </w:r>
            <w:r w:rsidRPr="007757AC">
              <w:rPr>
                <w:i/>
                <w:iCs/>
                <w:lang w:val="fr-CA"/>
              </w:rPr>
              <w:t>nom</w:t>
            </w:r>
            <w:r w:rsidRPr="007757AC">
              <w:rPr>
                <w:lang w:val="fr-CA"/>
              </w:rPr>
              <w:t>] à titre de représentant désigné par les Investisseurs restants, (</w:t>
            </w:r>
            <w:r w:rsidRPr="008A64C8">
              <w:rPr>
                <w:lang w:val="fr-CA"/>
              </w:rPr>
              <w:t>iii</w:t>
            </w:r>
            <w:r w:rsidRPr="007757AC">
              <w:rPr>
                <w:lang w:val="fr-CA"/>
              </w:rPr>
              <w:t>)</w:t>
            </w:r>
            <w:r w:rsidR="0014270E" w:rsidRPr="007757AC">
              <w:rPr>
                <w:lang w:val="fr-CA"/>
              </w:rPr>
              <w:t> </w:t>
            </w:r>
            <w:r w:rsidRPr="007757AC">
              <w:rPr>
                <w:lang w:val="fr-CA"/>
              </w:rPr>
              <w:t>de [</w:t>
            </w:r>
            <w:r w:rsidRPr="007757AC">
              <w:rPr>
                <w:i/>
                <w:iCs/>
                <w:lang w:val="fr-CA"/>
              </w:rPr>
              <w:t>nom</w:t>
            </w:r>
            <w:r w:rsidRPr="007757AC">
              <w:rPr>
                <w:lang w:val="fr-CA"/>
              </w:rPr>
              <w:t>] à titre de représentant désigné par les Actionnaires ordinaires, (</w:t>
            </w:r>
            <w:r w:rsidRPr="008A64C8">
              <w:rPr>
                <w:lang w:val="fr-CA"/>
              </w:rPr>
              <w:t>iv</w:t>
            </w:r>
            <w:r w:rsidRPr="007757AC">
              <w:rPr>
                <w:lang w:val="fr-CA"/>
              </w:rPr>
              <w:t>)</w:t>
            </w:r>
            <w:r w:rsidR="0014270E" w:rsidRPr="007757AC">
              <w:rPr>
                <w:lang w:val="fr-CA"/>
              </w:rPr>
              <w:t> </w:t>
            </w:r>
            <w:r w:rsidRPr="007757AC">
              <w:rPr>
                <w:lang w:val="fr-CA"/>
              </w:rPr>
              <w:t xml:space="preserve">de la personne qui agit alors à titre de </w:t>
            </w:r>
            <w:r w:rsidR="0014270E" w:rsidRPr="007757AC">
              <w:rPr>
                <w:lang w:val="fr-CA"/>
              </w:rPr>
              <w:t>c</w:t>
            </w:r>
            <w:r w:rsidRPr="007757AC">
              <w:rPr>
                <w:lang w:val="fr-CA"/>
              </w:rPr>
              <w:t>hef de la direction de la Société</w:t>
            </w:r>
            <w:r w:rsidR="000D028F">
              <w:rPr>
                <w:lang w:val="fr-CA"/>
              </w:rPr>
              <w:t>,</w:t>
            </w:r>
            <w:r w:rsidRPr="007757AC">
              <w:rPr>
                <w:lang w:val="fr-CA"/>
              </w:rPr>
              <w:t xml:space="preserve"> et (</w:t>
            </w:r>
            <w:r w:rsidRPr="008A64C8">
              <w:rPr>
                <w:lang w:val="fr-CA"/>
              </w:rPr>
              <w:t>v</w:t>
            </w:r>
            <w:r w:rsidRPr="007757AC">
              <w:rPr>
                <w:lang w:val="fr-CA"/>
              </w:rPr>
              <w:t>)</w:t>
            </w:r>
            <w:r w:rsidR="0014270E" w:rsidRPr="007757AC">
              <w:rPr>
                <w:lang w:val="fr-CA"/>
              </w:rPr>
              <w:t> </w:t>
            </w:r>
            <w:r w:rsidRPr="007757AC">
              <w:rPr>
                <w:lang w:val="fr-CA"/>
              </w:rPr>
              <w:t xml:space="preserve">de [___] personne(s) qui ne sont pas </w:t>
            </w:r>
            <w:r w:rsidR="0014270E" w:rsidRPr="007757AC">
              <w:rPr>
                <w:lang w:val="fr-CA"/>
              </w:rPr>
              <w:t xml:space="preserve">au service </w:t>
            </w:r>
            <w:r w:rsidRPr="007757AC">
              <w:rPr>
                <w:lang w:val="fr-CA"/>
              </w:rPr>
              <w:t>de la Société et qu</w:t>
            </w:r>
            <w:r w:rsidR="0014270E" w:rsidRPr="007757AC">
              <w:rPr>
                <w:lang w:val="fr-CA"/>
              </w:rPr>
              <w:t>e [les autres administrateurs] jugent d</w:t>
            </w:r>
            <w:r w:rsidR="00CC4D89">
              <w:rPr>
                <w:lang w:val="fr-CA"/>
              </w:rPr>
              <w:t>’</w:t>
            </w:r>
            <w:r w:rsidR="0014270E" w:rsidRPr="007757AC">
              <w:rPr>
                <w:lang w:val="fr-CA"/>
              </w:rPr>
              <w:t>un commun accord</w:t>
            </w:r>
            <w:r w:rsidR="00B93FE1" w:rsidRPr="007757AC">
              <w:rPr>
                <w:lang w:val="fr-CA"/>
              </w:rPr>
              <w:t xml:space="preserve"> acceptables</w:t>
            </w:r>
            <w:r w:rsidR="00B93FE1" w:rsidRPr="007757AC">
              <w:rPr>
                <w:rStyle w:val="FootnoteReference"/>
                <w:lang w:val="fr-CA"/>
              </w:rPr>
              <w:t xml:space="preserve"> </w:t>
            </w:r>
            <w:r w:rsidR="00A4081F" w:rsidRPr="008A64C8">
              <w:rPr>
                <w:rStyle w:val="FootnoteReference"/>
                <w:lang w:val="fr-CA"/>
              </w:rPr>
              <w:footnoteReference w:id="27"/>
            </w:r>
            <w:r w:rsidRPr="007757AC">
              <w:rPr>
                <w:lang w:val="fr-CA"/>
              </w:rPr>
              <w:t>.</w:t>
            </w:r>
          </w:p>
        </w:tc>
      </w:tr>
      <w:tr w:rsidR="00892B94" w:rsidRPr="008E00AC" w14:paraId="0B6A6ECC" w14:textId="77777777" w:rsidTr="00057FCC">
        <w:tblPrEx>
          <w:tblLook w:val="06A0" w:firstRow="1" w:lastRow="0" w:firstColumn="1" w:lastColumn="0" w:noHBand="1" w:noVBand="1"/>
        </w:tblPrEx>
        <w:tc>
          <w:tcPr>
            <w:tcW w:w="1587" w:type="pct"/>
            <w:shd w:val="clear" w:color="auto" w:fill="auto"/>
          </w:tcPr>
          <w:p w14:paraId="374AB947" w14:textId="19611EAA" w:rsidR="00892B94" w:rsidRPr="00B93FE1" w:rsidRDefault="00892B94" w:rsidP="00057FCC">
            <w:pPr>
              <w:pStyle w:val="TableItalics"/>
              <w:rPr>
                <w:iCs w:val="0"/>
                <w:lang w:val="fr-CA"/>
              </w:rPr>
            </w:pPr>
            <w:r w:rsidRPr="007757AC">
              <w:rPr>
                <w:lang w:val="fr-CA"/>
              </w:rPr>
              <w:br w:type="page"/>
            </w:r>
            <w:r w:rsidRPr="00B93FE1">
              <w:rPr>
                <w:iCs w:val="0"/>
                <w:lang w:val="fr-CA"/>
              </w:rPr>
              <w:t>[Droit d</w:t>
            </w:r>
            <w:r w:rsidR="00CC4D89">
              <w:rPr>
                <w:iCs w:val="0"/>
                <w:lang w:val="fr-CA"/>
              </w:rPr>
              <w:t>’</w:t>
            </w:r>
            <w:r w:rsidRPr="00B93FE1">
              <w:rPr>
                <w:iCs w:val="0"/>
                <w:lang w:val="fr-CA"/>
              </w:rPr>
              <w:t>entraînement :</w:t>
            </w:r>
          </w:p>
        </w:tc>
        <w:tc>
          <w:tcPr>
            <w:tcW w:w="3408" w:type="pct"/>
            <w:shd w:val="clear" w:color="auto" w:fill="auto"/>
          </w:tcPr>
          <w:p w14:paraId="48B2B8DA" w14:textId="76BA3594" w:rsidR="00892B94" w:rsidRPr="007757AC" w:rsidRDefault="00892B94" w:rsidP="00057FCC">
            <w:pPr>
              <w:pStyle w:val="BodyText"/>
              <w:rPr>
                <w:b/>
                <w:lang w:val="fr-CA"/>
              </w:rPr>
            </w:pPr>
            <w:r w:rsidRPr="007757AC">
              <w:rPr>
                <w:bCs/>
                <w:lang w:val="fr-CA"/>
              </w:rPr>
              <w:t>Les porteurs d</w:t>
            </w:r>
            <w:r w:rsidR="00CC4D89">
              <w:rPr>
                <w:bCs/>
                <w:lang w:val="fr-CA"/>
              </w:rPr>
              <w:t>’</w:t>
            </w:r>
            <w:r w:rsidR="003471A4" w:rsidRPr="007757AC">
              <w:rPr>
                <w:bCs/>
                <w:lang w:val="fr-CA"/>
              </w:rPr>
              <w:t>A</w:t>
            </w:r>
            <w:r w:rsidRPr="007757AC">
              <w:rPr>
                <w:bCs/>
                <w:lang w:val="fr-CA"/>
              </w:rPr>
              <w:t xml:space="preserve">ctions privilégiées et tous les porteurs actuels et futurs de plus de </w:t>
            </w:r>
            <w:r w:rsidR="003471A4" w:rsidRPr="007757AC">
              <w:rPr>
                <w:bCs/>
                <w:lang w:val="fr-CA"/>
              </w:rPr>
              <w:t>[</w:t>
            </w:r>
            <w:r w:rsidRPr="008A64C8">
              <w:rPr>
                <w:bCs/>
                <w:lang w:val="fr-CA"/>
              </w:rPr>
              <w:t>1</w:t>
            </w:r>
            <w:r w:rsidR="003471A4" w:rsidRPr="007757AC">
              <w:rPr>
                <w:bCs/>
                <w:lang w:val="fr-CA"/>
              </w:rPr>
              <w:t>]</w:t>
            </w:r>
            <w:r w:rsidR="002D3F68">
              <w:rPr>
                <w:bCs/>
                <w:lang w:val="fr-CA"/>
              </w:rPr>
              <w:t> %</w:t>
            </w:r>
            <w:r w:rsidRPr="007757AC">
              <w:rPr>
                <w:bCs/>
                <w:lang w:val="fr-CA"/>
              </w:rPr>
              <w:t xml:space="preserve"> d</w:t>
            </w:r>
            <w:r w:rsidR="00CC4D89">
              <w:rPr>
                <w:bCs/>
                <w:lang w:val="fr-CA"/>
              </w:rPr>
              <w:t>’</w:t>
            </w:r>
            <w:r w:rsidR="003471A4" w:rsidRPr="007757AC">
              <w:rPr>
                <w:bCs/>
                <w:lang w:val="fr-CA"/>
              </w:rPr>
              <w:t>A</w:t>
            </w:r>
            <w:r w:rsidRPr="007757AC">
              <w:rPr>
                <w:bCs/>
                <w:lang w:val="fr-CA"/>
              </w:rPr>
              <w:t>ctions ordinaires (dans l</w:t>
            </w:r>
            <w:r w:rsidR="00CC4D89">
              <w:rPr>
                <w:bCs/>
                <w:lang w:val="fr-CA"/>
              </w:rPr>
              <w:t>’</w:t>
            </w:r>
            <w:r w:rsidRPr="007757AC">
              <w:rPr>
                <w:bCs/>
                <w:lang w:val="fr-CA"/>
              </w:rPr>
              <w:t xml:space="preserve">hypothèse de la conversion des </w:t>
            </w:r>
            <w:r w:rsidR="003471A4" w:rsidRPr="007757AC">
              <w:rPr>
                <w:bCs/>
                <w:lang w:val="fr-CA"/>
              </w:rPr>
              <w:t>A</w:t>
            </w:r>
            <w:r w:rsidRPr="007757AC">
              <w:rPr>
                <w:bCs/>
                <w:lang w:val="fr-CA"/>
              </w:rPr>
              <w:t>ctions privilégiées et qu</w:t>
            </w:r>
            <w:r w:rsidR="00CC4D89">
              <w:rPr>
                <w:bCs/>
                <w:lang w:val="fr-CA"/>
              </w:rPr>
              <w:t>’</w:t>
            </w:r>
            <w:r w:rsidR="003471A4" w:rsidRPr="007757AC">
              <w:rPr>
                <w:bCs/>
                <w:lang w:val="fr-CA"/>
              </w:rPr>
              <w:t>elles</w:t>
            </w:r>
            <w:r w:rsidRPr="007757AC">
              <w:rPr>
                <w:bCs/>
                <w:lang w:val="fr-CA"/>
              </w:rPr>
              <w:t xml:space="preserve"> soient alors détenu</w:t>
            </w:r>
            <w:r w:rsidR="003471A4" w:rsidRPr="007757AC">
              <w:rPr>
                <w:bCs/>
                <w:lang w:val="fr-CA"/>
              </w:rPr>
              <w:t>e</w:t>
            </w:r>
            <w:r w:rsidRPr="007757AC">
              <w:rPr>
                <w:bCs/>
                <w:lang w:val="fr-CA"/>
              </w:rPr>
              <w:t>s ou assujetti</w:t>
            </w:r>
            <w:r w:rsidR="003471A4" w:rsidRPr="007757AC">
              <w:rPr>
                <w:bCs/>
                <w:lang w:val="fr-CA"/>
              </w:rPr>
              <w:t>e</w:t>
            </w:r>
            <w:r w:rsidRPr="007757AC">
              <w:rPr>
                <w:bCs/>
                <w:lang w:val="fr-CA"/>
              </w:rPr>
              <w:t>s à l</w:t>
            </w:r>
            <w:r w:rsidR="00CC4D89">
              <w:rPr>
                <w:bCs/>
                <w:lang w:val="fr-CA"/>
              </w:rPr>
              <w:t>’</w:t>
            </w:r>
            <w:r w:rsidRPr="007757AC">
              <w:rPr>
                <w:bCs/>
                <w:lang w:val="fr-CA"/>
              </w:rPr>
              <w:t>exercice d</w:t>
            </w:r>
            <w:r w:rsidR="00CC4D89">
              <w:rPr>
                <w:bCs/>
                <w:lang w:val="fr-CA"/>
              </w:rPr>
              <w:t>’</w:t>
            </w:r>
            <w:r w:rsidRPr="007757AC">
              <w:rPr>
                <w:bCs/>
                <w:lang w:val="fr-CA"/>
              </w:rPr>
              <w:t>options) devront conclure une convention avec les Investisseurs qui prévoit que ces actionnaires exerceront les droits de vote rattachés à leurs actions en faveur d</w:t>
            </w:r>
            <w:r w:rsidR="00CC4D89">
              <w:rPr>
                <w:bCs/>
                <w:lang w:val="fr-CA"/>
              </w:rPr>
              <w:t>’</w:t>
            </w:r>
            <w:r w:rsidRPr="007757AC">
              <w:rPr>
                <w:bCs/>
                <w:lang w:val="fr-CA"/>
              </w:rPr>
              <w:t>un</w:t>
            </w:r>
            <w:r w:rsidR="00A726E1">
              <w:rPr>
                <w:bCs/>
                <w:lang w:val="fr-CA"/>
              </w:rPr>
              <w:t>e</w:t>
            </w:r>
            <w:r w:rsidRPr="007757AC">
              <w:rPr>
                <w:bCs/>
                <w:lang w:val="fr-CA"/>
              </w:rPr>
              <w:t xml:space="preserve"> </w:t>
            </w:r>
            <w:r w:rsidR="00A726E1">
              <w:rPr>
                <w:bCs/>
                <w:lang w:val="fr-CA"/>
              </w:rPr>
              <w:t>Opération</w:t>
            </w:r>
            <w:r w:rsidRPr="007757AC">
              <w:rPr>
                <w:bCs/>
                <w:lang w:val="fr-CA"/>
              </w:rPr>
              <w:t xml:space="preserve"> de liquidation réputé</w:t>
            </w:r>
            <w:r w:rsidR="00A726E1">
              <w:rPr>
                <w:bCs/>
                <w:lang w:val="fr-CA"/>
              </w:rPr>
              <w:t>e</w:t>
            </w:r>
            <w:r w:rsidRPr="007757AC">
              <w:rPr>
                <w:bCs/>
                <w:lang w:val="fr-CA"/>
              </w:rPr>
              <w:t xml:space="preserve"> ou d</w:t>
            </w:r>
            <w:r w:rsidR="00CC4D89">
              <w:rPr>
                <w:bCs/>
                <w:lang w:val="fr-CA"/>
              </w:rPr>
              <w:t>’</w:t>
            </w:r>
            <w:r w:rsidRPr="007757AC">
              <w:rPr>
                <w:bCs/>
                <w:lang w:val="fr-CA"/>
              </w:rPr>
              <w:t xml:space="preserve">une opération dans le cadre de laquelle </w:t>
            </w:r>
            <w:r w:rsidR="003471A4" w:rsidRPr="007757AC">
              <w:rPr>
                <w:bCs/>
                <w:lang w:val="fr-CA"/>
              </w:rPr>
              <w:t xml:space="preserve">au moins </w:t>
            </w:r>
            <w:r w:rsidRPr="008A64C8">
              <w:rPr>
                <w:bCs/>
                <w:lang w:val="fr-CA"/>
              </w:rPr>
              <w:t>50</w:t>
            </w:r>
            <w:r w:rsidR="002D3F68">
              <w:rPr>
                <w:bCs/>
                <w:lang w:val="fr-CA"/>
              </w:rPr>
              <w:t> %</w:t>
            </w:r>
            <w:r w:rsidRPr="007757AC">
              <w:rPr>
                <w:bCs/>
                <w:lang w:val="fr-CA"/>
              </w:rPr>
              <w:t xml:space="preserve"> des droits de vote de la Société sont transférés et qui est approuvée par [le Conseil d</w:t>
            </w:r>
            <w:r w:rsidR="00CC4D89">
              <w:rPr>
                <w:bCs/>
                <w:lang w:val="fr-CA"/>
              </w:rPr>
              <w:t>’</w:t>
            </w:r>
            <w:r w:rsidRPr="007757AC">
              <w:rPr>
                <w:bCs/>
                <w:lang w:val="fr-CA"/>
              </w:rPr>
              <w:t xml:space="preserve">administration] les Porteurs requis [et les porteurs de la majorité des </w:t>
            </w:r>
            <w:r w:rsidR="003471A4" w:rsidRPr="007757AC">
              <w:rPr>
                <w:bCs/>
                <w:lang w:val="fr-CA"/>
              </w:rPr>
              <w:t>A</w:t>
            </w:r>
            <w:r w:rsidRPr="007757AC">
              <w:rPr>
                <w:bCs/>
                <w:lang w:val="fr-CA"/>
              </w:rPr>
              <w:t>ctions ordinaires alors détenues par des employés de la Société (collectivement avec les Porteurs requis, les «</w:t>
            </w:r>
            <w:r w:rsidR="003471A4" w:rsidRPr="007757AC">
              <w:rPr>
                <w:bCs/>
                <w:lang w:val="fr-CA"/>
              </w:rPr>
              <w:t> </w:t>
            </w:r>
            <w:r w:rsidRPr="007757AC">
              <w:rPr>
                <w:b/>
                <w:lang w:val="fr-CA"/>
              </w:rPr>
              <w:t>Porteurs</w:t>
            </w:r>
            <w:r w:rsidR="003471A4" w:rsidRPr="007757AC">
              <w:rPr>
                <w:b/>
                <w:lang w:val="fr-CA"/>
              </w:rPr>
              <w:t> déterminés </w:t>
            </w:r>
            <w:r w:rsidRPr="007757AC">
              <w:rPr>
                <w:bCs/>
                <w:lang w:val="fr-CA"/>
              </w:rPr>
              <w:t xml:space="preserve">»), tant que la responsabilité de chaque actionnaire dans le cadre de cette opération est </w:t>
            </w:r>
            <w:r w:rsidR="0025403D">
              <w:rPr>
                <w:bCs/>
                <w:lang w:val="fr-CA"/>
              </w:rPr>
              <w:t>individuelle</w:t>
            </w:r>
            <w:r w:rsidRPr="007757AC">
              <w:rPr>
                <w:bCs/>
                <w:lang w:val="fr-CA"/>
              </w:rPr>
              <w:t xml:space="preserve"> (et non conjointe) et ne dépasse pas la quote-part de l</w:t>
            </w:r>
            <w:r w:rsidR="00CC4D89">
              <w:rPr>
                <w:bCs/>
                <w:lang w:val="fr-CA"/>
              </w:rPr>
              <w:t>’</w:t>
            </w:r>
            <w:r w:rsidRPr="007757AC">
              <w:rPr>
                <w:bCs/>
                <w:lang w:val="fr-CA"/>
              </w:rPr>
              <w:t>actionnaire de toute réclamation</w:t>
            </w:r>
            <w:r w:rsidR="00051C5C">
              <w:rPr>
                <w:bCs/>
                <w:lang w:val="fr-CA"/>
              </w:rPr>
              <w:t>,</w:t>
            </w:r>
            <w:r w:rsidRPr="007757AC">
              <w:rPr>
                <w:bCs/>
                <w:lang w:val="fr-CA"/>
              </w:rPr>
              <w:t xml:space="preserve"> et la contrepartie devant être versée aux actionnaires dans le cadre de cette opération sera répartie comme s</w:t>
            </w:r>
            <w:r w:rsidR="00CC4D89">
              <w:rPr>
                <w:bCs/>
                <w:lang w:val="fr-CA"/>
              </w:rPr>
              <w:t>’</w:t>
            </w:r>
            <w:r w:rsidR="00547384">
              <w:rPr>
                <w:bCs/>
                <w:lang w:val="fr-CA"/>
              </w:rPr>
              <w:t>il s</w:t>
            </w:r>
            <w:r w:rsidR="00CC4D89">
              <w:rPr>
                <w:bCs/>
                <w:lang w:val="fr-CA"/>
              </w:rPr>
              <w:t>’</w:t>
            </w:r>
            <w:r w:rsidR="00547384">
              <w:rPr>
                <w:bCs/>
                <w:lang w:val="fr-CA"/>
              </w:rPr>
              <w:t>agissait du</w:t>
            </w:r>
            <w:r w:rsidRPr="007757AC">
              <w:rPr>
                <w:bCs/>
                <w:lang w:val="fr-CA"/>
              </w:rPr>
              <w:t xml:space="preserve"> produit devant être distribué aux actionnaires de la Société en cas de liquidation aux termes de</w:t>
            </w:r>
            <w:r w:rsidR="003471A4" w:rsidRPr="007757AC">
              <w:rPr>
                <w:bCs/>
                <w:lang w:val="fr-CA"/>
              </w:rPr>
              <w:t xml:space="preserve"> la charte </w:t>
            </w:r>
            <w:r w:rsidRPr="007757AC">
              <w:rPr>
                <w:bCs/>
                <w:lang w:val="fr-CA"/>
              </w:rPr>
              <w:t>alors en vigueur de la Société, sous réserve des limites usuelles</w:t>
            </w:r>
            <w:r w:rsidR="003471A4" w:rsidRPr="008A64C8">
              <w:rPr>
                <w:vertAlign w:val="superscript"/>
                <w:lang w:val="fr-CA"/>
              </w:rPr>
              <w:footnoteReference w:id="28"/>
            </w:r>
            <w:r w:rsidRPr="007757AC">
              <w:rPr>
                <w:bCs/>
                <w:lang w:val="fr-CA"/>
              </w:rPr>
              <w:t>.]]</w:t>
            </w:r>
            <w:r w:rsidRPr="007757AC">
              <w:rPr>
                <w:b/>
                <w:lang w:val="fr-CA"/>
              </w:rPr>
              <w:t xml:space="preserve"> </w:t>
            </w:r>
          </w:p>
        </w:tc>
      </w:tr>
      <w:tr w:rsidR="00892B94" w:rsidRPr="007757AC" w14:paraId="00EE4608" w14:textId="77777777" w:rsidTr="00057FCC">
        <w:tc>
          <w:tcPr>
            <w:tcW w:w="5000" w:type="pct"/>
            <w:gridSpan w:val="2"/>
            <w:tcBorders>
              <w:top w:val="nil"/>
              <w:left w:val="nil"/>
              <w:bottom w:val="nil"/>
              <w:right w:val="nil"/>
            </w:tcBorders>
          </w:tcPr>
          <w:p w14:paraId="0D29354B" w14:textId="77777777" w:rsidR="00892B94" w:rsidRPr="007757AC" w:rsidRDefault="00892B94" w:rsidP="00057FCC">
            <w:pPr>
              <w:keepNext/>
              <w:tabs>
                <w:tab w:val="left" w:pos="432"/>
              </w:tabs>
              <w:suppressAutoHyphens/>
              <w:autoSpaceDE w:val="0"/>
              <w:autoSpaceDN w:val="0"/>
              <w:adjustRightInd w:val="0"/>
              <w:spacing w:after="240"/>
              <w:jc w:val="center"/>
              <w:rPr>
                <w:rFonts w:eastAsia="Times New Roman" w:cs="Times New Roman"/>
                <w:b/>
                <w:bCs/>
                <w:u w:val="single"/>
                <w:lang w:val="fr-CA" w:eastAsia="ja-JP"/>
              </w:rPr>
            </w:pPr>
            <w:r w:rsidRPr="007757AC">
              <w:rPr>
                <w:rFonts w:eastAsia="Times New Roman" w:cs="Times New Roman"/>
                <w:b/>
                <w:bCs/>
                <w:u w:val="single"/>
                <w:lang w:val="fr-CA" w:eastAsia="ja-JP"/>
              </w:rPr>
              <w:t>AUTRES QUESTIONS</w:t>
            </w:r>
          </w:p>
        </w:tc>
      </w:tr>
      <w:tr w:rsidR="00892B94" w:rsidRPr="008E00AC" w14:paraId="16F0AEA1" w14:textId="77777777" w:rsidTr="00057FCC">
        <w:tblPrEx>
          <w:tblLook w:val="06A0" w:firstRow="1" w:lastRow="0" w:firstColumn="1" w:lastColumn="0" w:noHBand="1" w:noVBand="1"/>
        </w:tblPrEx>
        <w:tc>
          <w:tcPr>
            <w:tcW w:w="1587" w:type="pct"/>
            <w:shd w:val="clear" w:color="auto" w:fill="auto"/>
          </w:tcPr>
          <w:p w14:paraId="500154D5" w14:textId="01BD5F2B" w:rsidR="00892B94" w:rsidRPr="007757AC" w:rsidRDefault="00892B94" w:rsidP="00057FCC">
            <w:pPr>
              <w:pStyle w:val="TableItalics"/>
              <w:rPr>
                <w:lang w:val="fr-CA"/>
              </w:rPr>
            </w:pPr>
            <w:r w:rsidRPr="007757AC">
              <w:rPr>
                <w:lang w:val="fr-CA"/>
              </w:rPr>
              <w:t>[Actions des fondateurs</w:t>
            </w:r>
            <w:r w:rsidR="007757AC" w:rsidRPr="007757AC">
              <w:rPr>
                <w:lang w:val="fr-CA"/>
              </w:rPr>
              <w:t> </w:t>
            </w:r>
            <w:r w:rsidRPr="007757AC">
              <w:rPr>
                <w:lang w:val="fr-CA"/>
              </w:rPr>
              <w:t>:</w:t>
            </w:r>
            <w:r w:rsidRPr="007757AC">
              <w:rPr>
                <w:lang w:val="fr-CA"/>
              </w:rPr>
              <w:br/>
            </w:r>
          </w:p>
        </w:tc>
        <w:tc>
          <w:tcPr>
            <w:tcW w:w="3408" w:type="pct"/>
            <w:shd w:val="clear" w:color="auto" w:fill="auto"/>
          </w:tcPr>
          <w:p w14:paraId="5E20447F" w14:textId="2BFF0889" w:rsidR="00892B94" w:rsidRPr="007757AC" w:rsidRDefault="00892B94" w:rsidP="00057FCC">
            <w:pPr>
              <w:pStyle w:val="BodyText"/>
              <w:rPr>
                <w:lang w:val="fr-CA"/>
              </w:rPr>
            </w:pPr>
            <w:r w:rsidRPr="007757AC">
              <w:rPr>
                <w:lang w:val="fr-CA"/>
              </w:rPr>
              <w:t>Droit de rachat/d</w:t>
            </w:r>
            <w:r w:rsidR="00CC4D89">
              <w:rPr>
                <w:lang w:val="fr-CA"/>
              </w:rPr>
              <w:t>’</w:t>
            </w:r>
            <w:r w:rsidRPr="007757AC">
              <w:rPr>
                <w:lang w:val="fr-CA"/>
              </w:rPr>
              <w:t>acquisition pour [__]</w:t>
            </w:r>
            <w:r w:rsidR="002D3F68">
              <w:rPr>
                <w:lang w:val="fr-CA"/>
              </w:rPr>
              <w:t> %</w:t>
            </w:r>
            <w:r w:rsidRPr="007757AC">
              <w:rPr>
                <w:lang w:val="fr-CA"/>
              </w:rPr>
              <w:t xml:space="preserve"> p</w:t>
            </w:r>
            <w:r w:rsidR="00051C5C">
              <w:rPr>
                <w:lang w:val="fr-CA"/>
              </w:rPr>
              <w:t>endant</w:t>
            </w:r>
            <w:r w:rsidRPr="007757AC">
              <w:rPr>
                <w:lang w:val="fr-CA"/>
              </w:rPr>
              <w:t xml:space="preserve"> les [</w:t>
            </w:r>
            <w:r w:rsidRPr="008A64C8">
              <w:rPr>
                <w:lang w:val="fr-CA"/>
              </w:rPr>
              <w:t>12</w:t>
            </w:r>
            <w:r w:rsidR="00E0368E">
              <w:rPr>
                <w:lang w:val="fr-CA"/>
              </w:rPr>
              <w:t> </w:t>
            </w:r>
            <w:r w:rsidRPr="007757AC">
              <w:rPr>
                <w:lang w:val="fr-CA"/>
              </w:rPr>
              <w:t xml:space="preserve">premiers mois] suivant la </w:t>
            </w:r>
            <w:r w:rsidR="007757AC" w:rsidRPr="007757AC">
              <w:rPr>
                <w:lang w:val="fr-CA"/>
              </w:rPr>
              <w:t>C</w:t>
            </w:r>
            <w:r w:rsidRPr="007757AC">
              <w:rPr>
                <w:lang w:val="fr-CA"/>
              </w:rPr>
              <w:t xml:space="preserve">lôture; par la suite, </w:t>
            </w:r>
            <w:r w:rsidR="007757AC" w:rsidRPr="007757AC">
              <w:rPr>
                <w:lang w:val="fr-CA"/>
              </w:rPr>
              <w:t>ce</w:t>
            </w:r>
            <w:r w:rsidRPr="007757AC">
              <w:rPr>
                <w:lang w:val="fr-CA"/>
              </w:rPr>
              <w:t xml:space="preserve"> droit devient caduc par tranches égales [mensuelles] sur </w:t>
            </w:r>
            <w:r w:rsidR="007757AC" w:rsidRPr="007757AC">
              <w:rPr>
                <w:lang w:val="fr-CA"/>
              </w:rPr>
              <w:t xml:space="preserve">les </w:t>
            </w:r>
            <w:r w:rsidRPr="007757AC">
              <w:rPr>
                <w:lang w:val="fr-CA"/>
              </w:rPr>
              <w:t>[__] mois suivants</w:t>
            </w:r>
            <w:r w:rsidR="007757AC" w:rsidRPr="008A64C8">
              <w:rPr>
                <w:rStyle w:val="FootnoteReference"/>
                <w:lang w:val="fr-CA"/>
              </w:rPr>
              <w:footnoteReference w:id="29"/>
            </w:r>
            <w:r w:rsidRPr="007757AC">
              <w:rPr>
                <w:lang w:val="fr-CA"/>
              </w:rPr>
              <w:t xml:space="preserve">.] </w:t>
            </w:r>
          </w:p>
        </w:tc>
      </w:tr>
      <w:tr w:rsidR="00892B94" w:rsidRPr="008E00AC" w14:paraId="502C8C31" w14:textId="77777777" w:rsidTr="00057FCC">
        <w:tblPrEx>
          <w:tblLook w:val="06A0" w:firstRow="1" w:lastRow="0" w:firstColumn="1" w:lastColumn="0" w:noHBand="1" w:noVBand="1"/>
        </w:tblPrEx>
        <w:tc>
          <w:tcPr>
            <w:tcW w:w="1587" w:type="pct"/>
            <w:shd w:val="clear" w:color="auto" w:fill="auto"/>
          </w:tcPr>
          <w:p w14:paraId="2A681EF2" w14:textId="4A150ADD" w:rsidR="00892B94" w:rsidRPr="007757AC" w:rsidRDefault="00892B94" w:rsidP="00057FCC">
            <w:pPr>
              <w:pStyle w:val="TableItalics"/>
              <w:rPr>
                <w:lang w:val="fr-CA"/>
              </w:rPr>
            </w:pPr>
            <w:r w:rsidRPr="007757AC">
              <w:rPr>
                <w:lang w:val="fr-CA"/>
              </w:rPr>
              <w:t>[Actions privilégiées existantes</w:t>
            </w:r>
            <w:r w:rsidRPr="008A64C8">
              <w:rPr>
                <w:rStyle w:val="FootnoteReference"/>
                <w:lang w:val="fr-CA"/>
              </w:rPr>
              <w:footnoteReference w:id="30"/>
            </w:r>
            <w:r w:rsidR="007757AC" w:rsidRPr="007757AC">
              <w:rPr>
                <w:lang w:val="fr-CA"/>
              </w:rPr>
              <w:t> :</w:t>
            </w:r>
          </w:p>
        </w:tc>
        <w:tc>
          <w:tcPr>
            <w:tcW w:w="3408" w:type="pct"/>
            <w:shd w:val="clear" w:color="auto" w:fill="auto"/>
          </w:tcPr>
          <w:p w14:paraId="7777F630" w14:textId="1D481661" w:rsidR="00892B94" w:rsidRPr="007757AC" w:rsidRDefault="00892B94" w:rsidP="00057FCC">
            <w:pPr>
              <w:pStyle w:val="BodyText"/>
              <w:rPr>
                <w:lang w:val="fr-CA"/>
              </w:rPr>
            </w:pPr>
            <w:r w:rsidRPr="007757AC">
              <w:rPr>
                <w:lang w:val="fr-CA"/>
              </w:rPr>
              <w:t xml:space="preserve">Les modalités énoncées ci-dessus pour les </w:t>
            </w:r>
            <w:r w:rsidR="007757AC" w:rsidRPr="007757AC">
              <w:rPr>
                <w:lang w:val="fr-CA"/>
              </w:rPr>
              <w:t>A</w:t>
            </w:r>
            <w:r w:rsidRPr="007757AC">
              <w:rPr>
                <w:lang w:val="fr-CA"/>
              </w:rPr>
              <w:t xml:space="preserve">ctions privilégiées de catégorie [_] sont assujetties à un examen des droits, des priorités et des restrictions </w:t>
            </w:r>
            <w:r w:rsidR="007757AC" w:rsidRPr="007757AC">
              <w:rPr>
                <w:lang w:val="fr-CA"/>
              </w:rPr>
              <w:t>relatifs aux</w:t>
            </w:r>
            <w:r w:rsidRPr="007757AC">
              <w:rPr>
                <w:lang w:val="fr-CA"/>
              </w:rPr>
              <w:t xml:space="preserve"> </w:t>
            </w:r>
            <w:r w:rsidR="007757AC" w:rsidRPr="007757AC">
              <w:rPr>
                <w:lang w:val="fr-CA"/>
              </w:rPr>
              <w:t>A</w:t>
            </w:r>
            <w:r w:rsidRPr="007757AC">
              <w:rPr>
                <w:lang w:val="fr-CA"/>
              </w:rPr>
              <w:t xml:space="preserve">ctions privilégiées existantes. Les modifications nécessaires pour rendre les </w:t>
            </w:r>
            <w:r w:rsidR="007757AC" w:rsidRPr="007757AC">
              <w:rPr>
                <w:lang w:val="fr-CA"/>
              </w:rPr>
              <w:t>A</w:t>
            </w:r>
            <w:r w:rsidRPr="007757AC">
              <w:rPr>
                <w:lang w:val="fr-CA"/>
              </w:rPr>
              <w:t xml:space="preserve">ctions privilégiées existantes conformes au présent </w:t>
            </w:r>
            <w:r w:rsidR="008D3714">
              <w:rPr>
                <w:lang w:val="fr-CA"/>
              </w:rPr>
              <w:t>S</w:t>
            </w:r>
            <w:r w:rsidRPr="007757AC">
              <w:rPr>
                <w:lang w:val="fr-CA"/>
              </w:rPr>
              <w:t xml:space="preserve">ommaire des modalités seront apportées à la </w:t>
            </w:r>
            <w:r w:rsidR="007757AC" w:rsidRPr="007757AC">
              <w:rPr>
                <w:lang w:val="fr-CA"/>
              </w:rPr>
              <w:t>C</w:t>
            </w:r>
            <w:r w:rsidRPr="007757AC">
              <w:rPr>
                <w:lang w:val="fr-CA"/>
              </w:rPr>
              <w:t>lôture.]</w:t>
            </w:r>
          </w:p>
        </w:tc>
      </w:tr>
      <w:tr w:rsidR="00892B94" w:rsidRPr="008E00AC" w14:paraId="22002A5E" w14:textId="77777777" w:rsidTr="00057FCC">
        <w:tblPrEx>
          <w:tblLook w:val="06A0" w:firstRow="1" w:lastRow="0" w:firstColumn="1" w:lastColumn="0" w:noHBand="1" w:noVBand="1"/>
        </w:tblPrEx>
        <w:tc>
          <w:tcPr>
            <w:tcW w:w="1587" w:type="pct"/>
            <w:shd w:val="clear" w:color="auto" w:fill="auto"/>
          </w:tcPr>
          <w:p w14:paraId="580B1E46" w14:textId="102CFAD1" w:rsidR="00892B94" w:rsidRPr="007757AC" w:rsidRDefault="00892B94" w:rsidP="00057FCC">
            <w:pPr>
              <w:pStyle w:val="TableItalics"/>
              <w:rPr>
                <w:lang w:val="fr-CA"/>
              </w:rPr>
            </w:pPr>
            <w:r w:rsidRPr="007757AC">
              <w:rPr>
                <w:lang w:val="fr-CA"/>
              </w:rPr>
              <w:t>Non-sollicitation/confidentialité</w:t>
            </w:r>
            <w:r w:rsidR="007757AC" w:rsidRPr="007757AC">
              <w:rPr>
                <w:lang w:val="fr-CA"/>
              </w:rPr>
              <w:t> </w:t>
            </w:r>
            <w:r w:rsidRPr="007757AC">
              <w:rPr>
                <w:lang w:val="fr-CA"/>
              </w:rPr>
              <w:t>:</w:t>
            </w:r>
          </w:p>
        </w:tc>
        <w:tc>
          <w:tcPr>
            <w:tcW w:w="3408" w:type="pct"/>
            <w:shd w:val="clear" w:color="auto" w:fill="auto"/>
          </w:tcPr>
          <w:p w14:paraId="3D95418A" w14:textId="132FB15B" w:rsidR="00892B94" w:rsidRPr="007757AC" w:rsidRDefault="00892B94" w:rsidP="00057FCC">
            <w:pPr>
              <w:widowControl w:val="0"/>
              <w:spacing w:after="240"/>
              <w:ind w:right="14"/>
              <w:rPr>
                <w:lang w:val="fr-CA"/>
              </w:rPr>
            </w:pPr>
            <w:r w:rsidRPr="007757AC">
              <w:rPr>
                <w:lang w:val="fr-CA"/>
              </w:rPr>
              <w:t>La Société et les Investisseurs</w:t>
            </w:r>
            <w:r w:rsidR="007757AC">
              <w:rPr>
                <w:lang w:val="fr-CA"/>
              </w:rPr>
              <w:t xml:space="preserve"> s</w:t>
            </w:r>
            <w:r w:rsidR="00CC4D89">
              <w:rPr>
                <w:lang w:val="fr-CA"/>
              </w:rPr>
              <w:t>’</w:t>
            </w:r>
            <w:r w:rsidR="007757AC">
              <w:rPr>
                <w:lang w:val="fr-CA"/>
              </w:rPr>
              <w:t>engagent à</w:t>
            </w:r>
            <w:r w:rsidRPr="007757AC">
              <w:rPr>
                <w:lang w:val="fr-CA"/>
              </w:rPr>
              <w:t xml:space="preserve"> travailler de bonne foi et rapidement </w:t>
            </w:r>
            <w:r w:rsidR="0072718C">
              <w:rPr>
                <w:lang w:val="fr-CA"/>
              </w:rPr>
              <w:t>pour réaliser</w:t>
            </w:r>
            <w:r w:rsidR="00547384">
              <w:rPr>
                <w:lang w:val="fr-CA"/>
              </w:rPr>
              <w:t xml:space="preserve"> la</w:t>
            </w:r>
            <w:r w:rsidR="008D3714">
              <w:rPr>
                <w:lang w:val="fr-CA"/>
              </w:rPr>
              <w:t xml:space="preserve"> </w:t>
            </w:r>
            <w:r w:rsidRPr="007757AC">
              <w:rPr>
                <w:lang w:val="fr-CA"/>
              </w:rPr>
              <w:t xml:space="preserve">Clôture. La Société et les fondateurs </w:t>
            </w:r>
            <w:r w:rsidR="007757AC">
              <w:rPr>
                <w:lang w:val="fr-CA"/>
              </w:rPr>
              <w:t>s</w:t>
            </w:r>
            <w:r w:rsidR="00CC4D89">
              <w:rPr>
                <w:lang w:val="fr-CA"/>
              </w:rPr>
              <w:t>’</w:t>
            </w:r>
            <w:r w:rsidR="007757AC">
              <w:rPr>
                <w:lang w:val="fr-CA"/>
              </w:rPr>
              <w:t xml:space="preserve">engagent à </w:t>
            </w:r>
            <w:r w:rsidR="00547384">
              <w:rPr>
                <w:lang w:val="fr-CA"/>
              </w:rPr>
              <w:t>ne pas</w:t>
            </w:r>
            <w:r w:rsidRPr="007757AC">
              <w:rPr>
                <w:lang w:val="fr-CA"/>
              </w:rPr>
              <w:t xml:space="preserve">, pendant une période de [______] jours à compter de la date à laquelle les présentes modalités sont acceptées, prendre de mesures </w:t>
            </w:r>
            <w:r w:rsidR="007757AC">
              <w:rPr>
                <w:lang w:val="fr-CA"/>
              </w:rPr>
              <w:t>en vue de</w:t>
            </w:r>
            <w:r w:rsidRPr="007757AC">
              <w:rPr>
                <w:lang w:val="fr-CA"/>
              </w:rPr>
              <w:t xml:space="preserve"> solliciter, </w:t>
            </w:r>
            <w:r w:rsidR="007757AC">
              <w:rPr>
                <w:lang w:val="fr-CA"/>
              </w:rPr>
              <w:t>d</w:t>
            </w:r>
            <w:r w:rsidR="00CC4D89">
              <w:rPr>
                <w:lang w:val="fr-CA"/>
              </w:rPr>
              <w:t>’</w:t>
            </w:r>
            <w:r w:rsidRPr="007757AC">
              <w:rPr>
                <w:lang w:val="fr-CA"/>
              </w:rPr>
              <w:t xml:space="preserve">entreprendre, </w:t>
            </w:r>
            <w:r w:rsidR="007757AC">
              <w:rPr>
                <w:lang w:val="fr-CA"/>
              </w:rPr>
              <w:t>d</w:t>
            </w:r>
            <w:r w:rsidR="00CC4D89">
              <w:rPr>
                <w:lang w:val="fr-CA"/>
              </w:rPr>
              <w:t>’</w:t>
            </w:r>
            <w:r w:rsidRPr="007757AC">
              <w:rPr>
                <w:lang w:val="fr-CA"/>
              </w:rPr>
              <w:t xml:space="preserve">encourager ou </w:t>
            </w:r>
            <w:r w:rsidR="007757AC">
              <w:rPr>
                <w:lang w:val="fr-CA"/>
              </w:rPr>
              <w:t xml:space="preserve">de faciliter </w:t>
            </w:r>
            <w:r w:rsidRPr="007757AC">
              <w:rPr>
                <w:lang w:val="fr-CA"/>
              </w:rPr>
              <w:t>la présentation d</w:t>
            </w:r>
            <w:r w:rsidR="00CC4D89">
              <w:rPr>
                <w:lang w:val="fr-CA"/>
              </w:rPr>
              <w:t>’</w:t>
            </w:r>
            <w:r w:rsidRPr="007757AC">
              <w:rPr>
                <w:lang w:val="fr-CA"/>
              </w:rPr>
              <w:t xml:space="preserve">une proposition, </w:t>
            </w:r>
            <w:r w:rsidR="007757AC">
              <w:rPr>
                <w:lang w:val="fr-CA"/>
              </w:rPr>
              <w:t>de</w:t>
            </w:r>
            <w:r w:rsidRPr="007757AC">
              <w:rPr>
                <w:lang w:val="fr-CA"/>
              </w:rPr>
              <w:t xml:space="preserve"> négociation</w:t>
            </w:r>
            <w:r w:rsidR="007757AC">
              <w:rPr>
                <w:lang w:val="fr-CA"/>
              </w:rPr>
              <w:t>s</w:t>
            </w:r>
            <w:r w:rsidRPr="007757AC">
              <w:rPr>
                <w:lang w:val="fr-CA"/>
              </w:rPr>
              <w:t xml:space="preserve"> ou </w:t>
            </w:r>
            <w:r w:rsidR="007757AC">
              <w:rPr>
                <w:lang w:val="fr-CA"/>
              </w:rPr>
              <w:t>d</w:t>
            </w:r>
            <w:r w:rsidR="00CC4D89">
              <w:rPr>
                <w:lang w:val="fr-CA"/>
              </w:rPr>
              <w:t>’</w:t>
            </w:r>
            <w:r w:rsidRPr="007757AC">
              <w:rPr>
                <w:lang w:val="fr-CA"/>
              </w:rPr>
              <w:t xml:space="preserve">une offre </w:t>
            </w:r>
            <w:r w:rsidR="007757AC">
              <w:rPr>
                <w:lang w:val="fr-CA"/>
              </w:rPr>
              <w:t xml:space="preserve">par </w:t>
            </w:r>
            <w:r w:rsidRPr="007757AC">
              <w:rPr>
                <w:lang w:val="fr-CA"/>
              </w:rPr>
              <w:t xml:space="preserve">une personne ou </w:t>
            </w:r>
            <w:r w:rsidR="007757AC">
              <w:rPr>
                <w:lang w:val="fr-CA"/>
              </w:rPr>
              <w:t xml:space="preserve">une </w:t>
            </w:r>
            <w:r w:rsidRPr="007757AC">
              <w:rPr>
                <w:lang w:val="fr-CA"/>
              </w:rPr>
              <w:t>entité autre que les Investisseurs relativement à la vente ou à l</w:t>
            </w:r>
            <w:r w:rsidR="00CC4D89">
              <w:rPr>
                <w:lang w:val="fr-CA"/>
              </w:rPr>
              <w:t>’</w:t>
            </w:r>
            <w:r w:rsidRPr="007757AC">
              <w:rPr>
                <w:lang w:val="fr-CA"/>
              </w:rPr>
              <w:t>émission d</w:t>
            </w:r>
            <w:r w:rsidR="00CC4D89">
              <w:rPr>
                <w:lang w:val="fr-CA"/>
              </w:rPr>
              <w:t>’</w:t>
            </w:r>
            <w:r w:rsidR="00B27E89">
              <w:rPr>
                <w:lang w:val="fr-CA"/>
              </w:rPr>
              <w:t>actions du capital</w:t>
            </w:r>
            <w:r w:rsidRPr="007757AC">
              <w:rPr>
                <w:lang w:val="fr-CA"/>
              </w:rPr>
              <w:t xml:space="preserve"> de la Société [ou à l</w:t>
            </w:r>
            <w:r w:rsidR="00CC4D89">
              <w:rPr>
                <w:lang w:val="fr-CA"/>
              </w:rPr>
              <w:t>’</w:t>
            </w:r>
            <w:r w:rsidRPr="007757AC">
              <w:rPr>
                <w:lang w:val="fr-CA"/>
              </w:rPr>
              <w:t xml:space="preserve">acquisition, à la vente, à la location, à la </w:t>
            </w:r>
            <w:r w:rsidR="00B27E89">
              <w:rPr>
                <w:lang w:val="fr-CA"/>
              </w:rPr>
              <w:t xml:space="preserve">concession sous </w:t>
            </w:r>
            <w:r w:rsidRPr="007757AC">
              <w:rPr>
                <w:lang w:val="fr-CA"/>
              </w:rPr>
              <w:t>licence ou à une autre aliénation de la Société ou d</w:t>
            </w:r>
            <w:r w:rsidR="00CC4D89">
              <w:rPr>
                <w:lang w:val="fr-CA"/>
              </w:rPr>
              <w:t>’</w:t>
            </w:r>
            <w:r w:rsidRPr="007757AC">
              <w:rPr>
                <w:lang w:val="fr-CA"/>
              </w:rPr>
              <w:t xml:space="preserve">une partie importante des actions ou des actifs de la Société] et </w:t>
            </w:r>
            <w:r w:rsidR="008D3714">
              <w:rPr>
                <w:lang w:val="fr-CA"/>
              </w:rPr>
              <w:t xml:space="preserve">ils </w:t>
            </w:r>
            <w:r w:rsidRPr="007757AC">
              <w:rPr>
                <w:lang w:val="fr-CA"/>
              </w:rPr>
              <w:t xml:space="preserve">doivent aviser les Investisseurs sans délai de toute demande de renseignements </w:t>
            </w:r>
            <w:r w:rsidR="008D3714">
              <w:rPr>
                <w:lang w:val="fr-CA"/>
              </w:rPr>
              <w:t>présentée</w:t>
            </w:r>
            <w:r w:rsidR="00B27E89">
              <w:rPr>
                <w:lang w:val="fr-CA"/>
              </w:rPr>
              <w:t xml:space="preserve"> </w:t>
            </w:r>
            <w:r w:rsidRPr="007757AC">
              <w:rPr>
                <w:lang w:val="fr-CA"/>
              </w:rPr>
              <w:t xml:space="preserve">par </w:t>
            </w:r>
            <w:r w:rsidR="00547384">
              <w:rPr>
                <w:lang w:val="fr-CA"/>
              </w:rPr>
              <w:t>des</w:t>
            </w:r>
            <w:r w:rsidRPr="007757AC">
              <w:rPr>
                <w:lang w:val="fr-CA"/>
              </w:rPr>
              <w:t xml:space="preserve"> tiers à l</w:t>
            </w:r>
            <w:r w:rsidR="00CC4D89">
              <w:rPr>
                <w:lang w:val="fr-CA"/>
              </w:rPr>
              <w:t>’</w:t>
            </w:r>
            <w:r w:rsidRPr="007757AC">
              <w:rPr>
                <w:lang w:val="fr-CA"/>
              </w:rPr>
              <w:t>égard de ce qui précède. La Société s</w:t>
            </w:r>
            <w:r w:rsidR="00CC4D89">
              <w:rPr>
                <w:lang w:val="fr-CA"/>
              </w:rPr>
              <w:t>’</w:t>
            </w:r>
            <w:r w:rsidRPr="007757AC">
              <w:rPr>
                <w:lang w:val="fr-CA"/>
              </w:rPr>
              <w:t>abstiendra de</w:t>
            </w:r>
            <w:r w:rsidR="00547384">
              <w:rPr>
                <w:lang w:val="fr-CA"/>
              </w:rPr>
              <w:t xml:space="preserve"> divulguer</w:t>
            </w:r>
            <w:r w:rsidRPr="007757AC">
              <w:rPr>
                <w:lang w:val="fr-CA"/>
              </w:rPr>
              <w:t xml:space="preserve"> les modalités du présent </w:t>
            </w:r>
            <w:r w:rsidR="008D3714">
              <w:rPr>
                <w:lang w:val="fr-CA"/>
              </w:rPr>
              <w:t>S</w:t>
            </w:r>
            <w:r w:rsidRPr="007757AC">
              <w:rPr>
                <w:lang w:val="fr-CA"/>
              </w:rPr>
              <w:t>ommaire des modalités à toute personne autre que les employés, les actionnaires, les membres du Conseil d</w:t>
            </w:r>
            <w:r w:rsidR="00CC4D89">
              <w:rPr>
                <w:lang w:val="fr-CA"/>
              </w:rPr>
              <w:t>’</w:t>
            </w:r>
            <w:r w:rsidRPr="007757AC">
              <w:rPr>
                <w:lang w:val="fr-CA"/>
              </w:rPr>
              <w:t xml:space="preserve">administration </w:t>
            </w:r>
            <w:r w:rsidR="008D3714">
              <w:rPr>
                <w:lang w:val="fr-CA"/>
              </w:rPr>
              <w:t xml:space="preserve">ainsi que </w:t>
            </w:r>
            <w:r w:rsidRPr="007757AC">
              <w:rPr>
                <w:lang w:val="fr-CA"/>
              </w:rPr>
              <w:t xml:space="preserve">les comptables et avocats de la Société et </w:t>
            </w:r>
            <w:r w:rsidR="00B27E89">
              <w:rPr>
                <w:lang w:val="fr-CA"/>
              </w:rPr>
              <w:t>d</w:t>
            </w:r>
            <w:r w:rsidR="00CC4D89">
              <w:rPr>
                <w:lang w:val="fr-CA"/>
              </w:rPr>
              <w:t>’</w:t>
            </w:r>
            <w:r w:rsidRPr="007757AC">
              <w:rPr>
                <w:lang w:val="fr-CA"/>
              </w:rPr>
              <w:t xml:space="preserve">autres Investisseurs </w:t>
            </w:r>
            <w:r w:rsidR="00547384">
              <w:rPr>
                <w:lang w:val="fr-CA"/>
              </w:rPr>
              <w:t>potentiels</w:t>
            </w:r>
            <w:r w:rsidRPr="007757AC">
              <w:rPr>
                <w:lang w:val="fr-CA"/>
              </w:rPr>
              <w:t xml:space="preserve"> que [_________], à titre d</w:t>
            </w:r>
            <w:r w:rsidR="00CC4D89">
              <w:rPr>
                <w:lang w:val="fr-CA"/>
              </w:rPr>
              <w:t>’</w:t>
            </w:r>
            <w:r w:rsidRPr="007757AC">
              <w:rPr>
                <w:lang w:val="fr-CA"/>
              </w:rPr>
              <w:t xml:space="preserve">Investisseur principal, </w:t>
            </w:r>
            <w:r w:rsidR="00B27E89" w:rsidRPr="007757AC">
              <w:rPr>
                <w:lang w:val="fr-CA"/>
              </w:rPr>
              <w:t>juge acceptables</w:t>
            </w:r>
            <w:r w:rsidR="00B27E89">
              <w:rPr>
                <w:lang w:val="fr-CA"/>
              </w:rPr>
              <w:t>,</w:t>
            </w:r>
            <w:r w:rsidR="00B27E89" w:rsidRPr="007757AC">
              <w:rPr>
                <w:lang w:val="fr-CA"/>
              </w:rPr>
              <w:t xml:space="preserve"> </w:t>
            </w:r>
            <w:r w:rsidRPr="007757AC">
              <w:rPr>
                <w:lang w:val="fr-CA"/>
              </w:rPr>
              <w:t>sans le consentement écrit des Investisseurs (</w:t>
            </w:r>
            <w:r w:rsidR="00B27E89">
              <w:rPr>
                <w:lang w:val="fr-CA"/>
              </w:rPr>
              <w:t>qu</w:t>
            </w:r>
            <w:r w:rsidR="00CC4D89">
              <w:rPr>
                <w:lang w:val="fr-CA"/>
              </w:rPr>
              <w:t>’</w:t>
            </w:r>
            <w:r w:rsidR="00B27E89">
              <w:rPr>
                <w:lang w:val="fr-CA"/>
              </w:rPr>
              <w:t>ils ne peuvent refuser d</w:t>
            </w:r>
            <w:r w:rsidR="00CC4D89">
              <w:rPr>
                <w:lang w:val="fr-CA"/>
              </w:rPr>
              <w:t>’</w:t>
            </w:r>
            <w:r w:rsidR="00B27E89">
              <w:rPr>
                <w:lang w:val="fr-CA"/>
              </w:rPr>
              <w:t>accorder, a</w:t>
            </w:r>
            <w:r w:rsidRPr="007757AC">
              <w:rPr>
                <w:lang w:val="fr-CA"/>
              </w:rPr>
              <w:t>ssorti</w:t>
            </w:r>
            <w:r w:rsidR="00B27E89">
              <w:rPr>
                <w:lang w:val="fr-CA"/>
              </w:rPr>
              <w:t>r</w:t>
            </w:r>
            <w:r w:rsidRPr="007757AC">
              <w:rPr>
                <w:lang w:val="fr-CA"/>
              </w:rPr>
              <w:t xml:space="preserve"> de conditions ou tard</w:t>
            </w:r>
            <w:r w:rsidR="00B27E89">
              <w:rPr>
                <w:lang w:val="fr-CA"/>
              </w:rPr>
              <w:t>er à accorder</w:t>
            </w:r>
            <w:r w:rsidR="00AE197E">
              <w:rPr>
                <w:lang w:val="fr-CA"/>
              </w:rPr>
              <w:t xml:space="preserve"> </w:t>
            </w:r>
            <w:r w:rsidR="00B27E89">
              <w:rPr>
                <w:lang w:val="fr-CA"/>
              </w:rPr>
              <w:t xml:space="preserve">sans motif </w:t>
            </w:r>
            <w:r w:rsidRPr="007757AC">
              <w:rPr>
                <w:lang w:val="fr-CA"/>
              </w:rPr>
              <w:t xml:space="preserve">raisonnable). </w:t>
            </w:r>
          </w:p>
        </w:tc>
      </w:tr>
      <w:tr w:rsidR="00892B94" w:rsidRPr="008E00AC" w14:paraId="2FC20B24" w14:textId="77777777" w:rsidTr="00057FCC">
        <w:tblPrEx>
          <w:tblLook w:val="06A0" w:firstRow="1" w:lastRow="0" w:firstColumn="1" w:lastColumn="0" w:noHBand="1" w:noVBand="1"/>
        </w:tblPrEx>
        <w:tc>
          <w:tcPr>
            <w:tcW w:w="1587" w:type="pct"/>
            <w:shd w:val="clear" w:color="auto" w:fill="auto"/>
          </w:tcPr>
          <w:p w14:paraId="7B662CD0" w14:textId="77777777" w:rsidR="00892B94" w:rsidRPr="00B01B07" w:rsidRDefault="00892B94" w:rsidP="00057FCC">
            <w:pPr>
              <w:pStyle w:val="TableItalics"/>
              <w:rPr>
                <w:iCs w:val="0"/>
                <w:lang w:val="fr-CA"/>
              </w:rPr>
            </w:pPr>
            <w:r w:rsidRPr="00B01B07">
              <w:rPr>
                <w:iCs w:val="0"/>
                <w:lang w:val="fr-CA"/>
              </w:rPr>
              <w:t>Expiration :</w:t>
            </w:r>
          </w:p>
        </w:tc>
        <w:tc>
          <w:tcPr>
            <w:tcW w:w="3408" w:type="pct"/>
            <w:shd w:val="clear" w:color="auto" w:fill="auto"/>
          </w:tcPr>
          <w:p w14:paraId="19D23182" w14:textId="4EF32FE7" w:rsidR="00892B94" w:rsidRPr="007757AC" w:rsidRDefault="00892B94" w:rsidP="00057FCC">
            <w:pPr>
              <w:widowControl w:val="0"/>
              <w:spacing w:after="240"/>
              <w:ind w:right="14"/>
              <w:rPr>
                <w:lang w:val="fr-CA"/>
              </w:rPr>
            </w:pPr>
            <w:r w:rsidRPr="007757AC">
              <w:rPr>
                <w:lang w:val="fr-CA"/>
              </w:rPr>
              <w:t xml:space="preserve">Le présent </w:t>
            </w:r>
            <w:r w:rsidR="008D3714">
              <w:rPr>
                <w:lang w:val="fr-CA"/>
              </w:rPr>
              <w:t>S</w:t>
            </w:r>
            <w:r w:rsidRPr="007757AC">
              <w:rPr>
                <w:lang w:val="fr-CA"/>
              </w:rPr>
              <w:t xml:space="preserve">ommaire des modalités expire le [_________ </w:t>
            </w:r>
            <w:r w:rsidRPr="008A64C8">
              <w:rPr>
                <w:lang w:val="fr-CA"/>
              </w:rPr>
              <w:t>20</w:t>
            </w:r>
            <w:r w:rsidRPr="007757AC">
              <w:rPr>
                <w:lang w:val="fr-CA"/>
              </w:rPr>
              <w:t>__] s</w:t>
            </w:r>
            <w:r w:rsidR="00CC4D89">
              <w:rPr>
                <w:lang w:val="fr-CA"/>
              </w:rPr>
              <w:t>’</w:t>
            </w:r>
            <w:r w:rsidRPr="007757AC">
              <w:rPr>
                <w:lang w:val="fr-CA"/>
              </w:rPr>
              <w:t>il n</w:t>
            </w:r>
            <w:r w:rsidR="00CC4D89">
              <w:rPr>
                <w:lang w:val="fr-CA"/>
              </w:rPr>
              <w:t>’</w:t>
            </w:r>
            <w:r w:rsidRPr="007757AC">
              <w:rPr>
                <w:lang w:val="fr-CA"/>
              </w:rPr>
              <w:t xml:space="preserve">est pas accepté par la Société au plus tard à cette date. </w:t>
            </w:r>
          </w:p>
        </w:tc>
      </w:tr>
    </w:tbl>
    <w:p w14:paraId="42321F6C" w14:textId="77777777" w:rsidR="00892B94" w:rsidRPr="007757AC" w:rsidRDefault="00892B94" w:rsidP="00892B94">
      <w:pPr>
        <w:pStyle w:val="BodyText"/>
        <w:rPr>
          <w:lang w:val="fr-CA"/>
        </w:rPr>
      </w:pPr>
    </w:p>
    <w:p w14:paraId="17EC46AE" w14:textId="77777777" w:rsidR="00892B94" w:rsidRPr="007757AC" w:rsidRDefault="00892B94" w:rsidP="00892B94">
      <w:pPr>
        <w:pStyle w:val="BodyText"/>
        <w:rPr>
          <w:lang w:val="fr-CA"/>
        </w:rPr>
        <w:sectPr w:rsidR="00892B94" w:rsidRPr="007757AC" w:rsidSect="00EE64A8">
          <w:headerReference w:type="first" r:id="rId22"/>
          <w:footerReference w:type="first" r:id="rId23"/>
          <w:pgSz w:w="12240" w:h="15840" w:code="1"/>
          <w:pgMar w:top="1440" w:right="1440" w:bottom="1440" w:left="1440" w:header="720" w:footer="432" w:gutter="0"/>
          <w:cols w:space="720"/>
          <w:titlePg/>
          <w:docGrid w:linePitch="360"/>
        </w:sectPr>
      </w:pPr>
    </w:p>
    <w:p w14:paraId="5E604FE2" w14:textId="6AA45BA3" w:rsidR="00892B94" w:rsidRPr="007757AC" w:rsidRDefault="00892B94" w:rsidP="00892B94">
      <w:pPr>
        <w:pStyle w:val="BodyText"/>
        <w:spacing w:after="600"/>
        <w:rPr>
          <w:lang w:val="fr-CA"/>
        </w:rPr>
      </w:pPr>
      <w:r w:rsidRPr="007757AC">
        <w:rPr>
          <w:lang w:val="fr-CA"/>
        </w:rPr>
        <w:t>SIGNÉ le [__]</w:t>
      </w:r>
      <w:r w:rsidR="008D3714">
        <w:rPr>
          <w:lang w:val="fr-CA"/>
        </w:rPr>
        <w:t xml:space="preserve"> jour de</w:t>
      </w:r>
      <w:r w:rsidRPr="007757AC">
        <w:rPr>
          <w:lang w:val="fr-CA"/>
        </w:rPr>
        <w:t xml:space="preserve"> [_________] </w:t>
      </w:r>
      <w:r w:rsidRPr="008A64C8">
        <w:rPr>
          <w:lang w:val="fr-CA"/>
        </w:rPr>
        <w:t>20</w:t>
      </w:r>
      <w:r w:rsidRPr="007757AC">
        <w:rPr>
          <w:lang w:val="fr-CA"/>
        </w:rPr>
        <w:t>[___].</w:t>
      </w:r>
    </w:p>
    <w:p w14:paraId="2FE586AA" w14:textId="77777777" w:rsidR="00892B94" w:rsidRPr="007757AC" w:rsidRDefault="00892B94" w:rsidP="00892B94">
      <w:pPr>
        <w:pStyle w:val="BodyText"/>
        <w:rPr>
          <w:lang w:val="fr-CA"/>
        </w:rPr>
      </w:pPr>
      <w:r w:rsidRPr="007757AC">
        <w:rPr>
          <w:lang w:val="fr-CA"/>
        </w:rPr>
        <w:t>[Blocs de signature]</w:t>
      </w:r>
    </w:p>
    <w:p w14:paraId="3FB8DD69" w14:textId="6D1B703A" w:rsidR="0057567C" w:rsidRPr="007757AC" w:rsidRDefault="0057567C" w:rsidP="00892B94">
      <w:pPr>
        <w:pStyle w:val="BodyText"/>
        <w:spacing w:after="600"/>
        <w:rPr>
          <w:lang w:val="fr-CA"/>
        </w:rPr>
      </w:pPr>
    </w:p>
    <w:sectPr w:rsidR="0057567C" w:rsidRPr="007757AC" w:rsidSect="0057567C">
      <w:headerReference w:type="first" r:id="rId24"/>
      <w:footerReference w:type="first" r:id="rId25"/>
      <w:pgSz w:w="12240" w:h="15840" w:code="1"/>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s>
  <wne:toolbars>
    <wne:acdManifest>
      <wne:acdEntry wne:acdName="acd0"/>
      <wne:acdEntry wne:acdName="acd1"/>
      <wne:acdEntry wne:acdName="acd2"/>
      <wne:acdEntry wne:acdName="acd3"/>
      <wne:acdEntry wne:acdName="acd4"/>
    </wne:acdManifest>
  </wne:toolbars>
  <wne:acds>
    <wne:acd wne:argValue="AgBFAHgAaABpAGIAaQB0AF8ATAAxAA==" wne:acdName="acd0" wne:fciIndexBasedOn="0065"/>
    <wne:acd wne:argValue="AgBFAHgAaABpAGIAaQB0AF8ATAAyAA==" wne:acdName="acd1" wne:fciIndexBasedOn="0065"/>
    <wne:acd wne:argValue="AgBFAHgAaABpAGIAaQB0AF8ATAAzAA==" wne:acdName="acd2" wne:fciIndexBasedOn="0065"/>
    <wne:acd wne:argValue="AgBFAHgAaABpAGIAaQB0AF8ATAA0AA==" wne:acdName="acd3" wne:fciIndexBasedOn="0065"/>
    <wne:acd wne:argValue="AgBFAHgAaABpAGIAaQB0AF8ATAA1A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49E62" w14:textId="77777777" w:rsidR="00B3174E" w:rsidRDefault="00B3174E">
      <w:r>
        <w:separator/>
      </w:r>
    </w:p>
  </w:endnote>
  <w:endnote w:type="continuationSeparator" w:id="0">
    <w:p w14:paraId="05032F16" w14:textId="77777777" w:rsidR="00B3174E" w:rsidRDefault="00B31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76AA2" w14:textId="77777777" w:rsidR="00F06086" w:rsidRDefault="00F060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DC7E" w14:textId="77777777" w:rsidR="00F06086" w:rsidRDefault="004A387E">
    <w:pPr>
      <w:pStyle w:val="Footer"/>
      <w:jc w:val="center"/>
      <w:rPr>
        <w:noProof/>
      </w:rPr>
    </w:pPr>
    <w:r>
      <w:t xml:space="preserve">- </w:t>
    </w:r>
    <w:r>
      <w:fldChar w:fldCharType="begin"/>
    </w:r>
    <w:r>
      <w:instrText xml:space="preserve"> PAGE   \* MERGEFORMAT </w:instrText>
    </w:r>
    <w:r>
      <w:fldChar w:fldCharType="separate"/>
    </w:r>
    <w:r w:rsidR="00D06427">
      <w:rPr>
        <w:noProof/>
      </w:rPr>
      <w:t>7</w:t>
    </w:r>
    <w:r>
      <w:rPr>
        <w:noProof/>
      </w:rPr>
      <w:fldChar w:fldCharType="end"/>
    </w:r>
    <w:r>
      <w:rPr>
        <w:noProof/>
      </w:rPr>
      <w:t xml:space="preserve"> -</w:t>
    </w:r>
  </w:p>
  <w:p w14:paraId="7E9D9C6B" w14:textId="77777777" w:rsidR="00F06086" w:rsidRDefault="00F06086">
    <w:pPr>
      <w:pStyle w:val="Footer"/>
      <w:ind w:left="-144"/>
    </w:pPr>
    <w:r>
      <w:rPr>
        <w:noProof/>
        <w:lang w:val="en-GB" w:eastAsia="en-GB"/>
      </w:rPr>
      <w:pict w14:anchorId="1963828A">
        <v:shapetype id="_x0000_t202" coordsize="21600,21600" o:spt="202" path="m,l,21600r21600,l21600,xe">
          <v:stroke joinstyle="miter"/>
          <v:path gradientshapeok="t" o:connecttype="rect"/>
        </v:shapetype>
        <v:shape id="zzmpTrailer_1078_19" o:spid="_x0000_s1029" type="#_x0000_t202" style="position:absolute;left:0;text-align:left;margin-left:0;margin-top:0;width:201.6pt;height:50.4pt;z-index:-251657216;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" filled="f" stroked="f">
          <v:textbox inset="0,0,0,0">
            <w:txbxContent>
              <w:p w14:paraId="1993B649" w14:textId="1F126A7F" w:rsidR="00F06086" w:rsidRDefault="00F06086" w:rsidP="00F06086">
                <w:pPr>
                  <w:pStyle w:val="MacPacTrailer"/>
                  <w:spacing w:line="20" w:lineRule="exact"/>
                </w:pPr>
              </w:p>
              <w:p w14:paraId="52C4D34E" w14:textId="18FA3795" w:rsidR="00F06086" w:rsidRDefault="00F06086">
                <w:pPr>
                  <w:pStyle w:val="MacPacTrailer"/>
                </w:pPr>
                <w:r>
                  <w:t>WSLEGAL\058404\00011\36511824v2</w:t>
                </w:r>
              </w:p>
              <w:p w14:paraId="63EB276F" w14:textId="0C7E6A80" w:rsidR="00F06086" w:rsidRDefault="00F06086" w:rsidP="00F06086">
                <w:pPr>
                  <w:pStyle w:val="MacPacTrailer"/>
                  <w:spacing w:line="20" w:lineRule="exact"/>
                </w:pPr>
              </w:p>
              <w:p w14:paraId="4F54ADD5" w14:textId="7EA38C62" w:rsidR="00F06086" w:rsidRDefault="00F06086" w:rsidP="00F06086">
                <w:pPr>
                  <w:pStyle w:val="MacPacTrailer"/>
                  <w:spacing w:line="20" w:lineRule="exact"/>
                </w:pPr>
              </w:p>
            </w:txbxContent>
          </v:textbox>
          <w10:wrap anchorx="margin"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6FA1A" w14:textId="77777777" w:rsidR="00F06086" w:rsidRDefault="004A387E">
    <w:pPr>
      <w:pStyle w:val="Footer"/>
      <w:jc w:val="right"/>
      <w:rPr>
        <w:lang w:val="fr-CA"/>
      </w:rPr>
    </w:pPr>
    <w:r w:rsidRPr="00383741">
      <w:rPr>
        <w:lang w:val="fr-CA"/>
      </w:rPr>
      <w:t>Version canadienne</w:t>
    </w:r>
    <w:r w:rsidRPr="00383741">
      <w:rPr>
        <w:lang w:val="fr-CA"/>
      </w:rPr>
      <w:br/>
      <w:t xml:space="preserve">Dernière mise à jour : novembre </w:t>
    </w:r>
    <w:r w:rsidRPr="008A64C8">
      <w:rPr>
        <w:lang w:val="fr-CA"/>
      </w:rPr>
      <w:t>2020</w:t>
    </w:r>
  </w:p>
  <w:p w14:paraId="305FF520" w14:textId="77777777" w:rsidR="00F06086" w:rsidRDefault="00F06086">
    <w:pPr>
      <w:pStyle w:val="Footer"/>
      <w:ind w:left="-144"/>
    </w:pPr>
    <w:r>
      <w:rPr>
        <w:noProof/>
        <w:lang w:val="en-GB" w:eastAsia="en-GB"/>
      </w:rPr>
      <w:pict w14:anchorId="197FED52">
        <v:shapetype id="_x0000_t202" coordsize="21600,21600" o:spt="202" path="m,l,21600r21600,l21600,xe">
          <v:stroke joinstyle="miter"/>
          <v:path gradientshapeok="t" o:connecttype="rect"/>
        </v:shapetype>
        <v:shape id="zzmpTrailer_1078_1B" o:spid="_x0000_s1030" type="#_x0000_t202" style="position:absolute;left:0;text-align:left;margin-left:0;margin-top:0;width:201.6pt;height:50.4pt;z-index:-251655168;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" filled="f" stroked="f">
          <v:textbox inset="0,0,0,0">
            <w:txbxContent>
              <w:p w14:paraId="5BC01F2E" w14:textId="7C82EA26" w:rsidR="00F06086" w:rsidRDefault="00F06086" w:rsidP="00F06086">
                <w:pPr>
                  <w:pStyle w:val="MacPacTrailer"/>
                  <w:spacing w:line="20" w:lineRule="exact"/>
                </w:pPr>
              </w:p>
              <w:p w14:paraId="747910FB" w14:textId="4499D801" w:rsidR="00F06086" w:rsidRDefault="00F06086">
                <w:pPr>
                  <w:pStyle w:val="MacPacTrailer"/>
                </w:pPr>
                <w:r>
                  <w:t>WSLEGAL\058404\00011\36511824v2</w:t>
                </w:r>
              </w:p>
              <w:p w14:paraId="638D7540" w14:textId="0F1C8DA5" w:rsidR="00F06086" w:rsidRDefault="00F06086" w:rsidP="00F06086">
                <w:pPr>
                  <w:pStyle w:val="MacPacTrailer"/>
                  <w:spacing w:line="20" w:lineRule="exact"/>
                </w:pPr>
              </w:p>
              <w:p w14:paraId="44D8130F" w14:textId="302E8712" w:rsidR="00F06086" w:rsidRDefault="00F06086" w:rsidP="00F06086">
                <w:pPr>
                  <w:pStyle w:val="MacPacTrailer"/>
                  <w:spacing w:line="20" w:lineRule="exact"/>
                </w:pPr>
              </w:p>
            </w:txbxContent>
          </v:textbox>
          <w10:wrap anchorx="margin"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9EECA" w14:textId="77777777" w:rsidR="00F06086" w:rsidRDefault="00F06086" w:rsidP="00D450CD">
    <w:pPr>
      <w:pStyle w:val="Footer"/>
      <w:ind w:left="-144"/>
    </w:pPr>
    <w:r>
      <w:rPr>
        <w:noProof/>
        <w:lang w:val="en-GB" w:eastAsia="en-GB"/>
      </w:rPr>
      <mc:AlternateContent>
        <mc:Choice Requires="wps">
          <w:drawing>
            <wp:anchor distT="0" distB="0" distL="114300" distR="114300" simplePos="0" relativeHeight="251663360" behindDoc="1" locked="0" layoutInCell="1" allowOverlap="1" wp14:anchorId="2C5A899C" wp14:editId="285DF16D">
              <wp:simplePos x="0" y="0"/>
              <wp:positionH relativeFrom="margin">
                <wp:posOffset>0</wp:posOffset>
              </wp:positionH>
              <wp:positionV relativeFrom="page">
                <wp:align>bottom</wp:align>
              </wp:positionV>
              <wp:extent cx="2560320" cy="640080"/>
              <wp:effectExtent l="0" t="0" r="11430" b="7620"/>
              <wp:wrapNone/>
              <wp:docPr id="1" name="zzmpTrailer_1078_2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52C39" w14:textId="77777777" w:rsidR="00F06086" w:rsidRDefault="00F06086" w:rsidP="00D450CD">
                          <w:pPr>
                            <w:pStyle w:val="MacPacTrailer"/>
                            <w:spacing w:line="20" w:lineRule="exact"/>
                          </w:pPr>
                        </w:p>
                        <w:p w14:paraId="1A0E7AA0" w14:textId="77777777" w:rsidR="00F06086" w:rsidRDefault="00F06086" w:rsidP="00D450CD">
                          <w:pPr>
                            <w:pStyle w:val="MacPacTrailer"/>
                          </w:pPr>
                          <w:r>
                            <w:t>WSLEGAL\058404\00011\36511824v2</w:t>
                          </w:r>
                        </w:p>
                        <w:p w14:paraId="3882FF9A" w14:textId="77777777" w:rsidR="00F06086" w:rsidRDefault="00F06086" w:rsidP="00D450CD">
                          <w:pPr>
                            <w:pStyle w:val="MacPacTrailer"/>
                            <w:spacing w:line="20" w:lineRule="exact"/>
                          </w:pPr>
                        </w:p>
                        <w:p w14:paraId="1494889F" w14:textId="77777777" w:rsidR="00F06086" w:rsidRDefault="00F06086" w:rsidP="00D450CD">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A899C" id="_x0000_t202" coordsize="21600,21600" o:spt="202" path="m,l,21600r21600,l21600,xe">
              <v:stroke joinstyle="miter"/>
              <v:path gradientshapeok="t" o:connecttype="rect"/>
            </v:shapetype>
            <v:shape id="zzmpTrailer_1078_2B" o:spid="_x0000_s1026" type="#_x0000_t202" style="position:absolute;left:0;text-align:left;margin-left:0;margin-top:0;width:201.6pt;height:50.4pt;z-index:-251653120;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" filled="f" stroked="f">
              <v:textbox inset="0,0,0,0">
                <w:txbxContent>
                  <w:p w14:paraId="71D52C39" w14:textId="77777777" w:rsidR="00F06086" w:rsidRDefault="00F06086" w:rsidP="00D450CD">
                    <w:pPr>
                      <w:pStyle w:val="MacPacTrailer"/>
                      <w:spacing w:line="20" w:lineRule="exact"/>
                    </w:pPr>
                  </w:p>
                  <w:p w14:paraId="1A0E7AA0" w14:textId="77777777" w:rsidR="00F06086" w:rsidRDefault="00F06086" w:rsidP="00D450CD">
                    <w:pPr>
                      <w:pStyle w:val="MacPacTrailer"/>
                    </w:pPr>
                    <w:r>
                      <w:t>WSLEGAL\058404\00011\36511824v2</w:t>
                    </w:r>
                  </w:p>
                  <w:p w14:paraId="3882FF9A" w14:textId="77777777" w:rsidR="00F06086" w:rsidRDefault="00F06086" w:rsidP="00D450CD">
                    <w:pPr>
                      <w:pStyle w:val="MacPacTrailer"/>
                      <w:spacing w:line="20" w:lineRule="exact"/>
                    </w:pPr>
                  </w:p>
                  <w:p w14:paraId="1494889F" w14:textId="77777777" w:rsidR="00F06086" w:rsidRDefault="00F06086" w:rsidP="00D450CD">
                    <w:pPr>
                      <w:pStyle w:val="MacPacTrailer"/>
                      <w:spacing w:line="20" w:lineRule="exact"/>
                    </w:pPr>
                  </w:p>
                </w:txbxContent>
              </v:textbox>
              <w10:wrap anchorx="margin"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28078" w14:textId="77777777" w:rsidR="0057567C" w:rsidRDefault="004A387E">
    <w:pPr>
      <w:pStyle w:val="Footer"/>
      <w:jc w:val="center"/>
      <w:rPr>
        <w:noProof/>
      </w:rPr>
    </w:pPr>
    <w:r>
      <w:t xml:space="preserve">- </w:t>
    </w:r>
    <w:r>
      <w:fldChar w:fldCharType="begin"/>
    </w:r>
    <w:r>
      <w:instrText xml:space="preserve"> PAGE   \* MERGEFORMAT </w:instrText>
    </w:r>
    <w:r>
      <w:fldChar w:fldCharType="separate"/>
    </w:r>
    <w:r w:rsidR="00D06427">
      <w:rPr>
        <w:noProof/>
      </w:rPr>
      <w:t>8</w:t>
    </w:r>
    <w:r>
      <w:rPr>
        <w:noProof/>
      </w:rPr>
      <w:fldChar w:fldCharType="end"/>
    </w:r>
    <w:r>
      <w:rPr>
        <w:noProof/>
      </w:rPr>
      <w:t xml:space="preserve"> -</w:t>
    </w:r>
  </w:p>
  <w:p w14:paraId="674F373A" w14:textId="77777777" w:rsidR="00F06086" w:rsidRDefault="00F06086" w:rsidP="00D450CD">
    <w:pPr>
      <w:pStyle w:val="Footer"/>
      <w:ind w:left="-144"/>
    </w:pPr>
    <w:r>
      <w:rPr>
        <w:noProof/>
        <w:lang w:val="en-GB" w:eastAsia="en-GB"/>
      </w:rPr>
      <mc:AlternateContent>
        <mc:Choice Requires="wps">
          <w:drawing>
            <wp:anchor distT="0" distB="0" distL="114300" distR="114300" simplePos="0" relativeHeight="251665408" behindDoc="1" locked="0" layoutInCell="1" allowOverlap="1" wp14:anchorId="65069DBC" wp14:editId="49DE2431">
              <wp:simplePos x="0" y="0"/>
              <wp:positionH relativeFrom="margin">
                <wp:posOffset>0</wp:posOffset>
              </wp:positionH>
              <wp:positionV relativeFrom="page">
                <wp:align>bottom</wp:align>
              </wp:positionV>
              <wp:extent cx="2560320" cy="640080"/>
              <wp:effectExtent l="0" t="0" r="11430" b="7620"/>
              <wp:wrapNone/>
              <wp:docPr id="1576360855" name="zzmpTrailer_1078_3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CFB1A" w14:textId="77777777" w:rsidR="00F06086" w:rsidRDefault="00F06086" w:rsidP="00D450CD">
                          <w:pPr>
                            <w:pStyle w:val="MacPacTrailer"/>
                            <w:spacing w:line="20" w:lineRule="exact"/>
                          </w:pPr>
                        </w:p>
                        <w:p w14:paraId="0929FE9F" w14:textId="77777777" w:rsidR="00F06086" w:rsidRDefault="00F06086" w:rsidP="00D450CD">
                          <w:pPr>
                            <w:pStyle w:val="MacPacTrailer"/>
                          </w:pPr>
                          <w:r>
                            <w:t>WSLEGAL\058404\00011\36511824v2</w:t>
                          </w:r>
                        </w:p>
                        <w:p w14:paraId="2B19DC00" w14:textId="77777777" w:rsidR="00F06086" w:rsidRDefault="00F06086" w:rsidP="00D450CD">
                          <w:pPr>
                            <w:pStyle w:val="MacPacTrailer"/>
                            <w:spacing w:line="20" w:lineRule="exact"/>
                          </w:pPr>
                        </w:p>
                        <w:p w14:paraId="1A19B55C" w14:textId="77777777" w:rsidR="00F06086" w:rsidRDefault="00F06086" w:rsidP="00D450CD">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69DBC" id="_x0000_t202" coordsize="21600,21600" o:spt="202" path="m,l,21600r21600,l21600,xe">
              <v:stroke joinstyle="miter"/>
              <v:path gradientshapeok="t" o:connecttype="rect"/>
            </v:shapetype>
            <v:shape id="zzmpTrailer_1078_3B" o:spid="_x0000_s1027" type="#_x0000_t202" style="position:absolute;left:0;text-align:left;margin-left:0;margin-top:0;width:201.6pt;height:50.4pt;z-index:-251651072;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" filled="f" stroked="f">
              <v:textbox inset="0,0,0,0">
                <w:txbxContent>
                  <w:p w14:paraId="6AACFB1A" w14:textId="77777777" w:rsidR="00F06086" w:rsidRDefault="00F06086" w:rsidP="00D450CD">
                    <w:pPr>
                      <w:pStyle w:val="MacPacTrailer"/>
                      <w:spacing w:line="20" w:lineRule="exact"/>
                    </w:pPr>
                  </w:p>
                  <w:p w14:paraId="0929FE9F" w14:textId="77777777" w:rsidR="00F06086" w:rsidRDefault="00F06086" w:rsidP="00D450CD">
                    <w:pPr>
                      <w:pStyle w:val="MacPacTrailer"/>
                    </w:pPr>
                    <w:r>
                      <w:t>WSLEGAL\058404\00011\36511824v2</w:t>
                    </w:r>
                  </w:p>
                  <w:p w14:paraId="2B19DC00" w14:textId="77777777" w:rsidR="00F06086" w:rsidRDefault="00F06086" w:rsidP="00D450CD">
                    <w:pPr>
                      <w:pStyle w:val="MacPacTrailer"/>
                      <w:spacing w:line="20" w:lineRule="exact"/>
                    </w:pPr>
                  </w:p>
                  <w:p w14:paraId="1A19B55C" w14:textId="77777777" w:rsidR="00F06086" w:rsidRDefault="00F06086" w:rsidP="00D450CD">
                    <w:pPr>
                      <w:pStyle w:val="MacPacTrailer"/>
                      <w:spacing w:line="20" w:lineRule="exact"/>
                    </w:pPr>
                  </w:p>
                </w:txbxContent>
              </v:textbox>
              <w10:wrap anchorx="margin"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6910E" w14:textId="77777777" w:rsidR="00892B94" w:rsidRDefault="00892B94">
    <w:pPr>
      <w:pStyle w:val="Footer"/>
      <w:jc w:val="center"/>
      <w:rPr>
        <w:noProof/>
      </w:rPr>
    </w:pPr>
    <w:r>
      <w:t xml:space="preserve">- </w:t>
    </w:r>
    <w:r>
      <w:fldChar w:fldCharType="begin"/>
    </w:r>
    <w:r>
      <w:instrText xml:space="preserve"> PAGE   \* MERGEFORMAT </w:instrText>
    </w:r>
    <w:r>
      <w:fldChar w:fldCharType="separate"/>
    </w:r>
    <w:r>
      <w:rPr>
        <w:noProof/>
      </w:rPr>
      <w:t>13</w:t>
    </w:r>
    <w:r>
      <w:rPr>
        <w:noProof/>
      </w:rPr>
      <w:fldChar w:fldCharType="end"/>
    </w:r>
    <w:r>
      <w:rPr>
        <w:noProof/>
      </w:rPr>
      <w:t xml:space="preserve"> -</w:t>
    </w:r>
  </w:p>
  <w:p w14:paraId="35460229" w14:textId="77777777" w:rsidR="00F06086" w:rsidRDefault="00F06086" w:rsidP="000705CD">
    <w:pPr>
      <w:pStyle w:val="Footer"/>
      <w:ind w:left="-144"/>
    </w:pPr>
    <w:r>
      <w:rPr>
        <w:noProof/>
        <w:lang w:val="en-GB" w:eastAsia="en-GB"/>
      </w:rPr>
      <mc:AlternateContent>
        <mc:Choice Requires="wps">
          <w:drawing>
            <wp:anchor distT="0" distB="0" distL="114300" distR="114300" simplePos="0" relativeHeight="251667456" behindDoc="1" locked="0" layoutInCell="1" allowOverlap="1" wp14:anchorId="59CDA780" wp14:editId="419FB3B7">
              <wp:simplePos x="0" y="0"/>
              <wp:positionH relativeFrom="margin">
                <wp:posOffset>0</wp:posOffset>
              </wp:positionH>
              <wp:positionV relativeFrom="page">
                <wp:align>bottom</wp:align>
              </wp:positionV>
              <wp:extent cx="2560320" cy="640080"/>
              <wp:effectExtent l="0" t="0" r="11430" b="7620"/>
              <wp:wrapNone/>
              <wp:docPr id="2" name="zzmpTrailer_1078_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FCA06" w14:textId="77777777" w:rsidR="00F06086" w:rsidRDefault="00F06086" w:rsidP="000705CD">
                          <w:pPr>
                            <w:pStyle w:val="MacPacTrailer"/>
                            <w:spacing w:line="20" w:lineRule="exact"/>
                          </w:pPr>
                        </w:p>
                        <w:p w14:paraId="7DC6357F" w14:textId="77777777" w:rsidR="00F06086" w:rsidRDefault="00F06086" w:rsidP="000705CD">
                          <w:pPr>
                            <w:pStyle w:val="MacPacTrailer"/>
                          </w:pPr>
                          <w:r>
                            <w:t>WSLEGAL\058404\00011\36511824v2</w:t>
                          </w:r>
                        </w:p>
                        <w:p w14:paraId="37FF49DD" w14:textId="77777777" w:rsidR="00F06086" w:rsidRDefault="00F06086" w:rsidP="000705CD">
                          <w:pPr>
                            <w:pStyle w:val="MacPacTrailer"/>
                            <w:spacing w:line="20" w:lineRule="exact"/>
                          </w:pPr>
                        </w:p>
                        <w:p w14:paraId="57C17F85" w14:textId="77777777" w:rsidR="00F06086" w:rsidRDefault="00F06086" w:rsidP="000705CD">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DA780" id="_x0000_t202" coordsize="21600,21600" o:spt="202" path="m,l,21600r21600,l21600,xe">
              <v:stroke joinstyle="miter"/>
              <v:path gradientshapeok="t" o:connecttype="rect"/>
            </v:shapetype>
            <v:shape id="zzmpTrailer_1078_49" o:spid="_x0000_s1028" type="#_x0000_t202" style="position:absolute;left:0;text-align:left;margin-left:0;margin-top:0;width:201.6pt;height:50.4pt;z-index:-251649024;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" filled="f" stroked="f">
              <v:textbox inset="0,0,0,0">
                <w:txbxContent>
                  <w:p w14:paraId="490FCA06" w14:textId="77777777" w:rsidR="00F06086" w:rsidRDefault="00F06086" w:rsidP="000705CD">
                    <w:pPr>
                      <w:pStyle w:val="MacPacTrailer"/>
                      <w:spacing w:line="20" w:lineRule="exact"/>
                    </w:pPr>
                  </w:p>
                  <w:p w14:paraId="7DC6357F" w14:textId="77777777" w:rsidR="00F06086" w:rsidRDefault="00F06086" w:rsidP="000705CD">
                    <w:pPr>
                      <w:pStyle w:val="MacPacTrailer"/>
                    </w:pPr>
                    <w:r>
                      <w:t>WSLEGAL\058404\00011\36511824v2</w:t>
                    </w:r>
                  </w:p>
                  <w:p w14:paraId="37FF49DD" w14:textId="77777777" w:rsidR="00F06086" w:rsidRDefault="00F06086" w:rsidP="000705CD">
                    <w:pPr>
                      <w:pStyle w:val="MacPacTrailer"/>
                      <w:spacing w:line="20" w:lineRule="exact"/>
                    </w:pPr>
                  </w:p>
                  <w:p w14:paraId="57C17F85" w14:textId="77777777" w:rsidR="00F06086" w:rsidRDefault="00F06086" w:rsidP="000705CD">
                    <w:pPr>
                      <w:pStyle w:val="MacPacTrailer"/>
                      <w:spacing w:line="20" w:lineRule="exact"/>
                    </w:pPr>
                  </w:p>
                </w:txbxContent>
              </v:textbox>
              <w10:wrap anchorx="margin"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423001"/>
      <w:docPartObj>
        <w:docPartGallery w:val="Page Numbers (Bottom of Page)"/>
        <w:docPartUnique/>
      </w:docPartObj>
    </w:sdtPr>
    <w:sdtEndPr>
      <w:rPr>
        <w:noProof/>
      </w:rPr>
    </w:sdtEndPr>
    <w:sdtContent>
      <w:p w14:paraId="7F37C20A" w14:textId="77777777" w:rsidR="00892B94" w:rsidRDefault="00892B94">
        <w:pPr>
          <w:pStyle w:val="Footer"/>
          <w:jc w:val="center"/>
          <w:rPr>
            <w:noProof/>
          </w:rPr>
        </w:pPr>
        <w:r>
          <w:t>-</w:t>
        </w:r>
        <w:r w:rsidRPr="008A64C8">
          <w:t xml:space="preserve"> </w:t>
        </w:r>
        <w:r>
          <w:fldChar w:fldCharType="begin"/>
        </w:r>
        <w:r>
          <w:instrText xml:space="preserve"> PAGE   \* MERGEFORMAT </w:instrText>
        </w:r>
        <w:r>
          <w:fldChar w:fldCharType="separate"/>
        </w:r>
        <w:r>
          <w:rPr>
            <w:noProof/>
          </w:rPr>
          <w:t>12</w:t>
        </w:r>
        <w:r>
          <w:rPr>
            <w:noProof/>
          </w:rPr>
          <w:fldChar w:fldCharType="end"/>
        </w:r>
        <w:r>
          <w:rPr>
            <w:noProof/>
          </w:rPr>
          <w:t xml:space="preserve"> -</w:t>
        </w:r>
      </w:p>
    </w:sdtContent>
  </w:sdt>
  <w:p w14:paraId="10D7A01F" w14:textId="77777777" w:rsidR="00F06086" w:rsidRDefault="00F06086" w:rsidP="00D450CD">
    <w:pPr>
      <w:pStyle w:val="Footer"/>
      <w:ind w:left="-144"/>
    </w:pPr>
    <w:r>
      <w:rPr>
        <w:noProof/>
        <w:lang w:val="en-GB" w:eastAsia="en-GB"/>
      </w:rPr>
      <mc:AlternateContent>
        <mc:Choice Requires="wps">
          <w:drawing>
            <wp:anchor distT="0" distB="0" distL="114300" distR="114300" simplePos="0" relativeHeight="251669504" behindDoc="1" locked="0" layoutInCell="1" allowOverlap="1" wp14:anchorId="3B267165" wp14:editId="4CD90901">
              <wp:simplePos x="0" y="0"/>
              <wp:positionH relativeFrom="margin">
                <wp:posOffset>0</wp:posOffset>
              </wp:positionH>
              <wp:positionV relativeFrom="page">
                <wp:align>bottom</wp:align>
              </wp:positionV>
              <wp:extent cx="2560320" cy="640080"/>
              <wp:effectExtent l="0" t="0" r="11430" b="7620"/>
              <wp:wrapNone/>
              <wp:docPr id="1061332823" name="zzmpTrailer_1078_5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1FF1D" w14:textId="77777777" w:rsidR="00F06086" w:rsidRDefault="00F06086" w:rsidP="00D450CD">
                          <w:pPr>
                            <w:pStyle w:val="MacPacTrailer"/>
                            <w:spacing w:line="20" w:lineRule="exact"/>
                          </w:pPr>
                        </w:p>
                        <w:p w14:paraId="2CB4FC6A" w14:textId="77777777" w:rsidR="00F06086" w:rsidRDefault="00F06086" w:rsidP="00D450CD">
                          <w:pPr>
                            <w:pStyle w:val="MacPacTrailer"/>
                          </w:pPr>
                          <w:r>
                            <w:t>WSLEGAL\058404\00011\36511824v2</w:t>
                          </w:r>
                        </w:p>
                        <w:p w14:paraId="3644322B" w14:textId="77777777" w:rsidR="00F06086" w:rsidRDefault="00F06086" w:rsidP="00D450CD">
                          <w:pPr>
                            <w:pStyle w:val="MacPacTrailer"/>
                            <w:spacing w:line="20" w:lineRule="exact"/>
                          </w:pPr>
                        </w:p>
                        <w:p w14:paraId="71457648" w14:textId="77777777" w:rsidR="00F06086" w:rsidRDefault="00F06086" w:rsidP="00D450CD">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67165" id="_x0000_t202" coordsize="21600,21600" o:spt="202" path="m,l,21600r21600,l21600,xe">
              <v:stroke joinstyle="miter"/>
              <v:path gradientshapeok="t" o:connecttype="rect"/>
            </v:shapetype>
            <v:shape id="zzmpTrailer_1078_5B" o:spid="_x0000_s1029" type="#_x0000_t202" style="position:absolute;left:0;text-align:left;margin-left:0;margin-top:0;width:201.6pt;height:50.4pt;z-index:-251646976;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" filled="f" stroked="f">
              <v:textbox inset="0,0,0,0">
                <w:txbxContent>
                  <w:p w14:paraId="6851FF1D" w14:textId="77777777" w:rsidR="00F06086" w:rsidRDefault="00F06086" w:rsidP="00D450CD">
                    <w:pPr>
                      <w:pStyle w:val="MacPacTrailer"/>
                      <w:spacing w:line="20" w:lineRule="exact"/>
                    </w:pPr>
                  </w:p>
                  <w:p w14:paraId="2CB4FC6A" w14:textId="77777777" w:rsidR="00F06086" w:rsidRDefault="00F06086" w:rsidP="00D450CD">
                    <w:pPr>
                      <w:pStyle w:val="MacPacTrailer"/>
                    </w:pPr>
                    <w:r>
                      <w:t>WSLEGAL\058404\00011\36511824v2</w:t>
                    </w:r>
                  </w:p>
                  <w:p w14:paraId="3644322B" w14:textId="77777777" w:rsidR="00F06086" w:rsidRDefault="00F06086" w:rsidP="00D450CD">
                    <w:pPr>
                      <w:pStyle w:val="MacPacTrailer"/>
                      <w:spacing w:line="20" w:lineRule="exact"/>
                    </w:pPr>
                  </w:p>
                  <w:p w14:paraId="71457648" w14:textId="77777777" w:rsidR="00F06086" w:rsidRDefault="00F06086" w:rsidP="00D450CD">
                    <w:pPr>
                      <w:pStyle w:val="MacPacTrailer"/>
                      <w:spacing w:line="20" w:lineRule="exact"/>
                    </w:pPr>
                  </w:p>
                </w:txbxContent>
              </v:textbox>
              <w10:wrap anchorx="margin"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68EAB" w14:textId="71D7EA66" w:rsidR="0057567C" w:rsidRDefault="00C14E51" w:rsidP="0057567C">
    <w:pPr>
      <w:pStyle w:val="BodyText"/>
      <w:jc w:val="center"/>
      <w:rPr>
        <w:lang w:val="fr-CA"/>
      </w:rPr>
    </w:pPr>
    <w:r w:rsidRPr="0033274B">
      <w:rPr>
        <w:lang w:val="fr-CA"/>
      </w:rPr>
      <w:t xml:space="preserve">[Page de signature du </w:t>
    </w:r>
    <w:r w:rsidR="00547384">
      <w:rPr>
        <w:lang w:val="fr-CA"/>
      </w:rPr>
      <w:t>S</w:t>
    </w:r>
    <w:r w:rsidRPr="0033274B">
      <w:rPr>
        <w:lang w:val="fr-CA"/>
      </w:rPr>
      <w:t>ommaire des modalités]</w:t>
    </w:r>
  </w:p>
  <w:p w14:paraId="11455F5D" w14:textId="77777777" w:rsidR="00F06086" w:rsidRDefault="00F06086" w:rsidP="00D450CD">
    <w:pPr>
      <w:pStyle w:val="Footer"/>
      <w:ind w:left="-144"/>
    </w:pPr>
    <w:r>
      <w:rPr>
        <w:noProof/>
        <w:lang w:val="en-GB" w:eastAsia="en-GB"/>
      </w:rPr>
      <mc:AlternateContent>
        <mc:Choice Requires="wps">
          <w:drawing>
            <wp:anchor distT="0" distB="0" distL="114300" distR="114300" simplePos="0" relativeHeight="251671552" behindDoc="1" locked="0" layoutInCell="1" allowOverlap="1" wp14:anchorId="2D683E64" wp14:editId="132E405F">
              <wp:simplePos x="0" y="0"/>
              <wp:positionH relativeFrom="margin">
                <wp:posOffset>0</wp:posOffset>
              </wp:positionH>
              <wp:positionV relativeFrom="page">
                <wp:align>bottom</wp:align>
              </wp:positionV>
              <wp:extent cx="2560320" cy="640080"/>
              <wp:effectExtent l="0" t="0" r="11430" b="7620"/>
              <wp:wrapNone/>
              <wp:docPr id="420103480" name="zzmpTrailer_1078_6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5723F" w14:textId="77777777" w:rsidR="00F06086" w:rsidRDefault="00F06086" w:rsidP="00D450CD">
                          <w:pPr>
                            <w:pStyle w:val="MacPacTrailer"/>
                            <w:spacing w:line="20" w:lineRule="exact"/>
                          </w:pPr>
                        </w:p>
                        <w:p w14:paraId="7A5CAD61" w14:textId="77777777" w:rsidR="00F06086" w:rsidRDefault="00F06086" w:rsidP="00D450CD">
                          <w:pPr>
                            <w:pStyle w:val="MacPacTrailer"/>
                          </w:pPr>
                          <w:r>
                            <w:t>WSLEGAL\058404\00011\36511824v2</w:t>
                          </w:r>
                        </w:p>
                        <w:p w14:paraId="507461EA" w14:textId="77777777" w:rsidR="00F06086" w:rsidRDefault="00F06086" w:rsidP="00D450CD">
                          <w:pPr>
                            <w:pStyle w:val="MacPacTrailer"/>
                            <w:spacing w:line="20" w:lineRule="exact"/>
                          </w:pPr>
                        </w:p>
                        <w:p w14:paraId="1BDD3BA1" w14:textId="77777777" w:rsidR="00F06086" w:rsidRDefault="00F06086" w:rsidP="00D450CD">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83E64" id="_x0000_t202" coordsize="21600,21600" o:spt="202" path="m,l,21600r21600,l21600,xe">
              <v:stroke joinstyle="miter"/>
              <v:path gradientshapeok="t" o:connecttype="rect"/>
            </v:shapetype>
            <v:shape id="zzmpTrailer_1078_6B" o:spid="_x0000_s1030" type="#_x0000_t202" style="position:absolute;left:0;text-align:left;margin-left:0;margin-top:0;width:201.6pt;height:50.4pt;z-index:-251644928;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" filled="f" stroked="f">
              <v:textbox inset="0,0,0,0">
                <w:txbxContent>
                  <w:p w14:paraId="21E5723F" w14:textId="77777777" w:rsidR="00F06086" w:rsidRDefault="00F06086" w:rsidP="00D450CD">
                    <w:pPr>
                      <w:pStyle w:val="MacPacTrailer"/>
                      <w:spacing w:line="20" w:lineRule="exact"/>
                    </w:pPr>
                  </w:p>
                  <w:p w14:paraId="7A5CAD61" w14:textId="77777777" w:rsidR="00F06086" w:rsidRDefault="00F06086" w:rsidP="00D450CD">
                    <w:pPr>
                      <w:pStyle w:val="MacPacTrailer"/>
                    </w:pPr>
                    <w:r>
                      <w:t>WSLEGAL\058404\00011\36511824v2</w:t>
                    </w:r>
                  </w:p>
                  <w:p w14:paraId="507461EA" w14:textId="77777777" w:rsidR="00F06086" w:rsidRDefault="00F06086" w:rsidP="00D450CD">
                    <w:pPr>
                      <w:pStyle w:val="MacPacTrailer"/>
                      <w:spacing w:line="20" w:lineRule="exact"/>
                    </w:pPr>
                  </w:p>
                  <w:p w14:paraId="1BDD3BA1" w14:textId="77777777" w:rsidR="00F06086" w:rsidRDefault="00F06086" w:rsidP="00D450CD">
                    <w:pPr>
                      <w:pStyle w:val="MacPacTrailer"/>
                      <w:spacing w:line="20" w:lineRule="exact"/>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7D90C" w14:textId="77777777" w:rsidR="00B3174E" w:rsidRDefault="00B3174E" w:rsidP="0057567C">
      <w:r>
        <w:separator/>
      </w:r>
    </w:p>
  </w:footnote>
  <w:footnote w:type="continuationSeparator" w:id="0">
    <w:p w14:paraId="0648220B" w14:textId="77777777" w:rsidR="00B3174E" w:rsidRDefault="00B3174E" w:rsidP="0057567C">
      <w:r>
        <w:continuationSeparator/>
      </w:r>
    </w:p>
  </w:footnote>
  <w:footnote w:id="1">
    <w:p w14:paraId="3E64A469" w14:textId="5B702E24" w:rsidR="00BA0970" w:rsidRPr="001D138B" w:rsidRDefault="00BA0970" w:rsidP="00BA0970">
      <w:pPr>
        <w:pStyle w:val="FootnoteText"/>
        <w:rPr>
          <w:lang w:val="fr-CA"/>
        </w:rPr>
      </w:pPr>
      <w:r w:rsidRPr="008A64C8">
        <w:rPr>
          <w:rStyle w:val="FootnoteReference"/>
        </w:rPr>
        <w:footnoteRef/>
      </w:r>
      <w:r w:rsidRPr="001D138B">
        <w:rPr>
          <w:lang w:val="fr-CA"/>
        </w:rPr>
        <w:tab/>
      </w:r>
      <w:r w:rsidR="00B621D7">
        <w:rPr>
          <w:lang w:val="fr-CA"/>
        </w:rPr>
        <w:t>L</w:t>
      </w:r>
      <w:r w:rsidRPr="001D138B">
        <w:rPr>
          <w:lang w:val="fr-CA"/>
        </w:rPr>
        <w:t xml:space="preserve">e terme </w:t>
      </w:r>
      <w:r>
        <w:rPr>
          <w:lang w:val="fr-CA"/>
        </w:rPr>
        <w:t>« </w:t>
      </w:r>
      <w:r w:rsidRPr="001D138B">
        <w:rPr>
          <w:lang w:val="fr-CA"/>
        </w:rPr>
        <w:t>catégorie</w:t>
      </w:r>
      <w:r>
        <w:rPr>
          <w:lang w:val="fr-CA"/>
        </w:rPr>
        <w:t> »</w:t>
      </w:r>
      <w:r w:rsidRPr="001D138B">
        <w:rPr>
          <w:lang w:val="fr-CA"/>
        </w:rPr>
        <w:t xml:space="preserve"> est utilisé au lieu de </w:t>
      </w:r>
      <w:r w:rsidR="00266410">
        <w:rPr>
          <w:lang w:val="fr-CA"/>
        </w:rPr>
        <w:t>« </w:t>
      </w:r>
      <w:r w:rsidRPr="001D138B">
        <w:rPr>
          <w:lang w:val="fr-CA"/>
        </w:rPr>
        <w:t>série</w:t>
      </w:r>
      <w:r w:rsidR="00266410">
        <w:rPr>
          <w:lang w:val="fr-CA"/>
        </w:rPr>
        <w:t> »</w:t>
      </w:r>
      <w:r w:rsidR="001D4F72">
        <w:rPr>
          <w:lang w:val="fr-CA"/>
        </w:rPr>
        <w:t xml:space="preserve">, qui désigne </w:t>
      </w:r>
      <w:r w:rsidR="003A6F92">
        <w:rPr>
          <w:lang w:val="fr-CA"/>
        </w:rPr>
        <w:t>au Ca</w:t>
      </w:r>
      <w:r w:rsidRPr="001D138B">
        <w:rPr>
          <w:lang w:val="fr-CA"/>
        </w:rPr>
        <w:t xml:space="preserve">nada </w:t>
      </w:r>
      <w:r>
        <w:rPr>
          <w:lang w:val="fr-CA"/>
        </w:rPr>
        <w:t>une division d’une catégorie d’actions d</w:t>
      </w:r>
      <w:r w:rsidR="00B621D7">
        <w:rPr>
          <w:lang w:val="fr-CA"/>
        </w:rPr>
        <w:t>ont toutes</w:t>
      </w:r>
      <w:r>
        <w:rPr>
          <w:lang w:val="fr-CA"/>
        </w:rPr>
        <w:t xml:space="preserve"> les divisions sont de rang égal</w:t>
      </w:r>
      <w:r w:rsidRPr="001D138B">
        <w:rPr>
          <w:lang w:val="fr-CA"/>
        </w:rPr>
        <w:t>.</w:t>
      </w:r>
    </w:p>
  </w:footnote>
  <w:footnote w:id="2">
    <w:p w14:paraId="7C85F3B0" w14:textId="5BDFD3C1" w:rsidR="0057567C" w:rsidRPr="00D05053" w:rsidRDefault="004A387E">
      <w:pPr>
        <w:pStyle w:val="FootnoteText"/>
        <w:rPr>
          <w:lang w:val="fr-CA"/>
        </w:rPr>
      </w:pPr>
      <w:r w:rsidRPr="008A64C8">
        <w:rPr>
          <w:rStyle w:val="FootnoteReference"/>
          <w:lang w:val="fr-CA"/>
        </w:rPr>
        <w:footnoteRef/>
      </w:r>
      <w:r w:rsidRPr="001D138B">
        <w:rPr>
          <w:lang w:val="fr-CA"/>
        </w:rPr>
        <w:tab/>
      </w:r>
      <w:r w:rsidR="001D138B">
        <w:rPr>
          <w:lang w:val="fr-CA"/>
        </w:rPr>
        <w:t xml:space="preserve">En vertu des lois canadiennes, il n’y a généralement aucune obligation de négocier de bonne foi les modalités des </w:t>
      </w:r>
      <w:r w:rsidR="00B621D7">
        <w:rPr>
          <w:lang w:val="fr-CA"/>
        </w:rPr>
        <w:t>ententes</w:t>
      </w:r>
      <w:r w:rsidR="001D138B">
        <w:rPr>
          <w:lang w:val="fr-CA"/>
        </w:rPr>
        <w:t xml:space="preserve"> définitives. </w:t>
      </w:r>
    </w:p>
  </w:footnote>
  <w:footnote w:id="3">
    <w:p w14:paraId="39E29396" w14:textId="463FE547" w:rsidR="0057567C" w:rsidRPr="001E1EE8" w:rsidRDefault="004A387E" w:rsidP="003F6C0E">
      <w:pPr>
        <w:pStyle w:val="FootnoteText"/>
        <w:rPr>
          <w:lang w:val="fr-CA"/>
        </w:rPr>
      </w:pPr>
      <w:r w:rsidRPr="008A64C8">
        <w:rPr>
          <w:rStyle w:val="FootnoteReference"/>
          <w:lang w:val="fr-CA"/>
        </w:rPr>
        <w:footnoteRef/>
      </w:r>
      <w:r w:rsidRPr="001E1EE8">
        <w:rPr>
          <w:lang w:val="fr-CA"/>
        </w:rPr>
        <w:tab/>
      </w:r>
      <w:r w:rsidR="001E1EE8" w:rsidRPr="001E1EE8">
        <w:rPr>
          <w:lang w:val="fr-CA"/>
        </w:rPr>
        <w:t xml:space="preserve">Voir le </w:t>
      </w:r>
      <w:r w:rsidR="005A50A2">
        <w:rPr>
          <w:lang w:val="fr-CA"/>
        </w:rPr>
        <w:t>m</w:t>
      </w:r>
      <w:r w:rsidR="001E1EE8" w:rsidRPr="001E1EE8">
        <w:rPr>
          <w:lang w:val="fr-CA"/>
        </w:rPr>
        <w:t>odèle d’</w:t>
      </w:r>
      <w:r w:rsidR="00472FB4">
        <w:rPr>
          <w:lang w:val="fr-CA"/>
        </w:rPr>
        <w:t>A</w:t>
      </w:r>
      <w:r w:rsidR="001E1EE8" w:rsidRPr="001E1EE8">
        <w:rPr>
          <w:lang w:val="fr-CA"/>
        </w:rPr>
        <w:t xml:space="preserve">vis juridique </w:t>
      </w:r>
      <w:r w:rsidR="005A50A2">
        <w:rPr>
          <w:lang w:val="fr-CA"/>
        </w:rPr>
        <w:t xml:space="preserve">de l’ACCRI </w:t>
      </w:r>
      <w:r w:rsidR="001E1EE8" w:rsidRPr="001E1EE8">
        <w:rPr>
          <w:lang w:val="fr-CA"/>
        </w:rPr>
        <w:t>pour des commentaires détaillé</w:t>
      </w:r>
      <w:r w:rsidR="001E1EE8">
        <w:rPr>
          <w:lang w:val="fr-CA"/>
        </w:rPr>
        <w:t>s sur les avis juridiques</w:t>
      </w:r>
      <w:r w:rsidRPr="001E1EE8">
        <w:rPr>
          <w:lang w:val="fr-CA"/>
        </w:rPr>
        <w:t>.</w:t>
      </w:r>
    </w:p>
  </w:footnote>
  <w:footnote w:id="4">
    <w:p w14:paraId="4444A3A7" w14:textId="18EBC276" w:rsidR="0057567C" w:rsidRPr="009E1EF6" w:rsidRDefault="004A387E" w:rsidP="003F6C0E">
      <w:pPr>
        <w:pStyle w:val="FootnoteText"/>
        <w:rPr>
          <w:lang w:val="fr-CA"/>
        </w:rPr>
      </w:pPr>
      <w:r w:rsidRPr="008A64C8">
        <w:rPr>
          <w:rStyle w:val="FootnoteReference"/>
          <w:szCs w:val="24"/>
        </w:rPr>
        <w:footnoteRef/>
      </w:r>
      <w:r w:rsidRPr="009E1EF6">
        <w:rPr>
          <w:lang w:val="fr-CA"/>
        </w:rPr>
        <w:tab/>
      </w:r>
      <w:r w:rsidR="009E1EF6" w:rsidRPr="009E1EF6">
        <w:rPr>
          <w:lang w:val="fr-CA"/>
        </w:rPr>
        <w:t xml:space="preserve">Cette disposition devrait être modifiée pour les placements échelonnés ou les placements </w:t>
      </w:r>
      <w:r w:rsidR="009E1EF6">
        <w:rPr>
          <w:lang w:val="fr-CA"/>
        </w:rPr>
        <w:t xml:space="preserve">subordonnés à </w:t>
      </w:r>
      <w:r w:rsidR="00755D36">
        <w:rPr>
          <w:lang w:val="fr-CA"/>
        </w:rPr>
        <w:t>l’atteinte de jalons par</w:t>
      </w:r>
      <w:r w:rsidR="009E1EF6">
        <w:rPr>
          <w:lang w:val="fr-CA"/>
        </w:rPr>
        <w:t xml:space="preserve"> la Société.</w:t>
      </w:r>
    </w:p>
  </w:footnote>
  <w:footnote w:id="5">
    <w:p w14:paraId="1847266C" w14:textId="5824F50A" w:rsidR="0057567C" w:rsidRPr="0090596B" w:rsidRDefault="004A387E" w:rsidP="005A6B51">
      <w:pPr>
        <w:pStyle w:val="FootnoteText"/>
        <w:rPr>
          <w:lang w:val="fr-CA"/>
        </w:rPr>
      </w:pPr>
      <w:r w:rsidRPr="008A64C8">
        <w:rPr>
          <w:rStyle w:val="FootnoteReference"/>
        </w:rPr>
        <w:footnoteRef/>
      </w:r>
      <w:r w:rsidRPr="009E1EF6">
        <w:rPr>
          <w:lang w:val="fr-CA"/>
        </w:rPr>
        <w:tab/>
      </w:r>
      <w:r w:rsidR="009E1EF6" w:rsidRPr="009E1EF6">
        <w:rPr>
          <w:lang w:val="fr-CA"/>
        </w:rPr>
        <w:t>Les instruments convertibles qui s</w:t>
      </w:r>
      <w:r w:rsidR="009E1EF6">
        <w:rPr>
          <w:lang w:val="fr-CA"/>
        </w:rPr>
        <w:t xml:space="preserve">ont convertis moyennant un escompte </w:t>
      </w:r>
      <w:r w:rsidR="00755D36">
        <w:rPr>
          <w:lang w:val="fr-CA"/>
        </w:rPr>
        <w:t xml:space="preserve">peuvent </w:t>
      </w:r>
      <w:r w:rsidR="009E1EF6">
        <w:rPr>
          <w:lang w:val="fr-CA"/>
        </w:rPr>
        <w:t>prévoi</w:t>
      </w:r>
      <w:r w:rsidR="00755D36">
        <w:rPr>
          <w:lang w:val="fr-CA"/>
        </w:rPr>
        <w:t>r</w:t>
      </w:r>
      <w:r w:rsidR="009E1EF6">
        <w:rPr>
          <w:lang w:val="fr-CA"/>
        </w:rPr>
        <w:t xml:space="preserve"> une catégorie ou une « sous-série »</w:t>
      </w:r>
      <w:r w:rsidR="004353D0">
        <w:rPr>
          <w:lang w:val="fr-CA"/>
        </w:rPr>
        <w:t xml:space="preserve"> </w:t>
      </w:r>
      <w:r w:rsidR="00BA34EE">
        <w:rPr>
          <w:lang w:val="fr-CA"/>
        </w:rPr>
        <w:t>miroir (</w:t>
      </w:r>
      <w:r w:rsidR="00BA34EE">
        <w:rPr>
          <w:i/>
          <w:iCs/>
          <w:lang w:val="fr-CA"/>
        </w:rPr>
        <w:t>shadow</w:t>
      </w:r>
      <w:r w:rsidR="00BA34EE">
        <w:rPr>
          <w:lang w:val="fr-CA"/>
        </w:rPr>
        <w:t>)</w:t>
      </w:r>
      <w:r w:rsidR="009E1EF6">
        <w:rPr>
          <w:lang w:val="fr-CA"/>
        </w:rPr>
        <w:t xml:space="preserve"> </w:t>
      </w:r>
      <w:r w:rsidR="00755D36">
        <w:rPr>
          <w:lang w:val="fr-CA"/>
        </w:rPr>
        <w:t>d’</w:t>
      </w:r>
      <w:r w:rsidR="00E47EA5">
        <w:rPr>
          <w:lang w:val="fr-CA"/>
        </w:rPr>
        <w:t>A</w:t>
      </w:r>
      <w:r w:rsidR="00755D36">
        <w:rPr>
          <w:lang w:val="fr-CA"/>
        </w:rPr>
        <w:t xml:space="preserve">ctions privilégiées </w:t>
      </w:r>
      <w:r w:rsidR="009E1EF6">
        <w:rPr>
          <w:lang w:val="fr-CA"/>
        </w:rPr>
        <w:t xml:space="preserve">qui </w:t>
      </w:r>
      <w:r w:rsidR="00E47EA5">
        <w:rPr>
          <w:lang w:val="fr-CA"/>
        </w:rPr>
        <w:t>est</w:t>
      </w:r>
      <w:r w:rsidR="009E1EF6">
        <w:rPr>
          <w:lang w:val="fr-CA"/>
        </w:rPr>
        <w:t xml:space="preserve"> identique</w:t>
      </w:r>
      <w:r w:rsidR="00E47EA5">
        <w:rPr>
          <w:lang w:val="fr-CA"/>
        </w:rPr>
        <w:t xml:space="preserve"> aux</w:t>
      </w:r>
      <w:r w:rsidR="00E62DAE">
        <w:rPr>
          <w:lang w:val="fr-CA"/>
        </w:rPr>
        <w:t xml:space="preserve"> titres de la nouvelle ronde, sauf en ce qui concerne le montant reçu </w:t>
      </w:r>
      <w:r w:rsidR="004353D0">
        <w:rPr>
          <w:lang w:val="fr-CA"/>
        </w:rPr>
        <w:t>en cas de</w:t>
      </w:r>
      <w:r w:rsidR="00E62DAE">
        <w:rPr>
          <w:lang w:val="fr-CA"/>
        </w:rPr>
        <w:t xml:space="preserve"> liquidation, de sorte que dans </w:t>
      </w:r>
      <w:r w:rsidR="004353D0">
        <w:rPr>
          <w:lang w:val="fr-CA"/>
        </w:rPr>
        <w:t xml:space="preserve">l’éventualité d’une </w:t>
      </w:r>
      <w:r w:rsidR="00E62DAE">
        <w:rPr>
          <w:lang w:val="fr-CA"/>
        </w:rPr>
        <w:t xml:space="preserve">sortie </w:t>
      </w:r>
      <w:r w:rsidR="004353D0">
        <w:rPr>
          <w:lang w:val="fr-CA"/>
        </w:rPr>
        <w:t>alors que le titre est en</w:t>
      </w:r>
      <w:r w:rsidR="00E62DAE">
        <w:rPr>
          <w:lang w:val="fr-CA"/>
        </w:rPr>
        <w:t xml:space="preserve"> baisse, </w:t>
      </w:r>
      <w:r w:rsidR="00BA34EE">
        <w:rPr>
          <w:lang w:val="fr-CA"/>
        </w:rPr>
        <w:t xml:space="preserve">tous </w:t>
      </w:r>
      <w:r w:rsidR="00E62DAE">
        <w:rPr>
          <w:lang w:val="fr-CA"/>
        </w:rPr>
        <w:t>les investisseurs récupéreront</w:t>
      </w:r>
      <w:r w:rsidR="004353D0">
        <w:rPr>
          <w:lang w:val="fr-CA"/>
        </w:rPr>
        <w:t>, au mieux, leur</w:t>
      </w:r>
      <w:r w:rsidR="00755D36">
        <w:rPr>
          <w:lang w:val="fr-CA"/>
        </w:rPr>
        <w:t xml:space="preserve"> </w:t>
      </w:r>
      <w:r w:rsidR="005A50A2">
        <w:rPr>
          <w:lang w:val="fr-CA"/>
        </w:rPr>
        <w:t>argent</w:t>
      </w:r>
      <w:r w:rsidR="004353D0">
        <w:rPr>
          <w:lang w:val="fr-CA"/>
        </w:rPr>
        <w:t xml:space="preserve"> seulement</w:t>
      </w:r>
      <w:r w:rsidR="00E62DAE">
        <w:rPr>
          <w:lang w:val="fr-CA"/>
        </w:rPr>
        <w:t xml:space="preserve">. Indiquez clairement dans le </w:t>
      </w:r>
      <w:r w:rsidR="00BA34EE">
        <w:rPr>
          <w:lang w:val="fr-CA"/>
        </w:rPr>
        <w:t>S</w:t>
      </w:r>
      <w:r w:rsidR="00E62DAE">
        <w:rPr>
          <w:lang w:val="fr-CA"/>
        </w:rPr>
        <w:t xml:space="preserve">ommaire des modalités </w:t>
      </w:r>
      <w:r w:rsidR="005A6B51">
        <w:rPr>
          <w:lang w:val="fr-CA"/>
        </w:rPr>
        <w:t>si les actions émises lors de la conversion font partie de la structure d</w:t>
      </w:r>
      <w:r w:rsidR="00755D36">
        <w:rPr>
          <w:lang w:val="fr-CA"/>
        </w:rPr>
        <w:t>u capital</w:t>
      </w:r>
      <w:r w:rsidR="005A6B51">
        <w:rPr>
          <w:lang w:val="fr-CA"/>
        </w:rPr>
        <w:t xml:space="preserve"> préfinancement ou </w:t>
      </w:r>
      <w:r w:rsidR="00E47EA5">
        <w:rPr>
          <w:lang w:val="fr-CA"/>
        </w:rPr>
        <w:t xml:space="preserve">de la structure du capital </w:t>
      </w:r>
      <w:r w:rsidR="005A6B51">
        <w:rPr>
          <w:lang w:val="fr-CA"/>
        </w:rPr>
        <w:t>postfinancement</w:t>
      </w:r>
      <w:r w:rsidR="0090596B">
        <w:rPr>
          <w:lang w:val="fr-CA"/>
        </w:rPr>
        <w:t>.</w:t>
      </w:r>
    </w:p>
  </w:footnote>
  <w:footnote w:id="6">
    <w:p w14:paraId="7C99AE29" w14:textId="722B2EC7" w:rsidR="0057567C" w:rsidRPr="0090596B" w:rsidRDefault="004A387E" w:rsidP="0090596B">
      <w:pPr>
        <w:pStyle w:val="FootnoteText"/>
        <w:rPr>
          <w:lang w:val="fr-CA"/>
        </w:rPr>
      </w:pPr>
      <w:r w:rsidRPr="008A64C8">
        <w:rPr>
          <w:rStyle w:val="FootnoteReference"/>
        </w:rPr>
        <w:footnoteRef/>
      </w:r>
      <w:r w:rsidRPr="0090596B">
        <w:rPr>
          <w:lang w:val="fr-CA"/>
        </w:rPr>
        <w:tab/>
      </w:r>
      <w:r w:rsidR="0090596B" w:rsidRPr="0090596B">
        <w:rPr>
          <w:lang w:val="fr-CA"/>
        </w:rPr>
        <w:t xml:space="preserve">Les dispositions relatives aux actions </w:t>
      </w:r>
      <w:r w:rsidR="004353D0">
        <w:rPr>
          <w:lang w:val="fr-CA"/>
        </w:rPr>
        <w:t>sont énoncées</w:t>
      </w:r>
      <w:r w:rsidR="0090596B" w:rsidRPr="0090596B">
        <w:rPr>
          <w:lang w:val="fr-CA"/>
        </w:rPr>
        <w:t xml:space="preserve"> </w:t>
      </w:r>
      <w:r w:rsidR="0090596B">
        <w:rPr>
          <w:lang w:val="fr-CA"/>
        </w:rPr>
        <w:t xml:space="preserve">dans les clauses modificatrices déposées auprès du ministère gouvernemental compétent. </w:t>
      </w:r>
      <w:r w:rsidR="0090596B" w:rsidRPr="0090596B">
        <w:rPr>
          <w:lang w:val="fr-CA"/>
        </w:rPr>
        <w:t>Les clauses modificatrices font partie des statuts constitutifs de l</w:t>
      </w:r>
      <w:r w:rsidR="0090596B">
        <w:rPr>
          <w:lang w:val="fr-CA"/>
        </w:rPr>
        <w:t xml:space="preserve">a Société, qui sont des documents publics qui établissent tous les droits, priorités, privilèges et restrictions </w:t>
      </w:r>
      <w:r w:rsidR="00E47EA5">
        <w:rPr>
          <w:lang w:val="fr-CA"/>
        </w:rPr>
        <w:t>rattachés aux</w:t>
      </w:r>
      <w:r w:rsidR="0090596B">
        <w:rPr>
          <w:lang w:val="fr-CA"/>
        </w:rPr>
        <w:t xml:space="preserve"> Actions privilégiées et </w:t>
      </w:r>
      <w:r w:rsidR="00BA34EE">
        <w:rPr>
          <w:lang w:val="fr-CA"/>
        </w:rPr>
        <w:t xml:space="preserve">à </w:t>
      </w:r>
      <w:r w:rsidR="0090596B">
        <w:rPr>
          <w:lang w:val="fr-CA"/>
        </w:rPr>
        <w:t>d’autres actions du capital</w:t>
      </w:r>
      <w:r w:rsidR="006F6724">
        <w:rPr>
          <w:lang w:val="fr-CA"/>
        </w:rPr>
        <w:t>-action</w:t>
      </w:r>
      <w:r w:rsidR="0090596B">
        <w:rPr>
          <w:lang w:val="fr-CA"/>
        </w:rPr>
        <w:t>, notamment.</w:t>
      </w:r>
    </w:p>
  </w:footnote>
  <w:footnote w:id="7">
    <w:p w14:paraId="667D1182" w14:textId="51707395" w:rsidR="00266410" w:rsidRPr="0090596B" w:rsidRDefault="00266410" w:rsidP="00266410">
      <w:pPr>
        <w:pStyle w:val="FootnoteText"/>
        <w:rPr>
          <w:lang w:val="fr-CA"/>
        </w:rPr>
      </w:pPr>
      <w:r w:rsidRPr="008A64C8">
        <w:rPr>
          <w:rStyle w:val="FootnoteReference"/>
        </w:rPr>
        <w:footnoteRef/>
      </w:r>
      <w:r w:rsidRPr="0090596B">
        <w:rPr>
          <w:lang w:val="fr-CA"/>
        </w:rPr>
        <w:tab/>
        <w:t>Si la Société a plus d’une catégorie ou série d’actions ordinaires, ce terme devrait être défini dans</w:t>
      </w:r>
      <w:r>
        <w:rPr>
          <w:lang w:val="fr-CA"/>
        </w:rPr>
        <w:t xml:space="preserve"> le </w:t>
      </w:r>
      <w:r w:rsidR="00BA34EE">
        <w:rPr>
          <w:lang w:val="fr-CA"/>
        </w:rPr>
        <w:t>S</w:t>
      </w:r>
      <w:r>
        <w:rPr>
          <w:lang w:val="fr-CA"/>
        </w:rPr>
        <w:t>ommaire des modalités.</w:t>
      </w:r>
    </w:p>
  </w:footnote>
  <w:footnote w:id="8">
    <w:p w14:paraId="6266997D" w14:textId="2C210672" w:rsidR="0057567C" w:rsidRPr="0090596B" w:rsidRDefault="004A387E" w:rsidP="0090596B">
      <w:pPr>
        <w:pStyle w:val="FootnoteText"/>
        <w:rPr>
          <w:lang w:val="fr-CA"/>
        </w:rPr>
      </w:pPr>
      <w:r w:rsidRPr="008A64C8">
        <w:rPr>
          <w:rStyle w:val="FootnoteReference"/>
        </w:rPr>
        <w:footnoteRef/>
      </w:r>
      <w:r w:rsidRPr="0090596B">
        <w:rPr>
          <w:lang w:val="fr-CA"/>
        </w:rPr>
        <w:tab/>
      </w:r>
      <w:r w:rsidR="0090596B" w:rsidRPr="0090596B">
        <w:rPr>
          <w:lang w:val="fr-CA"/>
        </w:rPr>
        <w:t>Dans certains cas, les d</w:t>
      </w:r>
      <w:r w:rsidR="0090596B">
        <w:rPr>
          <w:lang w:val="fr-CA"/>
        </w:rPr>
        <w:t>ividendes cumulés et non versés sont payables à la conversion et à la survenance d’un</w:t>
      </w:r>
      <w:r w:rsidR="006B3990">
        <w:rPr>
          <w:lang w:val="fr-CA"/>
        </w:rPr>
        <w:t>e opération</w:t>
      </w:r>
      <w:r w:rsidR="0090596B">
        <w:rPr>
          <w:lang w:val="fr-CA"/>
        </w:rPr>
        <w:t xml:space="preserve"> de liquidation. Cependant, le plus souvent, </w:t>
      </w:r>
      <w:r w:rsidR="00D775E8">
        <w:rPr>
          <w:lang w:val="fr-CA"/>
        </w:rPr>
        <w:t xml:space="preserve">aucun </w:t>
      </w:r>
      <w:r w:rsidR="0090596B">
        <w:rPr>
          <w:lang w:val="fr-CA"/>
        </w:rPr>
        <w:t>dividende n</w:t>
      </w:r>
      <w:r w:rsidR="00D775E8">
        <w:rPr>
          <w:lang w:val="fr-CA"/>
        </w:rPr>
        <w:t>’est</w:t>
      </w:r>
      <w:r w:rsidR="0090596B">
        <w:rPr>
          <w:lang w:val="fr-CA"/>
        </w:rPr>
        <w:t xml:space="preserve"> versé si les actions privilégiées sont converties. </w:t>
      </w:r>
      <w:r w:rsidR="0090596B" w:rsidRPr="0090596B">
        <w:rPr>
          <w:lang w:val="fr-CA"/>
        </w:rPr>
        <w:t>On peut aussi donner à la Société la possibilité d</w:t>
      </w:r>
      <w:r w:rsidR="0090596B">
        <w:rPr>
          <w:lang w:val="fr-CA"/>
        </w:rPr>
        <w:t xml:space="preserve">e verser </w:t>
      </w:r>
      <w:r w:rsidR="00D775E8">
        <w:rPr>
          <w:lang w:val="fr-CA"/>
        </w:rPr>
        <w:t>l</w:t>
      </w:r>
      <w:r w:rsidR="0090596B">
        <w:rPr>
          <w:lang w:val="fr-CA"/>
        </w:rPr>
        <w:t xml:space="preserve">es dividendes cumulés et impayés en espèces ou en actions ordinaires évaluées à la juste valeur marchande. </w:t>
      </w:r>
      <w:r w:rsidR="0090596B" w:rsidRPr="0090596B">
        <w:rPr>
          <w:lang w:val="fr-CA"/>
        </w:rPr>
        <w:t>Ce</w:t>
      </w:r>
      <w:r w:rsidR="00BA34EE">
        <w:rPr>
          <w:lang w:val="fr-CA"/>
        </w:rPr>
        <w:t xml:space="preserve"> dernier type de</w:t>
      </w:r>
      <w:r w:rsidR="0090596B" w:rsidRPr="0090596B">
        <w:rPr>
          <w:lang w:val="fr-CA"/>
        </w:rPr>
        <w:t xml:space="preserve"> versement </w:t>
      </w:r>
      <w:r w:rsidR="0090596B">
        <w:rPr>
          <w:lang w:val="fr-CA"/>
        </w:rPr>
        <w:t>de dividendes,</w:t>
      </w:r>
      <w:r w:rsidR="0090596B" w:rsidRPr="0090596B">
        <w:rPr>
          <w:lang w:val="fr-CA"/>
        </w:rPr>
        <w:t xml:space="preserve"> appelé « </w:t>
      </w:r>
      <w:r w:rsidR="0090596B">
        <w:rPr>
          <w:lang w:val="fr-CA"/>
        </w:rPr>
        <w:t xml:space="preserve">versement </w:t>
      </w:r>
      <w:r w:rsidR="0090596B" w:rsidRPr="0090596B">
        <w:rPr>
          <w:lang w:val="fr-CA"/>
        </w:rPr>
        <w:t>en nature</w:t>
      </w:r>
      <w:r w:rsidR="0090596B">
        <w:rPr>
          <w:lang w:val="fr-CA"/>
        </w:rPr>
        <w:t> »</w:t>
      </w:r>
      <w:r w:rsidR="007546AC">
        <w:rPr>
          <w:lang w:val="fr-CA"/>
        </w:rPr>
        <w:t>,</w:t>
      </w:r>
      <w:r w:rsidR="0090596B">
        <w:rPr>
          <w:lang w:val="fr-CA"/>
        </w:rPr>
        <w:t xml:space="preserve"> </w:t>
      </w:r>
      <w:r w:rsidR="00BA34EE">
        <w:rPr>
          <w:lang w:val="fr-CA"/>
        </w:rPr>
        <w:t>est</w:t>
      </w:r>
      <w:r w:rsidR="0090596B">
        <w:rPr>
          <w:lang w:val="fr-CA"/>
        </w:rPr>
        <w:t xml:space="preserve"> plutôt rare dans ce contexte.</w:t>
      </w:r>
    </w:p>
  </w:footnote>
  <w:footnote w:id="9">
    <w:p w14:paraId="254B75FD" w14:textId="3FEBBB9F" w:rsidR="00C260F9" w:rsidRPr="00D05053" w:rsidRDefault="00C260F9" w:rsidP="00C260F9">
      <w:pPr>
        <w:pStyle w:val="FootnoteText"/>
        <w:rPr>
          <w:lang w:val="fr-CA"/>
        </w:rPr>
      </w:pPr>
      <w:r w:rsidRPr="008A64C8">
        <w:rPr>
          <w:rStyle w:val="FootnoteReference"/>
        </w:rPr>
        <w:footnoteRef/>
      </w:r>
      <w:r w:rsidRPr="0090596B">
        <w:rPr>
          <w:lang w:val="fr-CA"/>
        </w:rPr>
        <w:tab/>
      </w:r>
      <w:r w:rsidR="006B3990">
        <w:rPr>
          <w:lang w:val="fr-CA"/>
        </w:rPr>
        <w:t>Réfléchissez bien</w:t>
      </w:r>
      <w:r w:rsidRPr="0090596B">
        <w:rPr>
          <w:lang w:val="fr-CA"/>
        </w:rPr>
        <w:t xml:space="preserve"> avant d’établir l</w:t>
      </w:r>
      <w:r>
        <w:rPr>
          <w:lang w:val="fr-CA"/>
        </w:rPr>
        <w:t xml:space="preserve">e seuil de vote en fonction de la composition de la ronde, spécialement si plusieurs séries/catégories sont en jeu. De plus, n’oubliez pas que les rajustements antidilution peuvent modifier les droits de vote. </w:t>
      </w:r>
    </w:p>
  </w:footnote>
  <w:footnote w:id="10">
    <w:p w14:paraId="7A191A9C" w14:textId="1CF61FDB" w:rsidR="00B33BE6" w:rsidRPr="0090596B" w:rsidRDefault="00B33BE6" w:rsidP="00B33BE6">
      <w:pPr>
        <w:pStyle w:val="FootnoteText"/>
        <w:rPr>
          <w:lang w:val="fr-CA"/>
        </w:rPr>
      </w:pPr>
      <w:r w:rsidRPr="008A64C8">
        <w:rPr>
          <w:rStyle w:val="FootnoteReference"/>
        </w:rPr>
        <w:footnoteRef/>
      </w:r>
      <w:r w:rsidRPr="0090596B">
        <w:rPr>
          <w:lang w:val="fr-CA"/>
        </w:rPr>
        <w:tab/>
        <w:t>Voir la note de bas de page B.</w:t>
      </w:r>
      <w:r w:rsidRPr="008A64C8">
        <w:rPr>
          <w:lang w:val="fr-CA"/>
        </w:rPr>
        <w:t>2.3.4</w:t>
      </w:r>
      <w:r w:rsidRPr="0090596B">
        <w:rPr>
          <w:lang w:val="fr-CA"/>
        </w:rPr>
        <w:t xml:space="preserve"> du </w:t>
      </w:r>
      <w:r>
        <w:rPr>
          <w:lang w:val="fr-CA"/>
        </w:rPr>
        <w:t>m</w:t>
      </w:r>
      <w:r w:rsidRPr="002077EA">
        <w:rPr>
          <w:lang w:val="fr-CA"/>
        </w:rPr>
        <w:t xml:space="preserve">odèle de </w:t>
      </w:r>
      <w:r w:rsidR="00472FB4">
        <w:rPr>
          <w:lang w:val="fr-CA"/>
        </w:rPr>
        <w:t>C</w:t>
      </w:r>
      <w:r w:rsidRPr="002077EA">
        <w:rPr>
          <w:lang w:val="fr-CA"/>
        </w:rPr>
        <w:t>lauses modificatrices</w:t>
      </w:r>
      <w:r>
        <w:rPr>
          <w:lang w:val="fr-CA"/>
        </w:rPr>
        <w:t xml:space="preserve"> pour une explication de cette disposition</w:t>
      </w:r>
      <w:r w:rsidRPr="0090596B">
        <w:rPr>
          <w:lang w:val="fr-CA"/>
        </w:rPr>
        <w:t>.</w:t>
      </w:r>
    </w:p>
  </w:footnote>
  <w:footnote w:id="11">
    <w:p w14:paraId="498952AD" w14:textId="6344DC72" w:rsidR="0057567C" w:rsidRPr="00D05053" w:rsidRDefault="004A387E" w:rsidP="00394687">
      <w:pPr>
        <w:pStyle w:val="FootnoteText"/>
        <w:rPr>
          <w:lang w:val="fr-CA"/>
        </w:rPr>
      </w:pPr>
      <w:r w:rsidRPr="008A64C8">
        <w:rPr>
          <w:rStyle w:val="FootnoteReference"/>
        </w:rPr>
        <w:footnoteRef/>
      </w:r>
      <w:r w:rsidRPr="0090596B">
        <w:rPr>
          <w:lang w:val="fr-CA"/>
        </w:rPr>
        <w:t xml:space="preserve"> </w:t>
      </w:r>
      <w:r w:rsidRPr="0090596B">
        <w:rPr>
          <w:lang w:val="fr-CA"/>
        </w:rPr>
        <w:tab/>
      </w:r>
      <w:r w:rsidR="0090596B" w:rsidRPr="00A87F30">
        <w:rPr>
          <w:lang w:val="fr-CA"/>
        </w:rPr>
        <w:t xml:space="preserve">Cette disposition a pour but </w:t>
      </w:r>
      <w:r w:rsidR="006B3990">
        <w:rPr>
          <w:lang w:val="fr-CA"/>
        </w:rPr>
        <w:t>de se soustraire de l’application de</w:t>
      </w:r>
      <w:r w:rsidR="009B365B">
        <w:rPr>
          <w:lang w:val="fr-CA"/>
        </w:rPr>
        <w:t xml:space="preserve"> la disposition du</w:t>
      </w:r>
      <w:r w:rsidR="00394687" w:rsidRPr="00A87F30">
        <w:rPr>
          <w:lang w:val="fr-CA"/>
        </w:rPr>
        <w:t xml:space="preserve"> paragraphe </w:t>
      </w:r>
      <w:r w:rsidR="00394687" w:rsidRPr="008A64C8">
        <w:rPr>
          <w:lang w:val="fr-CA"/>
        </w:rPr>
        <w:t>176</w:t>
      </w:r>
      <w:r w:rsidR="00394687" w:rsidRPr="00A87F30">
        <w:rPr>
          <w:lang w:val="fr-CA"/>
        </w:rPr>
        <w:t>(</w:t>
      </w:r>
      <w:r w:rsidR="00394687" w:rsidRPr="008A64C8">
        <w:rPr>
          <w:lang w:val="fr-CA"/>
        </w:rPr>
        <w:t>1</w:t>
      </w:r>
      <w:r w:rsidR="00394687" w:rsidRPr="00A87F30">
        <w:rPr>
          <w:lang w:val="fr-CA"/>
        </w:rPr>
        <w:t xml:space="preserve">) de la </w:t>
      </w:r>
      <w:r w:rsidR="00394687" w:rsidRPr="00A87F30">
        <w:rPr>
          <w:i/>
          <w:iCs/>
          <w:lang w:val="fr-CA"/>
        </w:rPr>
        <w:t xml:space="preserve">Loi canadienne sur les sociétés par </w:t>
      </w:r>
      <w:r w:rsidR="00394687" w:rsidRPr="00A87F30">
        <w:rPr>
          <w:lang w:val="fr-CA"/>
        </w:rPr>
        <w:t>actions (la « </w:t>
      </w:r>
      <w:r w:rsidR="00394687" w:rsidRPr="00AC4E12">
        <w:rPr>
          <w:b/>
          <w:bCs/>
          <w:lang w:val="fr-CA"/>
        </w:rPr>
        <w:t>LCSA</w:t>
      </w:r>
      <w:r w:rsidR="00394687" w:rsidRPr="00A87F30">
        <w:rPr>
          <w:lang w:val="fr-CA"/>
        </w:rPr>
        <w:t xml:space="preserve"> ») </w:t>
      </w:r>
      <w:r w:rsidR="009B365B">
        <w:rPr>
          <w:lang w:val="fr-CA"/>
        </w:rPr>
        <w:t xml:space="preserve">portant sur la possibilité de voter séparément en tant que catégorie, </w:t>
      </w:r>
      <w:r w:rsidR="00394687" w:rsidRPr="00A87F30">
        <w:rPr>
          <w:lang w:val="fr-CA"/>
        </w:rPr>
        <w:t>comme le permet ce paragraphe (ou le paragraphe </w:t>
      </w:r>
      <w:r w:rsidR="00394687" w:rsidRPr="008A64C8">
        <w:rPr>
          <w:lang w:val="fr-CA"/>
        </w:rPr>
        <w:t>170</w:t>
      </w:r>
      <w:r w:rsidR="00394687" w:rsidRPr="00A87F30">
        <w:rPr>
          <w:lang w:val="fr-CA"/>
        </w:rPr>
        <w:t>(</w:t>
      </w:r>
      <w:r w:rsidR="00394687" w:rsidRPr="008A64C8">
        <w:rPr>
          <w:lang w:val="fr-CA"/>
        </w:rPr>
        <w:t>1</w:t>
      </w:r>
      <w:r w:rsidR="00394687" w:rsidRPr="00A87F30">
        <w:rPr>
          <w:lang w:val="fr-CA"/>
        </w:rPr>
        <w:t xml:space="preserve">) de la </w:t>
      </w:r>
      <w:r w:rsidR="00394687" w:rsidRPr="00A87F30">
        <w:rPr>
          <w:i/>
          <w:iCs/>
          <w:lang w:val="fr-CA"/>
        </w:rPr>
        <w:t xml:space="preserve">Loi sur les sociétés par </w:t>
      </w:r>
      <w:r w:rsidR="00394687" w:rsidRPr="00A87F30">
        <w:rPr>
          <w:lang w:val="fr-CA"/>
        </w:rPr>
        <w:t>actions (Ontario) (la « </w:t>
      </w:r>
      <w:r w:rsidR="00394687" w:rsidRPr="00AC4E12">
        <w:rPr>
          <w:b/>
          <w:bCs/>
          <w:lang w:val="fr-CA"/>
        </w:rPr>
        <w:t>LSAO</w:t>
      </w:r>
      <w:r w:rsidR="00394687" w:rsidRPr="00A87F30">
        <w:rPr>
          <w:lang w:val="fr-CA"/>
        </w:rPr>
        <w:t> »)). Note : Aux termes du paragraphe </w:t>
      </w:r>
      <w:r w:rsidR="00394687" w:rsidRPr="008A64C8">
        <w:rPr>
          <w:lang w:val="fr-CA"/>
        </w:rPr>
        <w:t>190</w:t>
      </w:r>
      <w:r w:rsidR="00394687" w:rsidRPr="00A87F30">
        <w:rPr>
          <w:lang w:val="fr-CA"/>
        </w:rPr>
        <w:t>(</w:t>
      </w:r>
      <w:r w:rsidR="00394687" w:rsidRPr="008A64C8">
        <w:rPr>
          <w:lang w:val="fr-CA"/>
        </w:rPr>
        <w:t>2</w:t>
      </w:r>
      <w:r w:rsidR="00394687" w:rsidRPr="00A87F30">
        <w:rPr>
          <w:lang w:val="fr-CA"/>
        </w:rPr>
        <w:t>) de la LCSA et du paragraphe </w:t>
      </w:r>
      <w:r w:rsidR="00394687" w:rsidRPr="008A64C8">
        <w:rPr>
          <w:lang w:val="fr-CA"/>
        </w:rPr>
        <w:t>185</w:t>
      </w:r>
      <w:r w:rsidR="00394687" w:rsidRPr="00A87F30">
        <w:rPr>
          <w:lang w:val="fr-CA"/>
        </w:rPr>
        <w:t>(</w:t>
      </w:r>
      <w:r w:rsidR="00394687" w:rsidRPr="008A64C8">
        <w:rPr>
          <w:lang w:val="fr-CA"/>
        </w:rPr>
        <w:t>2</w:t>
      </w:r>
      <w:r w:rsidR="00394687" w:rsidRPr="00A87F30">
        <w:rPr>
          <w:lang w:val="fr-CA"/>
        </w:rPr>
        <w:t>) de la LSAO, la suppression des droits de vote peut également éliminer le droit de faire valoir sa dissidence à l’égard des questions énumérées a</w:t>
      </w:r>
      <w:r w:rsidR="002077EA" w:rsidRPr="00A87F30">
        <w:rPr>
          <w:lang w:val="fr-CA"/>
        </w:rPr>
        <w:t>u</w:t>
      </w:r>
      <w:r w:rsidR="00394687" w:rsidRPr="00A87F30">
        <w:rPr>
          <w:lang w:val="fr-CA"/>
        </w:rPr>
        <w:t xml:space="preserve"> paragraphe </w:t>
      </w:r>
      <w:r w:rsidR="00394687" w:rsidRPr="008A64C8">
        <w:rPr>
          <w:lang w:val="fr-CA"/>
        </w:rPr>
        <w:t>176</w:t>
      </w:r>
      <w:r w:rsidR="00394687" w:rsidRPr="00A87F30">
        <w:rPr>
          <w:lang w:val="fr-CA"/>
        </w:rPr>
        <w:t>(</w:t>
      </w:r>
      <w:r w:rsidR="00394687" w:rsidRPr="008A64C8">
        <w:rPr>
          <w:lang w:val="fr-CA"/>
        </w:rPr>
        <w:t>1</w:t>
      </w:r>
      <w:r w:rsidR="00394687" w:rsidRPr="00A87F30">
        <w:rPr>
          <w:lang w:val="fr-CA"/>
        </w:rPr>
        <w:t xml:space="preserve">) de la LCSA et </w:t>
      </w:r>
      <w:r w:rsidR="00BA34EE">
        <w:rPr>
          <w:lang w:val="fr-CA"/>
        </w:rPr>
        <w:t>a</w:t>
      </w:r>
      <w:r w:rsidR="00394687" w:rsidRPr="00A87F30">
        <w:rPr>
          <w:lang w:val="fr-CA"/>
        </w:rPr>
        <w:t>u paragraphe </w:t>
      </w:r>
      <w:r w:rsidR="00394687" w:rsidRPr="008A64C8">
        <w:rPr>
          <w:lang w:val="fr-CA"/>
        </w:rPr>
        <w:t>170</w:t>
      </w:r>
      <w:r w:rsidR="00394687" w:rsidRPr="00A87F30">
        <w:rPr>
          <w:lang w:val="fr-CA"/>
        </w:rPr>
        <w:t>(</w:t>
      </w:r>
      <w:r w:rsidR="00394687" w:rsidRPr="008A64C8">
        <w:rPr>
          <w:lang w:val="fr-CA"/>
        </w:rPr>
        <w:t>1</w:t>
      </w:r>
      <w:r w:rsidR="00394687" w:rsidRPr="00A87F30">
        <w:rPr>
          <w:lang w:val="fr-CA"/>
        </w:rPr>
        <w:t>) de la LSAO.</w:t>
      </w:r>
      <w:r w:rsidR="00394687">
        <w:rPr>
          <w:lang w:val="fr-CA"/>
        </w:rPr>
        <w:t xml:space="preserve"> </w:t>
      </w:r>
    </w:p>
  </w:footnote>
  <w:footnote w:id="12">
    <w:p w14:paraId="4B3C2FED" w14:textId="77777777" w:rsidR="00FA4ED2" w:rsidRPr="001E02CB" w:rsidRDefault="00FA4ED2" w:rsidP="00FA4ED2">
      <w:pPr>
        <w:pStyle w:val="FootnoteText"/>
        <w:rPr>
          <w:lang w:val="fr-CA"/>
        </w:rPr>
      </w:pPr>
      <w:r w:rsidRPr="008A64C8">
        <w:rPr>
          <w:rStyle w:val="FootnoteReference"/>
        </w:rPr>
        <w:footnoteRef/>
      </w:r>
      <w:r w:rsidRPr="0051228E">
        <w:rPr>
          <w:lang w:val="fr-CA"/>
        </w:rPr>
        <w:t xml:space="preserve"> </w:t>
      </w:r>
      <w:r w:rsidRPr="0051228E">
        <w:rPr>
          <w:lang w:val="fr-CA"/>
        </w:rPr>
        <w:tab/>
        <w:t xml:space="preserve">Il y a lieu de préciser </w:t>
      </w:r>
      <w:r>
        <w:rPr>
          <w:lang w:val="fr-CA"/>
        </w:rPr>
        <w:t>que, selon</w:t>
      </w:r>
      <w:r w:rsidRPr="0051228E">
        <w:rPr>
          <w:lang w:val="fr-CA"/>
        </w:rPr>
        <w:t xml:space="preserve"> l’article </w:t>
      </w:r>
      <w:r w:rsidRPr="008A64C8">
        <w:rPr>
          <w:lang w:val="fr-CA"/>
        </w:rPr>
        <w:t>176</w:t>
      </w:r>
      <w:r>
        <w:rPr>
          <w:lang w:val="fr-CA"/>
        </w:rPr>
        <w:t xml:space="preserve"> de la LCSA et l’article </w:t>
      </w:r>
      <w:r w:rsidRPr="008A64C8">
        <w:rPr>
          <w:lang w:val="fr-CA"/>
        </w:rPr>
        <w:t>170</w:t>
      </w:r>
      <w:r>
        <w:rPr>
          <w:lang w:val="fr-CA"/>
        </w:rPr>
        <w:t xml:space="preserve"> de la LSAO, l’apport d’une modification aux statuts de la Société qui aurait une incidence défavorable sur les droits, priorités et pouvoirs conférés par une catégorie ou série d’Actions privilégiées pourrait donner aux porteurs de cette catégorie ou série le droit de voter séparément en tant que catégorie ou série sur la modification</w:t>
      </w:r>
      <w:r w:rsidRPr="001E02CB">
        <w:rPr>
          <w:lang w:val="fr-CA"/>
        </w:rPr>
        <w:t>.</w:t>
      </w:r>
    </w:p>
  </w:footnote>
  <w:footnote w:id="13">
    <w:p w14:paraId="4A120E8A" w14:textId="51AA3998" w:rsidR="00EC321C" w:rsidRPr="001E02CB" w:rsidRDefault="00EC321C" w:rsidP="00EC321C">
      <w:pPr>
        <w:pStyle w:val="FootnoteText"/>
        <w:rPr>
          <w:lang w:val="fr-CA"/>
        </w:rPr>
      </w:pPr>
      <w:r w:rsidRPr="008A64C8">
        <w:rPr>
          <w:rStyle w:val="FootnoteReference"/>
        </w:rPr>
        <w:footnoteRef/>
      </w:r>
      <w:r w:rsidRPr="001E02CB">
        <w:rPr>
          <w:lang w:val="fr-CA"/>
        </w:rPr>
        <w:t xml:space="preserve"> </w:t>
      </w:r>
      <w:r w:rsidRPr="001E02CB">
        <w:rPr>
          <w:lang w:val="fr-CA"/>
        </w:rPr>
        <w:tab/>
      </w:r>
      <w:r w:rsidR="001E02CB" w:rsidRPr="001E02CB">
        <w:rPr>
          <w:lang w:val="fr-CA"/>
        </w:rPr>
        <w:t>Voir la note de bas de page</w:t>
      </w:r>
      <w:r w:rsidR="001E02CB">
        <w:rPr>
          <w:lang w:val="fr-CA"/>
        </w:rPr>
        <w:t xml:space="preserve"> qui figure dans le modèle de </w:t>
      </w:r>
      <w:r w:rsidR="00472FB4">
        <w:rPr>
          <w:lang w:val="fr-CA"/>
        </w:rPr>
        <w:t>C</w:t>
      </w:r>
      <w:r w:rsidR="001E02CB">
        <w:rPr>
          <w:lang w:val="fr-CA"/>
        </w:rPr>
        <w:t xml:space="preserve">lauses </w:t>
      </w:r>
      <w:r w:rsidR="001E02CB" w:rsidRPr="001E02CB">
        <w:rPr>
          <w:lang w:val="fr-CA"/>
        </w:rPr>
        <w:t>modificatrices</w:t>
      </w:r>
      <w:r w:rsidRPr="001E02CB">
        <w:rPr>
          <w:lang w:val="fr-CA"/>
        </w:rPr>
        <w:t>.</w:t>
      </w:r>
    </w:p>
  </w:footnote>
  <w:footnote w:id="14">
    <w:p w14:paraId="34BBF1C3" w14:textId="12409385" w:rsidR="0057567C" w:rsidRPr="00FA5C48" w:rsidRDefault="004A387E" w:rsidP="00EE3005">
      <w:pPr>
        <w:pStyle w:val="FootnoteText"/>
        <w:rPr>
          <w:lang w:val="fr-CA"/>
        </w:rPr>
      </w:pPr>
      <w:r w:rsidRPr="008A64C8">
        <w:rPr>
          <w:rStyle w:val="FootnoteReference"/>
        </w:rPr>
        <w:footnoteRef/>
      </w:r>
      <w:r w:rsidRPr="006E4B3F">
        <w:rPr>
          <w:lang w:val="fr-CA"/>
        </w:rPr>
        <w:tab/>
      </w:r>
      <w:r w:rsidR="006E4B3F" w:rsidRPr="006E4B3F">
        <w:rPr>
          <w:lang w:val="fr-CA"/>
        </w:rPr>
        <w:t xml:space="preserve">La disposition relative à la taille du conseil peut également figurer dans la Convention de vote; voir le modèle de </w:t>
      </w:r>
      <w:r w:rsidR="00472FB4">
        <w:rPr>
          <w:lang w:val="fr-CA"/>
        </w:rPr>
        <w:t>C</w:t>
      </w:r>
      <w:r w:rsidR="006E4B3F" w:rsidRPr="006E4B3F">
        <w:rPr>
          <w:lang w:val="fr-CA"/>
        </w:rPr>
        <w:t>onvention de</w:t>
      </w:r>
      <w:r w:rsidR="006E4B3F">
        <w:rPr>
          <w:lang w:val="fr-CA"/>
        </w:rPr>
        <w:t xml:space="preserve"> vote.</w:t>
      </w:r>
    </w:p>
  </w:footnote>
  <w:footnote w:id="15">
    <w:p w14:paraId="29368561" w14:textId="4DB030B1" w:rsidR="0057567C" w:rsidRPr="00373C4B" w:rsidRDefault="004A387E" w:rsidP="00EE3005">
      <w:pPr>
        <w:pStyle w:val="FootnoteText"/>
        <w:rPr>
          <w:lang w:val="fr-CA"/>
        </w:rPr>
      </w:pPr>
      <w:r w:rsidRPr="008A64C8">
        <w:rPr>
          <w:rStyle w:val="FootnoteReference"/>
        </w:rPr>
        <w:footnoteRef/>
      </w:r>
      <w:r w:rsidRPr="006E4B3F">
        <w:rPr>
          <w:lang w:val="fr-CA"/>
        </w:rPr>
        <w:tab/>
      </w:r>
      <w:r w:rsidR="006E4B3F" w:rsidRPr="006E4B3F">
        <w:rPr>
          <w:lang w:val="fr-CA"/>
        </w:rPr>
        <w:t xml:space="preserve">La formule la plus </w:t>
      </w:r>
      <w:r w:rsidR="00867540">
        <w:rPr>
          <w:lang w:val="fr-CA"/>
        </w:rPr>
        <w:t>générale</w:t>
      </w:r>
      <w:r w:rsidR="006E4B3F" w:rsidRPr="006E4B3F">
        <w:rPr>
          <w:lang w:val="fr-CA"/>
        </w:rPr>
        <w:t xml:space="preserve"> inclu</w:t>
      </w:r>
      <w:r w:rsidR="006E4B3F">
        <w:rPr>
          <w:lang w:val="fr-CA"/>
        </w:rPr>
        <w:t>rai</w:t>
      </w:r>
      <w:r w:rsidR="006E4B3F" w:rsidRPr="006E4B3F">
        <w:rPr>
          <w:lang w:val="fr-CA"/>
        </w:rPr>
        <w:t>t les actions réservées dans le compte d’options; une formule plus restreinte exclurait les options ou les autres titres convert</w:t>
      </w:r>
      <w:r w:rsidR="006E4B3F">
        <w:rPr>
          <w:lang w:val="fr-CA"/>
        </w:rPr>
        <w:t xml:space="preserve">ibles. </w:t>
      </w:r>
      <w:r w:rsidR="006E4B3F" w:rsidRPr="00373C4B">
        <w:rPr>
          <w:lang w:val="fr-CA"/>
        </w:rPr>
        <w:t>La form</w:t>
      </w:r>
      <w:r w:rsidR="007A2C38" w:rsidRPr="00373C4B">
        <w:rPr>
          <w:lang w:val="fr-CA"/>
        </w:rPr>
        <w:t>u</w:t>
      </w:r>
      <w:r w:rsidR="006E4B3F" w:rsidRPr="00373C4B">
        <w:rPr>
          <w:lang w:val="fr-CA"/>
        </w:rPr>
        <w:t xml:space="preserve">le ci-dessus est la plus courante. </w:t>
      </w:r>
    </w:p>
  </w:footnote>
  <w:footnote w:id="16">
    <w:p w14:paraId="2BA7B547" w14:textId="7FD4FAFF" w:rsidR="0057567C" w:rsidRPr="00D72A03" w:rsidRDefault="004A387E" w:rsidP="00D72A03">
      <w:pPr>
        <w:pStyle w:val="FootnoteText"/>
        <w:rPr>
          <w:lang w:val="fr-CA"/>
        </w:rPr>
      </w:pPr>
      <w:r w:rsidRPr="008A64C8">
        <w:rPr>
          <w:rStyle w:val="FootnoteReference"/>
        </w:rPr>
        <w:footnoteRef/>
      </w:r>
      <w:r w:rsidRPr="00D72A03">
        <w:rPr>
          <w:lang w:val="fr-CA"/>
        </w:rPr>
        <w:t xml:space="preserve"> </w:t>
      </w:r>
      <w:r w:rsidRPr="00D72A03">
        <w:rPr>
          <w:lang w:val="fr-CA"/>
        </w:rPr>
        <w:tab/>
      </w:r>
      <w:r w:rsidR="00D72A03" w:rsidRPr="00D72A03">
        <w:rPr>
          <w:lang w:val="fr-CA"/>
        </w:rPr>
        <w:t>Voir les</w:t>
      </w:r>
      <w:r w:rsidR="007C029B">
        <w:rPr>
          <w:lang w:val="fr-CA"/>
        </w:rPr>
        <w:t xml:space="preserve"> sous-</w:t>
      </w:r>
      <w:r w:rsidR="00D72A03" w:rsidRPr="00D72A03">
        <w:rPr>
          <w:lang w:val="fr-CA"/>
        </w:rPr>
        <w:t>alinéas </w:t>
      </w:r>
      <w:r w:rsidRPr="00D72A03">
        <w:rPr>
          <w:lang w:val="fr-CA"/>
        </w:rPr>
        <w:t>B.</w:t>
      </w:r>
      <w:r w:rsidRPr="008A64C8">
        <w:rPr>
          <w:lang w:val="fr-CA"/>
        </w:rPr>
        <w:t>4.4.1</w:t>
      </w:r>
      <w:r w:rsidRPr="00D72A03">
        <w:rPr>
          <w:lang w:val="fr-CA"/>
        </w:rPr>
        <w:t>d)(v)-(</w:t>
      </w:r>
      <w:r w:rsidRPr="008A64C8">
        <w:rPr>
          <w:lang w:val="fr-CA"/>
        </w:rPr>
        <w:t>viii</w:t>
      </w:r>
      <w:r w:rsidRPr="00D72A03">
        <w:rPr>
          <w:lang w:val="fr-CA"/>
        </w:rPr>
        <w:t xml:space="preserve">) </w:t>
      </w:r>
      <w:r w:rsidR="00D72A03" w:rsidRPr="00D72A03">
        <w:rPr>
          <w:lang w:val="fr-CA"/>
        </w:rPr>
        <w:t>d</w:t>
      </w:r>
      <w:r w:rsidR="00781831">
        <w:rPr>
          <w:lang w:val="fr-CA"/>
        </w:rPr>
        <w:t>u</w:t>
      </w:r>
      <w:r w:rsidR="00D72A03" w:rsidRPr="00D72A03">
        <w:rPr>
          <w:lang w:val="fr-CA"/>
        </w:rPr>
        <w:t xml:space="preserve"> modèle de </w:t>
      </w:r>
      <w:r w:rsidR="00472FB4">
        <w:rPr>
          <w:lang w:val="fr-CA"/>
        </w:rPr>
        <w:t>C</w:t>
      </w:r>
      <w:r w:rsidR="00D72A03" w:rsidRPr="00D72A03">
        <w:rPr>
          <w:lang w:val="fr-CA"/>
        </w:rPr>
        <w:t>lauses modificatrices pour connaître les exclusions supplémentaires; e</w:t>
      </w:r>
      <w:r w:rsidR="00D72A03">
        <w:rPr>
          <w:lang w:val="fr-CA"/>
        </w:rPr>
        <w:t xml:space="preserve">nvisager de les inclure dans le </w:t>
      </w:r>
      <w:r w:rsidR="00781831">
        <w:rPr>
          <w:lang w:val="fr-CA"/>
        </w:rPr>
        <w:t>S</w:t>
      </w:r>
      <w:r w:rsidR="00D72A03">
        <w:rPr>
          <w:lang w:val="fr-CA"/>
        </w:rPr>
        <w:t>ommaire des modalités pour éviter les « négociations » ultérieures.</w:t>
      </w:r>
    </w:p>
  </w:footnote>
  <w:footnote w:id="17">
    <w:p w14:paraId="5BE232DE" w14:textId="470AA771" w:rsidR="0057567C" w:rsidRPr="00373C4B" w:rsidRDefault="004A387E" w:rsidP="0039604E">
      <w:pPr>
        <w:pStyle w:val="FootnoteText"/>
        <w:rPr>
          <w:lang w:val="fr-CA"/>
        </w:rPr>
      </w:pPr>
      <w:r w:rsidRPr="008A64C8">
        <w:rPr>
          <w:rStyle w:val="FootnoteReference"/>
        </w:rPr>
        <w:footnoteRef/>
      </w:r>
      <w:r w:rsidRPr="00D72A03">
        <w:rPr>
          <w:lang w:val="fr-CA"/>
        </w:rPr>
        <w:tab/>
      </w:r>
      <w:r w:rsidR="00D72A03" w:rsidRPr="00D72A03">
        <w:rPr>
          <w:lang w:val="fr-CA"/>
        </w:rPr>
        <w:t xml:space="preserve">Le prix par action plancher </w:t>
      </w:r>
      <w:r w:rsidR="007C029B">
        <w:rPr>
          <w:lang w:val="fr-CA"/>
        </w:rPr>
        <w:t>est généralement avantageux pour les</w:t>
      </w:r>
      <w:r w:rsidR="00D72A03" w:rsidRPr="00D72A03">
        <w:rPr>
          <w:lang w:val="fr-CA"/>
        </w:rPr>
        <w:t xml:space="preserve"> petits porteurs ou </w:t>
      </w:r>
      <w:r w:rsidR="007C029B">
        <w:rPr>
          <w:lang w:val="fr-CA"/>
        </w:rPr>
        <w:t>les</w:t>
      </w:r>
      <w:r w:rsidR="00D72A03" w:rsidRPr="00D72A03">
        <w:rPr>
          <w:lang w:val="fr-CA"/>
        </w:rPr>
        <w:t xml:space="preserve"> porteurs minor</w:t>
      </w:r>
      <w:r w:rsidR="00D72A03">
        <w:rPr>
          <w:lang w:val="fr-CA"/>
        </w:rPr>
        <w:t xml:space="preserve">itaires. </w:t>
      </w:r>
      <w:r w:rsidR="00D72A03" w:rsidRPr="00D72A03">
        <w:rPr>
          <w:lang w:val="fr-CA"/>
        </w:rPr>
        <w:t>Envisagez</w:t>
      </w:r>
      <w:r w:rsidR="0039604E">
        <w:rPr>
          <w:lang w:val="fr-CA"/>
        </w:rPr>
        <w:t xml:space="preserve"> la possibilité</w:t>
      </w:r>
      <w:r w:rsidR="00D72A03" w:rsidRPr="00D72A03">
        <w:rPr>
          <w:lang w:val="fr-CA"/>
        </w:rPr>
        <w:t xml:space="preserve"> </w:t>
      </w:r>
      <w:r w:rsidR="00D72A03" w:rsidRPr="008A64C8">
        <w:rPr>
          <w:lang w:val="fr-CA"/>
        </w:rPr>
        <w:t>1</w:t>
      </w:r>
      <w:r w:rsidR="00D72A03" w:rsidRPr="00D72A03">
        <w:rPr>
          <w:lang w:val="fr-CA"/>
        </w:rPr>
        <w:t>) de permettre qu’un Appel public à l’épargne non a</w:t>
      </w:r>
      <w:r w:rsidR="00D72A03">
        <w:rPr>
          <w:lang w:val="fr-CA"/>
        </w:rPr>
        <w:t xml:space="preserve">dmissible puisse devenir un Appel public à l’épargne admissible si le Prix de conversion est rajusté </w:t>
      </w:r>
      <w:r w:rsidR="0039604E">
        <w:rPr>
          <w:lang w:val="fr-CA"/>
        </w:rPr>
        <w:t xml:space="preserve">à l’avantage de l’Investisseur, de sorte que cet Investisseur n’ait pas le pouvoir de bloquer un PAPE et </w:t>
      </w:r>
      <w:r w:rsidR="00781831">
        <w:rPr>
          <w:lang w:val="fr-CA"/>
        </w:rPr>
        <w:t xml:space="preserve">demandez-vous </w:t>
      </w:r>
      <w:r w:rsidR="0039604E" w:rsidRPr="008A64C8">
        <w:rPr>
          <w:lang w:val="fr-CA"/>
        </w:rPr>
        <w:t>2</w:t>
      </w:r>
      <w:r w:rsidR="0039604E">
        <w:rPr>
          <w:lang w:val="fr-CA"/>
        </w:rPr>
        <w:t>) </w:t>
      </w:r>
      <w:r w:rsidR="00781831">
        <w:rPr>
          <w:lang w:val="fr-CA"/>
        </w:rPr>
        <w:t>si</w:t>
      </w:r>
      <w:r w:rsidR="0039604E">
        <w:rPr>
          <w:lang w:val="fr-CA"/>
        </w:rPr>
        <w:t xml:space="preserve"> le </w:t>
      </w:r>
      <w:r w:rsidR="00781831">
        <w:rPr>
          <w:lang w:val="fr-CA"/>
        </w:rPr>
        <w:t xml:space="preserve">produit tiré du </w:t>
      </w:r>
      <w:r w:rsidR="0039604E">
        <w:rPr>
          <w:lang w:val="fr-CA"/>
        </w:rPr>
        <w:t xml:space="preserve">PAPE </w:t>
      </w:r>
      <w:r w:rsidR="00781831">
        <w:rPr>
          <w:lang w:val="fr-CA"/>
        </w:rPr>
        <w:t xml:space="preserve">est </w:t>
      </w:r>
      <w:r w:rsidR="0039604E">
        <w:rPr>
          <w:lang w:val="fr-CA"/>
        </w:rPr>
        <w:t>à lui seul suffisant pour établir les exigences minimales relative</w:t>
      </w:r>
      <w:r w:rsidR="00781831">
        <w:rPr>
          <w:lang w:val="fr-CA"/>
        </w:rPr>
        <w:t xml:space="preserve">s </w:t>
      </w:r>
      <w:r w:rsidR="0039604E">
        <w:rPr>
          <w:lang w:val="fr-CA"/>
        </w:rPr>
        <w:t xml:space="preserve">à un PAPE qui déclenche une conversion. </w:t>
      </w:r>
    </w:p>
  </w:footnote>
  <w:footnote w:id="18">
    <w:p w14:paraId="0FC652D5" w14:textId="7F0FD6C5" w:rsidR="0057567C" w:rsidRPr="00373C4B" w:rsidRDefault="004A387E" w:rsidP="00343624">
      <w:pPr>
        <w:pStyle w:val="FootnoteText"/>
        <w:rPr>
          <w:lang w:val="fr-CA"/>
        </w:rPr>
      </w:pPr>
      <w:r w:rsidRPr="008A64C8">
        <w:rPr>
          <w:rStyle w:val="FootnoteReference"/>
        </w:rPr>
        <w:footnoteRef/>
      </w:r>
      <w:r w:rsidRPr="0039604E">
        <w:rPr>
          <w:lang w:val="fr-CA"/>
        </w:rPr>
        <w:tab/>
      </w:r>
      <w:r w:rsidR="0039604E" w:rsidRPr="0039604E">
        <w:rPr>
          <w:lang w:val="fr-CA"/>
        </w:rPr>
        <w:t xml:space="preserve">Si </w:t>
      </w:r>
      <w:r w:rsidR="00781831">
        <w:rPr>
          <w:lang w:val="fr-CA"/>
        </w:rPr>
        <w:t>l’omission</w:t>
      </w:r>
      <w:r w:rsidR="0039604E">
        <w:rPr>
          <w:lang w:val="fr-CA"/>
        </w:rPr>
        <w:t xml:space="preserve"> de participer </w:t>
      </w:r>
      <w:r w:rsidR="007C029B">
        <w:rPr>
          <w:lang w:val="fr-CA"/>
        </w:rPr>
        <w:t>entraîne</w:t>
      </w:r>
      <w:r w:rsidR="00781831">
        <w:rPr>
          <w:lang w:val="fr-CA"/>
        </w:rPr>
        <w:t xml:space="preserve"> la perte d’</w:t>
      </w:r>
      <w:r w:rsidR="0039604E">
        <w:rPr>
          <w:lang w:val="fr-CA"/>
        </w:rPr>
        <w:t xml:space="preserve">une partie, mais non </w:t>
      </w:r>
      <w:r w:rsidR="00781831">
        <w:rPr>
          <w:lang w:val="fr-CA"/>
        </w:rPr>
        <w:t xml:space="preserve">de </w:t>
      </w:r>
      <w:r w:rsidR="0039604E">
        <w:rPr>
          <w:lang w:val="fr-CA"/>
        </w:rPr>
        <w:t>la totalité</w:t>
      </w:r>
      <w:r w:rsidR="009E1BE9">
        <w:rPr>
          <w:lang w:val="fr-CA"/>
        </w:rPr>
        <w:t>,</w:t>
      </w:r>
      <w:r w:rsidR="0039604E">
        <w:rPr>
          <w:lang w:val="fr-CA"/>
        </w:rPr>
        <w:t xml:space="preserve"> des droits rattachés aux Actions privilégiées (par ex. tout sauf une conversion forcée en actions ordinaires), les Statuts constitutifs devront être assortis de dispositions </w:t>
      </w:r>
      <w:r w:rsidR="00783B1D">
        <w:rPr>
          <w:lang w:val="fr-CA"/>
        </w:rPr>
        <w:t>permettant la création de nouvelles catégories d’Actions privilégiées (</w:t>
      </w:r>
      <w:r w:rsidR="00783B1D">
        <w:rPr>
          <w:i/>
          <w:iCs/>
          <w:lang w:val="fr-CA"/>
        </w:rPr>
        <w:t xml:space="preserve">blank cheque preferred </w:t>
      </w:r>
      <w:r w:rsidR="00783B1D" w:rsidRPr="009E1BE9">
        <w:rPr>
          <w:i/>
          <w:iCs/>
          <w:lang w:val="fr-CA"/>
        </w:rPr>
        <w:t>provisions</w:t>
      </w:r>
      <w:r w:rsidR="00783B1D">
        <w:rPr>
          <w:lang w:val="fr-CA"/>
        </w:rPr>
        <w:t xml:space="preserve">) à tout le moins dans la mesure nécessaire pour permettre au Conseil d’émettre une catégorie </w:t>
      </w:r>
      <w:r w:rsidR="001009DD">
        <w:rPr>
          <w:lang w:val="fr-CA"/>
        </w:rPr>
        <w:t>miroir (</w:t>
      </w:r>
      <w:r w:rsidR="001009DD" w:rsidRPr="009E1BE9">
        <w:rPr>
          <w:i/>
          <w:iCs/>
          <w:lang w:val="fr-CA"/>
        </w:rPr>
        <w:t>shadow</w:t>
      </w:r>
      <w:r w:rsidR="001009DD">
        <w:rPr>
          <w:lang w:val="fr-CA"/>
        </w:rPr>
        <w:t xml:space="preserve">) </w:t>
      </w:r>
      <w:r w:rsidR="00783B1D">
        <w:rPr>
          <w:lang w:val="fr-CA"/>
        </w:rPr>
        <w:t>d’</w:t>
      </w:r>
      <w:r w:rsidR="00C01638">
        <w:rPr>
          <w:lang w:val="fr-CA"/>
        </w:rPr>
        <w:t>a</w:t>
      </w:r>
      <w:r w:rsidR="00783B1D">
        <w:rPr>
          <w:lang w:val="fr-CA"/>
        </w:rPr>
        <w:t xml:space="preserve">ctions privilégiées </w:t>
      </w:r>
      <w:r w:rsidR="00343624">
        <w:rPr>
          <w:lang w:val="fr-CA"/>
        </w:rPr>
        <w:t xml:space="preserve">assorties de droits </w:t>
      </w:r>
      <w:r w:rsidR="001009DD">
        <w:rPr>
          <w:lang w:val="fr-CA"/>
        </w:rPr>
        <w:t>réduits</w:t>
      </w:r>
      <w:r w:rsidR="00343624">
        <w:rPr>
          <w:lang w:val="fr-CA"/>
        </w:rPr>
        <w:t xml:space="preserve"> dans l’éventualité où un investisseur omet de participer. </w:t>
      </w:r>
      <w:r w:rsidR="001009DD">
        <w:rPr>
          <w:lang w:val="fr-CA"/>
        </w:rPr>
        <w:t>Sur le plan rédactionnel</w:t>
      </w:r>
      <w:r w:rsidR="00343624" w:rsidRPr="00343624">
        <w:rPr>
          <w:lang w:val="fr-CA"/>
        </w:rPr>
        <w:t xml:space="preserve">, il est beaucoup plus </w:t>
      </w:r>
      <w:r w:rsidR="001009DD">
        <w:rPr>
          <w:lang w:val="fr-CA"/>
        </w:rPr>
        <w:t>facile</w:t>
      </w:r>
      <w:r w:rsidR="00343624" w:rsidRPr="00343624">
        <w:rPr>
          <w:lang w:val="fr-CA"/>
        </w:rPr>
        <w:t xml:space="preserve"> de s</w:t>
      </w:r>
      <w:r w:rsidR="00343624">
        <w:rPr>
          <w:lang w:val="fr-CA"/>
        </w:rPr>
        <w:t xml:space="preserve">implement convertir (une partie ou la totalité) des actions privilégiées en actions ordinaires. </w:t>
      </w:r>
    </w:p>
  </w:footnote>
  <w:footnote w:id="19">
    <w:p w14:paraId="4664633C" w14:textId="5BB2C184" w:rsidR="0057567C" w:rsidRPr="00EE5825" w:rsidRDefault="004A387E" w:rsidP="00EE5825">
      <w:pPr>
        <w:pStyle w:val="FootnoteText"/>
        <w:rPr>
          <w:lang w:val="fr-CA"/>
        </w:rPr>
      </w:pPr>
      <w:r w:rsidRPr="008A64C8">
        <w:rPr>
          <w:rStyle w:val="FootnoteReference"/>
        </w:rPr>
        <w:footnoteRef/>
      </w:r>
      <w:r w:rsidRPr="00343624">
        <w:rPr>
          <w:lang w:val="fr-CA"/>
        </w:rPr>
        <w:tab/>
      </w:r>
      <w:r w:rsidR="00343624" w:rsidRPr="00343624">
        <w:rPr>
          <w:lang w:val="fr-CA"/>
        </w:rPr>
        <w:t>Les dispositions en matière d</w:t>
      </w:r>
      <w:r w:rsidR="00343624">
        <w:rPr>
          <w:lang w:val="fr-CA"/>
        </w:rPr>
        <w:t xml:space="preserve">e rachat sont rares et leur application est encore plus rare. Si vous recourez à ces dispositions, sachez qu’en raison de restrictions prévues par la loi, il se pourrait que la Société </w:t>
      </w:r>
      <w:r w:rsidR="00117AB8">
        <w:rPr>
          <w:lang w:val="fr-CA"/>
        </w:rPr>
        <w:t>ne soit pas légalement autorisée à</w:t>
      </w:r>
      <w:r w:rsidR="00390CE6">
        <w:rPr>
          <w:lang w:val="fr-CA"/>
        </w:rPr>
        <w:t xml:space="preserve"> racheter des actions </w:t>
      </w:r>
      <w:r w:rsidR="00C01638">
        <w:rPr>
          <w:lang w:val="fr-CA"/>
        </w:rPr>
        <w:t xml:space="preserve">précisément </w:t>
      </w:r>
      <w:r w:rsidR="001009DD">
        <w:rPr>
          <w:lang w:val="fr-CA"/>
        </w:rPr>
        <w:t>dans les circonstances qui convien</w:t>
      </w:r>
      <w:r w:rsidR="00C01638">
        <w:rPr>
          <w:lang w:val="fr-CA"/>
        </w:rPr>
        <w:t>nent</w:t>
      </w:r>
      <w:r w:rsidR="0091349D">
        <w:rPr>
          <w:lang w:val="fr-CA"/>
        </w:rPr>
        <w:t xml:space="preserve"> aux</w:t>
      </w:r>
      <w:r w:rsidR="00390CE6">
        <w:rPr>
          <w:lang w:val="fr-CA"/>
        </w:rPr>
        <w:t xml:space="preserve"> investisseurs (</w:t>
      </w:r>
      <w:r w:rsidR="0091349D">
        <w:rPr>
          <w:i/>
          <w:iCs/>
          <w:lang w:val="fr-CA"/>
        </w:rPr>
        <w:t>sideways situations</w:t>
      </w:r>
      <w:r w:rsidR="0091349D">
        <w:rPr>
          <w:lang w:val="fr-CA"/>
        </w:rPr>
        <w:t>). Par conséquent, les investisseurs pourraient chercher à se prévaloir de dispositions d’application pour donner plus de mordant à leurs droits de rachat</w:t>
      </w:r>
      <w:r w:rsidR="001009DD">
        <w:rPr>
          <w:lang w:val="fr-CA"/>
        </w:rPr>
        <w:t>. Par exemple,</w:t>
      </w:r>
      <w:r w:rsidR="0091349D">
        <w:rPr>
          <w:lang w:val="fr-CA"/>
        </w:rPr>
        <w:t xml:space="preserve"> les porteurs d’une majorité d’Actions privilégiées de catégorie A </w:t>
      </w:r>
      <w:r w:rsidR="0031450C">
        <w:rPr>
          <w:lang w:val="fr-CA"/>
        </w:rPr>
        <w:t>pourraient avoir</w:t>
      </w:r>
      <w:r w:rsidR="0091349D">
        <w:rPr>
          <w:lang w:val="fr-CA"/>
        </w:rPr>
        <w:t xml:space="preserve"> le droit d’élire la majorité des membres du Conseil d’administration de la Société ou </w:t>
      </w:r>
      <w:r w:rsidR="0031450C">
        <w:rPr>
          <w:lang w:val="fr-CA"/>
        </w:rPr>
        <w:t>jouir</w:t>
      </w:r>
      <w:r w:rsidR="0091349D">
        <w:rPr>
          <w:lang w:val="fr-CA"/>
        </w:rPr>
        <w:t xml:space="preserve"> de droits de consentement à l’égard des dépenses </w:t>
      </w:r>
      <w:r w:rsidR="00CA6731">
        <w:rPr>
          <w:lang w:val="fr-CA"/>
        </w:rPr>
        <w:t xml:space="preserve">de la Société jusqu’à ce que ces sommes </w:t>
      </w:r>
      <w:r w:rsidR="001009DD">
        <w:rPr>
          <w:lang w:val="fr-CA"/>
        </w:rPr>
        <w:t>soient</w:t>
      </w:r>
      <w:r w:rsidR="00CA6731">
        <w:rPr>
          <w:lang w:val="fr-CA"/>
        </w:rPr>
        <w:t xml:space="preserve"> réglées en entier. Pour les investisseurs résidents du Canada, aux fins de l’impôt sur le revenu</w:t>
      </w:r>
      <w:r w:rsidR="001009DD">
        <w:rPr>
          <w:lang w:val="fr-CA"/>
        </w:rPr>
        <w:t xml:space="preserve"> fédéral canadien</w:t>
      </w:r>
      <w:r w:rsidR="00E80003">
        <w:rPr>
          <w:lang w:val="fr-CA"/>
        </w:rPr>
        <w:t>, un rachat d’actions déclenchera généralement un dividende réputé dans la mesure où la somme versée lors du rachat excède le « capital versé » des actions. Aux fins de l’impôt sur le revenu fédéral canadien, le « capital versé » d’une action donnée est calculé pour chaque catégorie</w:t>
      </w:r>
      <w:r w:rsidRPr="00EE5825">
        <w:rPr>
          <w:lang w:val="fr-CA"/>
        </w:rPr>
        <w:t>.</w:t>
      </w:r>
    </w:p>
  </w:footnote>
  <w:footnote w:id="20">
    <w:p w14:paraId="136C0160" w14:textId="20600058" w:rsidR="00892B94" w:rsidRPr="00A74F8C" w:rsidRDefault="00892B94" w:rsidP="00892B94">
      <w:pPr>
        <w:pStyle w:val="FootnoteText"/>
        <w:rPr>
          <w:lang w:val="fr-CA"/>
        </w:rPr>
      </w:pPr>
      <w:r w:rsidRPr="008A64C8">
        <w:rPr>
          <w:rStyle w:val="FootnoteReference"/>
        </w:rPr>
        <w:footnoteRef/>
      </w:r>
      <w:r w:rsidRPr="00892B94">
        <w:rPr>
          <w:lang w:val="fr-CA"/>
        </w:rPr>
        <w:tab/>
        <w:t>Les investisseurs des États-Unis exiger</w:t>
      </w:r>
      <w:r>
        <w:rPr>
          <w:lang w:val="fr-CA"/>
        </w:rPr>
        <w:t xml:space="preserve">ont des droits d’inscription </w:t>
      </w:r>
      <w:r w:rsidR="00C01638">
        <w:rPr>
          <w:lang w:val="fr-CA"/>
        </w:rPr>
        <w:t>américains</w:t>
      </w:r>
      <w:r w:rsidRPr="00892B94">
        <w:rPr>
          <w:lang w:val="fr-CA"/>
        </w:rPr>
        <w:t xml:space="preserve">. </w:t>
      </w:r>
      <w:r>
        <w:rPr>
          <w:lang w:val="fr-CA"/>
        </w:rPr>
        <w:t xml:space="preserve">Les droits d’inscription </w:t>
      </w:r>
      <w:r w:rsidR="00C01638">
        <w:rPr>
          <w:lang w:val="fr-CA"/>
        </w:rPr>
        <w:t>américains</w:t>
      </w:r>
      <w:r>
        <w:rPr>
          <w:lang w:val="fr-CA"/>
        </w:rPr>
        <w:t xml:space="preserve"> ne sont pas courants dans les opérations canadiennes auxquelles aucun investisseur des États-Unis ne participe. En raison des différences entre les </w:t>
      </w:r>
      <w:r w:rsidR="00487AAC">
        <w:rPr>
          <w:lang w:val="fr-CA"/>
        </w:rPr>
        <w:t>lois sur les valeurs mobilières</w:t>
      </w:r>
      <w:r>
        <w:rPr>
          <w:lang w:val="fr-CA"/>
        </w:rPr>
        <w:t xml:space="preserve"> américain</w:t>
      </w:r>
      <w:r w:rsidR="00487AAC">
        <w:rPr>
          <w:lang w:val="fr-CA"/>
        </w:rPr>
        <w:t>e</w:t>
      </w:r>
      <w:r>
        <w:rPr>
          <w:lang w:val="fr-CA"/>
        </w:rPr>
        <w:t xml:space="preserve">s et les </w:t>
      </w:r>
      <w:r w:rsidR="00487AAC">
        <w:rPr>
          <w:lang w:val="fr-CA"/>
        </w:rPr>
        <w:t xml:space="preserve">lois sur les valeurs mobilières </w:t>
      </w:r>
      <w:r>
        <w:rPr>
          <w:lang w:val="fr-CA"/>
        </w:rPr>
        <w:t>canadien</w:t>
      </w:r>
      <w:r w:rsidR="00487AAC">
        <w:rPr>
          <w:lang w:val="fr-CA"/>
        </w:rPr>
        <w:t>nes</w:t>
      </w:r>
      <w:r w:rsidR="00A74F8C">
        <w:rPr>
          <w:lang w:val="fr-CA"/>
        </w:rPr>
        <w:t xml:space="preserve"> quant à la façon dont les actions deviennent librement négociables et au moment où elles le deviennent après un appel public à l’épargne, le besoin de recourir aux droits d’inscription au Canada est beaucoup moins important. Néanmoins, les droits d’inscription canadiens et américains sont parfois inclus dans des opérations canadiennes, le plus souvent lorsque </w:t>
      </w:r>
      <w:r w:rsidR="00544FD8">
        <w:rPr>
          <w:lang w:val="fr-CA"/>
        </w:rPr>
        <w:t>d</w:t>
      </w:r>
      <w:r w:rsidR="00A74F8C">
        <w:rPr>
          <w:lang w:val="fr-CA"/>
        </w:rPr>
        <w:t xml:space="preserve">es investisseurs des États-Unis participent à l’opération. Si des droits d’inscription canadiens sont requis, il doit en être fait mention dans le </w:t>
      </w:r>
      <w:r w:rsidR="00544FD8">
        <w:rPr>
          <w:lang w:val="fr-CA"/>
        </w:rPr>
        <w:t>S</w:t>
      </w:r>
      <w:r w:rsidR="00A74F8C">
        <w:rPr>
          <w:lang w:val="fr-CA"/>
        </w:rPr>
        <w:t>ommaire des modalités.</w:t>
      </w:r>
      <w:r w:rsidRPr="00A74F8C">
        <w:rPr>
          <w:lang w:val="fr-CA"/>
        </w:rPr>
        <w:t xml:space="preserve"> </w:t>
      </w:r>
    </w:p>
  </w:footnote>
  <w:footnote w:id="21">
    <w:p w14:paraId="317D7CA5" w14:textId="3B845E08" w:rsidR="00892B94" w:rsidRPr="00373C4B" w:rsidRDefault="00892B94" w:rsidP="00892B94">
      <w:pPr>
        <w:pStyle w:val="FootnoteText"/>
        <w:rPr>
          <w:lang w:val="fr-CA"/>
        </w:rPr>
      </w:pPr>
      <w:r w:rsidRPr="008A64C8">
        <w:rPr>
          <w:rStyle w:val="FootnoteReference"/>
          <w:szCs w:val="24"/>
        </w:rPr>
        <w:footnoteRef/>
      </w:r>
      <w:r w:rsidRPr="00A74F8C">
        <w:rPr>
          <w:lang w:val="fr-CA"/>
        </w:rPr>
        <w:tab/>
      </w:r>
      <w:r w:rsidR="00A74F8C" w:rsidRPr="00A74F8C">
        <w:rPr>
          <w:lang w:val="fr-CA"/>
        </w:rPr>
        <w:t>Bien que cette situation n</w:t>
      </w:r>
      <w:r w:rsidR="00A74F8C">
        <w:rPr>
          <w:lang w:val="fr-CA"/>
        </w:rPr>
        <w:t>e soit pas courante, les fondateurs/dirigeants peuvent parfois se voir octroyer des droits d’inscription restreints.</w:t>
      </w:r>
    </w:p>
  </w:footnote>
  <w:footnote w:id="22">
    <w:p w14:paraId="38DA5222" w14:textId="0D2F013F" w:rsidR="00892B94" w:rsidRPr="00FC1C06" w:rsidRDefault="00892B94" w:rsidP="00FC1C06">
      <w:pPr>
        <w:pStyle w:val="FootnoteText"/>
        <w:rPr>
          <w:lang w:val="fr-CA"/>
        </w:rPr>
      </w:pPr>
      <w:r w:rsidRPr="008A64C8">
        <w:rPr>
          <w:rStyle w:val="FootnoteReference"/>
          <w:szCs w:val="24"/>
        </w:rPr>
        <w:footnoteRef/>
      </w:r>
      <w:r w:rsidRPr="00A74F8C">
        <w:rPr>
          <w:lang w:val="fr-CA"/>
        </w:rPr>
        <w:tab/>
      </w:r>
      <w:r w:rsidR="00A74F8C" w:rsidRPr="00A74F8C">
        <w:rPr>
          <w:lang w:val="fr-CA"/>
        </w:rPr>
        <w:t>La Société devra faire e</w:t>
      </w:r>
      <w:r w:rsidR="00A74F8C">
        <w:rPr>
          <w:lang w:val="fr-CA"/>
        </w:rPr>
        <w:t xml:space="preserve">n sorte que le pourcentage soit suffisamment élevé pour qu’un nombre important d’investisseurs </w:t>
      </w:r>
      <w:r w:rsidR="008E29E1">
        <w:rPr>
          <w:lang w:val="fr-CA"/>
        </w:rPr>
        <w:t>se joignent à</w:t>
      </w:r>
      <w:r w:rsidR="00A74F8C">
        <w:rPr>
          <w:lang w:val="fr-CA"/>
        </w:rPr>
        <w:t xml:space="preserve"> la demande. </w:t>
      </w:r>
      <w:r w:rsidR="00A74F8C" w:rsidRPr="00A74F8C">
        <w:rPr>
          <w:lang w:val="fr-CA"/>
        </w:rPr>
        <w:t xml:space="preserve">Les </w:t>
      </w:r>
      <w:r w:rsidR="008B08BF">
        <w:rPr>
          <w:lang w:val="fr-CA"/>
        </w:rPr>
        <w:t>s</w:t>
      </w:r>
      <w:r w:rsidR="00A74F8C" w:rsidRPr="00A74F8C">
        <w:rPr>
          <w:lang w:val="fr-CA"/>
        </w:rPr>
        <w:t>ociété</w:t>
      </w:r>
      <w:r w:rsidR="008B08BF">
        <w:rPr>
          <w:lang w:val="fr-CA"/>
        </w:rPr>
        <w:t>s</w:t>
      </w:r>
      <w:r w:rsidR="00A74F8C" w:rsidRPr="00A74F8C">
        <w:rPr>
          <w:lang w:val="fr-CA"/>
        </w:rPr>
        <w:t xml:space="preserve"> refusent généralement de permettre à un seul i</w:t>
      </w:r>
      <w:r w:rsidR="00A74F8C">
        <w:rPr>
          <w:lang w:val="fr-CA"/>
        </w:rPr>
        <w:t xml:space="preserve">nvestisseur de demander une inscription. </w:t>
      </w:r>
      <w:r w:rsidR="00A74F8C" w:rsidRPr="00A74F8C">
        <w:rPr>
          <w:lang w:val="fr-CA"/>
        </w:rPr>
        <w:t xml:space="preserve">Les investisseurs chevronnés voudront s’assurer que les investisseurs </w:t>
      </w:r>
      <w:r w:rsidR="00C01638">
        <w:rPr>
          <w:lang w:val="fr-CA"/>
        </w:rPr>
        <w:t>moins expérimentés</w:t>
      </w:r>
      <w:r w:rsidR="00A74F8C">
        <w:rPr>
          <w:lang w:val="fr-CA"/>
        </w:rPr>
        <w:t xml:space="preserve"> n’aient pas le droit d’exiger une inscription sur demande. </w:t>
      </w:r>
      <w:r w:rsidR="00A74F8C" w:rsidRPr="00A74F8C">
        <w:rPr>
          <w:lang w:val="fr-CA"/>
        </w:rPr>
        <w:t xml:space="preserve">Dans certains cas, </w:t>
      </w:r>
      <w:r w:rsidR="004405B0">
        <w:rPr>
          <w:lang w:val="fr-CA"/>
        </w:rPr>
        <w:t xml:space="preserve">les porteurs de </w:t>
      </w:r>
      <w:r w:rsidR="00A74F8C" w:rsidRPr="00A74F8C">
        <w:rPr>
          <w:lang w:val="fr-CA"/>
        </w:rPr>
        <w:t>différentes catégories/s</w:t>
      </w:r>
      <w:r w:rsidR="004405B0">
        <w:rPr>
          <w:lang w:val="fr-CA"/>
        </w:rPr>
        <w:t>é</w:t>
      </w:r>
      <w:r w:rsidR="00A74F8C" w:rsidRPr="00A74F8C">
        <w:rPr>
          <w:lang w:val="fr-CA"/>
        </w:rPr>
        <w:t xml:space="preserve">ries d’Actions privilégiées peuvent </w:t>
      </w:r>
      <w:r w:rsidR="00544FD8">
        <w:rPr>
          <w:lang w:val="fr-CA"/>
        </w:rPr>
        <w:t>demander</w:t>
      </w:r>
      <w:r w:rsidR="00A74F8C">
        <w:rPr>
          <w:lang w:val="fr-CA"/>
        </w:rPr>
        <w:t xml:space="preserve"> le droit d’initier un certain nombre d’inscriptions sur dem</w:t>
      </w:r>
      <w:r w:rsidR="004405B0">
        <w:rPr>
          <w:lang w:val="fr-CA"/>
        </w:rPr>
        <w:t>a</w:t>
      </w:r>
      <w:r w:rsidR="00A74F8C">
        <w:rPr>
          <w:lang w:val="fr-CA"/>
        </w:rPr>
        <w:t>nde</w:t>
      </w:r>
      <w:r w:rsidR="00474716">
        <w:rPr>
          <w:lang w:val="fr-CA"/>
        </w:rPr>
        <w:t xml:space="preserve"> pour ces </w:t>
      </w:r>
      <w:r w:rsidR="00474716" w:rsidRPr="00A74F8C">
        <w:rPr>
          <w:lang w:val="fr-CA"/>
        </w:rPr>
        <w:t>catégories/s</w:t>
      </w:r>
      <w:r w:rsidR="00474716">
        <w:rPr>
          <w:lang w:val="fr-CA"/>
        </w:rPr>
        <w:t>é</w:t>
      </w:r>
      <w:r w:rsidR="00474716" w:rsidRPr="00A74F8C">
        <w:rPr>
          <w:lang w:val="fr-CA"/>
        </w:rPr>
        <w:t>ries</w:t>
      </w:r>
      <w:r w:rsidR="00A74F8C">
        <w:rPr>
          <w:lang w:val="fr-CA"/>
        </w:rPr>
        <w:t xml:space="preserve">. </w:t>
      </w:r>
      <w:r w:rsidR="004405B0">
        <w:rPr>
          <w:lang w:val="fr-CA"/>
        </w:rPr>
        <w:t>Les sociétés</w:t>
      </w:r>
      <w:r w:rsidR="008B08BF">
        <w:rPr>
          <w:lang w:val="fr-CA"/>
        </w:rPr>
        <w:t xml:space="preserve"> leur</w:t>
      </w:r>
      <w:r w:rsidR="004405B0">
        <w:rPr>
          <w:lang w:val="fr-CA"/>
        </w:rPr>
        <w:t xml:space="preserve"> refuseront généralement </w:t>
      </w:r>
      <w:r w:rsidR="008B08BF">
        <w:rPr>
          <w:lang w:val="fr-CA"/>
        </w:rPr>
        <w:t xml:space="preserve">ce droit en raison des coûts et du détournement des ressources de gestion </w:t>
      </w:r>
      <w:r w:rsidR="00C01638">
        <w:rPr>
          <w:lang w:val="fr-CA"/>
        </w:rPr>
        <w:t xml:space="preserve">engendrés par ce genre de situation où </w:t>
      </w:r>
      <w:r w:rsidR="008B08BF">
        <w:rPr>
          <w:lang w:val="fr-CA"/>
        </w:rPr>
        <w:t>plusieurs groupes ont ce droit.</w:t>
      </w:r>
    </w:p>
  </w:footnote>
  <w:footnote w:id="23">
    <w:p w14:paraId="7C036DE0" w14:textId="5BD7F606" w:rsidR="00892B94" w:rsidRPr="00FC1C06" w:rsidRDefault="00892B94" w:rsidP="00892B94">
      <w:pPr>
        <w:pStyle w:val="FootnoteText"/>
        <w:rPr>
          <w:lang w:val="fr-CA"/>
        </w:rPr>
      </w:pPr>
      <w:r w:rsidRPr="008A64C8">
        <w:rPr>
          <w:rStyle w:val="FootnoteReference"/>
        </w:rPr>
        <w:footnoteRef/>
      </w:r>
      <w:r w:rsidRPr="00FC1C06">
        <w:rPr>
          <w:lang w:val="fr-CA"/>
        </w:rPr>
        <w:tab/>
      </w:r>
      <w:bookmarkStart w:id="0" w:name="_Hlk44246315"/>
      <w:r w:rsidR="001D6F7F">
        <w:rPr>
          <w:lang w:val="fr-CA"/>
        </w:rPr>
        <w:t>Il n’est peut-être pas nécessaire d’ajouter u</w:t>
      </w:r>
      <w:r w:rsidR="00FC1C06" w:rsidRPr="00FC1C06">
        <w:rPr>
          <w:lang w:val="fr-CA"/>
        </w:rPr>
        <w:t xml:space="preserve">n seuil </w:t>
      </w:r>
      <w:r w:rsidR="00544FD8">
        <w:rPr>
          <w:lang w:val="fr-CA"/>
        </w:rPr>
        <w:t>en</w:t>
      </w:r>
      <w:r w:rsidR="00FC1C06" w:rsidRPr="00FC1C06">
        <w:rPr>
          <w:lang w:val="fr-CA"/>
        </w:rPr>
        <w:t xml:space="preserve"> pourcentage </w:t>
      </w:r>
      <w:bookmarkEnd w:id="0"/>
      <w:r w:rsidR="001D6F7F">
        <w:rPr>
          <w:lang w:val="fr-CA"/>
        </w:rPr>
        <w:t>si un seul en dollars est déjà indiqué.</w:t>
      </w:r>
    </w:p>
  </w:footnote>
  <w:footnote w:id="24">
    <w:p w14:paraId="33E3A581" w14:textId="362BC226" w:rsidR="00892B94" w:rsidRPr="001D6F7F" w:rsidRDefault="00892B94" w:rsidP="00892B94">
      <w:pPr>
        <w:pStyle w:val="FootnoteText"/>
        <w:rPr>
          <w:lang w:val="fr-CA"/>
        </w:rPr>
      </w:pPr>
      <w:r w:rsidRPr="008A64C8">
        <w:rPr>
          <w:rStyle w:val="FootnoteReference"/>
          <w:szCs w:val="24"/>
        </w:rPr>
        <w:footnoteRef/>
      </w:r>
      <w:r w:rsidRPr="001D6F7F">
        <w:rPr>
          <w:lang w:val="fr-CA"/>
        </w:rPr>
        <w:tab/>
      </w:r>
      <w:r w:rsidR="001D6F7F" w:rsidRPr="001D6F7F">
        <w:rPr>
          <w:lang w:val="fr-CA"/>
        </w:rPr>
        <w:t>Voir le commentaire qui figure dans l’introduction d</w:t>
      </w:r>
      <w:r w:rsidR="001D6F7F">
        <w:rPr>
          <w:lang w:val="fr-CA"/>
        </w:rPr>
        <w:t xml:space="preserve">u modèle de </w:t>
      </w:r>
      <w:r w:rsidR="00472FB4">
        <w:rPr>
          <w:lang w:val="fr-CA"/>
        </w:rPr>
        <w:t>L</w:t>
      </w:r>
      <w:r w:rsidR="001D6F7F">
        <w:rPr>
          <w:lang w:val="fr-CA"/>
        </w:rPr>
        <w:t>ettre relative aux droits de gestion</w:t>
      </w:r>
      <w:r w:rsidR="004F00A8">
        <w:rPr>
          <w:lang w:val="fr-CA"/>
        </w:rPr>
        <w:t xml:space="preserve"> et</w:t>
      </w:r>
      <w:r w:rsidR="001D6F7F">
        <w:rPr>
          <w:lang w:val="fr-CA"/>
        </w:rPr>
        <w:t xml:space="preserve"> qui explique l</w:t>
      </w:r>
      <w:r w:rsidR="001D6F7F" w:rsidRPr="001D6F7F">
        <w:rPr>
          <w:lang w:val="fr-CA"/>
        </w:rPr>
        <w:t xml:space="preserve">e </w:t>
      </w:r>
      <w:r w:rsidR="004F00A8">
        <w:rPr>
          <w:lang w:val="fr-CA"/>
        </w:rPr>
        <w:t>fondement législatif d’une telle lettre</w:t>
      </w:r>
      <w:r w:rsidRPr="001D6F7F">
        <w:rPr>
          <w:lang w:val="fr-CA"/>
        </w:rPr>
        <w:t>.</w:t>
      </w:r>
    </w:p>
  </w:footnote>
  <w:footnote w:id="25">
    <w:p w14:paraId="3F5102EE" w14:textId="3398D4AD" w:rsidR="00892B94" w:rsidRPr="00C35F41" w:rsidRDefault="00892B94" w:rsidP="00892B94">
      <w:pPr>
        <w:pStyle w:val="FootnoteText"/>
        <w:rPr>
          <w:lang w:val="fr-CA"/>
        </w:rPr>
      </w:pPr>
      <w:r w:rsidRPr="008A64C8">
        <w:rPr>
          <w:rStyle w:val="FootnoteReference"/>
          <w:szCs w:val="24"/>
        </w:rPr>
        <w:footnoteRef/>
      </w:r>
      <w:r w:rsidRPr="004F00A8">
        <w:rPr>
          <w:lang w:val="fr-CA"/>
        </w:rPr>
        <w:tab/>
      </w:r>
      <w:r w:rsidR="00472FB4">
        <w:rPr>
          <w:lang w:val="fr-CA"/>
        </w:rPr>
        <w:t>Veuillez noter que les</w:t>
      </w:r>
      <w:r w:rsidR="004F00A8" w:rsidRPr="004F00A8">
        <w:rPr>
          <w:lang w:val="fr-CA"/>
        </w:rPr>
        <w:t xml:space="preserve"> </w:t>
      </w:r>
      <w:r w:rsidR="00A67BA7">
        <w:rPr>
          <w:lang w:val="fr-CA"/>
        </w:rPr>
        <w:t xml:space="preserve">ententes </w:t>
      </w:r>
      <w:r w:rsidR="004F00A8" w:rsidRPr="004F00A8">
        <w:rPr>
          <w:lang w:val="fr-CA"/>
        </w:rPr>
        <w:t xml:space="preserve">de </w:t>
      </w:r>
      <w:r w:rsidR="00A67BA7">
        <w:rPr>
          <w:lang w:val="fr-CA"/>
        </w:rPr>
        <w:t>non-</w:t>
      </w:r>
      <w:r w:rsidR="004F00A8" w:rsidRPr="004F00A8">
        <w:rPr>
          <w:lang w:val="fr-CA"/>
        </w:rPr>
        <w:t>concurrence et autres</w:t>
      </w:r>
      <w:r w:rsidR="00A67BA7">
        <w:rPr>
          <w:lang w:val="fr-CA"/>
        </w:rPr>
        <w:t xml:space="preserve"> clauses</w:t>
      </w:r>
      <w:r w:rsidR="004F00A8" w:rsidRPr="004F00A8">
        <w:rPr>
          <w:lang w:val="fr-CA"/>
        </w:rPr>
        <w:t xml:space="preserve"> </w:t>
      </w:r>
      <w:r w:rsidR="004F00A8">
        <w:rPr>
          <w:lang w:val="fr-CA"/>
        </w:rPr>
        <w:t>restricti</w:t>
      </w:r>
      <w:r w:rsidR="00A67BA7">
        <w:rPr>
          <w:lang w:val="fr-CA"/>
        </w:rPr>
        <w:t>ves</w:t>
      </w:r>
      <w:r w:rsidR="004F00A8">
        <w:rPr>
          <w:lang w:val="fr-CA"/>
        </w:rPr>
        <w:t xml:space="preserve"> sont problématiques au Canada. </w:t>
      </w:r>
      <w:r w:rsidR="004F00A8" w:rsidRPr="004F00A8">
        <w:rPr>
          <w:lang w:val="fr-CA"/>
        </w:rPr>
        <w:t xml:space="preserve">Il est recommandé de consulter un conseiller </w:t>
      </w:r>
      <w:r w:rsidR="004F00A8">
        <w:rPr>
          <w:lang w:val="fr-CA"/>
        </w:rPr>
        <w:t xml:space="preserve">juridique à ce sujet. </w:t>
      </w:r>
    </w:p>
  </w:footnote>
  <w:footnote w:id="26">
    <w:p w14:paraId="21EA3FBA" w14:textId="37EEF930" w:rsidR="00892B94" w:rsidRPr="008D375F" w:rsidRDefault="00892B94" w:rsidP="008D375F">
      <w:pPr>
        <w:pStyle w:val="FootnoteText"/>
        <w:rPr>
          <w:lang w:val="fr-CA"/>
        </w:rPr>
      </w:pPr>
      <w:r w:rsidRPr="008A64C8">
        <w:rPr>
          <w:rStyle w:val="FootnoteReference"/>
          <w:szCs w:val="24"/>
        </w:rPr>
        <w:footnoteRef/>
      </w:r>
      <w:r w:rsidRPr="00A67BA7">
        <w:rPr>
          <w:lang w:val="fr-CA"/>
        </w:rPr>
        <w:tab/>
        <w:t>Certain</w:t>
      </w:r>
      <w:r w:rsidR="00A67BA7" w:rsidRPr="00A67BA7">
        <w:rPr>
          <w:lang w:val="fr-CA"/>
        </w:rPr>
        <w:t>es exceptions sont généralement négociées</w:t>
      </w:r>
      <w:r w:rsidR="00A67BA7">
        <w:rPr>
          <w:lang w:val="fr-CA"/>
        </w:rPr>
        <w:t xml:space="preserve">, p. ex. la planification successorale ou les transferts </w:t>
      </w:r>
      <w:r w:rsidR="00A67BA7" w:rsidRPr="00F641C7">
        <w:rPr>
          <w:i/>
          <w:iCs/>
          <w:lang w:val="fr-CA"/>
        </w:rPr>
        <w:t>de minimis</w:t>
      </w:r>
      <w:r w:rsidR="00A67BA7" w:rsidRPr="00A67BA7">
        <w:rPr>
          <w:lang w:val="fr-CA"/>
        </w:rPr>
        <w:t>.</w:t>
      </w:r>
      <w:r w:rsidR="00A67BA7">
        <w:rPr>
          <w:lang w:val="fr-CA"/>
        </w:rPr>
        <w:t xml:space="preserve"> Les Investisseurs</w:t>
      </w:r>
      <w:r w:rsidR="008D375F">
        <w:rPr>
          <w:lang w:val="fr-CA"/>
        </w:rPr>
        <w:t xml:space="preserve"> peuvent également demander des droits de premier refus à l’égard de</w:t>
      </w:r>
      <w:r w:rsidR="00547384">
        <w:rPr>
          <w:lang w:val="fr-CA"/>
        </w:rPr>
        <w:t>s</w:t>
      </w:r>
      <w:r w:rsidR="008D375F">
        <w:rPr>
          <w:lang w:val="fr-CA"/>
        </w:rPr>
        <w:t xml:space="preserve"> transferts par des investisseurs afin d’avoir un contrôle sur la composition du groupe d’investisseurs.</w:t>
      </w:r>
    </w:p>
  </w:footnote>
  <w:footnote w:id="27">
    <w:p w14:paraId="54298B79" w14:textId="5C0A0423" w:rsidR="00A4081F" w:rsidRPr="00C35F41" w:rsidRDefault="00A4081F" w:rsidP="008D375F">
      <w:pPr>
        <w:pStyle w:val="FootnoteText"/>
        <w:rPr>
          <w:lang w:val="fr-CA"/>
        </w:rPr>
      </w:pPr>
      <w:r w:rsidRPr="008A64C8">
        <w:rPr>
          <w:rStyle w:val="FootnoteReference"/>
        </w:rPr>
        <w:footnoteRef/>
      </w:r>
      <w:r w:rsidRPr="008D375F">
        <w:rPr>
          <w:lang w:val="fr-CA"/>
        </w:rPr>
        <w:tab/>
      </w:r>
      <w:bookmarkStart w:id="1" w:name="_Hlk44247092"/>
      <w:r w:rsidR="008D375F" w:rsidRPr="008D375F">
        <w:rPr>
          <w:lang w:val="fr-CA"/>
        </w:rPr>
        <w:t>On pourrait</w:t>
      </w:r>
      <w:r w:rsidR="008D375F">
        <w:rPr>
          <w:lang w:val="fr-CA"/>
        </w:rPr>
        <w:t xml:space="preserve"> modifier la formulation pour </w:t>
      </w:r>
      <w:r w:rsidR="008D375F" w:rsidRPr="008D375F">
        <w:rPr>
          <w:lang w:val="fr-CA"/>
        </w:rPr>
        <w:t>ajouter l</w:t>
      </w:r>
      <w:r w:rsidR="008D375F">
        <w:rPr>
          <w:lang w:val="fr-CA"/>
        </w:rPr>
        <w:t>es employés détenant la majorité des Actions ordinaires et les porteurs détenant la majorité des Actions privilégiées, par exemple.</w:t>
      </w:r>
      <w:bookmarkEnd w:id="1"/>
    </w:p>
  </w:footnote>
  <w:footnote w:id="28">
    <w:p w14:paraId="024CFB56" w14:textId="38A36FD8" w:rsidR="003471A4" w:rsidRPr="00A80DD9" w:rsidRDefault="003471A4" w:rsidP="00A80DD9">
      <w:pPr>
        <w:pStyle w:val="FootnoteText"/>
        <w:rPr>
          <w:lang w:val="fr-CA"/>
        </w:rPr>
      </w:pPr>
      <w:r w:rsidRPr="008A64C8">
        <w:rPr>
          <w:rStyle w:val="FootnoteReference"/>
          <w:szCs w:val="24"/>
        </w:rPr>
        <w:footnoteRef/>
      </w:r>
      <w:r w:rsidRPr="008D375F">
        <w:rPr>
          <w:lang w:val="fr-CA"/>
        </w:rPr>
        <w:tab/>
      </w:r>
      <w:r w:rsidR="008D375F" w:rsidRPr="008D375F">
        <w:rPr>
          <w:lang w:val="fr-CA"/>
        </w:rPr>
        <w:t xml:space="preserve">Voir le </w:t>
      </w:r>
      <w:r w:rsidR="008D375F" w:rsidRPr="00A80DD9">
        <w:rPr>
          <w:u w:val="single"/>
          <w:lang w:val="fr-CA"/>
        </w:rPr>
        <w:t>paragraphe </w:t>
      </w:r>
      <w:r w:rsidR="008D375F" w:rsidRPr="008A64C8">
        <w:rPr>
          <w:u w:val="single"/>
          <w:lang w:val="fr-CA"/>
        </w:rPr>
        <w:t>3.3</w:t>
      </w:r>
      <w:r w:rsidR="008D375F" w:rsidRPr="008D375F">
        <w:rPr>
          <w:lang w:val="fr-CA"/>
        </w:rPr>
        <w:t xml:space="preserve"> du m</w:t>
      </w:r>
      <w:r w:rsidR="008D375F">
        <w:rPr>
          <w:lang w:val="fr-CA"/>
        </w:rPr>
        <w:t xml:space="preserve">odèle de </w:t>
      </w:r>
      <w:r w:rsidR="00472FB4">
        <w:rPr>
          <w:lang w:val="fr-CA"/>
        </w:rPr>
        <w:t>C</w:t>
      </w:r>
      <w:r w:rsidR="008D375F">
        <w:rPr>
          <w:lang w:val="fr-CA"/>
        </w:rPr>
        <w:t xml:space="preserve">onvention de vote pour la liste des conditions supplémentaires qui pourraient devoir être respectées pour </w:t>
      </w:r>
      <w:r w:rsidR="00547384">
        <w:rPr>
          <w:lang w:val="fr-CA"/>
        </w:rPr>
        <w:t xml:space="preserve">pouvoir invoquer </w:t>
      </w:r>
      <w:r w:rsidR="00A80DD9">
        <w:rPr>
          <w:lang w:val="fr-CA"/>
        </w:rPr>
        <w:t>le droit d’entraînement.</w:t>
      </w:r>
    </w:p>
  </w:footnote>
  <w:footnote w:id="29">
    <w:p w14:paraId="3DDB6034" w14:textId="1F2D14A3" w:rsidR="007757AC" w:rsidRPr="00C35F41" w:rsidRDefault="007757AC" w:rsidP="007757AC">
      <w:pPr>
        <w:pStyle w:val="FootnoteText"/>
        <w:rPr>
          <w:lang w:val="fr-CA"/>
        </w:rPr>
      </w:pPr>
      <w:r w:rsidRPr="008A64C8">
        <w:rPr>
          <w:rStyle w:val="FootnoteReference"/>
        </w:rPr>
        <w:footnoteRef/>
      </w:r>
      <w:r w:rsidRPr="00A80DD9">
        <w:rPr>
          <w:lang w:val="fr-CA"/>
        </w:rPr>
        <w:tab/>
      </w:r>
      <w:r w:rsidR="00A80DD9" w:rsidRPr="00A80DD9">
        <w:rPr>
          <w:lang w:val="fr-CA"/>
        </w:rPr>
        <w:t>Les actions de la plupart des fondateurs sont déjà assujetti</w:t>
      </w:r>
      <w:r w:rsidR="00A80DD9">
        <w:rPr>
          <w:lang w:val="fr-CA"/>
        </w:rPr>
        <w:t>es à des droits d’acquisition; demandez-vous quel niveau d’acquisition est approprié et révise</w:t>
      </w:r>
      <w:r w:rsidR="00547384">
        <w:rPr>
          <w:lang w:val="fr-CA"/>
        </w:rPr>
        <w:t>z</w:t>
      </w:r>
      <w:r w:rsidR="00A80DD9">
        <w:rPr>
          <w:lang w:val="fr-CA"/>
        </w:rPr>
        <w:t xml:space="preserve"> à la hausse au besoin. </w:t>
      </w:r>
      <w:r w:rsidR="00A80DD9" w:rsidRPr="00A80DD9">
        <w:rPr>
          <w:lang w:val="fr-CA"/>
        </w:rPr>
        <w:t>Les Investisseurs peuvent également d</w:t>
      </w:r>
      <w:r w:rsidR="00A80DD9">
        <w:rPr>
          <w:lang w:val="fr-CA"/>
        </w:rPr>
        <w:t>é</w:t>
      </w:r>
      <w:r w:rsidR="00A80DD9" w:rsidRPr="00A80DD9">
        <w:rPr>
          <w:lang w:val="fr-CA"/>
        </w:rPr>
        <w:t>cider de ne pas modifier l</w:t>
      </w:r>
      <w:r w:rsidR="00A80DD9">
        <w:rPr>
          <w:lang w:val="fr-CA"/>
        </w:rPr>
        <w:t xml:space="preserve">es droits d’acquisition des fondateurs. </w:t>
      </w:r>
    </w:p>
  </w:footnote>
  <w:footnote w:id="30">
    <w:p w14:paraId="35B22293" w14:textId="0642BB18" w:rsidR="00892B94" w:rsidRPr="00C35F41" w:rsidRDefault="00892B94" w:rsidP="00B12567">
      <w:pPr>
        <w:pStyle w:val="FootnoteText"/>
        <w:rPr>
          <w:lang w:val="fr-CA"/>
        </w:rPr>
      </w:pPr>
      <w:r w:rsidRPr="008A64C8">
        <w:rPr>
          <w:rStyle w:val="FootnoteReference"/>
          <w:szCs w:val="24"/>
        </w:rPr>
        <w:footnoteRef/>
      </w:r>
      <w:r w:rsidRPr="00B12567">
        <w:rPr>
          <w:lang w:val="fr-CA"/>
        </w:rPr>
        <w:tab/>
      </w:r>
      <w:r w:rsidR="00B12567">
        <w:rPr>
          <w:lang w:val="fr-CA"/>
        </w:rPr>
        <w:t>Cette clause est n</w:t>
      </w:r>
      <w:r w:rsidR="00B12567" w:rsidRPr="00B12567">
        <w:rPr>
          <w:lang w:val="fr-CA"/>
        </w:rPr>
        <w:t>écessaire uniquement pour les r</w:t>
      </w:r>
      <w:r w:rsidR="00B12567">
        <w:rPr>
          <w:lang w:val="fr-CA"/>
        </w:rPr>
        <w:t>ondes de financement ultérieures, et non pour la ronde de catégorie A initiale</w:t>
      </w:r>
      <w:r w:rsidR="00547384">
        <w:rPr>
          <w:lang w:val="fr-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D76AB" w14:textId="77777777" w:rsidR="00F06086" w:rsidRDefault="00F060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6E40" w14:textId="77777777" w:rsidR="00F06086" w:rsidRDefault="00F060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6DDF2" w14:textId="77777777" w:rsidR="00F06086" w:rsidRDefault="00F060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898C3" w14:textId="77777777" w:rsidR="0057567C" w:rsidRDefault="005756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CD401" w14:textId="77777777" w:rsidR="0057567C" w:rsidRDefault="0057567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25A13" w14:textId="0EB9D71F" w:rsidR="00892B94" w:rsidRDefault="00892B9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76017" w14:textId="77777777" w:rsidR="00892B94" w:rsidRDefault="00892B9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27CE" w14:textId="77777777" w:rsidR="0057567C" w:rsidRDefault="00575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9E103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4C4EA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97025D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134BD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26508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D66988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CA43E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82E12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40E0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A80CD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7B552A"/>
    <w:multiLevelType w:val="multilevel"/>
    <w:tmpl w:val="F52A175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15:restartNumberingAfterBreak="0">
    <w:nsid w:val="1BB63DA8"/>
    <w:multiLevelType w:val="multilevel"/>
    <w:tmpl w:val="FADA2E5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2" w15:restartNumberingAfterBreak="0">
    <w:nsid w:val="32954C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5100C1"/>
    <w:multiLevelType w:val="multilevel"/>
    <w:tmpl w:val="CFFA2972"/>
    <w:styleLink w:val="ArticleSection"/>
    <w:lvl w:ilvl="0">
      <w:start w:val="1"/>
      <w:numFmt w:val="upperRoman"/>
      <w:lvlText w:val="Article %1."/>
      <w:lvlJc w:val="left"/>
      <w:pPr>
        <w:tabs>
          <w:tab w:val="num" w:pos="720"/>
        </w:tabs>
        <w:ind w:left="720" w:hanging="720"/>
      </w:pPr>
      <w:rPr>
        <w:rFonts w:hint="default"/>
      </w:rPr>
    </w:lvl>
    <w:lvl w:ilvl="1">
      <w:start w:val="1"/>
      <w:numFmt w:val="decimalZero"/>
      <w:isLgl/>
      <w:lvlText w:val="Section %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righ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righ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4" w15:restartNumberingAfterBreak="0">
    <w:nsid w:val="3C12312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A34ED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42D3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4B765B"/>
    <w:multiLevelType w:val="multilevel"/>
    <w:tmpl w:val="397CBA40"/>
    <w:name w:val="zzmpExhibit||Exhibit|3|1|1|5|10|33||1|12|32||1|12|32||1|12|32||1|12|32||mpNA||mpNA||mpNA||mpNA||"/>
    <w:lvl w:ilvl="0">
      <w:start w:val="1"/>
      <w:numFmt w:val="upperLetter"/>
      <w:pStyle w:val="ExhibitL1"/>
      <w:suff w:val="nothing"/>
      <w:lvlText w:val="Exhibit %1"/>
      <w:lvlJc w:val="left"/>
      <w:pPr>
        <w:tabs>
          <w:tab w:val="num" w:pos="720"/>
        </w:tabs>
        <w:ind w:left="0" w:firstLine="0"/>
      </w:pPr>
      <w:rPr>
        <w:b/>
        <w:i w:val="0"/>
        <w:caps/>
        <w:smallCaps w:val="0"/>
        <w:color w:val="auto"/>
        <w:u w:val="none"/>
      </w:rPr>
    </w:lvl>
    <w:lvl w:ilvl="1">
      <w:start w:val="1"/>
      <w:numFmt w:val="decimal"/>
      <w:lvlRestart w:val="0"/>
      <w:pStyle w:val="ExhibitL2"/>
      <w:lvlText w:val="%2."/>
      <w:lvlJc w:val="left"/>
      <w:pPr>
        <w:tabs>
          <w:tab w:val="num" w:pos="720"/>
        </w:tabs>
        <w:ind w:left="0" w:firstLine="0"/>
      </w:pPr>
      <w:rPr>
        <w:b w:val="0"/>
        <w:i w:val="0"/>
        <w:caps w:val="0"/>
        <w:color w:val="auto"/>
        <w:u w:val="none"/>
      </w:rPr>
    </w:lvl>
    <w:lvl w:ilvl="2">
      <w:start w:val="1"/>
      <w:numFmt w:val="lowerLetter"/>
      <w:pStyle w:val="ExhibitL3"/>
      <w:lvlText w:val="(%3)"/>
      <w:lvlJc w:val="left"/>
      <w:pPr>
        <w:tabs>
          <w:tab w:val="num" w:pos="720"/>
        </w:tabs>
        <w:ind w:left="720" w:hanging="720"/>
      </w:pPr>
      <w:rPr>
        <w:b w:val="0"/>
        <w:i w:val="0"/>
        <w:caps w:val="0"/>
        <w:color w:val="auto"/>
        <w:u w:val="none"/>
      </w:rPr>
    </w:lvl>
    <w:lvl w:ilvl="3">
      <w:start w:val="1"/>
      <w:numFmt w:val="lowerRoman"/>
      <w:pStyle w:val="ExhibitL4"/>
      <w:lvlText w:val="(%4)"/>
      <w:lvlJc w:val="left"/>
      <w:pPr>
        <w:tabs>
          <w:tab w:val="num" w:pos="1440"/>
        </w:tabs>
        <w:ind w:left="1440" w:hanging="720"/>
      </w:pPr>
      <w:rPr>
        <w:b w:val="0"/>
        <w:i w:val="0"/>
        <w:caps w:val="0"/>
        <w:color w:val="auto"/>
        <w:u w:val="none"/>
      </w:rPr>
    </w:lvl>
    <w:lvl w:ilvl="4">
      <w:start w:val="1"/>
      <w:numFmt w:val="decimal"/>
      <w:pStyle w:val="ExhibitL5"/>
      <w:lvlText w:val="(%5)"/>
      <w:lvlJc w:val="left"/>
      <w:pPr>
        <w:tabs>
          <w:tab w:val="num" w:pos="2160"/>
        </w:tabs>
        <w:ind w:left="2160" w:hanging="720"/>
      </w:pPr>
      <w:rPr>
        <w:b w:val="0"/>
        <w:i w:val="0"/>
        <w:caps w:val="0"/>
        <w:color w:val="auto"/>
        <w:u w:val="none"/>
      </w:rPr>
    </w:lvl>
    <w:lvl w:ilvl="5">
      <w:start w:val="1"/>
      <w:numFmt w:val="upperLetter"/>
      <w:lvlText w:val="(%6)"/>
      <w:lvlJc w:val="left"/>
      <w:pPr>
        <w:tabs>
          <w:tab w:val="num" w:pos="2880"/>
        </w:tabs>
        <w:ind w:left="2880" w:hanging="720"/>
      </w:pPr>
      <w:rPr>
        <w:b w:val="0"/>
        <w:i w:val="0"/>
        <w:caps w:val="0"/>
        <w:color w:val="auto"/>
        <w:u w:val="none"/>
      </w:rPr>
    </w:lvl>
    <w:lvl w:ilvl="6">
      <w:start w:val="1"/>
      <w:numFmt w:val="upperRoman"/>
      <w:lvlText w:val="(%7)"/>
      <w:lvlJc w:val="left"/>
      <w:pPr>
        <w:tabs>
          <w:tab w:val="num" w:pos="3600"/>
        </w:tabs>
        <w:ind w:left="3600" w:hanging="720"/>
      </w:pPr>
      <w:rPr>
        <w:b w:val="0"/>
        <w:i w:val="0"/>
        <w:caps w:val="0"/>
        <w:color w:val="auto"/>
        <w:u w:val="no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F471ED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1147277">
    <w:abstractNumId w:val="12"/>
  </w:num>
  <w:num w:numId="2" w16cid:durableId="1776293433">
    <w:abstractNumId w:val="16"/>
  </w:num>
  <w:num w:numId="3" w16cid:durableId="1870413743">
    <w:abstractNumId w:val="15"/>
  </w:num>
  <w:num w:numId="4" w16cid:durableId="1487937220">
    <w:abstractNumId w:val="13"/>
  </w:num>
  <w:num w:numId="5" w16cid:durableId="7105001">
    <w:abstractNumId w:val="14"/>
  </w:num>
  <w:num w:numId="6" w16cid:durableId="2054500128">
    <w:abstractNumId w:val="11"/>
  </w:num>
  <w:num w:numId="7" w16cid:durableId="1416589582">
    <w:abstractNumId w:val="18"/>
  </w:num>
  <w:num w:numId="8" w16cid:durableId="1928921483">
    <w:abstractNumId w:val="10"/>
  </w:num>
  <w:num w:numId="9" w16cid:durableId="1251162433">
    <w:abstractNumId w:val="9"/>
  </w:num>
  <w:num w:numId="10" w16cid:durableId="192808175">
    <w:abstractNumId w:val="7"/>
  </w:num>
  <w:num w:numId="11" w16cid:durableId="1029798685">
    <w:abstractNumId w:val="6"/>
  </w:num>
  <w:num w:numId="12" w16cid:durableId="1515071574">
    <w:abstractNumId w:val="5"/>
  </w:num>
  <w:num w:numId="13" w16cid:durableId="1764301940">
    <w:abstractNumId w:val="4"/>
  </w:num>
  <w:num w:numId="14" w16cid:durableId="224530161">
    <w:abstractNumId w:val="8"/>
  </w:num>
  <w:num w:numId="15" w16cid:durableId="1063983891">
    <w:abstractNumId w:val="3"/>
  </w:num>
  <w:num w:numId="16" w16cid:durableId="1008368942">
    <w:abstractNumId w:val="2"/>
  </w:num>
  <w:num w:numId="17" w16cid:durableId="450175996">
    <w:abstractNumId w:val="1"/>
  </w:num>
  <w:num w:numId="18" w16cid:durableId="246304343">
    <w:abstractNumId w:val="0"/>
  </w:num>
  <w:num w:numId="19" w16cid:durableId="1880436985">
    <w:abstractNumId w:val="17"/>
  </w:num>
  <w:num w:numId="20" w16cid:durableId="161818831">
    <w:abstractNumId w:val="17"/>
  </w:num>
  <w:num w:numId="21" w16cid:durableId="1080517229">
    <w:abstractNumId w:val="17"/>
  </w:num>
  <w:num w:numId="22" w16cid:durableId="1006665653">
    <w:abstractNumId w:val="17"/>
  </w:num>
  <w:num w:numId="23" w16cid:durableId="415056754">
    <w:abstractNumId w:val="17"/>
  </w:num>
  <w:num w:numId="24" w16cid:durableId="6604310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rteTempFile" w:val="C:\Users\Natalie\AppData\Local\Temp\39b8892d-3156-45cb-82bc-018106fb9e11.docx"/>
    <w:docVar w:name="zzmp10LastTrailerInserted" w:val="^`~#mp!@$;⌍#7┙┥859}Ŕm\⌑‟A⌛‥Àªpí⌉):Ì\(‟Å¼⌇!Ž*È⌏¿2⌡½!ÜÚ[@ÿ&quot;ˇEG‡&gt;Üð⌃x'iUÊ—•EßüðÅ¢⌖\c59⌟û»¢wÌ‫,¾ñHþ”Ř[bQ¬ï‿þ‟Z´⌘ÀQÖ'Ñ#XHï¶àdgť±çÄ/℣/¾i(¯℣&gt;öªí%o(äo|ð⌛úÑî?î?ÿÆ”GÚÞ.⌇ÉqI⌏zS'Û«I^§?\l=æ[?9_c011"/>
    <w:docVar w:name="zzmp10LastTrailerInserted_1078" w:val="^`~#mp!@$;⌍#7┙┥859}Ŕm\⌑‟A⌛‥Àªpí⌉):Ì\(‟Å¼⌇!Ž*È⌏¿2⌡½!ÜÚ[@ÿ&quot;ˇEG‡&gt;Üð⌃x'iUÊ—•EßüðÅ¢⌖\c59⌟û»¢wÌ‫,¾ñHþ”Ř[bQ¬ï‿þ‟Z´⌘ÀQÖ'Ñ#XHï¶àdgť±çÄ/℣/¾i(¯℣&gt;öªí%o(äo|ð⌛úÑî?î?ÿÆ”GÚÞ.⌇ÉqI⌏zS'Û«I^§?\l=æ[?9_c011"/>
    <w:docVar w:name="zzmp10mSEGsValidated" w:val="1"/>
    <w:docVar w:name="zzmpCompatibilityMode" w:val="15"/>
  </w:docVars>
  <w:rsids>
    <w:rsidRoot w:val="006863AD"/>
    <w:rsid w:val="00001B5E"/>
    <w:rsid w:val="00003DE9"/>
    <w:rsid w:val="000058E1"/>
    <w:rsid w:val="000117C4"/>
    <w:rsid w:val="00021EE4"/>
    <w:rsid w:val="00026648"/>
    <w:rsid w:val="0005126D"/>
    <w:rsid w:val="00051C5C"/>
    <w:rsid w:val="00063EED"/>
    <w:rsid w:val="0007219D"/>
    <w:rsid w:val="00072E00"/>
    <w:rsid w:val="000757C2"/>
    <w:rsid w:val="00090755"/>
    <w:rsid w:val="000B07C2"/>
    <w:rsid w:val="000D028F"/>
    <w:rsid w:val="000D7192"/>
    <w:rsid w:val="001009DD"/>
    <w:rsid w:val="00105331"/>
    <w:rsid w:val="00117AB8"/>
    <w:rsid w:val="00117AEF"/>
    <w:rsid w:val="001410A7"/>
    <w:rsid w:val="0014270E"/>
    <w:rsid w:val="00145B88"/>
    <w:rsid w:val="00153129"/>
    <w:rsid w:val="00157543"/>
    <w:rsid w:val="00182CD0"/>
    <w:rsid w:val="00184C4C"/>
    <w:rsid w:val="0018659F"/>
    <w:rsid w:val="001941EC"/>
    <w:rsid w:val="001A4BC5"/>
    <w:rsid w:val="001B1548"/>
    <w:rsid w:val="001C527E"/>
    <w:rsid w:val="001D138B"/>
    <w:rsid w:val="001D263D"/>
    <w:rsid w:val="001D4F72"/>
    <w:rsid w:val="001D6F7F"/>
    <w:rsid w:val="001E02CB"/>
    <w:rsid w:val="001E1EE8"/>
    <w:rsid w:val="001E5B27"/>
    <w:rsid w:val="001E7F78"/>
    <w:rsid w:val="002077EA"/>
    <w:rsid w:val="00212634"/>
    <w:rsid w:val="002133E7"/>
    <w:rsid w:val="00213E5C"/>
    <w:rsid w:val="00222359"/>
    <w:rsid w:val="002248EE"/>
    <w:rsid w:val="00235467"/>
    <w:rsid w:val="002478AB"/>
    <w:rsid w:val="0025403D"/>
    <w:rsid w:val="00264CF2"/>
    <w:rsid w:val="002658F6"/>
    <w:rsid w:val="00266410"/>
    <w:rsid w:val="00272569"/>
    <w:rsid w:val="00274D23"/>
    <w:rsid w:val="0028693F"/>
    <w:rsid w:val="002878A1"/>
    <w:rsid w:val="00290442"/>
    <w:rsid w:val="0029445A"/>
    <w:rsid w:val="002A2613"/>
    <w:rsid w:val="002B0D95"/>
    <w:rsid w:val="002B3C40"/>
    <w:rsid w:val="002C2191"/>
    <w:rsid w:val="002D3F68"/>
    <w:rsid w:val="002E4690"/>
    <w:rsid w:val="0031450C"/>
    <w:rsid w:val="00316416"/>
    <w:rsid w:val="003176A9"/>
    <w:rsid w:val="00317C55"/>
    <w:rsid w:val="00320527"/>
    <w:rsid w:val="00343624"/>
    <w:rsid w:val="003471A4"/>
    <w:rsid w:val="003522A2"/>
    <w:rsid w:val="00354E76"/>
    <w:rsid w:val="00356421"/>
    <w:rsid w:val="00373C4B"/>
    <w:rsid w:val="00375E4D"/>
    <w:rsid w:val="00383741"/>
    <w:rsid w:val="00390CE6"/>
    <w:rsid w:val="003942E7"/>
    <w:rsid w:val="00394687"/>
    <w:rsid w:val="0039604E"/>
    <w:rsid w:val="003A2CD1"/>
    <w:rsid w:val="003A301D"/>
    <w:rsid w:val="003A6F92"/>
    <w:rsid w:val="003A7E38"/>
    <w:rsid w:val="003E1439"/>
    <w:rsid w:val="003E51BF"/>
    <w:rsid w:val="003F21E1"/>
    <w:rsid w:val="003F6934"/>
    <w:rsid w:val="003F6C0E"/>
    <w:rsid w:val="004017E8"/>
    <w:rsid w:val="00401A6B"/>
    <w:rsid w:val="0040599D"/>
    <w:rsid w:val="00433710"/>
    <w:rsid w:val="004353D0"/>
    <w:rsid w:val="004405B0"/>
    <w:rsid w:val="004628DE"/>
    <w:rsid w:val="00464CF0"/>
    <w:rsid w:val="00472FB4"/>
    <w:rsid w:val="00473CC3"/>
    <w:rsid w:val="00474716"/>
    <w:rsid w:val="00480F8A"/>
    <w:rsid w:val="00486839"/>
    <w:rsid w:val="00486948"/>
    <w:rsid w:val="00487AAC"/>
    <w:rsid w:val="004A387E"/>
    <w:rsid w:val="004A4A31"/>
    <w:rsid w:val="004B146B"/>
    <w:rsid w:val="004B1942"/>
    <w:rsid w:val="004B4AD0"/>
    <w:rsid w:val="004D284A"/>
    <w:rsid w:val="004D4FD0"/>
    <w:rsid w:val="004F00A8"/>
    <w:rsid w:val="005054EF"/>
    <w:rsid w:val="0051228E"/>
    <w:rsid w:val="00513CE4"/>
    <w:rsid w:val="005141ED"/>
    <w:rsid w:val="00521332"/>
    <w:rsid w:val="0053232A"/>
    <w:rsid w:val="00544FD8"/>
    <w:rsid w:val="00546F81"/>
    <w:rsid w:val="00547384"/>
    <w:rsid w:val="00560533"/>
    <w:rsid w:val="0057061A"/>
    <w:rsid w:val="0057567C"/>
    <w:rsid w:val="00580370"/>
    <w:rsid w:val="005834A4"/>
    <w:rsid w:val="0058558C"/>
    <w:rsid w:val="005A10C1"/>
    <w:rsid w:val="005A50A2"/>
    <w:rsid w:val="005A6B51"/>
    <w:rsid w:val="005C00D4"/>
    <w:rsid w:val="005F2907"/>
    <w:rsid w:val="00614260"/>
    <w:rsid w:val="00633C4D"/>
    <w:rsid w:val="00636A09"/>
    <w:rsid w:val="006551EC"/>
    <w:rsid w:val="0065661D"/>
    <w:rsid w:val="00672BEB"/>
    <w:rsid w:val="00675592"/>
    <w:rsid w:val="006863AD"/>
    <w:rsid w:val="006919B2"/>
    <w:rsid w:val="00692760"/>
    <w:rsid w:val="006A16F4"/>
    <w:rsid w:val="006A6903"/>
    <w:rsid w:val="006B13AA"/>
    <w:rsid w:val="006B3990"/>
    <w:rsid w:val="006B707C"/>
    <w:rsid w:val="006E4B3F"/>
    <w:rsid w:val="006F6724"/>
    <w:rsid w:val="0072718C"/>
    <w:rsid w:val="00753CA8"/>
    <w:rsid w:val="007546AC"/>
    <w:rsid w:val="00755D36"/>
    <w:rsid w:val="007634E5"/>
    <w:rsid w:val="00767D44"/>
    <w:rsid w:val="007757AC"/>
    <w:rsid w:val="00776768"/>
    <w:rsid w:val="00781831"/>
    <w:rsid w:val="00783B1D"/>
    <w:rsid w:val="0079050B"/>
    <w:rsid w:val="007919E5"/>
    <w:rsid w:val="00796463"/>
    <w:rsid w:val="007A2C38"/>
    <w:rsid w:val="007B5A24"/>
    <w:rsid w:val="007C029B"/>
    <w:rsid w:val="007D5167"/>
    <w:rsid w:val="007D6D15"/>
    <w:rsid w:val="007E3786"/>
    <w:rsid w:val="007E4341"/>
    <w:rsid w:val="007F7C2E"/>
    <w:rsid w:val="008064F4"/>
    <w:rsid w:val="00806B24"/>
    <w:rsid w:val="00814694"/>
    <w:rsid w:val="00846E92"/>
    <w:rsid w:val="00863E57"/>
    <w:rsid w:val="0086410D"/>
    <w:rsid w:val="00867540"/>
    <w:rsid w:val="008760AC"/>
    <w:rsid w:val="0088101E"/>
    <w:rsid w:val="008829C5"/>
    <w:rsid w:val="00887DDF"/>
    <w:rsid w:val="00892B94"/>
    <w:rsid w:val="0089418C"/>
    <w:rsid w:val="00896340"/>
    <w:rsid w:val="00897CD8"/>
    <w:rsid w:val="008A64C8"/>
    <w:rsid w:val="008B08BF"/>
    <w:rsid w:val="008C0037"/>
    <w:rsid w:val="008C0577"/>
    <w:rsid w:val="008D1D30"/>
    <w:rsid w:val="008D3714"/>
    <w:rsid w:val="008D375F"/>
    <w:rsid w:val="008D7364"/>
    <w:rsid w:val="008E00AC"/>
    <w:rsid w:val="008E29E1"/>
    <w:rsid w:val="008E4908"/>
    <w:rsid w:val="009027A5"/>
    <w:rsid w:val="0090596B"/>
    <w:rsid w:val="00912BD1"/>
    <w:rsid w:val="0091349D"/>
    <w:rsid w:val="009218F5"/>
    <w:rsid w:val="00925D34"/>
    <w:rsid w:val="00936D3C"/>
    <w:rsid w:val="00952180"/>
    <w:rsid w:val="009821FF"/>
    <w:rsid w:val="00992D5E"/>
    <w:rsid w:val="00993D2A"/>
    <w:rsid w:val="009969D4"/>
    <w:rsid w:val="009B11A0"/>
    <w:rsid w:val="009B365B"/>
    <w:rsid w:val="009D32F0"/>
    <w:rsid w:val="009E1BE9"/>
    <w:rsid w:val="009E1EF6"/>
    <w:rsid w:val="009E3C84"/>
    <w:rsid w:val="009F59B1"/>
    <w:rsid w:val="00A01699"/>
    <w:rsid w:val="00A4081F"/>
    <w:rsid w:val="00A4142A"/>
    <w:rsid w:val="00A4602D"/>
    <w:rsid w:val="00A611D6"/>
    <w:rsid w:val="00A62BA2"/>
    <w:rsid w:val="00A67BA7"/>
    <w:rsid w:val="00A726E1"/>
    <w:rsid w:val="00A74F8C"/>
    <w:rsid w:val="00A80DD9"/>
    <w:rsid w:val="00A86EE3"/>
    <w:rsid w:val="00A87F30"/>
    <w:rsid w:val="00A94F8A"/>
    <w:rsid w:val="00AA10E2"/>
    <w:rsid w:val="00AB3CB8"/>
    <w:rsid w:val="00AB56A3"/>
    <w:rsid w:val="00AC4E12"/>
    <w:rsid w:val="00AC7870"/>
    <w:rsid w:val="00AE197E"/>
    <w:rsid w:val="00AF4461"/>
    <w:rsid w:val="00AF7338"/>
    <w:rsid w:val="00B01B07"/>
    <w:rsid w:val="00B03DFE"/>
    <w:rsid w:val="00B12567"/>
    <w:rsid w:val="00B27E89"/>
    <w:rsid w:val="00B3174E"/>
    <w:rsid w:val="00B3268A"/>
    <w:rsid w:val="00B33BE6"/>
    <w:rsid w:val="00B4000C"/>
    <w:rsid w:val="00B5547F"/>
    <w:rsid w:val="00B60AEC"/>
    <w:rsid w:val="00B621D7"/>
    <w:rsid w:val="00B7149A"/>
    <w:rsid w:val="00B71D49"/>
    <w:rsid w:val="00B93FE1"/>
    <w:rsid w:val="00BA0970"/>
    <w:rsid w:val="00BA099E"/>
    <w:rsid w:val="00BA34EE"/>
    <w:rsid w:val="00BC3FD8"/>
    <w:rsid w:val="00BD5FF2"/>
    <w:rsid w:val="00BE145F"/>
    <w:rsid w:val="00BE78AF"/>
    <w:rsid w:val="00BF57DC"/>
    <w:rsid w:val="00C01638"/>
    <w:rsid w:val="00C13829"/>
    <w:rsid w:val="00C14E51"/>
    <w:rsid w:val="00C15592"/>
    <w:rsid w:val="00C20445"/>
    <w:rsid w:val="00C24F18"/>
    <w:rsid w:val="00C2605E"/>
    <w:rsid w:val="00C260F9"/>
    <w:rsid w:val="00C35F41"/>
    <w:rsid w:val="00C37CF7"/>
    <w:rsid w:val="00C41F08"/>
    <w:rsid w:val="00C514FA"/>
    <w:rsid w:val="00C54E2E"/>
    <w:rsid w:val="00C7273C"/>
    <w:rsid w:val="00C855D1"/>
    <w:rsid w:val="00CA6731"/>
    <w:rsid w:val="00CB6937"/>
    <w:rsid w:val="00CC03C6"/>
    <w:rsid w:val="00CC4D89"/>
    <w:rsid w:val="00CC4DC4"/>
    <w:rsid w:val="00CC5128"/>
    <w:rsid w:val="00CC6723"/>
    <w:rsid w:val="00CE2601"/>
    <w:rsid w:val="00D05053"/>
    <w:rsid w:val="00D06427"/>
    <w:rsid w:val="00D06899"/>
    <w:rsid w:val="00D31148"/>
    <w:rsid w:val="00D317CE"/>
    <w:rsid w:val="00D33D76"/>
    <w:rsid w:val="00D423FB"/>
    <w:rsid w:val="00D46F43"/>
    <w:rsid w:val="00D52D34"/>
    <w:rsid w:val="00D541BE"/>
    <w:rsid w:val="00D61113"/>
    <w:rsid w:val="00D61B37"/>
    <w:rsid w:val="00D64816"/>
    <w:rsid w:val="00D70718"/>
    <w:rsid w:val="00D72A03"/>
    <w:rsid w:val="00D775E8"/>
    <w:rsid w:val="00D95A8F"/>
    <w:rsid w:val="00D97D29"/>
    <w:rsid w:val="00DB3AA7"/>
    <w:rsid w:val="00DB6ECC"/>
    <w:rsid w:val="00DC3386"/>
    <w:rsid w:val="00DD0E06"/>
    <w:rsid w:val="00DD0EA8"/>
    <w:rsid w:val="00DD74F9"/>
    <w:rsid w:val="00DE3681"/>
    <w:rsid w:val="00DF0B35"/>
    <w:rsid w:val="00E0368E"/>
    <w:rsid w:val="00E04CCB"/>
    <w:rsid w:val="00E27B51"/>
    <w:rsid w:val="00E34B2A"/>
    <w:rsid w:val="00E40502"/>
    <w:rsid w:val="00E47EA5"/>
    <w:rsid w:val="00E51470"/>
    <w:rsid w:val="00E579F6"/>
    <w:rsid w:val="00E62DAE"/>
    <w:rsid w:val="00E80003"/>
    <w:rsid w:val="00E80447"/>
    <w:rsid w:val="00E83EF9"/>
    <w:rsid w:val="00EA725D"/>
    <w:rsid w:val="00EB0765"/>
    <w:rsid w:val="00EB1C52"/>
    <w:rsid w:val="00EB2950"/>
    <w:rsid w:val="00EB35C6"/>
    <w:rsid w:val="00EB777B"/>
    <w:rsid w:val="00EC321C"/>
    <w:rsid w:val="00EE3005"/>
    <w:rsid w:val="00EE5825"/>
    <w:rsid w:val="00EE64A8"/>
    <w:rsid w:val="00F05EF8"/>
    <w:rsid w:val="00F06086"/>
    <w:rsid w:val="00F1369E"/>
    <w:rsid w:val="00F2317F"/>
    <w:rsid w:val="00F4003B"/>
    <w:rsid w:val="00F43C60"/>
    <w:rsid w:val="00F45968"/>
    <w:rsid w:val="00F5305A"/>
    <w:rsid w:val="00F53BDA"/>
    <w:rsid w:val="00F55777"/>
    <w:rsid w:val="00F62BBC"/>
    <w:rsid w:val="00F641C7"/>
    <w:rsid w:val="00F941B4"/>
    <w:rsid w:val="00FA2B00"/>
    <w:rsid w:val="00FA4ED2"/>
    <w:rsid w:val="00FA5C48"/>
    <w:rsid w:val="00FB34AD"/>
    <w:rsid w:val="00FC1C06"/>
    <w:rsid w:val="00FC20AF"/>
    <w:rsid w:val="00FC2BA6"/>
    <w:rsid w:val="00FC2E2A"/>
    <w:rsid w:val="00FD49F1"/>
    <w:rsid w:val="00FD57EE"/>
    <w:rsid w:val="00FF244E"/>
    <w:rsid w:val="00FF2B36"/>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D556C"/>
  <w15:docId w15:val="{DA7C21F1-9B0D-4CD6-BEDF-78A742C1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Arial"/>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4"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E5B27"/>
    <w:pPr>
      <w:jc w:val="both"/>
    </w:pPr>
    <w:rPr>
      <w:sz w:val="24"/>
      <w:szCs w:val="24"/>
    </w:rPr>
  </w:style>
  <w:style w:type="paragraph" w:styleId="Heading1">
    <w:name w:val="heading 1"/>
    <w:basedOn w:val="Normal"/>
    <w:next w:val="BodyText"/>
    <w:link w:val="Heading1Char"/>
    <w:uiPriority w:val="9"/>
    <w:qFormat/>
    <w:pPr>
      <w:keepNext/>
      <w:spacing w:before="960" w:after="960"/>
      <w:jc w:val="center"/>
      <w:outlineLvl w:val="0"/>
    </w:pPr>
    <w:rPr>
      <w:rFonts w:eastAsia="Times New Roman" w:cs="Times New Roman"/>
      <w:b/>
      <w:bCs/>
      <w:caps/>
      <w:szCs w:val="28"/>
    </w:rPr>
  </w:style>
  <w:style w:type="paragraph" w:styleId="Heading2">
    <w:name w:val="heading 2"/>
    <w:basedOn w:val="Heading1"/>
    <w:next w:val="BodyText"/>
    <w:link w:val="Heading2Char"/>
    <w:uiPriority w:val="9"/>
    <w:unhideWhenUsed/>
    <w:qFormat/>
    <w:pPr>
      <w:spacing w:after="360"/>
      <w:outlineLvl w:val="1"/>
    </w:pPr>
    <w:rPr>
      <w:rFonts w:ascii="Times New Roman Bold" w:hAnsi="Times New Roman Bold"/>
      <w:i/>
      <w:caps w:val="0"/>
    </w:rPr>
  </w:style>
  <w:style w:type="paragraph" w:styleId="Heading3">
    <w:name w:val="heading 3"/>
    <w:basedOn w:val="Normal"/>
    <w:next w:val="BodyText"/>
    <w:link w:val="Heading3Char"/>
    <w:uiPriority w:val="9"/>
    <w:unhideWhenUsed/>
    <w:qFormat/>
    <w:pPr>
      <w:keepNext/>
      <w:spacing w:after="240"/>
      <w:jc w:val="center"/>
      <w:outlineLvl w:val="2"/>
    </w:pPr>
    <w:rPr>
      <w:rFonts w:eastAsia="Times New Roman" w:cs="Times New Roman"/>
      <w:b/>
      <w:bCs/>
    </w:rPr>
  </w:style>
  <w:style w:type="paragraph" w:styleId="Heading4">
    <w:name w:val="heading 4"/>
    <w:basedOn w:val="Normal"/>
    <w:next w:val="BodyText"/>
    <w:link w:val="Heading4Char"/>
    <w:uiPriority w:val="9"/>
    <w:unhideWhenUsed/>
    <w:qFormat/>
    <w:pPr>
      <w:keepNext/>
      <w:spacing w:after="240"/>
      <w:ind w:left="720"/>
      <w:jc w:val="center"/>
      <w:outlineLvl w:val="3"/>
    </w:pPr>
    <w:rPr>
      <w:rFonts w:eastAsia="Times New Roman" w:cs="Times New Roman"/>
      <w:b/>
      <w:bCs/>
      <w:iCs/>
      <w:u w:val="single"/>
    </w:rPr>
  </w:style>
  <w:style w:type="paragraph" w:styleId="Heading5">
    <w:name w:val="heading 5"/>
    <w:basedOn w:val="Normal"/>
    <w:next w:val="BodyText"/>
    <w:link w:val="Heading5Char"/>
    <w:uiPriority w:val="9"/>
    <w:semiHidden/>
    <w:unhideWhenUsed/>
    <w:qFormat/>
    <w:pPr>
      <w:keepNext/>
      <w:spacing w:after="240"/>
      <w:ind w:left="720"/>
      <w:outlineLvl w:val="4"/>
    </w:pPr>
    <w:rPr>
      <w:rFonts w:eastAsia="Times New Roman" w:cs="Times New Roman"/>
      <w:u w:val="single"/>
    </w:rPr>
  </w:style>
  <w:style w:type="paragraph" w:styleId="Heading6">
    <w:name w:val="heading 6"/>
    <w:basedOn w:val="Normal"/>
    <w:next w:val="BodyText"/>
    <w:link w:val="Heading6Char"/>
    <w:uiPriority w:val="9"/>
    <w:semiHidden/>
    <w:unhideWhenUsed/>
    <w:qFormat/>
    <w:pPr>
      <w:keepNext/>
      <w:spacing w:after="240"/>
      <w:outlineLvl w:val="5"/>
    </w:pPr>
    <w:rPr>
      <w:rFonts w:eastAsia="Times New Roman" w:cs="Times New Roman"/>
      <w:b/>
      <w:i/>
      <w:iCs/>
    </w:rPr>
  </w:style>
  <w:style w:type="paragraph" w:styleId="Heading7">
    <w:name w:val="heading 7"/>
    <w:basedOn w:val="Normal"/>
    <w:next w:val="BodyText"/>
    <w:link w:val="Heading7Char"/>
    <w:uiPriority w:val="9"/>
    <w:semiHidden/>
    <w:unhideWhenUsed/>
    <w:qFormat/>
    <w:pPr>
      <w:keepNext/>
      <w:spacing w:after="240"/>
      <w:outlineLvl w:val="6"/>
    </w:pPr>
    <w:rPr>
      <w:rFonts w:eastAsia="Times New Roman" w:cs="Times New Roman"/>
      <w:iCs/>
      <w:u w:val="single"/>
    </w:rPr>
  </w:style>
  <w:style w:type="paragraph" w:styleId="Heading8">
    <w:name w:val="heading 8"/>
    <w:basedOn w:val="Normal"/>
    <w:next w:val="BodyText"/>
    <w:link w:val="Heading8Char"/>
    <w:uiPriority w:val="9"/>
    <w:semiHidden/>
    <w:unhideWhenUsed/>
    <w:qFormat/>
    <w:pPr>
      <w:keepNext/>
      <w:spacing w:after="240"/>
      <w:outlineLvl w:val="7"/>
    </w:pPr>
    <w:rPr>
      <w:rFonts w:eastAsia="Times New Roman" w:cs="Times New Roman"/>
      <w:i/>
      <w:szCs w:val="20"/>
    </w:rPr>
  </w:style>
  <w:style w:type="paragraph" w:styleId="Heading9">
    <w:name w:val="heading 9"/>
    <w:basedOn w:val="Normal"/>
    <w:next w:val="BodyText"/>
    <w:link w:val="Heading9Char"/>
    <w:uiPriority w:val="9"/>
    <w:semiHidden/>
    <w:unhideWhenUsed/>
    <w:qFormat/>
    <w:pPr>
      <w:keepNext/>
      <w:spacing w:after="240"/>
      <w:outlineLvl w:val="8"/>
    </w:pPr>
    <w:rPr>
      <w:rFonts w:eastAsia="Times New Roman"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40"/>
    </w:pPr>
    <w:rPr>
      <w:rFonts w:eastAsia="Times New Roman" w:cs="Times New Roman"/>
    </w:rPr>
  </w:style>
  <w:style w:type="character" w:customStyle="1" w:styleId="BodyTextChar">
    <w:name w:val="Body Text Char"/>
    <w:link w:val="BodyText"/>
    <w:rPr>
      <w:rFonts w:ascii="Times New Roman" w:eastAsia="Times New Roman" w:hAnsi="Times New Roman" w:cs="Times New Roman"/>
      <w:sz w:val="24"/>
      <w:szCs w:val="24"/>
    </w:rPr>
  </w:style>
  <w:style w:type="character" w:customStyle="1" w:styleId="Heading1Char">
    <w:name w:val="Heading 1 Char"/>
    <w:link w:val="Heading1"/>
    <w:uiPriority w:val="9"/>
    <w:rPr>
      <w:rFonts w:eastAsia="Times New Roman" w:cs="Times New Roman"/>
      <w:b/>
      <w:bCs/>
      <w:caps/>
      <w:szCs w:val="28"/>
    </w:rPr>
  </w:style>
  <w:style w:type="character" w:customStyle="1" w:styleId="Heading2Char">
    <w:name w:val="Heading 2 Char"/>
    <w:link w:val="Heading2"/>
    <w:uiPriority w:val="9"/>
    <w:rPr>
      <w:rFonts w:ascii="Times New Roman Bold" w:eastAsia="Times New Roman" w:hAnsi="Times New Roman Bold" w:cs="Times New Roman"/>
      <w:b/>
      <w:bCs/>
      <w:i/>
      <w:szCs w:val="28"/>
    </w:rPr>
  </w:style>
  <w:style w:type="character" w:customStyle="1" w:styleId="Heading3Char">
    <w:name w:val="Heading 3 Char"/>
    <w:link w:val="Heading3"/>
    <w:uiPriority w:val="9"/>
    <w:rPr>
      <w:rFonts w:eastAsia="Times New Roman" w:cs="Times New Roman"/>
      <w:b/>
      <w:bCs/>
    </w:rPr>
  </w:style>
  <w:style w:type="character" w:customStyle="1" w:styleId="Heading4Char">
    <w:name w:val="Heading 4 Char"/>
    <w:link w:val="Heading4"/>
    <w:uiPriority w:val="9"/>
    <w:rPr>
      <w:rFonts w:eastAsia="Times New Roman" w:cs="Times New Roman"/>
      <w:b/>
      <w:bCs/>
      <w:iCs/>
      <w:u w:val="single"/>
    </w:rPr>
  </w:style>
  <w:style w:type="character" w:customStyle="1" w:styleId="Heading5Char">
    <w:name w:val="Heading 5 Char"/>
    <w:link w:val="Heading5"/>
    <w:uiPriority w:val="9"/>
    <w:semiHidden/>
    <w:rPr>
      <w:rFonts w:ascii="Times New Roman" w:eastAsia="Times New Roman" w:hAnsi="Times New Roman" w:cs="Times New Roman"/>
      <w:sz w:val="24"/>
      <w:u w:val="single"/>
    </w:rPr>
  </w:style>
  <w:style w:type="character" w:customStyle="1" w:styleId="Heading6Char">
    <w:name w:val="Heading 6 Char"/>
    <w:link w:val="Heading6"/>
    <w:uiPriority w:val="9"/>
    <w:semiHidden/>
    <w:rPr>
      <w:rFonts w:ascii="Times New Roman" w:eastAsia="Times New Roman" w:hAnsi="Times New Roman" w:cs="Times New Roman"/>
      <w:b/>
      <w:i/>
      <w:iCs/>
      <w:sz w:val="24"/>
    </w:rPr>
  </w:style>
  <w:style w:type="character" w:customStyle="1" w:styleId="Heading7Char">
    <w:name w:val="Heading 7 Char"/>
    <w:link w:val="Heading7"/>
    <w:uiPriority w:val="9"/>
    <w:semiHidden/>
    <w:rPr>
      <w:rFonts w:ascii="Times New Roman" w:eastAsia="Times New Roman" w:hAnsi="Times New Roman" w:cs="Times New Roman"/>
      <w:iCs/>
      <w:sz w:val="24"/>
      <w:u w:val="single"/>
    </w:rPr>
  </w:style>
  <w:style w:type="character" w:customStyle="1" w:styleId="Heading8Char">
    <w:name w:val="Heading 8 Char"/>
    <w:link w:val="Heading8"/>
    <w:uiPriority w:val="9"/>
    <w:semiHidden/>
    <w:rPr>
      <w:rFonts w:ascii="Times New Roman" w:eastAsia="Times New Roman" w:hAnsi="Times New Roman" w:cs="Times New Roman"/>
      <w:i/>
      <w:sz w:val="24"/>
      <w:szCs w:val="20"/>
    </w:rPr>
  </w:style>
  <w:style w:type="character" w:customStyle="1" w:styleId="Heading9Char">
    <w:name w:val="Heading 9 Char"/>
    <w:link w:val="Heading9"/>
    <w:uiPriority w:val="9"/>
    <w:semiHidden/>
    <w:rPr>
      <w:rFonts w:ascii="Times New Roman" w:eastAsia="Times New Roman" w:hAnsi="Times New Roman" w:cs="Times New Roman"/>
      <w:iCs/>
      <w:sz w:val="24"/>
      <w:szCs w:val="20"/>
    </w:rPr>
  </w:style>
  <w:style w:type="numbering" w:styleId="ArticleSection">
    <w:name w:val="Outline List 3"/>
    <w:basedOn w:val="NoList"/>
    <w:uiPriority w:val="99"/>
    <w:semiHidden/>
    <w:unhideWhenUsed/>
    <w:pPr>
      <w:numPr>
        <w:numId w:val="4"/>
      </w:numPr>
    </w:pPr>
  </w:style>
  <w:style w:type="paragraph" w:styleId="BodyTextFirstIndent">
    <w:name w:val="Body Text First Indent"/>
    <w:basedOn w:val="BodyText"/>
    <w:link w:val="BodyTextFirstIndentChar"/>
    <w:unhideWhenUsed/>
    <w:pPr>
      <w:ind w:firstLine="720"/>
    </w:pPr>
  </w:style>
  <w:style w:type="character" w:customStyle="1" w:styleId="BodyTextFirstIndentChar">
    <w:name w:val="Body Text First Indent Char"/>
    <w:link w:val="BodyTextFirstIndent"/>
    <w:rPr>
      <w:rFonts w:ascii="Times New Roman" w:eastAsia="Times New Roman" w:hAnsi="Times New Roman" w:cs="Times New Roman"/>
      <w:sz w:val="24"/>
      <w:szCs w:val="24"/>
    </w:rPr>
  </w:style>
  <w:style w:type="paragraph" w:styleId="BodyTextIndent">
    <w:name w:val="Body Text Indent"/>
    <w:basedOn w:val="BodyText"/>
    <w:link w:val="BodyTextIndentChar"/>
    <w:unhideWhenUsed/>
    <w:pPr>
      <w:ind w:left="257"/>
    </w:pPr>
  </w:style>
  <w:style w:type="character" w:customStyle="1" w:styleId="BodyTextIndentChar">
    <w:name w:val="Body Text Indent Char"/>
    <w:link w:val="BodyTextIndent"/>
    <w:rPr>
      <w:rFonts w:eastAsia="Times New Roman" w:cs="Times New Roman"/>
    </w:rPr>
  </w:style>
  <w:style w:type="paragraph" w:styleId="BodyTextFirstIndent2">
    <w:name w:val="Body Text First Indent 2"/>
    <w:basedOn w:val="BodyTextIndent"/>
    <w:link w:val="BodyTextFirstIndent2Char"/>
    <w:uiPriority w:val="99"/>
    <w:semiHidden/>
    <w:unhideWhenUsed/>
    <w:pPr>
      <w:ind w:firstLine="720"/>
    </w:pPr>
  </w:style>
  <w:style w:type="character" w:customStyle="1" w:styleId="BodyTextFirstIndent2Char">
    <w:name w:val="Body Text First Indent 2 Char"/>
    <w:link w:val="BodyTextFirstIndent2"/>
    <w:uiPriority w:val="99"/>
    <w:semiHidden/>
    <w:rPr>
      <w:rFonts w:ascii="Times New Roman" w:eastAsia="Times New Roman" w:hAnsi="Times New Roman" w:cs="Times New Roman"/>
      <w:sz w:val="24"/>
    </w:rPr>
  </w:style>
  <w:style w:type="paragraph" w:styleId="Caption">
    <w:name w:val="caption"/>
    <w:basedOn w:val="Normal"/>
    <w:next w:val="Normal"/>
    <w:uiPriority w:val="35"/>
    <w:semiHidden/>
    <w:unhideWhenUsed/>
    <w:qFormat/>
    <w:rPr>
      <w:b/>
      <w:bCs/>
      <w:sz w:val="20"/>
      <w:szCs w:val="18"/>
    </w:rPr>
  </w:style>
  <w:style w:type="paragraph" w:customStyle="1" w:styleId="Centered">
    <w:name w:val="Centered"/>
    <w:basedOn w:val="Normal"/>
    <w:next w:val="BodyText"/>
    <w:uiPriority w:val="2"/>
    <w:qFormat/>
    <w:pPr>
      <w:spacing w:after="240" w:line="240" w:lineRule="exact"/>
      <w:jc w:val="center"/>
    </w:pPr>
  </w:style>
  <w:style w:type="paragraph" w:styleId="EnvelopeAddress">
    <w:name w:val="envelope address"/>
    <w:basedOn w:val="Normal"/>
    <w:uiPriority w:val="99"/>
    <w:semiHidden/>
    <w:unhideWhenUsed/>
    <w:qFormat/>
    <w:pPr>
      <w:framePr w:w="5760" w:h="2160" w:hRule="exact" w:hSpace="187" w:vSpace="187" w:wrap="around" w:vAnchor="page" w:hAnchor="page" w:x="6481" w:y="3068"/>
    </w:pPr>
    <w:rPr>
      <w:rFonts w:eastAsia="Times New Roman" w:cs="Times New Roman"/>
    </w:rPr>
  </w:style>
  <w:style w:type="paragraph" w:styleId="Footer">
    <w:name w:val="footer"/>
    <w:basedOn w:val="Normal"/>
    <w:link w:val="FooterChar"/>
    <w:uiPriority w:val="99"/>
    <w:unhideWhenUsed/>
    <w:qFormat/>
    <w:pPr>
      <w:tabs>
        <w:tab w:val="center" w:pos="4680"/>
        <w:tab w:val="right" w:pos="9360"/>
      </w:tabs>
      <w:jc w:val="left"/>
    </w:pPr>
    <w:rPr>
      <w:sz w:val="20"/>
    </w:rPr>
  </w:style>
  <w:style w:type="paragraph" w:customStyle="1" w:styleId="DeliveryPhrase">
    <w:name w:val="Delivery Phrase"/>
    <w:basedOn w:val="Normal"/>
    <w:next w:val="BodyText"/>
    <w:uiPriority w:val="3"/>
    <w:qFormat/>
    <w:pPr>
      <w:spacing w:before="240" w:after="240"/>
    </w:pPr>
    <w:rPr>
      <w:b/>
      <w:caps/>
    </w:rPr>
  </w:style>
  <w:style w:type="character" w:customStyle="1" w:styleId="FooterChar">
    <w:name w:val="Footer Char"/>
    <w:link w:val="Footer"/>
    <w:uiPriority w:val="99"/>
    <w:rPr>
      <w:rFonts w:ascii="Times New Roman" w:hAnsi="Times New Roman"/>
      <w:sz w:val="20"/>
    </w:rPr>
  </w:style>
  <w:style w:type="paragraph" w:styleId="FootnoteText">
    <w:name w:val="footnote text"/>
    <w:basedOn w:val="Normal"/>
    <w:link w:val="FootnoteTextChar"/>
    <w:unhideWhenUsed/>
    <w:pPr>
      <w:spacing w:after="60"/>
      <w:ind w:left="288" w:hanging="288"/>
    </w:pPr>
    <w:rPr>
      <w:sz w:val="16"/>
      <w:szCs w:val="20"/>
    </w:rPr>
  </w:style>
  <w:style w:type="character" w:customStyle="1" w:styleId="FootnoteTextChar">
    <w:name w:val="Footnote Text Char"/>
    <w:link w:val="FootnoteText"/>
    <w:uiPriority w:val="99"/>
    <w:semiHidden/>
    <w:rPr>
      <w:sz w:val="16"/>
      <w:szCs w:val="20"/>
    </w:rPr>
  </w:style>
  <w:style w:type="paragraph" w:customStyle="1" w:styleId="LetterDate">
    <w:name w:val="Letter Date"/>
    <w:basedOn w:val="Normal"/>
    <w:next w:val="BodyText"/>
    <w:uiPriority w:val="11"/>
    <w:qFormat/>
  </w:style>
  <w:style w:type="paragraph" w:customStyle="1" w:styleId="LetterClosing">
    <w:name w:val="LetterClosing"/>
    <w:basedOn w:val="Normal"/>
    <w:next w:val="Normal"/>
    <w:uiPriority w:val="11"/>
    <w:qFormat/>
  </w:style>
  <w:style w:type="paragraph" w:customStyle="1" w:styleId="HeaderNumbers">
    <w:name w:val="HeaderNumbers"/>
    <w:basedOn w:val="Normal"/>
    <w:link w:val="HeaderNumbersChar"/>
    <w:uiPriority w:val="10"/>
    <w:semiHidden/>
    <w:unhideWhenUsed/>
    <w:qFormat/>
    <w:pPr>
      <w:spacing w:after="720" w:line="480" w:lineRule="exact"/>
      <w:ind w:right="144"/>
    </w:pPr>
  </w:style>
  <w:style w:type="character" w:customStyle="1" w:styleId="HeaderNumbersChar">
    <w:name w:val="HeaderNumbers Char"/>
    <w:link w:val="HeaderNumbers"/>
    <w:uiPriority w:val="10"/>
    <w:semiHidden/>
    <w:rPr>
      <w:rFonts w:ascii="Times New Roman" w:hAnsi="Times New Roman"/>
      <w:sz w:val="24"/>
    </w:rPr>
  </w:style>
  <w:style w:type="paragraph" w:customStyle="1" w:styleId="PleadingSignature">
    <w:name w:val="Pleading Signature"/>
    <w:basedOn w:val="Normal"/>
    <w:uiPriority w:val="13"/>
    <w:qFormat/>
    <w:pPr>
      <w:keepNext/>
      <w:keepLines/>
      <w:widowControl w:val="0"/>
      <w:tabs>
        <w:tab w:val="left" w:pos="5040"/>
        <w:tab w:val="right" w:pos="9360"/>
      </w:tabs>
      <w:spacing w:line="240" w:lineRule="exact"/>
      <w:ind w:left="5040"/>
    </w:pPr>
  </w:style>
  <w:style w:type="paragraph" w:styleId="Quote">
    <w:name w:val="Quote"/>
    <w:basedOn w:val="Normal"/>
    <w:next w:val="BodyText"/>
    <w:link w:val="QuoteChar"/>
    <w:uiPriority w:val="13"/>
    <w:qFormat/>
    <w:pPr>
      <w:spacing w:after="240"/>
      <w:ind w:left="720" w:right="720"/>
    </w:pPr>
    <w:rPr>
      <w:iCs/>
    </w:rPr>
  </w:style>
  <w:style w:type="character" w:customStyle="1" w:styleId="QuoteChar">
    <w:name w:val="Quote Char"/>
    <w:link w:val="Quote"/>
    <w:uiPriority w:val="13"/>
    <w:rPr>
      <w:rFonts w:ascii="Times New Roman" w:hAnsi="Times New Roman"/>
      <w:iCs/>
      <w:sz w:val="24"/>
    </w:rPr>
  </w:style>
  <w:style w:type="paragraph" w:styleId="TOAHeading">
    <w:name w:val="toa heading"/>
    <w:basedOn w:val="Normal"/>
    <w:next w:val="Normal"/>
    <w:uiPriority w:val="99"/>
    <w:qFormat/>
    <w:pPr>
      <w:keepNext/>
      <w:widowControl w:val="0"/>
      <w:spacing w:before="120" w:after="120" w:line="240" w:lineRule="exact"/>
      <w:jc w:val="center"/>
    </w:pPr>
    <w:rPr>
      <w:rFonts w:eastAsia="Times New Roman" w:cs="Times New Roman"/>
      <w:b/>
      <w:bCs/>
      <w:caps/>
    </w:rPr>
  </w:style>
  <w:style w:type="paragraph" w:styleId="TOC1">
    <w:name w:val="toc 1"/>
    <w:basedOn w:val="Normal"/>
    <w:next w:val="TOC2"/>
    <w:uiPriority w:val="39"/>
    <w:qFormat/>
    <w:pPr>
      <w:keepLines/>
      <w:tabs>
        <w:tab w:val="right" w:leader="dot" w:pos="9288"/>
      </w:tabs>
      <w:spacing w:after="120"/>
      <w:jc w:val="left"/>
    </w:pPr>
    <w:rPr>
      <w:b/>
      <w:caps/>
    </w:rPr>
  </w:style>
  <w:style w:type="paragraph" w:styleId="TOC2">
    <w:name w:val="toc 2"/>
    <w:basedOn w:val="Normal"/>
    <w:next w:val="TOC3"/>
    <w:uiPriority w:val="39"/>
    <w:qFormat/>
    <w:pPr>
      <w:keepLines/>
      <w:tabs>
        <w:tab w:val="right" w:leader="dot" w:pos="9288"/>
      </w:tabs>
      <w:spacing w:after="120"/>
      <w:ind w:left="1080" w:right="720" w:hanging="720"/>
    </w:pPr>
  </w:style>
  <w:style w:type="paragraph" w:styleId="TOC3">
    <w:name w:val="toc 3"/>
    <w:basedOn w:val="Normal"/>
    <w:next w:val="TOC4"/>
    <w:uiPriority w:val="39"/>
    <w:pPr>
      <w:keepLines/>
      <w:tabs>
        <w:tab w:val="right" w:leader="dot" w:pos="9288"/>
      </w:tabs>
      <w:spacing w:after="120"/>
      <w:ind w:left="1440" w:right="720" w:hanging="720"/>
    </w:pPr>
  </w:style>
  <w:style w:type="paragraph" w:styleId="TOC4">
    <w:name w:val="toc 4"/>
    <w:basedOn w:val="Normal"/>
    <w:next w:val="Normal"/>
    <w:uiPriority w:val="39"/>
    <w:pPr>
      <w:keepLines/>
      <w:tabs>
        <w:tab w:val="right" w:leader="dot" w:pos="9288"/>
      </w:tabs>
      <w:spacing w:after="120"/>
      <w:ind w:left="1800" w:right="720" w:hanging="720"/>
    </w:pPr>
  </w:style>
  <w:style w:type="paragraph" w:styleId="TOC8">
    <w:name w:val="toc 8"/>
    <w:basedOn w:val="Normal"/>
    <w:next w:val="Normal"/>
    <w:uiPriority w:val="39"/>
    <w:semiHidden/>
    <w:unhideWhenUsed/>
    <w:pPr>
      <w:spacing w:after="100"/>
      <w:ind w:left="168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hAnsi="Times New Roman"/>
      <w:sz w:val="24"/>
    </w:rPr>
  </w:style>
  <w:style w:type="numbering" w:styleId="111111">
    <w:name w:val="Outline List 2"/>
    <w:basedOn w:val="NoList"/>
    <w:semiHidden/>
    <w:pPr>
      <w:numPr>
        <w:numId w:val="5"/>
      </w:numPr>
    </w:pPr>
  </w:style>
  <w:style w:type="numbering" w:styleId="1ai">
    <w:name w:val="Outline List 1"/>
    <w:basedOn w:val="NoList"/>
    <w:semiHidden/>
    <w:pPr>
      <w:numPr>
        <w:numId w:val="7"/>
      </w:numPr>
    </w:pPr>
  </w:style>
  <w:style w:type="paragraph" w:styleId="BodyText2">
    <w:name w:val="Body Text 2"/>
    <w:basedOn w:val="Normal"/>
    <w:link w:val="BodyText2Char"/>
    <w:pPr>
      <w:spacing w:after="240" w:line="480" w:lineRule="auto"/>
    </w:pPr>
    <w:rPr>
      <w:rFonts w:eastAsia="Times New Roman" w:cs="Times New Roman"/>
    </w:rPr>
  </w:style>
  <w:style w:type="character" w:customStyle="1" w:styleId="BodyText2Char">
    <w:name w:val="Body Text 2 Char"/>
    <w:link w:val="BodyText2"/>
    <w:rPr>
      <w:rFonts w:ascii="Times New Roman" w:eastAsia="Times New Roman" w:hAnsi="Times New Roman" w:cs="Times New Roman"/>
      <w:sz w:val="24"/>
      <w:szCs w:val="24"/>
    </w:rPr>
  </w:style>
  <w:style w:type="paragraph" w:styleId="BodyText3">
    <w:name w:val="Body Text 3"/>
    <w:basedOn w:val="Normal"/>
    <w:link w:val="BodyText3Char"/>
    <w:semiHidden/>
    <w:pPr>
      <w:spacing w:after="240"/>
    </w:pPr>
    <w:rPr>
      <w:rFonts w:eastAsia="Times New Roman" w:cs="Times New Roman"/>
      <w:sz w:val="16"/>
      <w:szCs w:val="16"/>
    </w:rPr>
  </w:style>
  <w:style w:type="character" w:customStyle="1" w:styleId="BodyText3Char">
    <w:name w:val="Body Text 3 Char"/>
    <w:link w:val="BodyText3"/>
    <w:semiHidden/>
    <w:rPr>
      <w:rFonts w:ascii="Times New Roman" w:eastAsia="Times New Roman" w:hAnsi="Times New Roman" w:cs="Times New Roman"/>
      <w:sz w:val="16"/>
      <w:szCs w:val="16"/>
    </w:rPr>
  </w:style>
  <w:style w:type="paragraph" w:styleId="BodyTextIndent2">
    <w:name w:val="Body Text Indent 2"/>
    <w:basedOn w:val="Normal"/>
    <w:link w:val="BodyTextIndent2Char"/>
    <w:semiHidden/>
    <w:pPr>
      <w:spacing w:after="240" w:line="480" w:lineRule="auto"/>
      <w:ind w:left="720"/>
    </w:pPr>
    <w:rPr>
      <w:rFonts w:eastAsia="Times New Roman" w:cs="Times New Roman"/>
    </w:rPr>
  </w:style>
  <w:style w:type="character" w:customStyle="1" w:styleId="BodyTextIndent2Char">
    <w:name w:val="Body Text Indent 2 Char"/>
    <w:link w:val="BodyTextIndent2"/>
    <w:semiHidden/>
    <w:rPr>
      <w:rFonts w:ascii="Times New Roman" w:eastAsia="Times New Roman" w:hAnsi="Times New Roman" w:cs="Times New Roman"/>
      <w:sz w:val="24"/>
      <w:szCs w:val="24"/>
    </w:rPr>
  </w:style>
  <w:style w:type="paragraph" w:styleId="BodyTextIndent3">
    <w:name w:val="Body Text Indent 3"/>
    <w:basedOn w:val="Normal"/>
    <w:link w:val="BodyTextIndent3Char"/>
    <w:semiHidden/>
    <w:pPr>
      <w:spacing w:after="240"/>
      <w:ind w:left="720"/>
    </w:pPr>
    <w:rPr>
      <w:rFonts w:eastAsia="Times New Roman" w:cs="Times New Roman"/>
      <w:sz w:val="16"/>
      <w:szCs w:val="16"/>
    </w:rPr>
  </w:style>
  <w:style w:type="character" w:customStyle="1" w:styleId="BodyTextIndent3Char">
    <w:name w:val="Body Text Indent 3 Char"/>
    <w:link w:val="BodyTextIndent3"/>
    <w:semiHidden/>
    <w:rPr>
      <w:rFonts w:ascii="Times New Roman" w:eastAsia="Times New Roman" w:hAnsi="Times New Roman" w:cs="Times New Roman"/>
      <w:sz w:val="16"/>
      <w:szCs w:val="16"/>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imes New Roman" w:cs="Times New Roman"/>
      <w:b/>
      <w:bCs/>
    </w:rPr>
  </w:style>
  <w:style w:type="paragraph" w:styleId="TOC9">
    <w:name w:val="toc 9"/>
    <w:basedOn w:val="Normal"/>
    <w:next w:val="Normal"/>
    <w:uiPriority w:val="39"/>
    <w:semiHidden/>
    <w:unhideWhenUsed/>
    <w:pPr>
      <w:spacing w:after="100"/>
      <w:ind w:left="1920"/>
    </w:pPr>
  </w:style>
  <w:style w:type="paragraph" w:styleId="TOC5">
    <w:name w:val="toc 5"/>
    <w:basedOn w:val="Normal"/>
    <w:next w:val="Normal"/>
    <w:uiPriority w:val="39"/>
    <w:semiHidden/>
    <w:unhideWhenUsed/>
    <w:pPr>
      <w:spacing w:after="100"/>
      <w:ind w:left="960"/>
    </w:pPr>
  </w:style>
  <w:style w:type="paragraph" w:styleId="TOC6">
    <w:name w:val="toc 6"/>
    <w:basedOn w:val="Normal"/>
    <w:next w:val="Normal"/>
    <w:uiPriority w:val="39"/>
    <w:semiHidden/>
    <w:unhideWhenUsed/>
    <w:pPr>
      <w:spacing w:after="100"/>
      <w:ind w:left="1200"/>
    </w:pPr>
  </w:style>
  <w:style w:type="paragraph" w:styleId="TOC7">
    <w:name w:val="toc 7"/>
    <w:basedOn w:val="Normal"/>
    <w:next w:val="Normal"/>
    <w:uiPriority w:val="39"/>
    <w:semiHidden/>
    <w:unhideWhenUsed/>
    <w:pPr>
      <w:spacing w:after="100"/>
      <w:ind w:left="1440"/>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Cont1">
    <w:name w:val="Exhibit Cont 1"/>
    <w:basedOn w:val="Normal"/>
    <w:link w:val="ExhibitCont1Char"/>
    <w:pPr>
      <w:spacing w:after="240" w:line="360" w:lineRule="auto"/>
    </w:pPr>
    <w:rPr>
      <w:rFonts w:eastAsia="Times New Roman" w:cs="Times New Roman"/>
      <w:szCs w:val="20"/>
    </w:rPr>
  </w:style>
  <w:style w:type="paragraph" w:customStyle="1" w:styleId="TableText">
    <w:name w:val="Table Text"/>
    <w:basedOn w:val="BodyText"/>
    <w:link w:val="TableTextChar"/>
    <w:qFormat/>
    <w:pPr>
      <w:spacing w:after="0"/>
    </w:pPr>
  </w:style>
  <w:style w:type="character" w:customStyle="1" w:styleId="TableTextChar">
    <w:name w:val="Table Text Char"/>
    <w:link w:val="TableText"/>
    <w:uiPriority w:val="1"/>
    <w:rPr>
      <w:rFonts w:ascii="Times New Roman" w:eastAsia="Times New Roman" w:hAnsi="Times New Roman" w:cs="Times New Roman"/>
      <w:sz w:val="24"/>
      <w:szCs w:val="24"/>
    </w:rPr>
  </w:style>
  <w:style w:type="character" w:customStyle="1" w:styleId="ExhibitCont1Char">
    <w:name w:val="Exhibit Cont 1 Char"/>
    <w:link w:val="ExhibitCont1"/>
    <w:rPr>
      <w:rFonts w:ascii="Times New Roman" w:eastAsia="Times New Roman" w:hAnsi="Times New Roman" w:cs="Times New Roman"/>
      <w:sz w:val="24"/>
      <w:szCs w:val="20"/>
    </w:rPr>
  </w:style>
  <w:style w:type="paragraph" w:customStyle="1" w:styleId="ExhibitCont2">
    <w:name w:val="Exhibit Cont 2"/>
    <w:basedOn w:val="ExhibitCont1"/>
    <w:link w:val="ExhibitCont2Char"/>
    <w:pPr>
      <w:ind w:firstLine="1440"/>
    </w:pPr>
  </w:style>
  <w:style w:type="character" w:customStyle="1" w:styleId="ExhibitCont2Char">
    <w:name w:val="Exhibit Cont 2 Char"/>
    <w:link w:val="ExhibitCont2"/>
    <w:rPr>
      <w:rFonts w:ascii="Times New Roman" w:eastAsia="Times New Roman" w:hAnsi="Times New Roman" w:cs="Times New Roman"/>
      <w:sz w:val="24"/>
      <w:szCs w:val="20"/>
    </w:rPr>
  </w:style>
  <w:style w:type="paragraph" w:customStyle="1" w:styleId="ExhibitCont3">
    <w:name w:val="Exhibit Cont 3"/>
    <w:basedOn w:val="ExhibitCont2"/>
    <w:link w:val="ExhibitCont3Char"/>
    <w:pPr>
      <w:ind w:left="720" w:firstLine="0"/>
    </w:pPr>
  </w:style>
  <w:style w:type="character" w:customStyle="1" w:styleId="ExhibitCont3Char">
    <w:name w:val="Exhibit Cont 3 Char"/>
    <w:link w:val="ExhibitCont3"/>
    <w:rPr>
      <w:rFonts w:ascii="Times New Roman" w:eastAsia="Times New Roman" w:hAnsi="Times New Roman" w:cs="Times New Roman"/>
      <w:sz w:val="24"/>
      <w:szCs w:val="20"/>
    </w:rPr>
  </w:style>
  <w:style w:type="paragraph" w:customStyle="1" w:styleId="ExhibitCont4">
    <w:name w:val="Exhibit Cont 4"/>
    <w:basedOn w:val="ExhibitCont3"/>
    <w:link w:val="ExhibitCont4Char"/>
    <w:pPr>
      <w:ind w:left="1440"/>
    </w:pPr>
  </w:style>
  <w:style w:type="character" w:customStyle="1" w:styleId="ExhibitCont4Char">
    <w:name w:val="Exhibit Cont 4 Char"/>
    <w:link w:val="ExhibitCont4"/>
    <w:rPr>
      <w:rFonts w:ascii="Times New Roman" w:eastAsia="Times New Roman" w:hAnsi="Times New Roman" w:cs="Times New Roman"/>
      <w:sz w:val="24"/>
      <w:szCs w:val="20"/>
    </w:rPr>
  </w:style>
  <w:style w:type="paragraph" w:customStyle="1" w:styleId="ExhibitCont5">
    <w:name w:val="Exhibit Cont 5"/>
    <w:basedOn w:val="ExhibitCont4"/>
    <w:link w:val="ExhibitCont5Char"/>
    <w:pPr>
      <w:ind w:left="2160"/>
    </w:pPr>
  </w:style>
  <w:style w:type="character" w:customStyle="1" w:styleId="ExhibitCont5Char">
    <w:name w:val="Exhibit Cont 5 Char"/>
    <w:link w:val="ExhibitCont5"/>
    <w:rPr>
      <w:rFonts w:ascii="Times New Roman" w:eastAsia="Times New Roman" w:hAnsi="Times New Roman" w:cs="Times New Roman"/>
      <w:sz w:val="24"/>
      <w:szCs w:val="20"/>
    </w:rPr>
  </w:style>
  <w:style w:type="paragraph" w:customStyle="1" w:styleId="ExhibitL1">
    <w:name w:val="Exhibit_L1"/>
    <w:basedOn w:val="Normal"/>
    <w:next w:val="ExhibitL2"/>
    <w:link w:val="ExhibitL1Char"/>
    <w:pPr>
      <w:keepNext/>
      <w:numPr>
        <w:numId w:val="19"/>
      </w:numPr>
      <w:spacing w:after="240"/>
      <w:jc w:val="center"/>
      <w:outlineLvl w:val="0"/>
    </w:pPr>
    <w:rPr>
      <w:rFonts w:eastAsia="Times New Roman" w:cs="Times New Roman"/>
      <w:b/>
      <w:szCs w:val="20"/>
    </w:rPr>
  </w:style>
  <w:style w:type="character" w:customStyle="1" w:styleId="ExhibitL1Char">
    <w:name w:val="Exhibit_L1 Char"/>
    <w:link w:val="ExhibitL1"/>
    <w:rPr>
      <w:rFonts w:eastAsia="Times New Roman" w:cs="Times New Roman"/>
      <w:b/>
      <w:szCs w:val="20"/>
    </w:rPr>
  </w:style>
  <w:style w:type="paragraph" w:customStyle="1" w:styleId="ExhibitL2">
    <w:name w:val="Exhibit_L2"/>
    <w:basedOn w:val="ExhibitL1"/>
    <w:link w:val="ExhibitL2Char"/>
    <w:pPr>
      <w:keepNext w:val="0"/>
      <w:numPr>
        <w:ilvl w:val="1"/>
      </w:numPr>
      <w:spacing w:line="360" w:lineRule="auto"/>
      <w:jc w:val="both"/>
      <w:outlineLvl w:val="1"/>
    </w:pPr>
    <w:rPr>
      <w:b w:val="0"/>
    </w:rPr>
  </w:style>
  <w:style w:type="character" w:customStyle="1" w:styleId="ExhibitL2Char">
    <w:name w:val="Exhibit_L2 Char"/>
    <w:link w:val="ExhibitL2"/>
    <w:rPr>
      <w:rFonts w:eastAsia="Times New Roman" w:cs="Times New Roman"/>
      <w:szCs w:val="20"/>
    </w:rPr>
  </w:style>
  <w:style w:type="paragraph" w:customStyle="1" w:styleId="ExhibitL3">
    <w:name w:val="Exhibit_L3"/>
    <w:basedOn w:val="ExhibitL2"/>
    <w:link w:val="ExhibitL3Char"/>
    <w:pPr>
      <w:numPr>
        <w:ilvl w:val="2"/>
      </w:numPr>
      <w:outlineLvl w:val="2"/>
    </w:pPr>
  </w:style>
  <w:style w:type="character" w:customStyle="1" w:styleId="ExhibitL3Char">
    <w:name w:val="Exhibit_L3 Char"/>
    <w:link w:val="ExhibitL3"/>
    <w:rPr>
      <w:rFonts w:eastAsia="Times New Roman" w:cs="Times New Roman"/>
      <w:szCs w:val="20"/>
    </w:rPr>
  </w:style>
  <w:style w:type="paragraph" w:customStyle="1" w:styleId="ExhibitL4">
    <w:name w:val="Exhibit_L4"/>
    <w:basedOn w:val="ExhibitL3"/>
    <w:link w:val="ExhibitL4Char"/>
    <w:pPr>
      <w:numPr>
        <w:ilvl w:val="3"/>
      </w:numPr>
      <w:outlineLvl w:val="3"/>
    </w:pPr>
  </w:style>
  <w:style w:type="character" w:customStyle="1" w:styleId="ExhibitL4Char">
    <w:name w:val="Exhibit_L4 Char"/>
    <w:link w:val="ExhibitL4"/>
    <w:rPr>
      <w:rFonts w:eastAsia="Times New Roman" w:cs="Times New Roman"/>
      <w:szCs w:val="20"/>
    </w:rPr>
  </w:style>
  <w:style w:type="paragraph" w:customStyle="1" w:styleId="ExhibitL5">
    <w:name w:val="Exhibit_L5"/>
    <w:basedOn w:val="ExhibitL4"/>
    <w:link w:val="ExhibitL5Char"/>
    <w:pPr>
      <w:numPr>
        <w:ilvl w:val="4"/>
      </w:numPr>
      <w:outlineLvl w:val="4"/>
    </w:pPr>
  </w:style>
  <w:style w:type="character" w:customStyle="1" w:styleId="ExhibitL5Char">
    <w:name w:val="Exhibit_L5 Char"/>
    <w:link w:val="ExhibitL5"/>
    <w:rPr>
      <w:rFonts w:eastAsia="Times New Roman" w:cs="Times New Roman"/>
      <w:szCs w:val="20"/>
    </w:rPr>
  </w:style>
  <w:style w:type="character" w:styleId="Hyperlink">
    <w:name w:val="Hyperlink"/>
    <w:uiPriority w:val="99"/>
    <w:unhideWhenUsed/>
    <w:rPr>
      <w:color w:val="0000FF"/>
      <w:u w:val="single"/>
    </w:rPr>
  </w:style>
  <w:style w:type="character" w:styleId="FootnoteReference">
    <w:name w:val="footnote reference"/>
    <w:unhideWhenUsed/>
    <w:rPr>
      <w:vertAlign w:val="superscript"/>
    </w:rPr>
  </w:style>
  <w:style w:type="paragraph" w:customStyle="1" w:styleId="Disclaimer">
    <w:name w:val="Disclaimer"/>
    <w:basedOn w:val="LetterDate"/>
    <w:uiPriority w:val="1"/>
    <w:qFormat/>
    <w:pPr>
      <w:pBdr>
        <w:top w:val="single" w:sz="4" w:space="1" w:color="auto"/>
        <w:left w:val="single" w:sz="4" w:space="4" w:color="auto"/>
        <w:bottom w:val="single" w:sz="4" w:space="1" w:color="auto"/>
        <w:right w:val="single" w:sz="4" w:space="4" w:color="auto"/>
      </w:pBdr>
    </w:pPr>
    <w:rPr>
      <w:i/>
    </w:rPr>
  </w:style>
  <w:style w:type="paragraph" w:customStyle="1" w:styleId="BodyTextItalics">
    <w:name w:val="Body Text_Italics"/>
    <w:basedOn w:val="BodyTextFirstIndent"/>
    <w:link w:val="BodyTextItalicsChar"/>
    <w:uiPriority w:val="1"/>
    <w:qFormat/>
    <w:rPr>
      <w:i/>
    </w:rPr>
  </w:style>
  <w:style w:type="character" w:customStyle="1" w:styleId="BodyTextItalicsChar">
    <w:name w:val="Body Text_Italics Char"/>
    <w:link w:val="BodyTextItalics"/>
    <w:uiPriority w:val="1"/>
    <w:rPr>
      <w:rFonts w:ascii="Times New Roman" w:eastAsia="Times New Roman" w:hAnsi="Times New Roman" w:cs="Times New Roman"/>
      <w:i/>
      <w:sz w:val="24"/>
      <w:szCs w:val="24"/>
    </w:rPr>
  </w:style>
  <w:style w:type="paragraph" w:customStyle="1" w:styleId="TableHeading1">
    <w:name w:val="Table Heading_1"/>
    <w:basedOn w:val="BodyText"/>
    <w:link w:val="TableHeading1Char"/>
    <w:uiPriority w:val="1"/>
    <w:qFormat/>
    <w:rPr>
      <w:b/>
      <w:u w:val="single"/>
    </w:rPr>
  </w:style>
  <w:style w:type="character" w:customStyle="1" w:styleId="TableHeading1Char">
    <w:name w:val="Table Heading_1 Char"/>
    <w:link w:val="TableHeading1"/>
    <w:uiPriority w:val="1"/>
    <w:rPr>
      <w:rFonts w:ascii="Times New Roman" w:eastAsia="Times New Roman" w:hAnsi="Times New Roman" w:cs="Times New Roman"/>
      <w:b/>
      <w:sz w:val="24"/>
      <w:szCs w:val="24"/>
      <w:u w:val="single"/>
    </w:rPr>
  </w:style>
  <w:style w:type="paragraph" w:customStyle="1" w:styleId="TableHeading2">
    <w:name w:val="Table Heading_2"/>
    <w:basedOn w:val="BodyText"/>
    <w:link w:val="TableHeading2Char"/>
    <w:uiPriority w:val="1"/>
    <w:qFormat/>
    <w:pPr>
      <w:jc w:val="left"/>
    </w:pPr>
    <w:rPr>
      <w:i/>
    </w:rPr>
  </w:style>
  <w:style w:type="character" w:customStyle="1" w:styleId="TableHeading2Char">
    <w:name w:val="Table Heading_2 Char"/>
    <w:link w:val="TableHeading2"/>
    <w:uiPriority w:val="1"/>
    <w:rPr>
      <w:rFonts w:ascii="Times New Roman" w:eastAsia="Times New Roman" w:hAnsi="Times New Roman" w:cs="Times New Roman"/>
      <w:i/>
      <w:sz w:val="24"/>
      <w:szCs w:val="24"/>
    </w:rPr>
  </w:style>
  <w:style w:type="paragraph" w:customStyle="1" w:styleId="SubParagraphIndent">
    <w:name w:val="Sub Paragraph Indent"/>
    <w:basedOn w:val="BodyText"/>
    <w:link w:val="SubParagraphIndentChar"/>
    <w:uiPriority w:val="1"/>
    <w:qFormat/>
    <w:pPr>
      <w:tabs>
        <w:tab w:val="left" w:pos="432"/>
      </w:tabs>
      <w:ind w:left="1152" w:hanging="720"/>
      <w:contextualSpacing/>
    </w:pPr>
  </w:style>
  <w:style w:type="character" w:customStyle="1" w:styleId="SubParagraphIndentChar">
    <w:name w:val="Sub Paragraph Indent Char"/>
    <w:link w:val="SubParagraphIndent"/>
    <w:uiPriority w:val="1"/>
    <w:rPr>
      <w:rFonts w:ascii="Times New Roman" w:eastAsia="Times New Roman" w:hAnsi="Times New Roman" w:cs="Times New Roman"/>
      <w:sz w:val="24"/>
      <w:szCs w:val="24"/>
    </w:rPr>
  </w:style>
  <w:style w:type="paragraph" w:customStyle="1" w:styleId="MacPacTrailer">
    <w:name w:val="MacPac Trailer"/>
    <w:rsid w:val="00F06086"/>
    <w:pPr>
      <w:widowControl w:val="0"/>
      <w:spacing w:line="200" w:lineRule="exact"/>
    </w:pPr>
    <w:rPr>
      <w:rFonts w:eastAsia="Times New Roman" w:cs="Times New Roman"/>
      <w:sz w:val="16"/>
      <w:szCs w:val="22"/>
    </w:rPr>
  </w:style>
  <w:style w:type="character" w:styleId="PlaceholderText">
    <w:name w:val="Placeholder Text"/>
    <w:uiPriority w:val="99"/>
    <w:semiHidden/>
    <w:rPr>
      <w:color w:val="808080"/>
    </w:rPr>
  </w:style>
  <w:style w:type="paragraph" w:customStyle="1" w:styleId="TableItalics">
    <w:name w:val="Table Italics"/>
    <w:basedOn w:val="TableText"/>
    <w:rsid w:val="001E5B27"/>
    <w:pPr>
      <w:tabs>
        <w:tab w:val="left" w:pos="432"/>
      </w:tabs>
      <w:suppressAutoHyphens/>
      <w:autoSpaceDE w:val="0"/>
      <w:autoSpaceDN w:val="0"/>
      <w:adjustRightInd w:val="0"/>
      <w:spacing w:after="240"/>
      <w:jc w:val="left"/>
    </w:pPr>
    <w:rPr>
      <w:i/>
      <w:iCs/>
      <w:lang w:eastAsia="ja-JP"/>
    </w:rPr>
  </w:style>
  <w:style w:type="paragraph" w:styleId="Revision">
    <w:name w:val="Revision"/>
    <w:hidden/>
    <w:uiPriority w:val="99"/>
    <w:semiHidden/>
    <w:rsid w:val="00F459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mailto:solwayg@bennettjones.com"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8C7F1-DF05-4978-A35A-1ED08BEB3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5137</Words>
  <Characters>29284</Characters>
  <Application>Microsoft Office Word</Application>
  <DocSecurity>0</DocSecurity>
  <Lines>244</Lines>
  <Paragraphs>68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Scarinci, Sylvie Anne</dc:creator>
  <cp:keywords/>
  <dc:description/>
  <cp:lastModifiedBy>Cathy Ayow</cp:lastModifiedBy>
  <cp:revision>2</cp:revision>
  <cp:lastPrinted>2023-12-14T17:17:00Z</cp:lastPrinted>
  <dcterms:created xsi:type="dcterms:W3CDTF">2024-01-03T16:22:00Z</dcterms:created>
  <dcterms:modified xsi:type="dcterms:W3CDTF">2024-01-03T16:22:00Z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ies>
</file>