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99823" w14:textId="4F6C4517" w:rsidR="00F0406C" w:rsidRPr="00EF7033" w:rsidRDefault="000D4966" w:rsidP="00C44BAF">
      <w:pPr>
        <w:pStyle w:val="TitlePage"/>
        <w:spacing w:before="960"/>
        <w:rPr>
          <w:lang w:val="fr-CA"/>
        </w:rPr>
      </w:pPr>
      <w:r w:rsidRPr="00EF7033">
        <w:rPr>
          <w:lang w:val="fr-CA"/>
        </w:rPr>
        <w:t>MODÈLES DE DOCUMENTS TRANSACTIONNELS DE L’ACCRI</w:t>
      </w:r>
    </w:p>
    <w:p w14:paraId="6DEE3BCC" w14:textId="373F7A43" w:rsidR="00F0406C" w:rsidRPr="00EF7033" w:rsidRDefault="005956FF" w:rsidP="00C44BAF">
      <w:pPr>
        <w:pStyle w:val="TitlePage"/>
        <w:rPr>
          <w:lang w:val="fr-CA"/>
        </w:rPr>
      </w:pPr>
      <w:r w:rsidRPr="00EF7033">
        <w:rPr>
          <w:lang w:val="fr-CA"/>
        </w:rPr>
        <w:t>BILLET À ORDRE CONVERTIBLE [GARANTI]</w:t>
      </w:r>
    </w:p>
    <w:p w14:paraId="08582555" w14:textId="01534DE8" w:rsidR="008B2ADD" w:rsidRPr="00841EA3" w:rsidRDefault="008E40C9" w:rsidP="008B2ADD">
      <w:pPr>
        <w:pStyle w:val="BodyText"/>
        <w:rPr>
          <w:sz w:val="24"/>
          <w:highlight w:val="magenta"/>
        </w:rPr>
      </w:pPr>
      <w:r w:rsidRPr="00EF7033">
        <w:rPr>
          <w:sz w:val="24"/>
        </w:rPr>
        <w:t>L</w:t>
      </w:r>
      <w:r w:rsidR="00060CC0">
        <w:rPr>
          <w:sz w:val="24"/>
        </w:rPr>
        <w:t>a version canadienne du</w:t>
      </w:r>
      <w:r w:rsidR="000D4966" w:rsidRPr="00EF7033">
        <w:rPr>
          <w:sz w:val="24"/>
        </w:rPr>
        <w:t xml:space="preserve"> présent document a été créé</w:t>
      </w:r>
      <w:r w:rsidR="00060CC0">
        <w:rPr>
          <w:sz w:val="24"/>
        </w:rPr>
        <w:t>e</w:t>
      </w:r>
      <w:r w:rsidR="000D4966" w:rsidRPr="00EF7033">
        <w:rPr>
          <w:sz w:val="24"/>
        </w:rPr>
        <w:t xml:space="preserve"> </w:t>
      </w:r>
      <w:r w:rsidR="008B2ADD">
        <w:rPr>
          <w:sz w:val="24"/>
        </w:rPr>
        <w:t xml:space="preserve">en anglais </w:t>
      </w:r>
      <w:r w:rsidR="000D4966" w:rsidRPr="00EF7033">
        <w:rPr>
          <w:sz w:val="24"/>
        </w:rPr>
        <w:t xml:space="preserve">par le groupe de travail sur les modèles de documents de l’ACCRI dont les membres sont Gary Solway de Bennett Jones (président), Sophia Maizel de HarbourVest (vice-présidente), Mireille Fontaine de </w:t>
      </w:r>
      <w:r w:rsidR="00255E03">
        <w:t>Lapointe Rosenstein Marchand Melan</w:t>
      </w:r>
      <w:r w:rsidR="00255E03" w:rsidRPr="00022BA2">
        <w:t>ç</w:t>
      </w:r>
      <w:r w:rsidR="00255E03">
        <w:t>on, S.E.N.C.R.L.</w:t>
      </w:r>
      <w:r w:rsidR="000D4966" w:rsidRPr="00EF7033">
        <w:rPr>
          <w:sz w:val="24"/>
        </w:rPr>
        <w:t>, Ed Vandenberg d’Osler, Hoskin &amp; Harcourt S.E.N.C.R.L./s.r.l., Pascal de Guise de Blake, Cassels &amp; Graydon S.E.N.C.R.L./s.r.l., Brian Lenihan de Choate Hall &amp; Stewart LLP, Jesslyn Maurier de Bennett Jones S.E.N.C.R.L./s.r.l., ainsi que Julie Robinson de McInnes Cooper. La principale rédactrice de ce document est Julie Robinson (</w:t>
      </w:r>
      <w:hyperlink r:id="rId8" w:history="1">
        <w:r w:rsidR="008B2ADD" w:rsidRPr="007552B1">
          <w:rPr>
            <w:rStyle w:val="Hyperlink"/>
            <w:sz w:val="24"/>
          </w:rPr>
          <w:t>julie.robinson@mcinnescooper.com</w:t>
        </w:r>
      </w:hyperlink>
      <w:r w:rsidR="000D4966" w:rsidRPr="00EF7033">
        <w:rPr>
          <w:sz w:val="24"/>
        </w:rPr>
        <w:t>)</w:t>
      </w:r>
      <w:r w:rsidR="00073CFA" w:rsidRPr="00EF7033">
        <w:rPr>
          <w:sz w:val="24"/>
        </w:rPr>
        <w:t>.</w:t>
      </w:r>
      <w:r w:rsidR="008B2ADD">
        <w:rPr>
          <w:sz w:val="24"/>
        </w:rPr>
        <w:t xml:space="preserve"> </w:t>
      </w:r>
      <w:r w:rsidR="008B2ADD" w:rsidRPr="00841EA3">
        <w:rPr>
          <w:sz w:val="24"/>
        </w:rPr>
        <w:t>La traduction française est le fruit du travail de l'équipe des services linguistiques de Blake,</w:t>
      </w:r>
      <w:r w:rsidR="004F1221" w:rsidRPr="00841EA3">
        <w:rPr>
          <w:sz w:val="24"/>
        </w:rPr>
        <w:t> </w:t>
      </w:r>
      <w:r w:rsidR="008B2ADD" w:rsidRPr="00841EA3">
        <w:rPr>
          <w:sz w:val="24"/>
        </w:rPr>
        <w:t>Cassels</w:t>
      </w:r>
      <w:r w:rsidR="00DC54CA" w:rsidRPr="00841EA3">
        <w:rPr>
          <w:sz w:val="24"/>
        </w:rPr>
        <w:t> </w:t>
      </w:r>
      <w:r w:rsidR="008B2ADD" w:rsidRPr="00841EA3">
        <w:rPr>
          <w:sz w:val="24"/>
        </w:rPr>
        <w:t>&amp;</w:t>
      </w:r>
      <w:r w:rsidR="00DC54CA" w:rsidRPr="00841EA3">
        <w:rPr>
          <w:sz w:val="24"/>
        </w:rPr>
        <w:t> </w:t>
      </w:r>
      <w:r w:rsidR="008B2ADD" w:rsidRPr="00841EA3">
        <w:rPr>
          <w:sz w:val="24"/>
        </w:rPr>
        <w:t>Graydon</w:t>
      </w:r>
      <w:r w:rsidR="00DC54CA" w:rsidRPr="00841EA3">
        <w:rPr>
          <w:sz w:val="24"/>
        </w:rPr>
        <w:t> </w:t>
      </w:r>
      <w:r w:rsidR="008B2ADD" w:rsidRPr="00841EA3">
        <w:rPr>
          <w:sz w:val="24"/>
        </w:rPr>
        <w:t>S.E.N.C.R.L./s.r.l.</w:t>
      </w:r>
    </w:p>
    <w:p w14:paraId="252C0EBB" w14:textId="77777777" w:rsidR="00F0406C" w:rsidRPr="00EF7033" w:rsidRDefault="00F0406C" w:rsidP="0082149A"/>
    <w:p w14:paraId="263DD614" w14:textId="77777777" w:rsidR="00F0406C" w:rsidRPr="00EF7033" w:rsidRDefault="00F0406C" w:rsidP="0082149A"/>
    <w:p w14:paraId="2D4A954F" w14:textId="3D7ACC53" w:rsidR="00F0406C" w:rsidRPr="00EF7033" w:rsidRDefault="000D4966" w:rsidP="0082149A">
      <w:pPr>
        <w:pBdr>
          <w:top w:val="single" w:sz="4" w:space="1" w:color="auto"/>
          <w:left w:val="single" w:sz="4" w:space="4" w:color="auto"/>
          <w:bottom w:val="single" w:sz="4" w:space="1" w:color="auto"/>
          <w:right w:val="single" w:sz="4" w:space="4" w:color="auto"/>
        </w:pBdr>
        <w:rPr>
          <w:rStyle w:val="Emphasis"/>
          <w:i w:val="0"/>
          <w:iCs w:val="0"/>
        </w:rPr>
      </w:pPr>
      <w:r w:rsidRPr="00EF7033">
        <w:rPr>
          <w:rStyle w:val="Emphasis"/>
        </w:rPr>
        <w:t>Avertissement : Le présent modèle de document est fourni à titre informatif seulement et ne doit pas être interprété comme étant un avis juridique portant sur des circonstances ou des faits particuliers. Le présent document est fourni «</w:t>
      </w:r>
      <w:r w:rsidR="00B36E2B" w:rsidRPr="00EF7033">
        <w:rPr>
          <w:rStyle w:val="Emphasis"/>
        </w:rPr>
        <w:t> </w:t>
      </w:r>
      <w:r w:rsidRPr="00EF7033">
        <w:rPr>
          <w:rStyle w:val="Emphasis"/>
        </w:rPr>
        <w:t>en l’état</w:t>
      </w:r>
      <w:r w:rsidR="00B36E2B" w:rsidRPr="00EF7033">
        <w:rPr>
          <w:rStyle w:val="Emphasis"/>
        </w:rPr>
        <w:t> </w:t>
      </w:r>
      <w:r w:rsidRPr="00EF7033">
        <w:rPr>
          <w:rStyle w:val="Emphasis"/>
        </w:rPr>
        <w:t>», sans aucune garantie, expresse ou implicite, ni responsabilité. Il se veut un point de départ uniquement et il doit être adapté à vos besoins particuliers.</w:t>
      </w:r>
    </w:p>
    <w:p w14:paraId="4FB2C35A" w14:textId="77777777" w:rsidR="00F0406C" w:rsidRPr="00EF7033" w:rsidRDefault="00F0406C" w:rsidP="00324BCA"/>
    <w:p w14:paraId="17FD2106" w14:textId="77777777" w:rsidR="00F0406C" w:rsidRPr="00EF7033" w:rsidRDefault="00F0406C" w:rsidP="00E5787D">
      <w:pPr>
        <w:pStyle w:val="BodyText"/>
        <w:sectPr w:rsidR="00F0406C" w:rsidRPr="00EF7033" w:rsidSect="00B15FBA">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pgNumType w:start="1"/>
          <w:cols w:space="720"/>
          <w:titlePg/>
          <w:docGrid w:linePitch="360"/>
        </w:sectPr>
      </w:pPr>
    </w:p>
    <w:p w14:paraId="64E8A809" w14:textId="7BE04BAB" w:rsidR="00F0406C" w:rsidRPr="00EF7033" w:rsidRDefault="00735399" w:rsidP="00E5787D">
      <w:pPr>
        <w:pStyle w:val="BodyText"/>
      </w:pPr>
      <w:r w:rsidRPr="00EF7033">
        <w:lastRenderedPageBreak/>
        <w:t xml:space="preserve">SAUF DISPOSITION CONTRAIRE DE LA LÉGISLATION EN VALEURS MOBILIÈRES, LE PORTEUR DU PRÉSENT TITRE DOIT LE CONSERVER DURANT UN DÉLAI </w:t>
      </w:r>
      <w:r w:rsidR="004076D7" w:rsidRPr="00EF7033">
        <w:t>DE</w:t>
      </w:r>
      <w:r w:rsidRPr="00EF7033">
        <w:t xml:space="preserve"> </w:t>
      </w:r>
      <w:r w:rsidRPr="00060926">
        <w:t>4</w:t>
      </w:r>
      <w:r w:rsidRPr="00EF7033">
        <w:t xml:space="preserve"> MOIS </w:t>
      </w:r>
      <w:r w:rsidR="004076D7" w:rsidRPr="00EF7033">
        <w:t>PLUS</w:t>
      </w:r>
      <w:r w:rsidRPr="00EF7033">
        <w:t xml:space="preserve"> UN JOUR APRÈS LA PLUS ÉLOIGNÉE DES DATES SUIVANTES</w:t>
      </w:r>
      <w:r w:rsidR="00313A99" w:rsidRPr="00EF7033">
        <w:t> </w:t>
      </w:r>
      <w:r w:rsidRPr="00EF7033">
        <w:t>: (</w:t>
      </w:r>
      <w:r w:rsidRPr="00060926">
        <w:t>I</w:t>
      </w:r>
      <w:r w:rsidRPr="00EF7033">
        <w:t>) LA DATE D’ÉMISSION DU PRÉSENT BILLET ET (</w:t>
      </w:r>
      <w:r w:rsidRPr="00060926">
        <w:t>II</w:t>
      </w:r>
      <w:r w:rsidRPr="00EF7033">
        <w:t xml:space="preserve">) LA DATE OÙ </w:t>
      </w:r>
      <w:r w:rsidR="00313A99" w:rsidRPr="00EF7033">
        <w:t>LA SOCIÉTÉ</w:t>
      </w:r>
      <w:r w:rsidRPr="00EF7033">
        <w:t xml:space="preserve"> EST DEVENU</w:t>
      </w:r>
      <w:r w:rsidR="008D63E4" w:rsidRPr="00EF7033">
        <w:t>E</w:t>
      </w:r>
      <w:r w:rsidRPr="00EF7033">
        <w:t xml:space="preserve"> ÉMETTEUR ASSUJETTI DANS UNE PROVINCE OU UN TERRITOIRE</w:t>
      </w:r>
      <w:r w:rsidR="00073CFA" w:rsidRPr="00060926">
        <w:rPr>
          <w:rStyle w:val="FootnoteReference"/>
        </w:rPr>
        <w:footnoteReference w:id="1"/>
      </w:r>
      <w:r w:rsidR="00FB21FE" w:rsidRPr="00EF7033">
        <w:t>.</w:t>
      </w:r>
    </w:p>
    <w:p w14:paraId="4C835EB3" w14:textId="6D912535" w:rsidR="00F0406C" w:rsidRPr="00EF7033" w:rsidRDefault="005956FF" w:rsidP="00E5787D">
      <w:pPr>
        <w:pStyle w:val="Centered"/>
        <w:rPr>
          <w:b/>
        </w:rPr>
      </w:pPr>
      <w:r w:rsidRPr="00EF7033">
        <w:rPr>
          <w:b/>
        </w:rPr>
        <w:t>BILLET À ORDRE CONVERTIBLE [GARANTI]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33974" w:rsidRPr="00EF7033" w14:paraId="01981377" w14:textId="77777777" w:rsidTr="00E5787D">
        <w:tc>
          <w:tcPr>
            <w:tcW w:w="4675" w:type="dxa"/>
          </w:tcPr>
          <w:p w14:paraId="66D4D569" w14:textId="141CFFA6" w:rsidR="00F0406C" w:rsidRPr="00EF7033" w:rsidRDefault="00A02708" w:rsidP="00E5787D">
            <w:pPr>
              <w:pStyle w:val="BodyText"/>
              <w:spacing w:after="0"/>
            </w:pPr>
            <w:r w:rsidRPr="00EF7033">
              <w:t>● $</w:t>
            </w:r>
          </w:p>
        </w:tc>
        <w:tc>
          <w:tcPr>
            <w:tcW w:w="4675" w:type="dxa"/>
          </w:tcPr>
          <w:p w14:paraId="0E0C1BED" w14:textId="3377AF6A" w:rsidR="00F0406C" w:rsidRPr="00EF7033" w:rsidRDefault="00037D07" w:rsidP="00E5787D">
            <w:pPr>
              <w:pStyle w:val="BodyText"/>
              <w:spacing w:after="0"/>
              <w:jc w:val="right"/>
            </w:pPr>
            <w:r w:rsidRPr="00EF7033">
              <w:t xml:space="preserve">Le </w:t>
            </w:r>
            <w:r w:rsidR="00073CFA" w:rsidRPr="00EF7033">
              <w:t xml:space="preserve">● </w:t>
            </w:r>
            <w:r w:rsidR="00073CFA" w:rsidRPr="00060926">
              <w:t>20</w:t>
            </w:r>
            <w:r w:rsidR="00073CFA" w:rsidRPr="00EF7033">
              <w:t>●</w:t>
            </w:r>
            <w:r w:rsidR="00073CFA" w:rsidRPr="00EF7033">
              <w:br/>
            </w:r>
            <w:r w:rsidR="00073CFA" w:rsidRPr="00EF7033">
              <w:rPr>
                <w:bCs/>
              </w:rPr>
              <w:t>(</w:t>
            </w:r>
            <w:r w:rsidRPr="00EF7033">
              <w:rPr>
                <w:bCs/>
              </w:rPr>
              <w:t>la</w:t>
            </w:r>
            <w:r w:rsidR="00073CFA" w:rsidRPr="00EF7033">
              <w:rPr>
                <w:bCs/>
              </w:rPr>
              <w:t xml:space="preserve"> </w:t>
            </w:r>
            <w:r w:rsidR="00313A99" w:rsidRPr="00EF7033">
              <w:t>« </w:t>
            </w:r>
            <w:r w:rsidR="005956FF" w:rsidRPr="00EF7033">
              <w:rPr>
                <w:b/>
                <w:bCs/>
              </w:rPr>
              <w:t>Date d’émission</w:t>
            </w:r>
            <w:r w:rsidR="005956FF" w:rsidRPr="00EF7033">
              <w:t> »</w:t>
            </w:r>
            <w:r w:rsidR="00C262A4" w:rsidRPr="00EF7033">
              <w:t>)</w:t>
            </w:r>
          </w:p>
        </w:tc>
      </w:tr>
    </w:tbl>
    <w:p w14:paraId="422F70D5" w14:textId="05DF7F2B" w:rsidR="00F0406C" w:rsidRPr="00EF7033" w:rsidRDefault="00ED43AC" w:rsidP="00E5787D">
      <w:pPr>
        <w:pStyle w:val="BodyTextFirstIndent"/>
        <w:spacing w:before="240"/>
      </w:pPr>
      <w:r w:rsidRPr="00EF7033">
        <w:t>Contre valeur reçue</w:t>
      </w:r>
      <w:r w:rsidR="00073CFA" w:rsidRPr="00EF7033">
        <w:t>, ● (</w:t>
      </w:r>
      <w:r w:rsidR="009759BB" w:rsidRPr="00EF7033">
        <w:t xml:space="preserve">la </w:t>
      </w:r>
      <w:r w:rsidR="005956FF" w:rsidRPr="00EF7033">
        <w:t>« </w:t>
      </w:r>
      <w:r w:rsidR="005956FF" w:rsidRPr="00EF7033">
        <w:rPr>
          <w:b/>
        </w:rPr>
        <w:t>Société</w:t>
      </w:r>
      <w:r w:rsidR="005956FF" w:rsidRPr="00EF7033">
        <w:t> »</w:t>
      </w:r>
      <w:r w:rsidR="00C262A4" w:rsidRPr="00EF7033">
        <w:t>)</w:t>
      </w:r>
      <w:r w:rsidR="00073CFA" w:rsidRPr="00EF7033">
        <w:t xml:space="preserve"> </w:t>
      </w:r>
      <w:r w:rsidRPr="00EF7033">
        <w:t xml:space="preserve">s’engage à payer à l’ordre de </w:t>
      </w:r>
      <w:r w:rsidR="00073CFA" w:rsidRPr="00EF7033">
        <w:t>● (</w:t>
      </w:r>
      <w:r w:rsidR="005D1F30" w:rsidRPr="00EF7033">
        <w:t>le</w:t>
      </w:r>
      <w:r w:rsidR="00073CFA" w:rsidRPr="00EF7033">
        <w:t xml:space="preserve"> </w:t>
      </w:r>
      <w:r w:rsidR="005956FF" w:rsidRPr="00EF7033">
        <w:t>« </w:t>
      </w:r>
      <w:r w:rsidRPr="00EF7033">
        <w:rPr>
          <w:b/>
        </w:rPr>
        <w:t>Porteur</w:t>
      </w:r>
      <w:r w:rsidR="005956FF" w:rsidRPr="00EF7033">
        <w:t> »</w:t>
      </w:r>
      <w:r w:rsidR="00C262A4" w:rsidRPr="00EF7033">
        <w:t>)</w:t>
      </w:r>
      <w:r w:rsidR="005D1F30" w:rsidRPr="00EF7033">
        <w:t xml:space="preserve"> </w:t>
      </w:r>
      <w:r w:rsidR="00313A99" w:rsidRPr="00EF7033">
        <w:t>le</w:t>
      </w:r>
      <w:r w:rsidR="005D1F30" w:rsidRPr="00EF7033">
        <w:t xml:space="preserve"> capital d’un montant de </w:t>
      </w:r>
      <w:r w:rsidR="00A02708" w:rsidRPr="00EF7033">
        <w:t>● $</w:t>
      </w:r>
      <w:r w:rsidR="00073CFA" w:rsidRPr="00EF7033">
        <w:t xml:space="preserve"> (</w:t>
      </w:r>
      <w:r w:rsidR="009759BB" w:rsidRPr="00EF7033">
        <w:t>le</w:t>
      </w:r>
      <w:r w:rsidR="00073CFA" w:rsidRPr="00EF7033">
        <w:t xml:space="preserve"> </w:t>
      </w:r>
      <w:r w:rsidR="005956FF" w:rsidRPr="00EF7033">
        <w:t>« </w:t>
      </w:r>
      <w:r w:rsidR="005956FF" w:rsidRPr="00EF7033">
        <w:rPr>
          <w:b/>
        </w:rPr>
        <w:t>Capital</w:t>
      </w:r>
      <w:r w:rsidR="005956FF" w:rsidRPr="00EF7033">
        <w:t> »</w:t>
      </w:r>
      <w:r w:rsidR="00073CFA" w:rsidRPr="00EF7033">
        <w:t>)</w:t>
      </w:r>
      <w:r w:rsidR="00073CFA" w:rsidRPr="00060926">
        <w:rPr>
          <w:rStyle w:val="FootnoteReference"/>
        </w:rPr>
        <w:footnoteReference w:id="2"/>
      </w:r>
      <w:r w:rsidR="00073CFA" w:rsidRPr="00EF7033">
        <w:t xml:space="preserve">, </w:t>
      </w:r>
      <w:r w:rsidR="005D1F30" w:rsidRPr="00EF7033">
        <w:t>ainsi que l</w:t>
      </w:r>
      <w:r w:rsidR="00313A99" w:rsidRPr="00EF7033">
        <w:t xml:space="preserve">es </w:t>
      </w:r>
      <w:r w:rsidR="005D1F30" w:rsidRPr="00EF7033">
        <w:t>intérêt</w:t>
      </w:r>
      <w:r w:rsidR="00313A99" w:rsidRPr="00EF7033">
        <w:t>s</w:t>
      </w:r>
      <w:r w:rsidR="005D1F30" w:rsidRPr="00EF7033">
        <w:t xml:space="preserve"> c</w:t>
      </w:r>
      <w:r w:rsidR="004076D7" w:rsidRPr="00EF7033">
        <w:t>ourus</w:t>
      </w:r>
      <w:r w:rsidR="005D1F30" w:rsidRPr="00EF7033">
        <w:t xml:space="preserve"> sur le Capital tel qu’il est prévu à l’article </w:t>
      </w:r>
      <w:r w:rsidR="00073CFA" w:rsidRPr="00060926">
        <w:fldChar w:fldCharType="begin"/>
      </w:r>
      <w:r w:rsidR="00073CFA" w:rsidRPr="00060926">
        <w:instrText xml:space="preserve"> REF _Ref27838513 \w \h </w:instrText>
      </w:r>
      <w:r w:rsidR="00073CFA" w:rsidRPr="00060926">
        <w:fldChar w:fldCharType="separate"/>
      </w:r>
      <w:r w:rsidR="00BF3E18">
        <w:t>2</w:t>
      </w:r>
      <w:r w:rsidR="00073CFA" w:rsidRPr="00060926">
        <w:fldChar w:fldCharType="end"/>
      </w:r>
      <w:r w:rsidR="00073CFA" w:rsidRPr="00EF7033">
        <w:t xml:space="preserve"> </w:t>
      </w:r>
      <w:r w:rsidR="005D1F30" w:rsidRPr="00EF7033">
        <w:t>ci</w:t>
      </w:r>
      <w:r w:rsidR="005D1F30" w:rsidRPr="00EF7033">
        <w:noBreakHyphen/>
        <w:t>dessous</w:t>
      </w:r>
      <w:r w:rsidR="00073CFA" w:rsidRPr="00EF7033">
        <w:t xml:space="preserve">. </w:t>
      </w:r>
      <w:r w:rsidR="005D1F30" w:rsidRPr="00EF7033">
        <w:t>Le présent Billet</w:t>
      </w:r>
      <w:r w:rsidR="00073CFA" w:rsidRPr="00EF7033">
        <w:t xml:space="preserve"> </w:t>
      </w:r>
      <w:r w:rsidR="005D1F30" w:rsidRPr="00EF7033">
        <w:t>est soumis aux modalités et conditions suivantes</w:t>
      </w:r>
      <w:r w:rsidR="00073CFA" w:rsidRPr="00060926">
        <w:rPr>
          <w:rStyle w:val="FootnoteReference"/>
        </w:rPr>
        <w:footnoteReference w:id="3"/>
      </w:r>
      <w:r w:rsidR="009B31F3" w:rsidRPr="00EF7033">
        <w:t> :</w:t>
      </w:r>
    </w:p>
    <w:p w14:paraId="3108627D" w14:textId="222ADF7A" w:rsidR="00F0406C" w:rsidRPr="00060926" w:rsidRDefault="006A2E6A" w:rsidP="00E5787D">
      <w:pPr>
        <w:pStyle w:val="StandardL1"/>
      </w:pPr>
      <w:r w:rsidRPr="00EF7033">
        <w:rPr>
          <w:b/>
          <w:u w:val="single"/>
        </w:rPr>
        <w:t>Émission du Billet</w:t>
      </w:r>
      <w:r w:rsidR="00247407" w:rsidRPr="00EF7033">
        <w:rPr>
          <w:bCs/>
        </w:rPr>
        <w:t>.</w:t>
      </w:r>
      <w:r w:rsidR="00073CFA" w:rsidRPr="00EF7033">
        <w:t xml:space="preserve"> </w:t>
      </w:r>
      <w:r w:rsidRPr="00EF7033">
        <w:t>Le présent</w:t>
      </w:r>
      <w:r w:rsidR="00073CFA" w:rsidRPr="00EF7033">
        <w:t xml:space="preserve"> </w:t>
      </w:r>
      <w:r w:rsidRPr="00EF7033">
        <w:t xml:space="preserve">billet à ordre convertible [garanti] </w:t>
      </w:r>
      <w:r w:rsidR="00073CFA" w:rsidRPr="00EF7033">
        <w:t>(</w:t>
      </w:r>
      <w:r w:rsidRPr="00EF7033">
        <w:t xml:space="preserve">le </w:t>
      </w:r>
      <w:r w:rsidR="005956FF" w:rsidRPr="00EF7033">
        <w:t>« </w:t>
      </w:r>
      <w:r w:rsidRPr="00EF7033">
        <w:rPr>
          <w:b/>
        </w:rPr>
        <w:t>Billet</w:t>
      </w:r>
      <w:r w:rsidR="005956FF" w:rsidRPr="00EF7033">
        <w:t> »</w:t>
      </w:r>
      <w:r w:rsidR="00C262A4" w:rsidRPr="00EF7033">
        <w:t>)</w:t>
      </w:r>
      <w:r w:rsidR="00073CFA" w:rsidRPr="00EF7033">
        <w:t xml:space="preserve"> </w:t>
      </w:r>
      <w:r w:rsidRPr="00EF7033">
        <w:t xml:space="preserve">est </w:t>
      </w:r>
      <w:r w:rsidR="00BE556D" w:rsidRPr="00EF7033">
        <w:t>[</w:t>
      </w:r>
      <w:r w:rsidRPr="00EF7033">
        <w:t>l’un</w:t>
      </w:r>
      <w:r w:rsidR="00073CFA" w:rsidRPr="00EF7033">
        <w:t xml:space="preserve"> </w:t>
      </w:r>
      <w:r w:rsidR="00BE556D" w:rsidRPr="00EF7033">
        <w:t xml:space="preserve">d’une série de billets à ordre convertibles </w:t>
      </w:r>
      <w:r w:rsidRPr="00EF7033">
        <w:t>[garanti</w:t>
      </w:r>
      <w:r w:rsidR="00BE556D" w:rsidRPr="00EF7033">
        <w:t>s</w:t>
      </w:r>
      <w:r w:rsidRPr="00EF7033">
        <w:t>]</w:t>
      </w:r>
      <w:r w:rsidR="00073CFA" w:rsidRPr="00EF7033">
        <w:t xml:space="preserve"> </w:t>
      </w:r>
      <w:r w:rsidR="00BE556D" w:rsidRPr="00EF7033">
        <w:t>comportant des modalités et conditions essentiellement identiques</w:t>
      </w:r>
      <w:bookmarkStart w:id="0" w:name="_Ref119419833"/>
      <w:r w:rsidR="00073CFA" w:rsidRPr="00060926">
        <w:rPr>
          <w:rStyle w:val="FootnoteReference"/>
        </w:rPr>
        <w:footnoteReference w:id="4"/>
      </w:r>
      <w:bookmarkEnd w:id="0"/>
      <w:r w:rsidR="00073CFA" w:rsidRPr="00EF7033">
        <w:t xml:space="preserve">] </w:t>
      </w:r>
      <w:r w:rsidR="00BE556D" w:rsidRPr="00EF7033">
        <w:t>émis aux termes d’une convention d’achat de billets</w:t>
      </w:r>
      <w:r w:rsidR="00073CFA" w:rsidRPr="00EF7033">
        <w:t xml:space="preserve"> </w:t>
      </w:r>
      <w:r w:rsidR="00BE556D" w:rsidRPr="00EF7033">
        <w:t>datée du</w:t>
      </w:r>
      <w:r w:rsidR="00073CFA" w:rsidRPr="00EF7033">
        <w:t xml:space="preserve"> ●</w:t>
      </w:r>
      <w:r w:rsidR="00BE556D" w:rsidRPr="00EF7033">
        <w:t> </w:t>
      </w:r>
      <w:r w:rsidR="00073CFA" w:rsidRPr="00060926">
        <w:t>20</w:t>
      </w:r>
      <w:r w:rsidR="00073CFA" w:rsidRPr="00EF7033">
        <w:t xml:space="preserve">● </w:t>
      </w:r>
      <w:r w:rsidR="00BE556D" w:rsidRPr="00EF7033">
        <w:t xml:space="preserve">intervenue entre la </w:t>
      </w:r>
      <w:r w:rsidR="005956FF" w:rsidRPr="00EF7033">
        <w:t>Société</w:t>
      </w:r>
      <w:r w:rsidR="00073CFA" w:rsidRPr="00EF7033">
        <w:t xml:space="preserve"> </w:t>
      </w:r>
      <w:r w:rsidR="00BE556D" w:rsidRPr="00EF7033">
        <w:t>et le Porteur</w:t>
      </w:r>
      <w:r w:rsidR="00073CFA" w:rsidRPr="00EF7033">
        <w:t xml:space="preserve">[, </w:t>
      </w:r>
      <w:r w:rsidR="00BE556D" w:rsidRPr="00EF7033">
        <w:t>entre autres</w:t>
      </w:r>
      <w:r w:rsidR="00073CFA" w:rsidRPr="00EF7033">
        <w:t>] (</w:t>
      </w:r>
      <w:r w:rsidR="00BE556D" w:rsidRPr="00EF7033">
        <w:t>la</w:t>
      </w:r>
      <w:r w:rsidR="00073CFA" w:rsidRPr="00EF7033">
        <w:t xml:space="preserve"> </w:t>
      </w:r>
      <w:r w:rsidR="005956FF" w:rsidRPr="00EF7033">
        <w:t>« </w:t>
      </w:r>
      <w:r w:rsidR="00BE556D" w:rsidRPr="00EF7033">
        <w:rPr>
          <w:b/>
        </w:rPr>
        <w:t>Convention d’achat</w:t>
      </w:r>
      <w:r w:rsidR="005956FF" w:rsidRPr="00EF7033">
        <w:t> »</w:t>
      </w:r>
      <w:r w:rsidR="00073CFA" w:rsidRPr="00EF7033">
        <w:t>)</w:t>
      </w:r>
      <w:r w:rsidR="00073CFA" w:rsidRPr="00060926">
        <w:rPr>
          <w:rStyle w:val="FootnoteReference"/>
        </w:rPr>
        <w:footnoteReference w:id="5"/>
      </w:r>
      <w:r w:rsidR="00073CFA" w:rsidRPr="00EF7033">
        <w:t>. [</w:t>
      </w:r>
      <w:r w:rsidR="00681F16" w:rsidRPr="00EF7033">
        <w:t>Tous les</w:t>
      </w:r>
      <w:r w:rsidR="00073CFA" w:rsidRPr="00EF7033">
        <w:t xml:space="preserve"> </w:t>
      </w:r>
      <w:r w:rsidR="00BE556D" w:rsidRPr="00EF7033">
        <w:t>billets à ordre convertibles</w:t>
      </w:r>
      <w:r w:rsidR="00073CFA" w:rsidRPr="00EF7033">
        <w:t xml:space="preserve"> </w:t>
      </w:r>
      <w:r w:rsidR="00681F16" w:rsidRPr="00EF7033">
        <w:t xml:space="preserve">émis sont appelés collectivement aux présentes les </w:t>
      </w:r>
      <w:r w:rsidR="005956FF" w:rsidRPr="00EF7033">
        <w:t>« </w:t>
      </w:r>
      <w:r w:rsidR="00681F16" w:rsidRPr="00EF7033">
        <w:rPr>
          <w:b/>
        </w:rPr>
        <w:t>Billets</w:t>
      </w:r>
      <w:r w:rsidR="005956FF" w:rsidRPr="00EF7033">
        <w:t> »</w:t>
      </w:r>
      <w:r w:rsidR="00681F16" w:rsidRPr="00EF7033">
        <w:t xml:space="preserve"> et leurs porteurs sont appelés collectivement aux présentes les </w:t>
      </w:r>
      <w:r w:rsidR="005956FF" w:rsidRPr="00EF7033">
        <w:t>« </w:t>
      </w:r>
      <w:r w:rsidR="00ED43AC" w:rsidRPr="00EF7033">
        <w:rPr>
          <w:b/>
        </w:rPr>
        <w:t>Porteur</w:t>
      </w:r>
      <w:r w:rsidR="00073CFA" w:rsidRPr="00EF7033">
        <w:rPr>
          <w:b/>
        </w:rPr>
        <w:t>s</w:t>
      </w:r>
      <w:r w:rsidR="005956FF" w:rsidRPr="00EF7033">
        <w:t> »</w:t>
      </w:r>
      <w:r w:rsidR="00073CFA" w:rsidRPr="00EF7033">
        <w:t>.]</w:t>
      </w:r>
    </w:p>
    <w:p w14:paraId="29B722D0" w14:textId="30E1AB21" w:rsidR="00F0406C" w:rsidRPr="00060926" w:rsidRDefault="00C4195C" w:rsidP="00E5787D">
      <w:pPr>
        <w:pStyle w:val="StandardL1"/>
      </w:pPr>
      <w:bookmarkStart w:id="1" w:name="_Ref27838513"/>
      <w:r w:rsidRPr="00EF7033">
        <w:rPr>
          <w:b/>
          <w:u w:val="single"/>
        </w:rPr>
        <w:t>Intérêt</w:t>
      </w:r>
      <w:r w:rsidR="00546AB8" w:rsidRPr="00EF7033">
        <w:rPr>
          <w:b/>
          <w:u w:val="single"/>
        </w:rPr>
        <w:t>s</w:t>
      </w:r>
      <w:r w:rsidR="00247407" w:rsidRPr="00EF7033">
        <w:rPr>
          <w:bCs/>
        </w:rPr>
        <w:t>.</w:t>
      </w:r>
      <w:r w:rsidR="00073CFA" w:rsidRPr="00EF7033">
        <w:t xml:space="preserve"> </w:t>
      </w:r>
      <w:r w:rsidRPr="00EF7033">
        <w:t>L</w:t>
      </w:r>
      <w:r w:rsidR="00313A99" w:rsidRPr="00EF7033">
        <w:t xml:space="preserve">es </w:t>
      </w:r>
      <w:r w:rsidRPr="00EF7033">
        <w:t>intérêt</w:t>
      </w:r>
      <w:r w:rsidR="00313A99" w:rsidRPr="00EF7033">
        <w:t>s</w:t>
      </w:r>
      <w:r w:rsidRPr="00EF7033">
        <w:t xml:space="preserve"> courr</w:t>
      </w:r>
      <w:r w:rsidR="00313A99" w:rsidRPr="00EF7033">
        <w:t>ont</w:t>
      </w:r>
      <w:r w:rsidRPr="00EF7033">
        <w:t xml:space="preserve"> sur le solde du </w:t>
      </w:r>
      <w:r w:rsidR="005956FF" w:rsidRPr="00EF7033">
        <w:t>Capital</w:t>
      </w:r>
      <w:r w:rsidR="00073CFA" w:rsidRPr="00EF7033">
        <w:t xml:space="preserve"> </w:t>
      </w:r>
      <w:r w:rsidR="00546AB8" w:rsidRPr="00EF7033">
        <w:t>impayé</w:t>
      </w:r>
      <w:r w:rsidRPr="00EF7033">
        <w:t xml:space="preserve"> de temps à autre </w:t>
      </w:r>
      <w:r w:rsidR="003C4988" w:rsidRPr="00EF7033">
        <w:t>au taux de</w:t>
      </w:r>
      <w:r w:rsidR="00073CFA" w:rsidRPr="00EF7033">
        <w:t xml:space="preserve"> ●</w:t>
      </w:r>
      <w:r w:rsidR="00CB696A" w:rsidRPr="00EF7033">
        <w:t> %</w:t>
      </w:r>
      <w:r w:rsidR="00073CFA" w:rsidRPr="00EF7033">
        <w:t xml:space="preserve"> </w:t>
      </w:r>
      <w:r w:rsidR="003C4988" w:rsidRPr="00EF7033">
        <w:t>par année</w:t>
      </w:r>
      <w:r w:rsidR="00073CFA" w:rsidRPr="00EF7033">
        <w:t xml:space="preserve">, </w:t>
      </w:r>
      <w:r w:rsidR="003C4988" w:rsidRPr="00EF7033">
        <w:t xml:space="preserve">calculé en fonction d’une année de </w:t>
      </w:r>
      <w:r w:rsidR="003C4988" w:rsidRPr="00060926">
        <w:t>365</w:t>
      </w:r>
      <w:r w:rsidR="003C4988" w:rsidRPr="00EF7033">
        <w:t xml:space="preserve"> jours et du nombre de jours réellement écoulés [et composé </w:t>
      </w:r>
      <w:r w:rsidR="00142586">
        <w:t>[</w:t>
      </w:r>
      <w:r w:rsidR="003C4988" w:rsidRPr="00EF7033">
        <w:t xml:space="preserve">annuellement]], à compter de la </w:t>
      </w:r>
      <w:r w:rsidR="005956FF" w:rsidRPr="00EF7033">
        <w:t>Date d’émission</w:t>
      </w:r>
      <w:r w:rsidR="00073CFA" w:rsidRPr="00EF7033">
        <w:t xml:space="preserve"> </w:t>
      </w:r>
      <w:r w:rsidR="003C4988" w:rsidRPr="00EF7033">
        <w:t>jusqu’à la</w:t>
      </w:r>
      <w:r w:rsidR="00073CFA" w:rsidRPr="00EF7033">
        <w:t xml:space="preserve"> conversion </w:t>
      </w:r>
      <w:r w:rsidR="003C4988" w:rsidRPr="00EF7033">
        <w:t xml:space="preserve">ou </w:t>
      </w:r>
      <w:r w:rsidR="00546AB8" w:rsidRPr="00EF7033">
        <w:t>au</w:t>
      </w:r>
      <w:r w:rsidR="003C4988" w:rsidRPr="00EF7033">
        <w:t xml:space="preserve"> paiement complet, dans les deux cas avant et après l’échéance, un défaut ou un jugement</w:t>
      </w:r>
      <w:r w:rsidR="00073CFA" w:rsidRPr="00EF7033">
        <w:t>.</w:t>
      </w:r>
      <w:bookmarkEnd w:id="1"/>
    </w:p>
    <w:p w14:paraId="71BF5163" w14:textId="1D85714C" w:rsidR="00F0406C" w:rsidRPr="00060926" w:rsidRDefault="005D1F30" w:rsidP="00E5787D">
      <w:pPr>
        <w:pStyle w:val="StandardL1"/>
      </w:pPr>
      <w:r w:rsidRPr="00EF7033">
        <w:rPr>
          <w:b/>
          <w:u w:val="single"/>
        </w:rPr>
        <w:lastRenderedPageBreak/>
        <w:t>Date d’échéance</w:t>
      </w:r>
      <w:r w:rsidR="00247407" w:rsidRPr="00EF7033">
        <w:rPr>
          <w:bCs/>
        </w:rPr>
        <w:t>.</w:t>
      </w:r>
      <w:r w:rsidR="00073CFA" w:rsidRPr="00EF7033">
        <w:t xml:space="preserve"> </w:t>
      </w:r>
      <w:r w:rsidR="00951D92" w:rsidRPr="00EF7033">
        <w:t>Si</w:t>
      </w:r>
      <w:r w:rsidR="00073CFA" w:rsidRPr="00EF7033">
        <w:t xml:space="preserve"> </w:t>
      </w:r>
      <w:r w:rsidR="001267F4" w:rsidRPr="00EF7033">
        <w:t>le présent Billet</w:t>
      </w:r>
      <w:r w:rsidR="00073CFA" w:rsidRPr="00EF7033">
        <w:t xml:space="preserve"> </w:t>
      </w:r>
      <w:r w:rsidR="00951D92" w:rsidRPr="00EF7033">
        <w:t xml:space="preserve">n’est pas converti antérieurement </w:t>
      </w:r>
      <w:r w:rsidRPr="00EF7033">
        <w:t>conformément à l’article </w:t>
      </w:r>
      <w:r w:rsidR="00073CFA" w:rsidRPr="00060926">
        <w:fldChar w:fldCharType="begin"/>
      </w:r>
      <w:r w:rsidR="00073CFA" w:rsidRPr="00060926">
        <w:instrText xml:space="preserve"> REF _Ref27811908 \r \h  \* MERGEFORMAT </w:instrText>
      </w:r>
      <w:r w:rsidR="00073CFA" w:rsidRPr="00060926">
        <w:fldChar w:fldCharType="separate"/>
      </w:r>
      <w:r w:rsidR="00BF3E18">
        <w:t>4</w:t>
      </w:r>
      <w:r w:rsidR="00073CFA" w:rsidRPr="00060926">
        <w:fldChar w:fldCharType="end"/>
      </w:r>
      <w:r w:rsidR="00073CFA" w:rsidRPr="00EF7033">
        <w:t xml:space="preserve">, </w:t>
      </w:r>
      <w:r w:rsidR="00951D92" w:rsidRPr="00EF7033">
        <w:t>tout le Capital impayé</w:t>
      </w:r>
      <w:r w:rsidR="008C4F45" w:rsidRPr="00EF7033">
        <w:t>, majoré des</w:t>
      </w:r>
      <w:r w:rsidR="00313A99" w:rsidRPr="00EF7033">
        <w:t xml:space="preserve"> </w:t>
      </w:r>
      <w:r w:rsidR="00951D92" w:rsidRPr="00EF7033">
        <w:t>intérêt</w:t>
      </w:r>
      <w:r w:rsidR="00313A99" w:rsidRPr="00EF7033">
        <w:t>s</w:t>
      </w:r>
      <w:r w:rsidR="00951D92" w:rsidRPr="00EF7033">
        <w:t xml:space="preserve"> </w:t>
      </w:r>
      <w:r w:rsidR="00C265C7" w:rsidRPr="00EF7033">
        <w:t>courus</w:t>
      </w:r>
      <w:r w:rsidR="00951D92" w:rsidRPr="00EF7033">
        <w:t xml:space="preserve"> et impayé</w:t>
      </w:r>
      <w:r w:rsidR="00313A99" w:rsidRPr="00EF7033">
        <w:t>s</w:t>
      </w:r>
      <w:r w:rsidR="00951D92" w:rsidRPr="00EF7033">
        <w:t xml:space="preserve"> et toutes les autres sommes alors dues </w:t>
      </w:r>
      <w:r w:rsidR="00A02708" w:rsidRPr="00EF7033">
        <w:t>aux termes du présent Billet</w:t>
      </w:r>
      <w:r w:rsidR="00073CFA" w:rsidRPr="00EF7033">
        <w:t xml:space="preserve"> </w:t>
      </w:r>
      <w:r w:rsidR="00951D92" w:rsidRPr="00EF7033">
        <w:t xml:space="preserve">deviendront immédiatement </w:t>
      </w:r>
      <w:r w:rsidR="00C265C7" w:rsidRPr="00EF7033">
        <w:t>exigibles</w:t>
      </w:r>
      <w:r w:rsidR="00951D92" w:rsidRPr="00EF7033">
        <w:t xml:space="preserve"> à la date qui tombe </w:t>
      </w:r>
      <w:r w:rsidR="00073CFA" w:rsidRPr="00EF7033">
        <w:t>[●</w:t>
      </w:r>
      <w:r w:rsidR="00951D92" w:rsidRPr="00EF7033">
        <w:t> mois</w:t>
      </w:r>
      <w:r w:rsidR="00073CFA" w:rsidRPr="00EF7033">
        <w:t>]</w:t>
      </w:r>
      <w:r w:rsidR="00951D92" w:rsidRPr="00EF7033">
        <w:t xml:space="preserve"> </w:t>
      </w:r>
      <w:r w:rsidR="00C265C7" w:rsidRPr="00EF7033">
        <w:t>après la</w:t>
      </w:r>
      <w:r w:rsidR="00951D92" w:rsidRPr="00EF7033">
        <w:t xml:space="preserve"> </w:t>
      </w:r>
      <w:r w:rsidR="005956FF" w:rsidRPr="00EF7033">
        <w:t>Date d’émission</w:t>
      </w:r>
      <w:r w:rsidR="00073CFA" w:rsidRPr="00EF7033">
        <w:t xml:space="preserve"> (</w:t>
      </w:r>
      <w:r w:rsidR="00513686" w:rsidRPr="00EF7033">
        <w:t>la</w:t>
      </w:r>
      <w:r w:rsidR="00073CFA" w:rsidRPr="00EF7033">
        <w:t xml:space="preserve"> </w:t>
      </w:r>
      <w:r w:rsidR="005956FF" w:rsidRPr="00EF7033">
        <w:t>« </w:t>
      </w:r>
      <w:r w:rsidRPr="00EF7033">
        <w:rPr>
          <w:b/>
        </w:rPr>
        <w:t>Date d’échéance</w:t>
      </w:r>
      <w:r w:rsidR="005956FF" w:rsidRPr="00EF7033">
        <w:t> »</w:t>
      </w:r>
      <w:r w:rsidR="00C262A4" w:rsidRPr="00EF7033">
        <w:t>)</w:t>
      </w:r>
      <w:r w:rsidR="00073CFA" w:rsidRPr="00EF7033">
        <w:t>.</w:t>
      </w:r>
    </w:p>
    <w:p w14:paraId="53A23C46" w14:textId="79F26F6A" w:rsidR="00F0406C" w:rsidRPr="00060926" w:rsidRDefault="00073CFA" w:rsidP="00EF7033">
      <w:pPr>
        <w:pStyle w:val="StandardL1"/>
        <w:keepNext/>
        <w:rPr>
          <w:b/>
          <w:u w:val="single"/>
        </w:rPr>
      </w:pPr>
      <w:bookmarkStart w:id="2" w:name="_Ref27811908"/>
      <w:r w:rsidRPr="00EF7033">
        <w:rPr>
          <w:b/>
          <w:u w:val="single"/>
        </w:rPr>
        <w:t>Conversion</w:t>
      </w:r>
      <w:r w:rsidRPr="00060926">
        <w:rPr>
          <w:rStyle w:val="FootnoteReference"/>
          <w:bCs/>
          <w:u w:val="single"/>
        </w:rPr>
        <w:footnoteReference w:id="6"/>
      </w:r>
      <w:r w:rsidR="00247407" w:rsidRPr="00EF7033">
        <w:rPr>
          <w:bCs/>
        </w:rPr>
        <w:t>.</w:t>
      </w:r>
      <w:bookmarkEnd w:id="2"/>
    </w:p>
    <w:p w14:paraId="11EF2645" w14:textId="1EB7B447" w:rsidR="00F0406C" w:rsidRPr="00060926" w:rsidRDefault="00073CFA" w:rsidP="004D1DAF">
      <w:pPr>
        <w:pStyle w:val="StandardL2"/>
      </w:pPr>
      <w:bookmarkStart w:id="3" w:name="_Ref27817000"/>
      <w:r w:rsidRPr="00EF7033">
        <w:rPr>
          <w:u w:val="single"/>
        </w:rPr>
        <w:t>D</w:t>
      </w:r>
      <w:r w:rsidR="00CB696A" w:rsidRPr="00EF7033">
        <w:rPr>
          <w:u w:val="single"/>
        </w:rPr>
        <w:t>éf</w:t>
      </w:r>
      <w:r w:rsidRPr="00EF7033">
        <w:rPr>
          <w:u w:val="single"/>
        </w:rPr>
        <w:t>initions</w:t>
      </w:r>
      <w:r w:rsidR="00247407" w:rsidRPr="00EF7033">
        <w:t>.</w:t>
      </w:r>
      <w:r w:rsidRPr="00EF7033">
        <w:t xml:space="preserve"> </w:t>
      </w:r>
      <w:r w:rsidR="009B31F3" w:rsidRPr="00EF7033">
        <w:t>Dans le présent Billet :</w:t>
      </w:r>
    </w:p>
    <w:p w14:paraId="7AFFFC35" w14:textId="2EFC7B75" w:rsidR="00EF7033" w:rsidRPr="00060926" w:rsidRDefault="00EF7033" w:rsidP="00FA4DCB">
      <w:pPr>
        <w:pStyle w:val="StandardL3"/>
      </w:pPr>
      <w:r w:rsidRPr="00EF7033">
        <w:t>« </w:t>
      </w:r>
      <w:r w:rsidRPr="00EF7033">
        <w:rPr>
          <w:b/>
        </w:rPr>
        <w:t>Actions émises dans le cadre du financement admissible</w:t>
      </w:r>
      <w:r w:rsidRPr="00EF7033">
        <w:t> » désigne les actions de la catégorie ou de la série d’actions du capital de la Société qui sont émises dans le cadre du Financement admissible</w:t>
      </w:r>
      <w:r>
        <w:t>.</w:t>
      </w:r>
    </w:p>
    <w:p w14:paraId="497B6F38" w14:textId="0637201A" w:rsidR="00EF7033" w:rsidRPr="00060926" w:rsidRDefault="00EF7033" w:rsidP="00260060">
      <w:pPr>
        <w:pStyle w:val="StandardL3"/>
      </w:pPr>
      <w:r w:rsidRPr="00EF7033">
        <w:t>« </w:t>
      </w:r>
      <w:r w:rsidRPr="00015650">
        <w:rPr>
          <w:b/>
        </w:rPr>
        <w:t>Actions issues de la conversion</w:t>
      </w:r>
      <w:r w:rsidRPr="00EF7033">
        <w:t> » désigne les actions du capital de la Société émises ou pouvant être émises à la conversion du Montant impayé</w:t>
      </w:r>
      <w:r>
        <w:t>.</w:t>
      </w:r>
    </w:p>
    <w:p w14:paraId="110BDAE8" w14:textId="5D8106F2" w:rsidR="00EF7033" w:rsidRPr="00060926" w:rsidRDefault="00EF7033" w:rsidP="00EF7033">
      <w:pPr>
        <w:pStyle w:val="StandardL3"/>
      </w:pPr>
      <w:r w:rsidRPr="00EF7033">
        <w:t>[« </w:t>
      </w:r>
      <w:r w:rsidRPr="00015650">
        <w:rPr>
          <w:b/>
        </w:rPr>
        <w:t>Actions issues de la conversion</w:t>
      </w:r>
      <w:r w:rsidRPr="00EF7033">
        <w:rPr>
          <w:b/>
        </w:rPr>
        <w:t xml:space="preserve"> dans le cadre du financement admissible</w:t>
      </w:r>
      <w:r w:rsidRPr="00EF7033">
        <w:t> » désigne les actions d’une série de la même catégorie que les Actions émises dans le cadre du financement admissible et comportant des droits, des privilèges, des priorités et des restrictions identiques à ceux que comportent les Actions émises dans le cadre du financement admissible, sauf que le prix d’émission initial des Actions issues de la conversion dans le cadre du financement admissible pour les besoins (</w:t>
      </w:r>
      <w:r w:rsidRPr="00060926">
        <w:t>A</w:t>
      </w:r>
      <w:r w:rsidRPr="00EF7033">
        <w:t xml:space="preserve">) de la </w:t>
      </w:r>
      <w:r w:rsidRPr="00EF7033">
        <w:rPr>
          <w:szCs w:val="22"/>
        </w:rPr>
        <w:t>priorité par action en cas de liquidation, (</w:t>
      </w:r>
      <w:r w:rsidRPr="00060926">
        <w:rPr>
          <w:szCs w:val="22"/>
        </w:rPr>
        <w:t>B</w:t>
      </w:r>
      <w:r w:rsidRPr="00EF7033">
        <w:rPr>
          <w:szCs w:val="22"/>
        </w:rPr>
        <w:t>) du prix de conversion initial à l’égard de la protection antidilution fondée sur le prix, et (</w:t>
      </w:r>
      <w:r w:rsidRPr="00060926">
        <w:rPr>
          <w:szCs w:val="22"/>
        </w:rPr>
        <w:t>C</w:t>
      </w:r>
      <w:r w:rsidRPr="00EF7033">
        <w:rPr>
          <w:szCs w:val="22"/>
        </w:rPr>
        <w:t xml:space="preserve">) de tous droits à des dividendes rattachés aux Actions issues de la conversion dans le cadre du financement admissible </w:t>
      </w:r>
      <w:r w:rsidRPr="00EF7033">
        <w:t>sera égal au Prix dans le cadre du financement admissible ou fondé proportionnellement sur le Prix dans le cadre du financement admissible</w:t>
      </w:r>
      <w:r>
        <w:t>.</w:t>
      </w:r>
      <w:r w:rsidRPr="00EF7033">
        <w:t>]</w:t>
      </w:r>
    </w:p>
    <w:p w14:paraId="1F669BD3" w14:textId="6C305B1A" w:rsidR="00EF7033" w:rsidRPr="00060926" w:rsidRDefault="00EF7033" w:rsidP="00260060">
      <w:pPr>
        <w:pStyle w:val="StandardL3"/>
      </w:pPr>
      <w:r w:rsidRPr="00EF7033">
        <w:t>« </w:t>
      </w:r>
      <w:r w:rsidRPr="00EF7033">
        <w:rPr>
          <w:b/>
        </w:rPr>
        <w:t>Actions ordinaires</w:t>
      </w:r>
      <w:r w:rsidRPr="00EF7033">
        <w:t> » désigne les actions ordinaires du capital de la Société</w:t>
      </w:r>
      <w:r>
        <w:t>.</w:t>
      </w:r>
    </w:p>
    <w:p w14:paraId="3E74B762" w14:textId="7A149127" w:rsidR="00EF7033" w:rsidRPr="00060926" w:rsidRDefault="00EF7033" w:rsidP="00260060">
      <w:pPr>
        <w:pStyle w:val="StandardL3"/>
      </w:pPr>
      <w:r w:rsidRPr="00EF7033">
        <w:t>« </w:t>
      </w:r>
      <w:r w:rsidRPr="00EF7033">
        <w:rPr>
          <w:b/>
        </w:rPr>
        <w:t>Capitalisation après dilution</w:t>
      </w:r>
      <w:r w:rsidRPr="00EF7033">
        <w:t> » désigne le nombre total d’Actions ordinaires en circulation, calculé après dilution, en présumant que tous les titres convertibles en Actions ordinaires [sauf les Billets] seront convertis et que toutes les options et tous les bons de souscription [dont les droits sont acquis] en cours seront exercés [, y compris toutes les actions réservées aux fins d’émissions futures en vertu de l’ensemble des régimes d’options d’achat d’actions et autres régimes de rémunération fondés sur des titres de capitaux propres de la Société]</w:t>
      </w:r>
      <w:r>
        <w:t>.</w:t>
      </w:r>
    </w:p>
    <w:p w14:paraId="1EABFA41" w14:textId="74140C64" w:rsidR="00EF7033" w:rsidRPr="00060926" w:rsidRDefault="00EF7033" w:rsidP="00260060">
      <w:pPr>
        <w:pStyle w:val="StandardL3"/>
      </w:pPr>
      <w:r w:rsidRPr="00EF7033">
        <w:t>« </w:t>
      </w:r>
      <w:r w:rsidRPr="00EF7033">
        <w:rPr>
          <w:b/>
        </w:rPr>
        <w:t>Escompte</w:t>
      </w:r>
      <w:r w:rsidRPr="00EF7033">
        <w:t> » désigne ● %</w:t>
      </w:r>
      <w:r>
        <w:t>.</w:t>
      </w:r>
    </w:p>
    <w:p w14:paraId="0E4B3FE3" w14:textId="77777777" w:rsidR="00EF7033" w:rsidRPr="00060926" w:rsidRDefault="00EF7033" w:rsidP="00EF7033">
      <w:pPr>
        <w:pStyle w:val="StandardL3"/>
        <w:keepNext/>
      </w:pPr>
      <w:r w:rsidRPr="00EF7033">
        <w:t>« </w:t>
      </w:r>
      <w:r w:rsidRPr="00EF7033">
        <w:rPr>
          <w:b/>
        </w:rPr>
        <w:t>Événement de liquidité</w:t>
      </w:r>
      <w:r w:rsidRPr="00EF7033">
        <w:t> » désigne</w:t>
      </w:r>
      <w:r w:rsidRPr="00060926">
        <w:rPr>
          <w:rStyle w:val="FootnoteReference"/>
        </w:rPr>
        <w:footnoteReference w:id="7"/>
      </w:r>
      <w:r w:rsidRPr="00EF7033">
        <w:t> :</w:t>
      </w:r>
    </w:p>
    <w:p w14:paraId="77DEA401" w14:textId="77777777" w:rsidR="00EF7033" w:rsidRPr="00060926" w:rsidRDefault="00EF7033" w:rsidP="00EF7033">
      <w:pPr>
        <w:pStyle w:val="StandardL4"/>
      </w:pPr>
      <w:r w:rsidRPr="00EF7033">
        <w:t>une fusion, un arrangement ou un regroupement dans le cadre duquel :</w:t>
      </w:r>
    </w:p>
    <w:p w14:paraId="3346BD14" w14:textId="77777777" w:rsidR="00EF7033" w:rsidRPr="00060926" w:rsidRDefault="00EF7033" w:rsidP="00EF7033">
      <w:pPr>
        <w:pStyle w:val="StandardL5"/>
      </w:pPr>
      <w:r w:rsidRPr="00EF7033">
        <w:lastRenderedPageBreak/>
        <w:t>la Société est une partie constituante; ou</w:t>
      </w:r>
    </w:p>
    <w:p w14:paraId="3BD06A21" w14:textId="77777777" w:rsidR="00EF7033" w:rsidRPr="00060926" w:rsidRDefault="00EF7033" w:rsidP="00EF7033">
      <w:pPr>
        <w:pStyle w:val="StandardL5"/>
      </w:pPr>
      <w:r w:rsidRPr="00EF7033">
        <w:t>une filiale de la Société est une partie constituante et la Société émet des actions dans le cadre de la fusion, de l’arrangement ou du regroupement,</w:t>
      </w:r>
    </w:p>
    <w:p w14:paraId="458440DD" w14:textId="77777777" w:rsidR="00EF7033" w:rsidRPr="00EF7033" w:rsidRDefault="00EF7033" w:rsidP="00EF7033">
      <w:pPr>
        <w:pStyle w:val="StandardL3"/>
        <w:numPr>
          <w:ilvl w:val="0"/>
          <w:numId w:val="0"/>
        </w:numPr>
        <w:ind w:left="2880"/>
      </w:pPr>
      <w:r w:rsidRPr="00EF7033">
        <w:t>sauf une telle fusion, un tel arrangement ou un tel regroupement qui vise la Société ou une filiale dans le cadre duquel les actions de la Société en circulation immédiatement avant la fusion, l’arrangement ou le regroupement continuent de représenter, ou sont converties ou échangées pour obtenir des actions qui représentent, immédiatement après la fusion, l’arrangement ou le regroupement, au moins la majorité, en fonction des droits de vote, des actions (</w:t>
      </w:r>
      <w:r w:rsidRPr="00060926">
        <w:t>x</w:t>
      </w:r>
      <w:r w:rsidRPr="00EF7033">
        <w:t>) de la société issue de la fusion, de l’arrangement ou du regroupement; ou (</w:t>
      </w:r>
      <w:r w:rsidRPr="00060926">
        <w:t>y</w:t>
      </w:r>
      <w:r w:rsidRPr="00EF7033">
        <w:t>) si la société issue de la fusion, de l’arrangement ou du regroupement est une filiale en propriété exclusive d’une autre société immédiatement après la fusion, l’arrangement ou le regroupement, de la société mère de cette société issue de la fusion, de l’arrangement ou du regroupement;</w:t>
      </w:r>
    </w:p>
    <w:p w14:paraId="7DB9460F" w14:textId="77777777" w:rsidR="00EF7033" w:rsidRPr="00060926" w:rsidRDefault="00EF7033" w:rsidP="00EF7033">
      <w:pPr>
        <w:pStyle w:val="StandardL4"/>
      </w:pPr>
      <w:r w:rsidRPr="00EF7033">
        <w:t>(</w:t>
      </w:r>
      <w:r w:rsidRPr="00060926">
        <w:t>1</w:t>
      </w:r>
      <w:r w:rsidRPr="00EF7033">
        <w:t>) la vente, la location, le transfert, la concession sous licence exclusive ou toute autre disposition, dans le cadre d’une seule opération ou d’une série d’opérations connexes, par la Société ou toute filiale de la Société, de la totalité ou de la quasi-totalité des actifs de la Société et de ses filiales prises dans leur ensemble, ou (</w:t>
      </w:r>
      <w:r w:rsidRPr="00060926">
        <w:t>2</w:t>
      </w:r>
      <w:r w:rsidRPr="00EF7033">
        <w:t>) la vente ou la disposition (que ce soit par fusion, arrangement, regroupement ou autrement et que ce soit dans le cadre d’une seule opération ou d’une série d’opérations connexes) d’une ou de plusieurs filiales de la Société si la quasi-totalité des actifs de la Société et de ses filiales prises dans leur ensemble sont détenus par cette filiale ou ces filiales, sauf lorsque la vente, la location, le transfert, la concession sous licence exclusive ou l’autre disposition s’effectue en faveur d’une filiale en propriété exclusive de la Société; ou</w:t>
      </w:r>
    </w:p>
    <w:p w14:paraId="47C19D3E" w14:textId="017554D7" w:rsidR="00EF7033" w:rsidRPr="00060926" w:rsidRDefault="00EF7033" w:rsidP="00EF7033">
      <w:pPr>
        <w:pStyle w:val="StandardL4"/>
      </w:pPr>
      <w:r w:rsidRPr="00EF7033">
        <w:rPr>
          <w:szCs w:val="24"/>
        </w:rPr>
        <w:t>le placement d’Actions ordinaires auprès du public dans le cadre d’un placement public par voie de prise ferme aux termes d’une déclaration d’inscription en vigueur en vertu de la loi des États</w:t>
      </w:r>
      <w:r w:rsidRPr="00EF7033">
        <w:rPr>
          <w:szCs w:val="24"/>
        </w:rPr>
        <w:noBreakHyphen/>
        <w:t xml:space="preserve">Unis intitulée </w:t>
      </w:r>
      <w:r w:rsidRPr="00EF7033">
        <w:rPr>
          <w:i/>
          <w:iCs/>
          <w:szCs w:val="24"/>
        </w:rPr>
        <w:t>Securities Act of </w:t>
      </w:r>
      <w:r w:rsidRPr="00060926">
        <w:rPr>
          <w:i/>
          <w:iCs/>
          <w:szCs w:val="24"/>
        </w:rPr>
        <w:t>1933</w:t>
      </w:r>
      <w:r w:rsidRPr="00EF7033">
        <w:rPr>
          <w:szCs w:val="24"/>
        </w:rPr>
        <w:t xml:space="preserve">, en sa version modifiée, </w:t>
      </w:r>
      <w:r w:rsidRPr="00EF7033">
        <w:t>et</w:t>
      </w:r>
      <w:r w:rsidRPr="00EF7033">
        <w:rPr>
          <w:szCs w:val="24"/>
        </w:rPr>
        <w:t xml:space="preserve">/ou aux termes d’un prospectus déposé auprès d’une autorité de réglementation des valeurs mobilières de toute province ou de tout territoire du Canada, [à un prix par Action ordinaire qui n’est pas inférieur [à </w:t>
      </w:r>
      <w:r w:rsidRPr="00EF7033">
        <w:t xml:space="preserve">● % du] [au] </w:t>
      </w:r>
      <w:r w:rsidRPr="00EF7033">
        <w:rPr>
          <w:szCs w:val="24"/>
        </w:rPr>
        <w:t>Prix de conversion aux termes d’un événement de liquidité et] qui se traduit par un produit [brut/net] revenant à la Société d’au moins ● $</w:t>
      </w:r>
      <w:r w:rsidRPr="00EF7033">
        <w:t xml:space="preserve">, et dans le cadre duquel les </w:t>
      </w:r>
      <w:r w:rsidRPr="00EF7033">
        <w:rPr>
          <w:szCs w:val="24"/>
        </w:rPr>
        <w:t xml:space="preserve">Actions ordinaires sont inscrites aux fins de négociation au tableau principal du NASDAQ, de la Bourse de New York, de la Bourse de Toronto ou de toute autre bourse ou tout autre marché de valeurs approuvé par le[s] Porteur[s] </w:t>
      </w:r>
      <w:r w:rsidRPr="00EF7033">
        <w:t>[majoritaire[s]]</w:t>
      </w:r>
      <w:r>
        <w:rPr>
          <w:szCs w:val="24"/>
        </w:rPr>
        <w:t>.</w:t>
      </w:r>
    </w:p>
    <w:p w14:paraId="46AC4650" w14:textId="14B8E178" w:rsidR="00EF7033" w:rsidRPr="00060926" w:rsidRDefault="00EF7033" w:rsidP="00FA4DCB">
      <w:pPr>
        <w:pStyle w:val="StandardL3"/>
      </w:pPr>
      <w:r w:rsidRPr="00EF7033">
        <w:t>« </w:t>
      </w:r>
      <w:r w:rsidRPr="00EF7033">
        <w:rPr>
          <w:b/>
        </w:rPr>
        <w:t>Financement admissible</w:t>
      </w:r>
      <w:r w:rsidRPr="00EF7033">
        <w:t xml:space="preserve"> » désigne un financement ultérieur à la Date d’émission aux termes duquel la Société émet une nouvelle catégorie ou série d’actions [privilégiées] et qui se traduit par un produit brut total revenant à la Société d’au moins ● $, [y compris les/exclusion faite des] sommes dues aux </w:t>
      </w:r>
      <w:r w:rsidRPr="00EF7033">
        <w:lastRenderedPageBreak/>
        <w:t>termes du présent Billet et de tous les autres Billets, et des autres titres de créance convertibles en circulation qui sont convertis dans le cadre de ce financement</w:t>
      </w:r>
      <w:r>
        <w:t>.</w:t>
      </w:r>
    </w:p>
    <w:p w14:paraId="5A123577" w14:textId="283F1013" w:rsidR="00EF7033" w:rsidRPr="00060926" w:rsidRDefault="00EF7033" w:rsidP="00FA4DCB">
      <w:pPr>
        <w:pStyle w:val="StandardL3"/>
      </w:pPr>
      <w:r w:rsidRPr="00EF7033">
        <w:t>« </w:t>
      </w:r>
      <w:r w:rsidRPr="00EF7033">
        <w:rPr>
          <w:b/>
        </w:rPr>
        <w:t>Montant impayé</w:t>
      </w:r>
      <w:r w:rsidRPr="00EF7033">
        <w:t> » désigne la totalité du Capital alors en cours et impayé, ainsi que tout intérêt</w:t>
      </w:r>
      <w:r w:rsidRPr="00060926">
        <w:rPr>
          <w:rStyle w:val="FootnoteReference"/>
        </w:rPr>
        <w:footnoteReference w:id="8"/>
      </w:r>
      <w:r w:rsidRPr="00EF7033">
        <w:t xml:space="preserve"> cumulé mais impayé aux termes du présent Billet</w:t>
      </w:r>
      <w:r>
        <w:t>.</w:t>
      </w:r>
    </w:p>
    <w:p w14:paraId="0799FE3C" w14:textId="77777777" w:rsidR="00EF7033" w:rsidRPr="00060926" w:rsidRDefault="00EF7033" w:rsidP="00FA4DCB">
      <w:pPr>
        <w:pStyle w:val="StandardL3"/>
      </w:pPr>
      <w:r w:rsidRPr="00EF7033">
        <w:t>« </w:t>
      </w:r>
      <w:r w:rsidRPr="00EF7033">
        <w:rPr>
          <w:b/>
        </w:rPr>
        <w:t>Plafond d’évaluation</w:t>
      </w:r>
      <w:r w:rsidRPr="00EF7033">
        <w:t> » désigne ● $.</w:t>
      </w:r>
    </w:p>
    <w:p w14:paraId="39BAFBC5" w14:textId="5B6D4256" w:rsidR="00EF7033" w:rsidRPr="00060926" w:rsidRDefault="00EF7033" w:rsidP="00C60D13">
      <w:pPr>
        <w:pStyle w:val="StandardL3"/>
      </w:pPr>
      <w:r w:rsidRPr="00EF7033">
        <w:t>« </w:t>
      </w:r>
      <w:r w:rsidRPr="00EF7033">
        <w:rPr>
          <w:b/>
        </w:rPr>
        <w:t>Prix dans le cadre du financement admissible</w:t>
      </w:r>
      <w:r w:rsidRPr="00EF7033">
        <w:t xml:space="preserve"> » désigne </w:t>
      </w:r>
      <w:r w:rsidRPr="00EF7033">
        <w:rPr>
          <w:szCs w:val="24"/>
        </w:rPr>
        <w:t xml:space="preserve">[le montant le moins élevé entre </w:t>
      </w:r>
      <w:r w:rsidRPr="00EF7033">
        <w:t>(</w:t>
      </w:r>
      <w:r w:rsidRPr="00060926">
        <w:t>A</w:t>
      </w:r>
      <w:r w:rsidRPr="00EF7033">
        <w:t>)] le produit de (</w:t>
      </w:r>
      <w:r w:rsidRPr="00060926">
        <w:t>1</w:t>
      </w:r>
      <w:r w:rsidRPr="00EF7033">
        <w:t>) </w:t>
      </w:r>
      <w:r w:rsidRPr="00060926">
        <w:t>100</w:t>
      </w:r>
      <w:r w:rsidRPr="00EF7033">
        <w:t> % moins l’Escompte, multiplié par (</w:t>
      </w:r>
      <w:r w:rsidRPr="00060926">
        <w:t>2</w:t>
      </w:r>
      <w:r w:rsidRPr="00EF7033">
        <w:t>) le plus bas prix par Action émise dans le cadre du financement admissible vendue pour un nouveau produit au comptant par la Société dans le cadre du Financement admissible [et (</w:t>
      </w:r>
      <w:r w:rsidRPr="00060926">
        <w:t>B</w:t>
      </w:r>
      <w:r w:rsidRPr="00EF7033">
        <w:t>) un montant correspondant au Plafond d’évaluation divisé par la Capitalisation après dilution établie immédiatement avant la clôture initiale du Financement admissible]</w:t>
      </w:r>
      <w:r w:rsidRPr="00060926">
        <w:rPr>
          <w:rStyle w:val="FootnoteReference"/>
        </w:rPr>
        <w:footnoteReference w:id="9"/>
      </w:r>
      <w:r>
        <w:t>.</w:t>
      </w:r>
    </w:p>
    <w:p w14:paraId="55598257" w14:textId="7AB32BE1" w:rsidR="00EF7033" w:rsidRPr="00060926" w:rsidRDefault="00EF7033" w:rsidP="00FA4DCB">
      <w:pPr>
        <w:pStyle w:val="StandardL3"/>
      </w:pPr>
      <w:r w:rsidRPr="00EF7033">
        <w:t>« </w:t>
      </w:r>
      <w:r w:rsidRPr="00EF7033">
        <w:rPr>
          <w:b/>
        </w:rPr>
        <w:t>Prix de conversion aux termes d’un événement de liquidité</w:t>
      </w:r>
      <w:r w:rsidRPr="00EF7033">
        <w:t> » désigne un montant correspondant au Plafond d’évaluation divisé par la Capitalisation après dilution, établi immédiatement avant la réalisation de l’Événement de liquidité</w:t>
      </w:r>
      <w:r w:rsidRPr="00060926">
        <w:rPr>
          <w:rStyle w:val="FootnoteReference"/>
        </w:rPr>
        <w:footnoteReference w:id="10"/>
      </w:r>
      <w:r>
        <w:t>.</w:t>
      </w:r>
    </w:p>
    <w:p w14:paraId="65EA3246" w14:textId="1B2CBF68" w:rsidR="00EF7033" w:rsidRPr="00060926" w:rsidRDefault="00EF7033" w:rsidP="00FA4DCB">
      <w:pPr>
        <w:pStyle w:val="StandardL3"/>
      </w:pPr>
      <w:r w:rsidRPr="00EF7033">
        <w:t>« </w:t>
      </w:r>
      <w:r w:rsidRPr="00EF7033">
        <w:rPr>
          <w:b/>
        </w:rPr>
        <w:t>Prix de conversion facultative</w:t>
      </w:r>
      <w:r w:rsidRPr="00EF7033">
        <w:t> » désigne un montant correspondant au Plafond d’évaluation divisé par la Capitalisation après dilution, établi immédiatement avant la date de réception par la Société de l’Avis de conversion facultative</w:t>
      </w:r>
      <w:r w:rsidRPr="00060926">
        <w:rPr>
          <w:rStyle w:val="FootnoteReference"/>
        </w:rPr>
        <w:footnoteReference w:id="11"/>
      </w:r>
      <w:r>
        <w:t>.</w:t>
      </w:r>
    </w:p>
    <w:p w14:paraId="17B439B6" w14:textId="2455BA5B" w:rsidR="00F0406C" w:rsidRPr="00060926" w:rsidRDefault="00B37A95" w:rsidP="00E5787D">
      <w:pPr>
        <w:pStyle w:val="StandardL2"/>
      </w:pPr>
      <w:bookmarkStart w:id="4" w:name="_Ref38098427"/>
      <w:r w:rsidRPr="00EF7033">
        <w:rPr>
          <w:u w:val="single"/>
        </w:rPr>
        <w:t xml:space="preserve">Conversion automatique lors d’un </w:t>
      </w:r>
      <w:r w:rsidR="00A02708" w:rsidRPr="00EF7033">
        <w:rPr>
          <w:u w:val="single"/>
        </w:rPr>
        <w:t>Financement admissible</w:t>
      </w:r>
      <w:r w:rsidR="00247407" w:rsidRPr="00EF7033">
        <w:t>.</w:t>
      </w:r>
      <w:r w:rsidR="00073CFA" w:rsidRPr="00EF7033">
        <w:t xml:space="preserve"> </w:t>
      </w:r>
      <w:r w:rsidR="00946BA7" w:rsidRPr="00EF7033">
        <w:t xml:space="preserve">À la réalisation par la Société d’un </w:t>
      </w:r>
      <w:r w:rsidR="00A02708" w:rsidRPr="00EF7033">
        <w:t>Financement admissible</w:t>
      </w:r>
      <w:r w:rsidR="00073CFA" w:rsidRPr="00EF7033">
        <w:t xml:space="preserve"> </w:t>
      </w:r>
      <w:r w:rsidR="00946BA7" w:rsidRPr="00EF7033">
        <w:t xml:space="preserve">avant la </w:t>
      </w:r>
      <w:r w:rsidR="005D1F30" w:rsidRPr="00EF7033">
        <w:t>Date d’échéance</w:t>
      </w:r>
      <w:r w:rsidR="00073CFA" w:rsidRPr="00EF7033">
        <w:t xml:space="preserve">, </w:t>
      </w:r>
      <w:r w:rsidR="00946BA7" w:rsidRPr="00EF7033">
        <w:t>le</w:t>
      </w:r>
      <w:r w:rsidR="00073CFA" w:rsidRPr="00EF7033">
        <w:t xml:space="preserve"> </w:t>
      </w:r>
      <w:r w:rsidR="00A02708" w:rsidRPr="00EF7033">
        <w:t xml:space="preserve">Montant </w:t>
      </w:r>
      <w:r w:rsidR="0023154E" w:rsidRPr="00EF7033">
        <w:t>impayé</w:t>
      </w:r>
      <w:r w:rsidR="00073CFA" w:rsidRPr="00EF7033">
        <w:t xml:space="preserve"> </w:t>
      </w:r>
      <w:r w:rsidR="00964F19" w:rsidRPr="00EF7033">
        <w:t xml:space="preserve">sera automatiquement converti en </w:t>
      </w:r>
      <w:r w:rsidR="00930B5B" w:rsidRPr="00EF7033">
        <w:t>un</w:t>
      </w:r>
      <w:r w:rsidR="00964F19" w:rsidRPr="00EF7033">
        <w:t xml:space="preserve"> nombre </w:t>
      </w:r>
      <w:r w:rsidR="00D454DC" w:rsidRPr="00EF7033">
        <w:t xml:space="preserve">d’Actions </w:t>
      </w:r>
      <w:r w:rsidR="009731ED" w:rsidRPr="00EF7033">
        <w:t>[issues de</w:t>
      </w:r>
      <w:r w:rsidR="00D454DC" w:rsidRPr="00EF7033">
        <w:t xml:space="preserve"> la conversion</w:t>
      </w:r>
      <w:r w:rsidR="00D454DC" w:rsidRPr="00060926">
        <w:rPr>
          <w:rStyle w:val="FootnoteReference"/>
        </w:rPr>
        <w:footnoteReference w:id="12"/>
      </w:r>
      <w:r w:rsidR="00D454DC" w:rsidRPr="00EF7033">
        <w:t xml:space="preserve">] dans le cadre du financement admissible </w:t>
      </w:r>
      <w:r w:rsidR="00822A06" w:rsidRPr="00EF7033">
        <w:t>entièrement libérées qui correspond au</w:t>
      </w:r>
      <w:r w:rsidR="00073CFA" w:rsidRPr="00EF7033">
        <w:t xml:space="preserve"> quotient (</w:t>
      </w:r>
      <w:r w:rsidR="0034687A" w:rsidRPr="00060926">
        <w:t>i</w:t>
      </w:r>
      <w:r w:rsidR="0034687A" w:rsidRPr="00EF7033">
        <w:t>) </w:t>
      </w:r>
      <w:r w:rsidR="00822A06" w:rsidRPr="00EF7033">
        <w:t xml:space="preserve">du </w:t>
      </w:r>
      <w:r w:rsidR="00A02708" w:rsidRPr="00EF7033">
        <w:t xml:space="preserve">Montant </w:t>
      </w:r>
      <w:r w:rsidR="0023154E" w:rsidRPr="00EF7033">
        <w:t>impayé</w:t>
      </w:r>
      <w:r w:rsidR="00073CFA" w:rsidRPr="00EF7033">
        <w:t xml:space="preserve"> </w:t>
      </w:r>
      <w:r w:rsidR="00822A06" w:rsidRPr="00EF7033">
        <w:t xml:space="preserve">établi à la date précédant </w:t>
      </w:r>
      <w:r w:rsidR="00E132AE" w:rsidRPr="00EF7033">
        <w:t>immédiatement</w:t>
      </w:r>
      <w:r w:rsidR="00073CFA" w:rsidRPr="00EF7033">
        <w:t xml:space="preserve"> </w:t>
      </w:r>
      <w:r w:rsidR="00822A06" w:rsidRPr="00EF7033">
        <w:t xml:space="preserve">la clôture initiale de ce </w:t>
      </w:r>
      <w:r w:rsidR="00A02708" w:rsidRPr="00EF7033">
        <w:t>Financement admissible</w:t>
      </w:r>
      <w:r w:rsidR="00822A06" w:rsidRPr="00EF7033">
        <w:t xml:space="preserve"> et </w:t>
      </w:r>
      <w:r w:rsidR="00073CFA" w:rsidRPr="00EF7033">
        <w:t>(</w:t>
      </w:r>
      <w:r w:rsidR="00073CFA" w:rsidRPr="00060926">
        <w:t>i</w:t>
      </w:r>
      <w:r w:rsidR="0034687A" w:rsidRPr="00060926">
        <w:t>i</w:t>
      </w:r>
      <w:r w:rsidR="0034687A" w:rsidRPr="00EF7033">
        <w:t>) </w:t>
      </w:r>
      <w:r w:rsidR="00822A06" w:rsidRPr="00EF7033">
        <w:t xml:space="preserve">du </w:t>
      </w:r>
      <w:r w:rsidR="00946BA7" w:rsidRPr="00EF7033">
        <w:t>Prix</w:t>
      </w:r>
      <w:r w:rsidR="00A02708" w:rsidRPr="00EF7033">
        <w:t xml:space="preserve"> dans le cadre du financement admissible</w:t>
      </w:r>
      <w:r w:rsidR="00073CFA" w:rsidRPr="00EF7033">
        <w:t>.</w:t>
      </w:r>
      <w:bookmarkEnd w:id="3"/>
      <w:bookmarkEnd w:id="4"/>
    </w:p>
    <w:p w14:paraId="7816CA77" w14:textId="4600041B" w:rsidR="00F0406C" w:rsidRPr="00060926" w:rsidRDefault="00CD3179" w:rsidP="00EB77FD">
      <w:pPr>
        <w:pStyle w:val="StandardL2"/>
        <w:keepNext/>
      </w:pPr>
      <w:bookmarkStart w:id="5" w:name="_Ref38098436"/>
      <w:bookmarkStart w:id="6" w:name="_Ref27817006"/>
      <w:r w:rsidRPr="00EF7033">
        <w:rPr>
          <w:u w:val="single"/>
        </w:rPr>
        <w:t xml:space="preserve">Conversion facultative ou remboursement lors d’un </w:t>
      </w:r>
      <w:r w:rsidR="00CB696A" w:rsidRPr="00EF7033">
        <w:rPr>
          <w:u w:val="single"/>
        </w:rPr>
        <w:t>Événement de liquidité</w:t>
      </w:r>
      <w:r w:rsidR="00073CFA" w:rsidRPr="00EF7033">
        <w:t>.</w:t>
      </w:r>
      <w:bookmarkEnd w:id="5"/>
    </w:p>
    <w:p w14:paraId="1D621EC9" w14:textId="1F2E989D" w:rsidR="00F0406C" w:rsidRPr="00060926" w:rsidRDefault="008403CC" w:rsidP="00E5787D">
      <w:pPr>
        <w:pStyle w:val="StandardL3"/>
      </w:pPr>
      <w:bookmarkStart w:id="7" w:name="_Ref27837379"/>
      <w:bookmarkStart w:id="8" w:name="_Ref27818606"/>
      <w:r w:rsidRPr="00EF7033">
        <w:t xml:space="preserve">Si la Société </w:t>
      </w:r>
      <w:r w:rsidR="00EB77FD" w:rsidRPr="00EF7033">
        <w:t>réalise</w:t>
      </w:r>
      <w:r w:rsidRPr="00EF7033">
        <w:t xml:space="preserve"> un </w:t>
      </w:r>
      <w:r w:rsidR="00CB696A" w:rsidRPr="00EF7033">
        <w:t>Événement de liquidité</w:t>
      </w:r>
      <w:r w:rsidR="00073CFA" w:rsidRPr="00EF7033">
        <w:t xml:space="preserve"> </w:t>
      </w:r>
      <w:r w:rsidRPr="00EF7033">
        <w:t>avant</w:t>
      </w:r>
      <w:r w:rsidR="00073CFA" w:rsidRPr="00EF7033">
        <w:t xml:space="preserve"> </w:t>
      </w:r>
      <w:r w:rsidRPr="00EF7033">
        <w:t>la conversion</w:t>
      </w:r>
      <w:r w:rsidR="00073CFA" w:rsidRPr="00EF7033">
        <w:t xml:space="preserve"> </w:t>
      </w:r>
      <w:r w:rsidRPr="00EF7033">
        <w:t>ou le</w:t>
      </w:r>
      <w:r w:rsidR="00073CFA" w:rsidRPr="00EF7033">
        <w:t xml:space="preserve"> </w:t>
      </w:r>
      <w:r w:rsidRPr="00EF7033">
        <w:t>remboursement du présent Billet</w:t>
      </w:r>
      <w:r w:rsidR="00073CFA" w:rsidRPr="00EF7033">
        <w:t xml:space="preserve">, </w:t>
      </w:r>
      <w:r w:rsidRPr="00EF7033">
        <w:t>le Porteur</w:t>
      </w:r>
      <w:r w:rsidR="00073CFA" w:rsidRPr="00EF7033">
        <w:t xml:space="preserve"> </w:t>
      </w:r>
      <w:r w:rsidR="00061552" w:rsidRPr="00EF7033">
        <w:t>peut décider</w:t>
      </w:r>
      <w:r w:rsidR="00073CFA" w:rsidRPr="00EF7033">
        <w:t xml:space="preserve">, </w:t>
      </w:r>
      <w:r w:rsidR="00061552" w:rsidRPr="00EF7033">
        <w:t>à son entière discrétion</w:t>
      </w:r>
      <w:r w:rsidR="00073CFA" w:rsidRPr="00EF7033">
        <w:t xml:space="preserve">, </w:t>
      </w:r>
      <w:r w:rsidR="00061552" w:rsidRPr="00EF7033">
        <w:t>sur remise d’un avis écrit</w:t>
      </w:r>
      <w:r w:rsidR="00073CFA" w:rsidRPr="00EF7033">
        <w:t xml:space="preserve"> </w:t>
      </w:r>
      <w:r w:rsidR="00061552" w:rsidRPr="00EF7033">
        <w:t>à la</w:t>
      </w:r>
      <w:r w:rsidR="00073CFA" w:rsidRPr="00EF7033">
        <w:t xml:space="preserve"> </w:t>
      </w:r>
      <w:r w:rsidR="005956FF" w:rsidRPr="00EF7033">
        <w:t>Société</w:t>
      </w:r>
      <w:r w:rsidR="00073CFA" w:rsidRPr="00EF7033">
        <w:t xml:space="preserve"> (</w:t>
      </w:r>
      <w:r w:rsidR="00061552" w:rsidRPr="00EF7033">
        <w:t>l’</w:t>
      </w:r>
      <w:r w:rsidR="005956FF" w:rsidRPr="00EF7033">
        <w:t>« </w:t>
      </w:r>
      <w:r w:rsidR="00061552" w:rsidRPr="00EF7033">
        <w:rPr>
          <w:b/>
        </w:rPr>
        <w:t>Avis de conversion lors d’un événement de liquidité</w:t>
      </w:r>
      <w:r w:rsidR="005956FF" w:rsidRPr="00EF7033">
        <w:t> »</w:t>
      </w:r>
      <w:r w:rsidR="00C262A4" w:rsidRPr="00EF7033">
        <w:t>)</w:t>
      </w:r>
      <w:r w:rsidR="00073CFA" w:rsidRPr="00EF7033">
        <w:t xml:space="preserve"> </w:t>
      </w:r>
      <w:r w:rsidR="00061552" w:rsidRPr="00EF7033">
        <w:t xml:space="preserve">de convertir la totalité du </w:t>
      </w:r>
      <w:r w:rsidR="0023154E" w:rsidRPr="00EF7033">
        <w:t>Montant impayé</w:t>
      </w:r>
      <w:r w:rsidR="00073CFA" w:rsidRPr="00EF7033">
        <w:t xml:space="preserve"> </w:t>
      </w:r>
      <w:r w:rsidR="00061552" w:rsidRPr="00EF7033">
        <w:t xml:space="preserve">en </w:t>
      </w:r>
      <w:r w:rsidR="00930B5B" w:rsidRPr="00EF7033">
        <w:t>un</w:t>
      </w:r>
      <w:r w:rsidR="00061552" w:rsidRPr="00EF7033">
        <w:t xml:space="preserve"> </w:t>
      </w:r>
      <w:r w:rsidR="00061552" w:rsidRPr="00EF7033">
        <w:lastRenderedPageBreak/>
        <w:t>nombre</w:t>
      </w:r>
      <w:r w:rsidR="00073CFA" w:rsidRPr="00EF7033">
        <w:t xml:space="preserve"> </w:t>
      </w:r>
      <w:r w:rsidR="00061552" w:rsidRPr="00EF7033">
        <w:t xml:space="preserve">d’Actions [ordinaires] entièrement libérées correspondant au </w:t>
      </w:r>
      <w:r w:rsidR="00073CFA" w:rsidRPr="00EF7033">
        <w:t>quotient (</w:t>
      </w:r>
      <w:r w:rsidR="0034687A" w:rsidRPr="00060926">
        <w:t>i</w:t>
      </w:r>
      <w:r w:rsidR="0034687A" w:rsidRPr="00EF7033">
        <w:t>) </w:t>
      </w:r>
      <w:r w:rsidR="00061552" w:rsidRPr="00EF7033">
        <w:t xml:space="preserve">du </w:t>
      </w:r>
      <w:r w:rsidR="0023154E" w:rsidRPr="00EF7033">
        <w:t>Montant impayé</w:t>
      </w:r>
      <w:r w:rsidR="00073CFA" w:rsidRPr="00EF7033">
        <w:t xml:space="preserve"> </w:t>
      </w:r>
      <w:r w:rsidR="00061552" w:rsidRPr="00EF7033">
        <w:t>établi à la date précédant immédiatement la réalisation de l’Événement</w:t>
      </w:r>
      <w:r w:rsidR="00CB696A" w:rsidRPr="00EF7033">
        <w:t xml:space="preserve"> de liquidité</w:t>
      </w:r>
      <w:r w:rsidR="00335435" w:rsidRPr="00EF7033">
        <w:t xml:space="preserve"> et </w:t>
      </w:r>
      <w:r w:rsidR="00073CFA" w:rsidRPr="00EF7033">
        <w:t>(</w:t>
      </w:r>
      <w:r w:rsidR="00073CFA" w:rsidRPr="00060926">
        <w:t>i</w:t>
      </w:r>
      <w:r w:rsidR="0034687A" w:rsidRPr="00060926">
        <w:t>i</w:t>
      </w:r>
      <w:r w:rsidR="0034687A" w:rsidRPr="00EF7033">
        <w:t>) </w:t>
      </w:r>
      <w:r w:rsidR="00335435" w:rsidRPr="00EF7033">
        <w:t xml:space="preserve">du </w:t>
      </w:r>
      <w:r w:rsidR="00946BA7" w:rsidRPr="00EF7033">
        <w:t>Prix</w:t>
      </w:r>
      <w:r w:rsidR="00A02708" w:rsidRPr="00EF7033">
        <w:t xml:space="preserve"> de conversion aux termes d’un événement de liquidité</w:t>
      </w:r>
      <w:r w:rsidR="00073CFA" w:rsidRPr="00EF7033">
        <w:t xml:space="preserve">. </w:t>
      </w:r>
      <w:r w:rsidR="00335435" w:rsidRPr="00EF7033">
        <w:t>La</w:t>
      </w:r>
      <w:r w:rsidR="00073CFA" w:rsidRPr="00EF7033">
        <w:t xml:space="preserve"> conversion </w:t>
      </w:r>
      <w:r w:rsidR="00335435" w:rsidRPr="00EF7033">
        <w:t xml:space="preserve">du </w:t>
      </w:r>
      <w:r w:rsidR="0023154E" w:rsidRPr="00EF7033">
        <w:t>Montant impayé</w:t>
      </w:r>
      <w:r w:rsidR="00073CFA" w:rsidRPr="00EF7033">
        <w:t xml:space="preserve"> </w:t>
      </w:r>
      <w:r w:rsidR="00335435" w:rsidRPr="00EF7033">
        <w:t>aux termes du présent alinéa </w:t>
      </w:r>
      <w:r w:rsidR="004C4BAE" w:rsidRPr="00060926">
        <w:fldChar w:fldCharType="begin"/>
      </w:r>
      <w:r w:rsidR="004C4BAE" w:rsidRPr="00060926">
        <w:instrText xml:space="preserve"> REF _Ref27811908 \r \h </w:instrText>
      </w:r>
      <w:r w:rsidR="004C4BAE" w:rsidRPr="00060926">
        <w:fldChar w:fldCharType="separate"/>
      </w:r>
      <w:r w:rsidR="00BF3E18">
        <w:t>4</w:t>
      </w:r>
      <w:r w:rsidR="004C4BAE" w:rsidRPr="00060926">
        <w:fldChar w:fldCharType="end"/>
      </w:r>
      <w:r w:rsidR="004C4BAE">
        <w:fldChar w:fldCharType="begin"/>
      </w:r>
      <w:r w:rsidR="004C4BAE">
        <w:instrText xml:space="preserve"> REF _Ref38098436 \r \h </w:instrText>
      </w:r>
      <w:r w:rsidR="004C4BAE">
        <w:fldChar w:fldCharType="separate"/>
      </w:r>
      <w:r w:rsidR="00BF3E18">
        <w:t>c)</w:t>
      </w:r>
      <w:r w:rsidR="004C4BAE">
        <w:fldChar w:fldCharType="end"/>
      </w:r>
      <w:r w:rsidR="004C4BAE">
        <w:fldChar w:fldCharType="begin"/>
      </w:r>
      <w:r w:rsidR="004C4BAE">
        <w:instrText xml:space="preserve"> REF _Ref27837379 \r \h </w:instrText>
      </w:r>
      <w:r w:rsidR="004C4BAE">
        <w:fldChar w:fldCharType="separate"/>
      </w:r>
      <w:r w:rsidR="00BF3E18">
        <w:t>(i)</w:t>
      </w:r>
      <w:r w:rsidR="004C4BAE">
        <w:fldChar w:fldCharType="end"/>
      </w:r>
      <w:r w:rsidR="00073CFA" w:rsidRPr="00EF7033">
        <w:t xml:space="preserve"> </w:t>
      </w:r>
      <w:r w:rsidR="00335435" w:rsidRPr="00EF7033">
        <w:t xml:space="preserve">aura lieu </w:t>
      </w:r>
      <w:r w:rsidR="00E132AE" w:rsidRPr="00EF7033">
        <w:t>immédiatement</w:t>
      </w:r>
      <w:r w:rsidR="00073CFA" w:rsidRPr="00EF7033">
        <w:t xml:space="preserve"> </w:t>
      </w:r>
      <w:r w:rsidR="002C18F5" w:rsidRPr="00EF7033">
        <w:t>avant</w:t>
      </w:r>
      <w:r w:rsidR="00073CFA" w:rsidRPr="00EF7033">
        <w:t xml:space="preserve"> </w:t>
      </w:r>
      <w:r w:rsidR="002C18F5" w:rsidRPr="00EF7033">
        <w:t xml:space="preserve">l’Événement de liquidité et sera conditionnelle à la réalisation de </w:t>
      </w:r>
      <w:r w:rsidR="00061552" w:rsidRPr="00EF7033">
        <w:t>l’Événement</w:t>
      </w:r>
      <w:r w:rsidR="00CB696A" w:rsidRPr="00EF7033">
        <w:t xml:space="preserve"> de liquidité</w:t>
      </w:r>
      <w:r w:rsidR="00073CFA" w:rsidRPr="00EF7033">
        <w:t>.</w:t>
      </w:r>
      <w:bookmarkEnd w:id="7"/>
      <w:bookmarkEnd w:id="8"/>
    </w:p>
    <w:p w14:paraId="5843B9B1" w14:textId="54B6DFA7" w:rsidR="00F0406C" w:rsidRPr="00060926" w:rsidRDefault="009F4C72" w:rsidP="0018673E">
      <w:pPr>
        <w:pStyle w:val="StandardL3"/>
      </w:pPr>
      <w:r w:rsidRPr="00EF7033">
        <w:t>Si</w:t>
      </w:r>
      <w:r w:rsidR="00073CFA" w:rsidRPr="00EF7033">
        <w:t xml:space="preserve"> </w:t>
      </w:r>
      <w:r w:rsidR="008403CC" w:rsidRPr="00EF7033">
        <w:t>le Porteur</w:t>
      </w:r>
      <w:r w:rsidR="00073CFA" w:rsidRPr="00EF7033">
        <w:t xml:space="preserve"> </w:t>
      </w:r>
      <w:r w:rsidRPr="00EF7033">
        <w:t>ne remet pas d’</w:t>
      </w:r>
      <w:r w:rsidR="00061552" w:rsidRPr="00EF7033">
        <w:t>Avis de conversion lors d’un événement de liquidité</w:t>
      </w:r>
      <w:r w:rsidR="00073CFA" w:rsidRPr="00EF7033">
        <w:t xml:space="preserve"> </w:t>
      </w:r>
      <w:r w:rsidRPr="00EF7033">
        <w:t>à la Société</w:t>
      </w:r>
      <w:r w:rsidR="00073CFA" w:rsidRPr="00EF7033">
        <w:t xml:space="preserve"> </w:t>
      </w:r>
      <w:r w:rsidRPr="00EF7033">
        <w:t>au moins</w:t>
      </w:r>
      <w:r w:rsidR="00073CFA" w:rsidRPr="00EF7033">
        <w:t xml:space="preserve"> [</w:t>
      </w:r>
      <w:r w:rsidRPr="00EF7033">
        <w:t>cinq</w:t>
      </w:r>
      <w:r w:rsidR="00073CFA" w:rsidRPr="00EF7033">
        <w:t>]</w:t>
      </w:r>
      <w:r w:rsidRPr="00EF7033">
        <w:t> jours</w:t>
      </w:r>
      <w:r w:rsidR="00073CFA" w:rsidRPr="00EF7033">
        <w:t xml:space="preserve"> [</w:t>
      </w:r>
      <w:r w:rsidRPr="00EF7033">
        <w:t>ouvrables</w:t>
      </w:r>
      <w:r w:rsidR="00073CFA" w:rsidRPr="00EF7033">
        <w:t xml:space="preserve">] </w:t>
      </w:r>
      <w:r w:rsidRPr="00EF7033">
        <w:t>avant la</w:t>
      </w:r>
      <w:r w:rsidR="00073CFA" w:rsidRPr="00EF7033">
        <w:t xml:space="preserve"> </w:t>
      </w:r>
      <w:r w:rsidR="00A02708" w:rsidRPr="00EF7033">
        <w:t xml:space="preserve">Date de clôture prévue </w:t>
      </w:r>
      <w:r w:rsidR="00073CFA" w:rsidRPr="00EF7033">
        <w:t>(</w:t>
      </w:r>
      <w:r w:rsidR="00AA23BD" w:rsidRPr="00EF7033">
        <w:t>au sens donné à ce</w:t>
      </w:r>
      <w:r w:rsidR="00A3579A" w:rsidRPr="00EF7033">
        <w:t xml:space="preserve"> terme</w:t>
      </w:r>
      <w:r w:rsidRPr="00EF7033">
        <w:t xml:space="preserve"> ci</w:t>
      </w:r>
      <w:r w:rsidRPr="00EF7033">
        <w:noBreakHyphen/>
        <w:t>dessous</w:t>
      </w:r>
      <w:r w:rsidR="00073CFA" w:rsidRPr="00EF7033">
        <w:t xml:space="preserve">) </w:t>
      </w:r>
      <w:r w:rsidRPr="00EF7033">
        <w:t>de</w:t>
      </w:r>
      <w:r w:rsidR="00073CFA" w:rsidRPr="00EF7033">
        <w:t xml:space="preserve"> </w:t>
      </w:r>
      <w:r w:rsidR="00061552" w:rsidRPr="00EF7033">
        <w:t>l’Événement</w:t>
      </w:r>
      <w:r w:rsidR="00CB696A" w:rsidRPr="00EF7033">
        <w:t xml:space="preserve"> de liquidité</w:t>
      </w:r>
      <w:r w:rsidR="00073CFA" w:rsidRPr="00EF7033">
        <w:t xml:space="preserve">, </w:t>
      </w:r>
      <w:r w:rsidRPr="00EF7033">
        <w:t xml:space="preserve">le Billet deviendra </w:t>
      </w:r>
      <w:r w:rsidR="00930B5B" w:rsidRPr="00EF7033">
        <w:t>exigible</w:t>
      </w:r>
      <w:r w:rsidRPr="00EF7033">
        <w:t xml:space="preserve"> conditionnellement </w:t>
      </w:r>
      <w:r w:rsidR="00E83007" w:rsidRPr="00EF7033">
        <w:t>à la réalisation de l’Événement de liquidité et immédiatement avant ou simultanément à la réalisation de l’Événement de liquidité</w:t>
      </w:r>
      <w:r w:rsidR="00073CFA" w:rsidRPr="00EF7033">
        <w:t>,</w:t>
      </w:r>
      <w:r w:rsidR="00E83007" w:rsidRPr="00EF7033">
        <w:t xml:space="preserve"> pour un montant correspondant </w:t>
      </w:r>
      <w:r w:rsidR="00073CFA" w:rsidRPr="00EF7033">
        <w:t>[</w:t>
      </w:r>
      <w:r w:rsidR="00E83007" w:rsidRPr="00EF7033">
        <w:t xml:space="preserve">au </w:t>
      </w:r>
      <w:r w:rsidR="0023154E" w:rsidRPr="00EF7033">
        <w:t>Montant impayé</w:t>
      </w:r>
      <w:r w:rsidR="00073CFA" w:rsidRPr="00EF7033">
        <w:t>] [(</w:t>
      </w:r>
      <w:r w:rsidR="0034687A" w:rsidRPr="00EF7033">
        <w:t>x) </w:t>
      </w:r>
      <w:r w:rsidR="00073CFA" w:rsidRPr="00EF7033">
        <w:t>[</w:t>
      </w:r>
      <w:r w:rsidR="00E83007" w:rsidRPr="00EF7033">
        <w:t xml:space="preserve">à </w:t>
      </w:r>
      <w:r w:rsidR="00073CFA" w:rsidRPr="00EF7033">
        <w:t>●</w:t>
      </w:r>
      <w:r w:rsidR="00CB696A" w:rsidRPr="00EF7033">
        <w:t> %</w:t>
      </w:r>
      <w:r w:rsidR="00073CFA" w:rsidRPr="00060926">
        <w:rPr>
          <w:rStyle w:val="FootnoteReference"/>
        </w:rPr>
        <w:footnoteReference w:id="13"/>
      </w:r>
      <w:r w:rsidR="00073CFA" w:rsidRPr="00EF7033">
        <w:t xml:space="preserve"> </w:t>
      </w:r>
      <w:r w:rsidR="00E83007" w:rsidRPr="00EF7033">
        <w:t>du</w:t>
      </w:r>
      <w:r w:rsidR="00073CFA" w:rsidRPr="00EF7033">
        <w:t xml:space="preserve">] </w:t>
      </w:r>
      <w:r w:rsidR="00F56BA1" w:rsidRPr="00EF7033">
        <w:t xml:space="preserve">au </w:t>
      </w:r>
      <w:r w:rsidR="005956FF" w:rsidRPr="00EF7033">
        <w:t>Capital</w:t>
      </w:r>
      <w:r w:rsidR="00073CFA" w:rsidRPr="00EF7033">
        <w:t xml:space="preserve"> </w:t>
      </w:r>
      <w:r w:rsidR="00930B5B" w:rsidRPr="00EF7033">
        <w:t>impayé</w:t>
      </w:r>
      <w:r w:rsidR="00E83007" w:rsidRPr="00EF7033">
        <w:t xml:space="preserve"> </w:t>
      </w:r>
      <w:r w:rsidR="00073CFA" w:rsidRPr="00EF7033">
        <w:t>plus (</w:t>
      </w:r>
      <w:r w:rsidR="00073CFA" w:rsidRPr="00060926">
        <w:t>y</w:t>
      </w:r>
      <w:r w:rsidR="00073CFA" w:rsidRPr="00EF7033">
        <w:t>)</w:t>
      </w:r>
      <w:r w:rsidR="00E83007" w:rsidRPr="00EF7033">
        <w:t> </w:t>
      </w:r>
      <w:r w:rsidR="00F56BA1" w:rsidRPr="00EF7033">
        <w:t>les</w:t>
      </w:r>
      <w:r w:rsidR="00E83007" w:rsidRPr="00EF7033">
        <w:t xml:space="preserve"> intérêt</w:t>
      </w:r>
      <w:r w:rsidR="00F56BA1" w:rsidRPr="00EF7033">
        <w:t>s</w:t>
      </w:r>
      <w:r w:rsidR="00E83007" w:rsidRPr="00EF7033">
        <w:t xml:space="preserve"> </w:t>
      </w:r>
      <w:r w:rsidR="00930B5B" w:rsidRPr="00EF7033">
        <w:t>couru</w:t>
      </w:r>
      <w:r w:rsidR="00F56BA1" w:rsidRPr="00EF7033">
        <w:t>s</w:t>
      </w:r>
      <w:r w:rsidR="00E83007" w:rsidRPr="00EF7033">
        <w:t xml:space="preserve"> et impayé</w:t>
      </w:r>
      <w:r w:rsidR="00F56BA1" w:rsidRPr="00EF7033">
        <w:t>s</w:t>
      </w:r>
      <w:r w:rsidR="00E83007" w:rsidRPr="00EF7033">
        <w:t xml:space="preserve"> et toutes autres sommes alors dues </w:t>
      </w:r>
      <w:r w:rsidR="00A02708" w:rsidRPr="00EF7033">
        <w:t>aux termes du présent Billet</w:t>
      </w:r>
      <w:r w:rsidR="00073CFA" w:rsidRPr="00EF7033">
        <w:t xml:space="preserve"> </w:t>
      </w:r>
      <w:r w:rsidR="00E83007" w:rsidRPr="00EF7033">
        <w:t xml:space="preserve">à la date de </w:t>
      </w:r>
      <w:r w:rsidR="00061552" w:rsidRPr="00EF7033">
        <w:t>l’Événement</w:t>
      </w:r>
      <w:r w:rsidR="00CB696A" w:rsidRPr="00EF7033">
        <w:t xml:space="preserve"> de liquidité</w:t>
      </w:r>
      <w:r w:rsidR="00073CFA" w:rsidRPr="00EF7033">
        <w:t>].</w:t>
      </w:r>
    </w:p>
    <w:bookmarkEnd w:id="6"/>
    <w:p w14:paraId="3937AFBD" w14:textId="59B3C5D2" w:rsidR="00F0406C" w:rsidRPr="00060926" w:rsidRDefault="00073CFA" w:rsidP="00E5787D">
      <w:pPr>
        <w:pStyle w:val="StandardL2"/>
      </w:pPr>
      <w:r w:rsidRPr="00EF7033">
        <w:rPr>
          <w:u w:val="single"/>
        </w:rPr>
        <w:t>Conversion</w:t>
      </w:r>
      <w:r w:rsidR="000F3FF0" w:rsidRPr="00EF7033">
        <w:rPr>
          <w:u w:val="single"/>
        </w:rPr>
        <w:t xml:space="preserve"> facultative</w:t>
      </w:r>
      <w:r w:rsidRPr="00EF7033">
        <w:t xml:space="preserve">. </w:t>
      </w:r>
      <w:r w:rsidR="0034687A" w:rsidRPr="00EF7033">
        <w:t>À tout moment</w:t>
      </w:r>
      <w:r w:rsidRPr="00EF7033">
        <w:t xml:space="preserve"> </w:t>
      </w:r>
      <w:r w:rsidR="0034687A" w:rsidRPr="00EF7033">
        <w:t>avant la</w:t>
      </w:r>
      <w:r w:rsidRPr="00EF7033">
        <w:t xml:space="preserve"> conversion </w:t>
      </w:r>
      <w:r w:rsidR="0034687A" w:rsidRPr="00EF7033">
        <w:t>ou</w:t>
      </w:r>
      <w:r w:rsidRPr="00EF7033">
        <w:t xml:space="preserve"> </w:t>
      </w:r>
      <w:r w:rsidR="0034687A" w:rsidRPr="00EF7033">
        <w:t xml:space="preserve">le </w:t>
      </w:r>
      <w:r w:rsidR="008403CC" w:rsidRPr="00EF7033">
        <w:t>remboursement</w:t>
      </w:r>
      <w:r w:rsidR="0034687A" w:rsidRPr="00EF7033">
        <w:t xml:space="preserve"> complet </w:t>
      </w:r>
      <w:r w:rsidR="008403CC" w:rsidRPr="00EF7033">
        <w:t>du présent Billet</w:t>
      </w:r>
      <w:r w:rsidRPr="00EF7033">
        <w:t xml:space="preserve"> </w:t>
      </w:r>
      <w:r w:rsidR="0034687A" w:rsidRPr="00EF7033">
        <w:t>conformément aux paragraphes </w:t>
      </w:r>
      <w:r w:rsidR="004C4BAE" w:rsidRPr="00060926">
        <w:fldChar w:fldCharType="begin"/>
      </w:r>
      <w:r w:rsidR="004C4BAE" w:rsidRPr="00060926">
        <w:instrText xml:space="preserve"> REF _Ref27811908 \r \h </w:instrText>
      </w:r>
      <w:r w:rsidR="004C4BAE" w:rsidRPr="00060926">
        <w:fldChar w:fldCharType="separate"/>
      </w:r>
      <w:r w:rsidR="00BF3E18">
        <w:t>4</w:t>
      </w:r>
      <w:r w:rsidR="004C4BAE" w:rsidRPr="00060926">
        <w:fldChar w:fldCharType="end"/>
      </w:r>
      <w:r w:rsidR="004C4BAE">
        <w:fldChar w:fldCharType="begin"/>
      </w:r>
      <w:r w:rsidR="004C4BAE">
        <w:instrText xml:space="preserve"> REF _Ref38098427 \r \h </w:instrText>
      </w:r>
      <w:r w:rsidR="004C4BAE">
        <w:fldChar w:fldCharType="separate"/>
      </w:r>
      <w:r w:rsidR="00BF3E18">
        <w:t>b)</w:t>
      </w:r>
      <w:r w:rsidR="004C4BAE">
        <w:fldChar w:fldCharType="end"/>
      </w:r>
      <w:r w:rsidRPr="00EF7033">
        <w:t xml:space="preserve"> </w:t>
      </w:r>
      <w:r w:rsidR="0034687A" w:rsidRPr="00EF7033">
        <w:t>ou</w:t>
      </w:r>
      <w:r w:rsidR="004C4BAE">
        <w:t xml:space="preserve"> </w:t>
      </w:r>
      <w:r w:rsidR="004C4BAE" w:rsidRPr="00060926">
        <w:fldChar w:fldCharType="begin"/>
      </w:r>
      <w:r w:rsidR="004C4BAE" w:rsidRPr="00060926">
        <w:instrText xml:space="preserve"> REF _Ref27811908 \r \h </w:instrText>
      </w:r>
      <w:r w:rsidR="004C4BAE" w:rsidRPr="00060926">
        <w:fldChar w:fldCharType="separate"/>
      </w:r>
      <w:r w:rsidR="00BF3E18">
        <w:t>4</w:t>
      </w:r>
      <w:r w:rsidR="004C4BAE" w:rsidRPr="00060926">
        <w:fldChar w:fldCharType="end"/>
      </w:r>
      <w:r w:rsidR="004C4BAE">
        <w:fldChar w:fldCharType="begin"/>
      </w:r>
      <w:r w:rsidR="004C4BAE">
        <w:instrText xml:space="preserve"> REF _Ref38098436 \r \h </w:instrText>
      </w:r>
      <w:r w:rsidR="004C4BAE">
        <w:fldChar w:fldCharType="separate"/>
      </w:r>
      <w:r w:rsidR="00BF3E18">
        <w:t>c)</w:t>
      </w:r>
      <w:r w:rsidR="004C4BAE">
        <w:fldChar w:fldCharType="end"/>
      </w:r>
      <w:r w:rsidRPr="00EF7033">
        <w:t xml:space="preserve">, </w:t>
      </w:r>
      <w:r w:rsidR="0034687A" w:rsidRPr="00EF7033">
        <w:t xml:space="preserve">que ce soit avant ou après la Date d’échéance ou à la Date </w:t>
      </w:r>
      <w:r w:rsidR="005D1F30" w:rsidRPr="00EF7033">
        <w:t>d’échéance</w:t>
      </w:r>
      <w:r w:rsidRPr="00EF7033">
        <w:t xml:space="preserve">, </w:t>
      </w:r>
      <w:r w:rsidR="008403CC" w:rsidRPr="00EF7033">
        <w:t>le Porteur</w:t>
      </w:r>
      <w:r w:rsidRPr="00EF7033">
        <w:t xml:space="preserve"> </w:t>
      </w:r>
      <w:r w:rsidR="0034687A" w:rsidRPr="00EF7033">
        <w:t>peut décider</w:t>
      </w:r>
      <w:r w:rsidRPr="00EF7033">
        <w:t xml:space="preserve">, </w:t>
      </w:r>
      <w:r w:rsidR="00061552" w:rsidRPr="00EF7033">
        <w:t>à son entière discrétion</w:t>
      </w:r>
      <w:r w:rsidRPr="00EF7033">
        <w:t xml:space="preserve">, </w:t>
      </w:r>
      <w:r w:rsidR="00061552" w:rsidRPr="00EF7033">
        <w:t>sur remise d’un avis écrit</w:t>
      </w:r>
      <w:r w:rsidRPr="00EF7033">
        <w:t xml:space="preserve"> </w:t>
      </w:r>
      <w:r w:rsidR="009F4C72" w:rsidRPr="00EF7033">
        <w:t>à la Société</w:t>
      </w:r>
      <w:r w:rsidRPr="00EF7033">
        <w:t xml:space="preserve"> (</w:t>
      </w:r>
      <w:r w:rsidR="009F4C72" w:rsidRPr="00EF7033">
        <w:t>l’</w:t>
      </w:r>
      <w:r w:rsidR="005956FF" w:rsidRPr="00EF7033">
        <w:t>« </w:t>
      </w:r>
      <w:r w:rsidR="00A02708" w:rsidRPr="00EF7033">
        <w:rPr>
          <w:b/>
        </w:rPr>
        <w:t>Avis de conversion facultative</w:t>
      </w:r>
      <w:r w:rsidR="005956FF" w:rsidRPr="00EF7033">
        <w:t> »</w:t>
      </w:r>
      <w:r w:rsidRPr="00EF7033">
        <w:t xml:space="preserve">) </w:t>
      </w:r>
      <w:r w:rsidR="0034687A" w:rsidRPr="00EF7033">
        <w:rPr>
          <w:szCs w:val="24"/>
        </w:rPr>
        <w:t>de convertir</w:t>
      </w:r>
      <w:r w:rsidRPr="00EF7033">
        <w:rPr>
          <w:szCs w:val="24"/>
        </w:rPr>
        <w:t xml:space="preserve"> </w:t>
      </w:r>
      <w:r w:rsidR="0034687A" w:rsidRPr="00EF7033">
        <w:t>la totalité du</w:t>
      </w:r>
      <w:r w:rsidRPr="00EF7033">
        <w:t xml:space="preserve"> </w:t>
      </w:r>
      <w:r w:rsidR="0023154E" w:rsidRPr="00EF7033">
        <w:t>Montant impayé</w:t>
      </w:r>
      <w:r w:rsidRPr="00EF7033">
        <w:t xml:space="preserve"> </w:t>
      </w:r>
      <w:r w:rsidR="0034687A" w:rsidRPr="00EF7033">
        <w:t xml:space="preserve">en </w:t>
      </w:r>
      <w:r w:rsidR="0078293A" w:rsidRPr="00EF7033">
        <w:t>un</w:t>
      </w:r>
      <w:r w:rsidR="0034687A" w:rsidRPr="00EF7033">
        <w:t xml:space="preserve"> nombre d’Actions [ordinaires] </w:t>
      </w:r>
      <w:r w:rsidR="00061552" w:rsidRPr="00EF7033">
        <w:t xml:space="preserve">entièrement libérées </w:t>
      </w:r>
      <w:r w:rsidR="0034687A" w:rsidRPr="00EF7033">
        <w:t xml:space="preserve">correspondant au quotient </w:t>
      </w:r>
      <w:r w:rsidRPr="00EF7033">
        <w:t>(</w:t>
      </w:r>
      <w:r w:rsidR="0034687A" w:rsidRPr="00060926">
        <w:t>i</w:t>
      </w:r>
      <w:r w:rsidR="0034687A" w:rsidRPr="00EF7033">
        <w:t>) du</w:t>
      </w:r>
      <w:r w:rsidRPr="00EF7033">
        <w:t xml:space="preserve"> </w:t>
      </w:r>
      <w:r w:rsidR="0023154E" w:rsidRPr="00EF7033">
        <w:t>Montant impayé</w:t>
      </w:r>
      <w:r w:rsidRPr="00EF7033">
        <w:t xml:space="preserve"> </w:t>
      </w:r>
      <w:r w:rsidR="0034687A" w:rsidRPr="00EF7033">
        <w:t xml:space="preserve">établi à la date de la réception par la Société de l’Avis </w:t>
      </w:r>
      <w:r w:rsidR="00A02708" w:rsidRPr="00EF7033">
        <w:t>de conversion facultative</w:t>
      </w:r>
      <w:r w:rsidR="0034687A" w:rsidRPr="00EF7033">
        <w:t xml:space="preserve"> et </w:t>
      </w:r>
      <w:r w:rsidRPr="00EF7033">
        <w:t>(</w:t>
      </w:r>
      <w:r w:rsidRPr="00060926">
        <w:t>i</w:t>
      </w:r>
      <w:r w:rsidR="0034687A" w:rsidRPr="00060926">
        <w:t>i</w:t>
      </w:r>
      <w:r w:rsidR="0034687A" w:rsidRPr="00EF7033">
        <w:t>) du</w:t>
      </w:r>
      <w:r w:rsidR="00946BA7" w:rsidRPr="00EF7033">
        <w:t xml:space="preserve"> Prix</w:t>
      </w:r>
      <w:r w:rsidR="00A02708" w:rsidRPr="00EF7033">
        <w:t xml:space="preserve"> de conversion facultative</w:t>
      </w:r>
      <w:r w:rsidRPr="00EF7033">
        <w:t>.</w:t>
      </w:r>
    </w:p>
    <w:p w14:paraId="285DC9D7" w14:textId="35A40E4E" w:rsidR="00F0406C" w:rsidRPr="00060926" w:rsidRDefault="004E19F2" w:rsidP="00E5787D">
      <w:pPr>
        <w:pStyle w:val="StandardL2"/>
      </w:pPr>
      <w:r w:rsidRPr="00EF7033">
        <w:rPr>
          <w:u w:val="single"/>
        </w:rPr>
        <w:t xml:space="preserve">Avis </w:t>
      </w:r>
      <w:r w:rsidR="0078293A" w:rsidRPr="00EF7033">
        <w:rPr>
          <w:u w:val="single"/>
        </w:rPr>
        <w:t>d’opérations</w:t>
      </w:r>
      <w:r w:rsidR="00073CFA" w:rsidRPr="00EF7033">
        <w:t xml:space="preserve">. </w:t>
      </w:r>
      <w:r w:rsidR="00C262A4" w:rsidRPr="00EF7033">
        <w:t>La</w:t>
      </w:r>
      <w:r w:rsidR="00073CFA" w:rsidRPr="00EF7033">
        <w:t xml:space="preserve"> </w:t>
      </w:r>
      <w:r w:rsidR="005956FF" w:rsidRPr="00EF7033">
        <w:t>Société</w:t>
      </w:r>
      <w:r w:rsidR="00073CFA" w:rsidRPr="00EF7033">
        <w:t xml:space="preserve"> </w:t>
      </w:r>
      <w:r w:rsidR="00C262A4" w:rsidRPr="00EF7033">
        <w:t xml:space="preserve">remettra au </w:t>
      </w:r>
      <w:r w:rsidR="008403CC" w:rsidRPr="00EF7033">
        <w:t>Porteur</w:t>
      </w:r>
      <w:r w:rsidR="00073CFA" w:rsidRPr="00EF7033">
        <w:t xml:space="preserve"> </w:t>
      </w:r>
      <w:r w:rsidR="002C4927" w:rsidRPr="00EF7033">
        <w:t>au moins</w:t>
      </w:r>
      <w:r w:rsidR="00073CFA" w:rsidRPr="00EF7033">
        <w:t xml:space="preserve"> [</w:t>
      </w:r>
      <w:r w:rsidR="00073CFA" w:rsidRPr="00060926">
        <w:t>10</w:t>
      </w:r>
      <w:r w:rsidR="00073CFA" w:rsidRPr="00EF7033">
        <w:t>]</w:t>
      </w:r>
      <w:r w:rsidR="002C4927" w:rsidRPr="00EF7033">
        <w:t> jours [ouvrables]</w:t>
      </w:r>
      <w:r w:rsidR="00073CFA" w:rsidRPr="00EF7033">
        <w:t xml:space="preserve"> </w:t>
      </w:r>
      <w:r w:rsidR="002C4927" w:rsidRPr="00EF7033">
        <w:t xml:space="preserve">avant la clôture prévue d’une telle opération </w:t>
      </w:r>
      <w:r w:rsidR="00073CFA" w:rsidRPr="00EF7033">
        <w:t>(</w:t>
      </w:r>
      <w:r w:rsidR="002C4927" w:rsidRPr="00EF7033">
        <w:t>la</w:t>
      </w:r>
      <w:r w:rsidR="00073CFA" w:rsidRPr="00EF7033">
        <w:t xml:space="preserve"> </w:t>
      </w:r>
      <w:r w:rsidR="005956FF" w:rsidRPr="00EF7033">
        <w:t>« </w:t>
      </w:r>
      <w:r w:rsidR="00A02708" w:rsidRPr="00EF7033">
        <w:rPr>
          <w:b/>
        </w:rPr>
        <w:t>Date de clôture prévue</w:t>
      </w:r>
      <w:r w:rsidR="005956FF" w:rsidRPr="00EF7033">
        <w:t> »</w:t>
      </w:r>
      <w:r w:rsidR="00C262A4" w:rsidRPr="00EF7033">
        <w:t>)</w:t>
      </w:r>
      <w:r w:rsidR="00F56BA1" w:rsidRPr="00EF7033">
        <w:t xml:space="preserve"> un avis écrit de tout projet de Financement admissible ou d’Événement de liquidité</w:t>
      </w:r>
      <w:r w:rsidR="00073CFA" w:rsidRPr="00EF7033">
        <w:t>,</w:t>
      </w:r>
      <w:r w:rsidR="002C4927" w:rsidRPr="00EF7033">
        <w:t xml:space="preserve"> qui </w:t>
      </w:r>
      <w:r w:rsidR="00F56BA1" w:rsidRPr="00EF7033">
        <w:t>fera état de</w:t>
      </w:r>
      <w:r w:rsidR="002C4927" w:rsidRPr="00EF7033">
        <w:t xml:space="preserve"> la </w:t>
      </w:r>
      <w:r w:rsidR="00A02708" w:rsidRPr="00EF7033">
        <w:t>Date de clôture prévue</w:t>
      </w:r>
      <w:r w:rsidR="00073CFA" w:rsidRPr="00EF7033">
        <w:t xml:space="preserve"> </w:t>
      </w:r>
      <w:r w:rsidR="002C4927" w:rsidRPr="00EF7033">
        <w:t>de l’opération</w:t>
      </w:r>
      <w:r w:rsidR="00F56BA1" w:rsidRPr="00EF7033">
        <w:t>,</w:t>
      </w:r>
      <w:r w:rsidR="00433426" w:rsidRPr="00EF7033">
        <w:t xml:space="preserve"> et une copie de tous les documents devant être signés et remis par tous les </w:t>
      </w:r>
      <w:r w:rsidR="000222C6" w:rsidRPr="00EF7033">
        <w:t xml:space="preserve">autres </w:t>
      </w:r>
      <w:r w:rsidR="00433426" w:rsidRPr="00EF7033">
        <w:t>investisseurs et/ou actionnaires non fondateurs de la Société dans le cadre de l’opération</w:t>
      </w:r>
      <w:r w:rsidR="00073CFA" w:rsidRPr="00EF7033">
        <w:t xml:space="preserve"> (</w:t>
      </w:r>
      <w:r w:rsidR="00433426" w:rsidRPr="00EF7033">
        <w:t>les</w:t>
      </w:r>
      <w:r w:rsidR="00073CFA" w:rsidRPr="00EF7033">
        <w:t xml:space="preserve"> </w:t>
      </w:r>
      <w:r w:rsidR="005956FF" w:rsidRPr="00EF7033">
        <w:t>« </w:t>
      </w:r>
      <w:r w:rsidRPr="00EF7033">
        <w:rPr>
          <w:b/>
        </w:rPr>
        <w:t>Conventions relatives aux opérations</w:t>
      </w:r>
      <w:r w:rsidR="005956FF" w:rsidRPr="00EF7033">
        <w:t> »</w:t>
      </w:r>
      <w:r w:rsidR="00C262A4" w:rsidRPr="00EF7033">
        <w:t>)</w:t>
      </w:r>
      <w:r w:rsidR="00073CFA" w:rsidRPr="00EF7033">
        <w:t>.</w:t>
      </w:r>
    </w:p>
    <w:p w14:paraId="31151153" w14:textId="016BE6DC" w:rsidR="00F0406C" w:rsidRPr="00060926" w:rsidRDefault="0034687A" w:rsidP="00E5787D">
      <w:pPr>
        <w:pStyle w:val="StandardL2"/>
      </w:pPr>
      <w:bookmarkStart w:id="9" w:name="_Ref29804555"/>
      <w:r w:rsidRPr="00EF7033">
        <w:rPr>
          <w:u w:val="single"/>
        </w:rPr>
        <w:t>Documents de conversion</w:t>
      </w:r>
      <w:r w:rsidR="00073CFA" w:rsidRPr="00EF7033">
        <w:t xml:space="preserve">. </w:t>
      </w:r>
      <w:r w:rsidR="00996185" w:rsidRPr="00EF7033">
        <w:t>Advenant toute</w:t>
      </w:r>
      <w:r w:rsidR="00073CFA" w:rsidRPr="00EF7033">
        <w:t xml:space="preserve"> conversion </w:t>
      </w:r>
      <w:r w:rsidR="008403CC" w:rsidRPr="00EF7033">
        <w:t>du présent Billet</w:t>
      </w:r>
      <w:r w:rsidR="00073CFA" w:rsidRPr="00EF7033">
        <w:t xml:space="preserve">, </w:t>
      </w:r>
      <w:r w:rsidR="008403CC" w:rsidRPr="00EF7033">
        <w:t>le Porteur</w:t>
      </w:r>
      <w:r w:rsidR="00073CFA" w:rsidRPr="00EF7033">
        <w:t xml:space="preserve"> </w:t>
      </w:r>
      <w:r w:rsidR="00996185" w:rsidRPr="00EF7033">
        <w:t xml:space="preserve">signera et remettra à la Société, comme condition à une telle conversion, tous les documents raisonnablement demandés par la Société pour donner </w:t>
      </w:r>
      <w:r w:rsidR="00531915" w:rsidRPr="00EF7033">
        <w:t>effet</w:t>
      </w:r>
      <w:r w:rsidR="00996185" w:rsidRPr="00EF7033">
        <w:t xml:space="preserve"> à </w:t>
      </w:r>
      <w:r w:rsidR="008403CC" w:rsidRPr="00EF7033">
        <w:t>la conversion</w:t>
      </w:r>
      <w:r w:rsidR="00073CFA" w:rsidRPr="00EF7033">
        <w:t xml:space="preserve">, </w:t>
      </w:r>
      <w:r w:rsidR="00AE5DBA" w:rsidRPr="00EF7033">
        <w:t>y compris une convention d</w:t>
      </w:r>
      <w:r w:rsidR="000222C6" w:rsidRPr="00EF7033">
        <w:t>’achat</w:t>
      </w:r>
      <w:r w:rsidR="00073CFA" w:rsidRPr="00EF7033">
        <w:t xml:space="preserve"> </w:t>
      </w:r>
      <w:r w:rsidR="00AE5DBA" w:rsidRPr="00EF7033">
        <w:t>et des conventions entre actionnaires contenant les déclarations et garanties</w:t>
      </w:r>
      <w:r w:rsidR="004732C0" w:rsidRPr="00EF7033">
        <w:t xml:space="preserve"> et</w:t>
      </w:r>
      <w:r w:rsidR="00073CFA" w:rsidRPr="00EF7033">
        <w:t xml:space="preserve"> </w:t>
      </w:r>
      <w:r w:rsidR="00AE5DBA" w:rsidRPr="00EF7033">
        <w:t xml:space="preserve">restrictions au transfert </w:t>
      </w:r>
      <w:r w:rsidR="00073CFA" w:rsidRPr="00EF7033">
        <w:t>(</w:t>
      </w:r>
      <w:r w:rsidR="004732C0" w:rsidRPr="00EF7033">
        <w:t>y compris une</w:t>
      </w:r>
      <w:r w:rsidR="00073CFA" w:rsidRPr="00EF7033">
        <w:t xml:space="preserve"> </w:t>
      </w:r>
      <w:r w:rsidR="004732C0" w:rsidRPr="00EF7033">
        <w:t>convention de blocage</w:t>
      </w:r>
      <w:r w:rsidR="00073CFA" w:rsidRPr="00EF7033">
        <w:t xml:space="preserve"> </w:t>
      </w:r>
      <w:r w:rsidR="004732C0" w:rsidRPr="00EF7033">
        <w:t xml:space="preserve">dans le cadre d’un </w:t>
      </w:r>
      <w:r w:rsidR="00AE5DBA" w:rsidRPr="00EF7033">
        <w:t>premier appel public à l’épargne</w:t>
      </w:r>
      <w:r w:rsidR="00073CFA" w:rsidRPr="00EF7033">
        <w:t xml:space="preserve">) </w:t>
      </w:r>
      <w:r w:rsidR="00AE5DBA" w:rsidRPr="00EF7033">
        <w:t>usuelles</w:t>
      </w:r>
      <w:r w:rsidR="004732C0" w:rsidRPr="00EF7033">
        <w:t>, ainsi que les autres modalités et conditions habituelles</w:t>
      </w:r>
      <w:r w:rsidR="00073CFA" w:rsidRPr="00EF7033">
        <w:t xml:space="preserve">, </w:t>
      </w:r>
      <w:r w:rsidR="004732C0" w:rsidRPr="00EF7033">
        <w:t>et</w:t>
      </w:r>
      <w:r w:rsidR="00073CFA" w:rsidRPr="00EF7033">
        <w:t xml:space="preserve">, </w:t>
      </w:r>
      <w:r w:rsidR="004732C0" w:rsidRPr="00EF7033">
        <w:t xml:space="preserve">dans le cas d’une </w:t>
      </w:r>
      <w:r w:rsidR="00073CFA" w:rsidRPr="00EF7033">
        <w:t xml:space="preserve">conversion </w:t>
      </w:r>
      <w:r w:rsidR="004732C0" w:rsidRPr="00EF7033">
        <w:t>conformément au paragraphe </w:t>
      </w:r>
      <w:r w:rsidR="004C4BAE" w:rsidRPr="00060926">
        <w:fldChar w:fldCharType="begin"/>
      </w:r>
      <w:r w:rsidR="004C4BAE" w:rsidRPr="00060926">
        <w:instrText xml:space="preserve"> REF _Ref27811908 \r \h </w:instrText>
      </w:r>
      <w:r w:rsidR="004C4BAE" w:rsidRPr="00060926">
        <w:fldChar w:fldCharType="separate"/>
      </w:r>
      <w:r w:rsidR="00BF3E18">
        <w:t>4</w:t>
      </w:r>
      <w:r w:rsidR="004C4BAE" w:rsidRPr="00060926">
        <w:fldChar w:fldCharType="end"/>
      </w:r>
      <w:r w:rsidR="004C4BAE">
        <w:fldChar w:fldCharType="begin"/>
      </w:r>
      <w:r w:rsidR="004C4BAE">
        <w:instrText xml:space="preserve"> REF _Ref38098427 \r \h </w:instrText>
      </w:r>
      <w:r w:rsidR="004C4BAE">
        <w:fldChar w:fldCharType="separate"/>
      </w:r>
      <w:r w:rsidR="00BF3E18">
        <w:t>b)</w:t>
      </w:r>
      <w:r w:rsidR="004C4BAE">
        <w:fldChar w:fldCharType="end"/>
      </w:r>
      <w:r w:rsidR="00073CFA" w:rsidRPr="00EF7033">
        <w:t xml:space="preserve"> </w:t>
      </w:r>
      <w:r w:rsidR="004732C0" w:rsidRPr="00EF7033">
        <w:t>ou à l’alinéa </w:t>
      </w:r>
      <w:r w:rsidR="004C4BAE" w:rsidRPr="00060926">
        <w:fldChar w:fldCharType="begin"/>
      </w:r>
      <w:r w:rsidR="004C4BAE" w:rsidRPr="00060926">
        <w:instrText xml:space="preserve"> REF _Ref27811908 \r \h </w:instrText>
      </w:r>
      <w:r w:rsidR="004C4BAE" w:rsidRPr="00060926">
        <w:fldChar w:fldCharType="separate"/>
      </w:r>
      <w:r w:rsidR="00BF3E18">
        <w:t>4</w:t>
      </w:r>
      <w:r w:rsidR="004C4BAE" w:rsidRPr="00060926">
        <w:fldChar w:fldCharType="end"/>
      </w:r>
      <w:r w:rsidR="004C4BAE">
        <w:fldChar w:fldCharType="begin"/>
      </w:r>
      <w:r w:rsidR="004C4BAE">
        <w:instrText xml:space="preserve"> REF _Ref38098436 \r \h </w:instrText>
      </w:r>
      <w:r w:rsidR="004C4BAE">
        <w:fldChar w:fldCharType="separate"/>
      </w:r>
      <w:r w:rsidR="00BF3E18">
        <w:t>c)</w:t>
      </w:r>
      <w:r w:rsidR="004C4BAE">
        <w:fldChar w:fldCharType="end"/>
      </w:r>
      <w:r w:rsidR="004C4BAE">
        <w:fldChar w:fldCharType="begin"/>
      </w:r>
      <w:r w:rsidR="004C4BAE">
        <w:instrText xml:space="preserve"> REF _Ref27837379 \r \h </w:instrText>
      </w:r>
      <w:r w:rsidR="004C4BAE">
        <w:fldChar w:fldCharType="separate"/>
      </w:r>
      <w:r w:rsidR="00BF3E18">
        <w:t>c)(i)</w:t>
      </w:r>
      <w:r w:rsidR="004C4BAE">
        <w:fldChar w:fldCharType="end"/>
      </w:r>
      <w:r w:rsidR="00073CFA" w:rsidRPr="00EF7033">
        <w:t xml:space="preserve">, </w:t>
      </w:r>
      <w:r w:rsidR="00CD2CE3" w:rsidRPr="00EF7033">
        <w:t>les</w:t>
      </w:r>
      <w:r w:rsidR="00073CFA" w:rsidRPr="00EF7033">
        <w:t xml:space="preserve"> </w:t>
      </w:r>
      <w:r w:rsidR="004E19F2" w:rsidRPr="00EF7033">
        <w:t>Conventions relatives aux opérations</w:t>
      </w:r>
      <w:r w:rsidR="00073CFA" w:rsidRPr="00EF7033">
        <w:t xml:space="preserve"> (</w:t>
      </w:r>
      <w:r w:rsidR="004E19F2" w:rsidRPr="00EF7033">
        <w:t>collectivement</w:t>
      </w:r>
      <w:r w:rsidR="00073CFA" w:rsidRPr="00EF7033">
        <w:t xml:space="preserve">, </w:t>
      </w:r>
      <w:r w:rsidR="004E19F2" w:rsidRPr="00EF7033">
        <w:t xml:space="preserve">les </w:t>
      </w:r>
      <w:r w:rsidR="005956FF" w:rsidRPr="00EF7033">
        <w:t>« </w:t>
      </w:r>
      <w:r w:rsidRPr="00EF7033">
        <w:rPr>
          <w:b/>
        </w:rPr>
        <w:t>Documents de conversion</w:t>
      </w:r>
      <w:r w:rsidR="005956FF" w:rsidRPr="00EF7033">
        <w:t> »</w:t>
      </w:r>
      <w:r w:rsidR="00C262A4" w:rsidRPr="00EF7033">
        <w:t>)</w:t>
      </w:r>
      <w:r w:rsidR="00073CFA" w:rsidRPr="00EF7033">
        <w:t xml:space="preserve">. </w:t>
      </w:r>
      <w:r w:rsidR="00B12567" w:rsidRPr="00EF7033">
        <w:t>La Société</w:t>
      </w:r>
      <w:r w:rsidR="00073CFA" w:rsidRPr="00EF7033">
        <w:t xml:space="preserve"> </w:t>
      </w:r>
      <w:r w:rsidR="00B12567" w:rsidRPr="00EF7033">
        <w:t xml:space="preserve">ne donnera pas </w:t>
      </w:r>
      <w:r w:rsidR="00531915" w:rsidRPr="00EF7033">
        <w:t>effet</w:t>
      </w:r>
      <w:r w:rsidR="00B12567" w:rsidRPr="00EF7033">
        <w:t xml:space="preserve"> à la </w:t>
      </w:r>
      <w:r w:rsidR="008403CC" w:rsidRPr="00EF7033">
        <w:t>conversion</w:t>
      </w:r>
      <w:r w:rsidR="00073CFA" w:rsidRPr="00EF7033">
        <w:t xml:space="preserve"> </w:t>
      </w:r>
      <w:r w:rsidR="008403CC" w:rsidRPr="00EF7033">
        <w:t>du présent Billet</w:t>
      </w:r>
      <w:r w:rsidR="00073CFA" w:rsidRPr="00EF7033">
        <w:t xml:space="preserve">, </w:t>
      </w:r>
      <w:r w:rsidR="00B50A0E" w:rsidRPr="00EF7033">
        <w:t xml:space="preserve">et tous les droits et privilèges du </w:t>
      </w:r>
      <w:r w:rsidR="008403CC" w:rsidRPr="00EF7033">
        <w:t>Porteur</w:t>
      </w:r>
      <w:r w:rsidR="00073CFA" w:rsidRPr="00EF7033">
        <w:t xml:space="preserve"> </w:t>
      </w:r>
      <w:r w:rsidR="00A02708" w:rsidRPr="00EF7033">
        <w:t>aux termes du présent Billet</w:t>
      </w:r>
      <w:r w:rsidR="00073CFA" w:rsidRPr="00EF7033">
        <w:t xml:space="preserve"> (</w:t>
      </w:r>
      <w:r w:rsidR="00531915" w:rsidRPr="00EF7033">
        <w:t>sauf</w:t>
      </w:r>
      <w:r w:rsidR="00B50A0E" w:rsidRPr="00EF7033">
        <w:t xml:space="preserve"> le droit de réaliser la </w:t>
      </w:r>
      <w:r w:rsidR="008403CC" w:rsidRPr="00EF7033">
        <w:t>conversion</w:t>
      </w:r>
      <w:r w:rsidR="00073CFA" w:rsidRPr="00EF7033">
        <w:t xml:space="preserve">) </w:t>
      </w:r>
      <w:r w:rsidR="00B50A0E" w:rsidRPr="00EF7033">
        <w:t xml:space="preserve">seront automatiquement suspendus, </w:t>
      </w:r>
      <w:r w:rsidR="00105790" w:rsidRPr="00EF7033">
        <w:t xml:space="preserve">tant que le Porteur n’aura pas signé et remis tous les </w:t>
      </w:r>
      <w:r w:rsidRPr="00EF7033">
        <w:t>Documents de conversion</w:t>
      </w:r>
      <w:r w:rsidR="00073CFA" w:rsidRPr="00EF7033">
        <w:t xml:space="preserve">. </w:t>
      </w:r>
      <w:r w:rsidR="00083C83" w:rsidRPr="00EF7033">
        <w:t>Dans le cadre d’une</w:t>
      </w:r>
      <w:r w:rsidR="00073CFA" w:rsidRPr="00EF7033">
        <w:t xml:space="preserve"> conversion </w:t>
      </w:r>
      <w:r w:rsidR="00083C83" w:rsidRPr="00EF7033">
        <w:t xml:space="preserve">lors d’un </w:t>
      </w:r>
      <w:r w:rsidR="00A02708" w:rsidRPr="00EF7033">
        <w:t>Financement admissible</w:t>
      </w:r>
      <w:r w:rsidR="00073CFA" w:rsidRPr="00EF7033">
        <w:t>, (</w:t>
      </w:r>
      <w:r w:rsidRPr="00060926">
        <w:t>i</w:t>
      </w:r>
      <w:r w:rsidRPr="00EF7033">
        <w:t>) </w:t>
      </w:r>
      <w:r w:rsidR="008403CC" w:rsidRPr="00EF7033">
        <w:t>le Porteur</w:t>
      </w:r>
      <w:r w:rsidR="00073CFA" w:rsidRPr="00EF7033">
        <w:t xml:space="preserve"> </w:t>
      </w:r>
      <w:r w:rsidR="00083C83" w:rsidRPr="00EF7033">
        <w:t>se verra attribuer les mêmes droits, privilèges, priorités et obligations que tout autre investisseur dans</w:t>
      </w:r>
      <w:r w:rsidR="00200001" w:rsidRPr="00EF7033">
        <w:t xml:space="preserve"> le</w:t>
      </w:r>
      <w:r w:rsidR="00002F7E" w:rsidRPr="00EF7033">
        <w:t xml:space="preserve"> cadre du</w:t>
      </w:r>
      <w:r w:rsidR="00083C83" w:rsidRPr="00EF7033">
        <w:t xml:space="preserve"> </w:t>
      </w:r>
      <w:r w:rsidR="00A02708" w:rsidRPr="00EF7033">
        <w:rPr>
          <w:szCs w:val="24"/>
        </w:rPr>
        <w:t>Financement admissible</w:t>
      </w:r>
      <w:r w:rsidR="00073CFA" w:rsidRPr="00EF7033">
        <w:rPr>
          <w:szCs w:val="24"/>
        </w:rPr>
        <w:t xml:space="preserve"> </w:t>
      </w:r>
      <w:r w:rsidR="00DB482A" w:rsidRPr="00EF7033">
        <w:rPr>
          <w:szCs w:val="24"/>
        </w:rPr>
        <w:t xml:space="preserve">qui souscrit essentiellement le même nombre d’actions que le Porteur, étant entendu que le Porteur n’aura le droit de se voir attribuer </w:t>
      </w:r>
      <w:r w:rsidR="000222C6" w:rsidRPr="00EF7033">
        <w:rPr>
          <w:szCs w:val="24"/>
        </w:rPr>
        <w:t>aucun des</w:t>
      </w:r>
      <w:r w:rsidR="00DB482A" w:rsidRPr="00EF7033">
        <w:rPr>
          <w:szCs w:val="24"/>
        </w:rPr>
        <w:t xml:space="preserve"> droits et avantages usuels supplémentaires </w:t>
      </w:r>
      <w:r w:rsidR="000222C6" w:rsidRPr="00EF7033">
        <w:rPr>
          <w:szCs w:val="24"/>
        </w:rPr>
        <w:t xml:space="preserve">qui sont </w:t>
      </w:r>
      <w:r w:rsidR="00DB482A" w:rsidRPr="00EF7033">
        <w:rPr>
          <w:szCs w:val="24"/>
        </w:rPr>
        <w:t>accordés aux</w:t>
      </w:r>
      <w:r w:rsidR="00073CFA" w:rsidRPr="00EF7033">
        <w:t xml:space="preserve"> </w:t>
      </w:r>
      <w:r w:rsidR="00DB482A" w:rsidRPr="00EF7033">
        <w:t>investisseurs principaux</w:t>
      </w:r>
      <w:r w:rsidR="00073CFA" w:rsidRPr="00EF7033">
        <w:t xml:space="preserve"> </w:t>
      </w:r>
      <w:r w:rsidR="00DB482A" w:rsidRPr="00EF7033">
        <w:t>dans le cadre du</w:t>
      </w:r>
      <w:r w:rsidR="00073CFA" w:rsidRPr="00EF7033">
        <w:t xml:space="preserve"> </w:t>
      </w:r>
      <w:r w:rsidR="00A02708" w:rsidRPr="00EF7033">
        <w:t>Financement admissible</w:t>
      </w:r>
      <w:r w:rsidR="00073CFA" w:rsidRPr="00EF7033">
        <w:t xml:space="preserve"> </w:t>
      </w:r>
      <w:r w:rsidR="00DB482A" w:rsidRPr="00EF7033">
        <w:rPr>
          <w:szCs w:val="24"/>
        </w:rPr>
        <w:t>si de tels droits et avantages sont conformes aux pratiques sur le marché</w:t>
      </w:r>
      <w:r w:rsidR="00073CFA" w:rsidRPr="00EF7033">
        <w:rPr>
          <w:szCs w:val="24"/>
        </w:rPr>
        <w:t xml:space="preserve">, </w:t>
      </w:r>
      <w:r w:rsidR="006705F1" w:rsidRPr="00EF7033">
        <w:rPr>
          <w:szCs w:val="24"/>
        </w:rPr>
        <w:t>et</w:t>
      </w:r>
      <w:r w:rsidR="00073CFA" w:rsidRPr="00EF7033">
        <w:rPr>
          <w:szCs w:val="24"/>
        </w:rPr>
        <w:t xml:space="preserve"> (</w:t>
      </w:r>
      <w:r w:rsidR="00073CFA" w:rsidRPr="00060926">
        <w:rPr>
          <w:szCs w:val="24"/>
        </w:rPr>
        <w:t>i</w:t>
      </w:r>
      <w:r w:rsidRPr="00060926">
        <w:rPr>
          <w:szCs w:val="24"/>
        </w:rPr>
        <w:t>i</w:t>
      </w:r>
      <w:r w:rsidRPr="00EF7033">
        <w:rPr>
          <w:szCs w:val="24"/>
        </w:rPr>
        <w:t>) </w:t>
      </w:r>
      <w:r w:rsidR="00623965" w:rsidRPr="00EF7033">
        <w:rPr>
          <w:szCs w:val="24"/>
        </w:rPr>
        <w:t>si</w:t>
      </w:r>
      <w:r w:rsidR="00073CFA" w:rsidRPr="00EF7033">
        <w:rPr>
          <w:szCs w:val="24"/>
        </w:rPr>
        <w:t xml:space="preserve"> </w:t>
      </w:r>
      <w:r w:rsidR="008403CC" w:rsidRPr="00EF7033">
        <w:rPr>
          <w:szCs w:val="24"/>
        </w:rPr>
        <w:t>le Porteur</w:t>
      </w:r>
      <w:r w:rsidR="00073CFA" w:rsidRPr="00EF7033">
        <w:rPr>
          <w:szCs w:val="24"/>
        </w:rPr>
        <w:t xml:space="preserve"> </w:t>
      </w:r>
      <w:r w:rsidR="00623965" w:rsidRPr="00EF7033">
        <w:rPr>
          <w:szCs w:val="24"/>
        </w:rPr>
        <w:t>est une</w:t>
      </w:r>
      <w:r w:rsidR="00073CFA" w:rsidRPr="00EF7033">
        <w:rPr>
          <w:szCs w:val="24"/>
        </w:rPr>
        <w:t xml:space="preserve"> </w:t>
      </w:r>
      <w:r w:rsidR="00623965" w:rsidRPr="00EF7033">
        <w:rPr>
          <w:szCs w:val="24"/>
        </w:rPr>
        <w:t>agence ou un organisme gouvernemental</w:t>
      </w:r>
      <w:r w:rsidR="00073CFA" w:rsidRPr="00EF7033">
        <w:rPr>
          <w:szCs w:val="24"/>
        </w:rPr>
        <w:t xml:space="preserve">, </w:t>
      </w:r>
      <w:r w:rsidR="008403CC" w:rsidRPr="00EF7033">
        <w:rPr>
          <w:szCs w:val="24"/>
        </w:rPr>
        <w:t>le Porteur</w:t>
      </w:r>
      <w:r w:rsidR="00073CFA" w:rsidRPr="00EF7033">
        <w:rPr>
          <w:szCs w:val="24"/>
        </w:rPr>
        <w:t xml:space="preserve"> </w:t>
      </w:r>
      <w:r w:rsidR="00623965" w:rsidRPr="00EF7033">
        <w:rPr>
          <w:szCs w:val="24"/>
        </w:rPr>
        <w:t>aura le droit de se voir accorder des avantages usuels supplémentaires uniquement dans la mesure où les avantages sont exigés en vertu de la réglementation ou des politiques auxquelles est soumis le Porteur</w:t>
      </w:r>
      <w:r w:rsidR="00073CFA" w:rsidRPr="00EF7033">
        <w:t>.</w:t>
      </w:r>
      <w:bookmarkEnd w:id="9"/>
    </w:p>
    <w:p w14:paraId="10467D4A" w14:textId="142BB701" w:rsidR="00F0406C" w:rsidRPr="00060926" w:rsidRDefault="00A56F98" w:rsidP="00E5787D">
      <w:pPr>
        <w:pStyle w:val="StandardL2"/>
      </w:pPr>
      <w:r w:rsidRPr="00EF7033">
        <w:rPr>
          <w:u w:val="single"/>
        </w:rPr>
        <w:t xml:space="preserve">Mécanique et </w:t>
      </w:r>
      <w:r w:rsidR="00F56EC4" w:rsidRPr="00EF7033">
        <w:rPr>
          <w:u w:val="single"/>
        </w:rPr>
        <w:t>effet de la conversion</w:t>
      </w:r>
      <w:r w:rsidR="00073CFA" w:rsidRPr="00EF7033">
        <w:t xml:space="preserve">. </w:t>
      </w:r>
      <w:r w:rsidR="00F56EC4" w:rsidRPr="00EF7033">
        <w:t xml:space="preserve">Aucune fraction d’action du capital de la Société ne sera émise à la conversion </w:t>
      </w:r>
      <w:r w:rsidR="008403CC" w:rsidRPr="00EF7033">
        <w:t>du présent Billet</w:t>
      </w:r>
      <w:r w:rsidR="00073CFA" w:rsidRPr="00EF7033">
        <w:t xml:space="preserve">. </w:t>
      </w:r>
      <w:r w:rsidR="00F56EC4" w:rsidRPr="00EF7033">
        <w:t>Pour toute fraction d’action à laquelle le Porteur aurait par ailleurs droit</w:t>
      </w:r>
      <w:r w:rsidR="00073CFA" w:rsidRPr="00EF7033">
        <w:t xml:space="preserve">, </w:t>
      </w:r>
      <w:r w:rsidR="00F56EC4" w:rsidRPr="00EF7033">
        <w:t>la Société</w:t>
      </w:r>
      <w:r w:rsidR="00073CFA" w:rsidRPr="00EF7033">
        <w:t xml:space="preserve"> </w:t>
      </w:r>
      <w:r w:rsidR="009752EB" w:rsidRPr="00EF7033">
        <w:t>versera</w:t>
      </w:r>
      <w:r w:rsidR="00F56EC4" w:rsidRPr="00EF7033">
        <w:t xml:space="preserve"> au </w:t>
      </w:r>
      <w:r w:rsidR="006540DE" w:rsidRPr="00EF7033">
        <w:t>Porteur une somme au comptant représentant l</w:t>
      </w:r>
      <w:r w:rsidR="009752EB" w:rsidRPr="00EF7033">
        <w:t xml:space="preserve">a tranche </w:t>
      </w:r>
      <w:r w:rsidR="00C7205D" w:rsidRPr="00EF7033">
        <w:t xml:space="preserve">non convertie </w:t>
      </w:r>
      <w:r w:rsidR="009752EB" w:rsidRPr="00EF7033">
        <w:t>du</w:t>
      </w:r>
      <w:r w:rsidR="006540DE" w:rsidRPr="00EF7033">
        <w:t xml:space="preserve"> </w:t>
      </w:r>
      <w:r w:rsidR="0023154E" w:rsidRPr="00EF7033">
        <w:t>Montant impayé</w:t>
      </w:r>
      <w:r w:rsidR="006540DE" w:rsidRPr="00EF7033">
        <w:t xml:space="preserve"> qui aurait autrement donné lieu à la fraction d’action</w:t>
      </w:r>
      <w:r w:rsidR="00073CFA" w:rsidRPr="00EF7033">
        <w:t xml:space="preserve">. </w:t>
      </w:r>
      <w:r w:rsidR="00F579A8" w:rsidRPr="00EF7033">
        <w:t>À ses frais</w:t>
      </w:r>
      <w:r w:rsidR="00073CFA" w:rsidRPr="00EF7033">
        <w:t xml:space="preserve">, </w:t>
      </w:r>
      <w:r w:rsidR="00F56EC4" w:rsidRPr="00EF7033">
        <w:t>la Société</w:t>
      </w:r>
      <w:r w:rsidR="00073CFA" w:rsidRPr="00EF7033">
        <w:t xml:space="preserve"> </w:t>
      </w:r>
      <w:r w:rsidR="00F579A8" w:rsidRPr="00EF7033">
        <w:t>émettra et livrera</w:t>
      </w:r>
      <w:r w:rsidR="00073CFA" w:rsidRPr="00EF7033">
        <w:t xml:space="preserve">, </w:t>
      </w:r>
      <w:r w:rsidR="00F579A8" w:rsidRPr="00EF7033">
        <w:t>dans les</w:t>
      </w:r>
      <w:r w:rsidR="00073CFA" w:rsidRPr="00EF7033">
        <w:t xml:space="preserve"> [</w:t>
      </w:r>
      <w:r w:rsidR="00F579A8" w:rsidRPr="00EF7033">
        <w:t>cinq</w:t>
      </w:r>
      <w:r w:rsidR="00073CFA" w:rsidRPr="00EF7033">
        <w:t xml:space="preserve">] </w:t>
      </w:r>
      <w:r w:rsidR="00F579A8" w:rsidRPr="00EF7033">
        <w:t>jours ouvrables</w:t>
      </w:r>
      <w:r w:rsidR="00073CFA" w:rsidRPr="00EF7033">
        <w:t xml:space="preserve"> </w:t>
      </w:r>
      <w:r w:rsidR="00F579A8" w:rsidRPr="00EF7033">
        <w:t>suivant la</w:t>
      </w:r>
      <w:r w:rsidR="00073CFA" w:rsidRPr="00EF7033">
        <w:t xml:space="preserve"> conversion </w:t>
      </w:r>
      <w:r w:rsidR="008403CC" w:rsidRPr="00EF7033">
        <w:t>du présent Billet</w:t>
      </w:r>
      <w:r w:rsidR="00073CFA" w:rsidRPr="00EF7033">
        <w:t xml:space="preserve">, </w:t>
      </w:r>
      <w:r w:rsidR="00F579A8" w:rsidRPr="00EF7033">
        <w:t>un ou plusieurs certificats attestant le nombre d’actions auquel a droit le Porteur à la</w:t>
      </w:r>
      <w:r w:rsidR="00073CFA" w:rsidRPr="00EF7033">
        <w:t xml:space="preserve"> conversion (</w:t>
      </w:r>
      <w:r w:rsidR="00F579A8" w:rsidRPr="00EF7033">
        <w:t>les</w:t>
      </w:r>
      <w:r w:rsidR="00073CFA" w:rsidRPr="00EF7033">
        <w:t xml:space="preserve"> </w:t>
      </w:r>
      <w:r w:rsidR="005956FF" w:rsidRPr="00EF7033">
        <w:t>« </w:t>
      </w:r>
      <w:r w:rsidR="00F579A8" w:rsidRPr="00EF7033">
        <w:rPr>
          <w:b/>
        </w:rPr>
        <w:t>Certificat</w:t>
      </w:r>
      <w:r w:rsidR="00073CFA" w:rsidRPr="00EF7033">
        <w:rPr>
          <w:b/>
        </w:rPr>
        <w:t>s</w:t>
      </w:r>
      <w:r w:rsidR="005956FF" w:rsidRPr="00EF7033">
        <w:t> »</w:t>
      </w:r>
      <w:r w:rsidR="00C262A4" w:rsidRPr="00EF7033">
        <w:t>)</w:t>
      </w:r>
      <w:r w:rsidR="00F579A8" w:rsidRPr="00EF7033">
        <w:t xml:space="preserve"> ainsi que tous autres titres et biens auxquels a droit le Porteur à la conversion conformément aux modalités </w:t>
      </w:r>
      <w:r w:rsidR="008403CC" w:rsidRPr="00EF7033">
        <w:t>du présent Billet</w:t>
      </w:r>
      <w:r w:rsidR="00073CFA" w:rsidRPr="00EF7033">
        <w:t xml:space="preserve">, </w:t>
      </w:r>
      <w:r w:rsidR="00F579A8" w:rsidRPr="00EF7033">
        <w:t xml:space="preserve">y compris un chèque payable à l’ordre du Porteur pour toute somme au comptant payable </w:t>
      </w:r>
      <w:r w:rsidR="009752EB" w:rsidRPr="00EF7033">
        <w:t>de la façon décrite</w:t>
      </w:r>
      <w:r w:rsidR="00F579A8" w:rsidRPr="00EF7033">
        <w:t xml:space="preserve"> dans le </w:t>
      </w:r>
      <w:r w:rsidR="001267F4" w:rsidRPr="00EF7033">
        <w:t>présent Billet</w:t>
      </w:r>
      <w:r w:rsidR="00073CFA" w:rsidRPr="00EF7033">
        <w:t xml:space="preserve">, </w:t>
      </w:r>
      <w:r w:rsidR="00F579A8" w:rsidRPr="00EF7033">
        <w:t xml:space="preserve">et ce, </w:t>
      </w:r>
      <w:r w:rsidR="00073CFA" w:rsidRPr="00EF7033">
        <w:t>(</w:t>
      </w:r>
      <w:r w:rsidR="0034687A" w:rsidRPr="00060926">
        <w:t>i</w:t>
      </w:r>
      <w:r w:rsidR="0034687A" w:rsidRPr="00EF7033">
        <w:t>) </w:t>
      </w:r>
      <w:r w:rsidR="00F579A8" w:rsidRPr="00EF7033">
        <w:t>au</w:t>
      </w:r>
      <w:r w:rsidR="008403CC" w:rsidRPr="00EF7033">
        <w:t xml:space="preserve"> Porteur</w:t>
      </w:r>
      <w:r w:rsidR="00073CFA" w:rsidRPr="00EF7033">
        <w:t xml:space="preserve">, </w:t>
      </w:r>
      <w:r w:rsidR="00F579A8" w:rsidRPr="00EF7033">
        <w:t>à son bureau principal</w:t>
      </w:r>
      <w:r w:rsidR="00073CFA" w:rsidRPr="00EF7033">
        <w:t>, o</w:t>
      </w:r>
      <w:r w:rsidR="00F579A8" w:rsidRPr="00EF7033">
        <w:t>u</w:t>
      </w:r>
      <w:r w:rsidR="00073CFA" w:rsidRPr="00EF7033">
        <w:t xml:space="preserve"> (</w:t>
      </w:r>
      <w:r w:rsidR="00073CFA" w:rsidRPr="00060926">
        <w:t>i</w:t>
      </w:r>
      <w:r w:rsidR="0034687A" w:rsidRPr="00060926">
        <w:t>i</w:t>
      </w:r>
      <w:r w:rsidR="0034687A" w:rsidRPr="00EF7033">
        <w:t>) </w:t>
      </w:r>
      <w:r w:rsidR="00F579A8" w:rsidRPr="00EF7033">
        <w:t xml:space="preserve">au dépositaire du Porteur conformément aux instructions fournies par le Porteur avant la </w:t>
      </w:r>
      <w:r w:rsidR="00073CFA" w:rsidRPr="00EF7033">
        <w:t xml:space="preserve">conversion. </w:t>
      </w:r>
      <w:r w:rsidR="00F579A8" w:rsidRPr="00EF7033">
        <w:t>Le Porteur</w:t>
      </w:r>
      <w:r w:rsidR="00073CFA" w:rsidRPr="00EF7033">
        <w:t xml:space="preserve"> </w:t>
      </w:r>
      <w:r w:rsidR="00F579A8" w:rsidRPr="00EF7033">
        <w:t>transmettra à la Société, avant toute conversion, ses instructions d’immatriculation et de livraison des Certificat</w:t>
      </w:r>
      <w:r w:rsidR="00073CFA" w:rsidRPr="00EF7033">
        <w:t xml:space="preserve">s. </w:t>
      </w:r>
      <w:r w:rsidR="00F579A8" w:rsidRPr="00EF7033">
        <w:t xml:space="preserve">Simultanément à la </w:t>
      </w:r>
      <w:r w:rsidR="00073CFA" w:rsidRPr="00EF7033">
        <w:t xml:space="preserve">conversion </w:t>
      </w:r>
      <w:r w:rsidR="008403CC" w:rsidRPr="00EF7033">
        <w:t>du présent Billet</w:t>
      </w:r>
      <w:r w:rsidR="00073CFA" w:rsidRPr="00EF7033">
        <w:t xml:space="preserve"> </w:t>
      </w:r>
      <w:r w:rsidR="00F579A8" w:rsidRPr="00EF7033">
        <w:t>et</w:t>
      </w:r>
      <w:r w:rsidR="009752EB" w:rsidRPr="00EF7033">
        <w:t xml:space="preserve"> à</w:t>
      </w:r>
      <w:r w:rsidR="00F579A8" w:rsidRPr="00EF7033">
        <w:t xml:space="preserve"> la livraison des Certificat</w:t>
      </w:r>
      <w:r w:rsidR="00073CFA" w:rsidRPr="00EF7033">
        <w:t xml:space="preserve">s, </w:t>
      </w:r>
      <w:r w:rsidR="008403CC" w:rsidRPr="00EF7033">
        <w:t>le Porteur</w:t>
      </w:r>
      <w:r w:rsidR="00073CFA" w:rsidRPr="00EF7033">
        <w:t xml:space="preserve"> (</w:t>
      </w:r>
      <w:r w:rsidR="0034687A" w:rsidRPr="00060926">
        <w:t>i</w:t>
      </w:r>
      <w:r w:rsidR="0034687A" w:rsidRPr="00EF7033">
        <w:t>) </w:t>
      </w:r>
      <w:r w:rsidR="008D16E3" w:rsidRPr="00EF7033">
        <w:t>remettra</w:t>
      </w:r>
      <w:r w:rsidR="00073CFA" w:rsidRPr="00EF7033">
        <w:t xml:space="preserve"> </w:t>
      </w:r>
      <w:r w:rsidR="001267F4" w:rsidRPr="00EF7033">
        <w:t>le présent Billet</w:t>
      </w:r>
      <w:r w:rsidR="00073CFA" w:rsidRPr="00EF7033">
        <w:t xml:space="preserve"> </w:t>
      </w:r>
      <w:r w:rsidR="009F4C72" w:rsidRPr="00EF7033">
        <w:t>à la Société</w:t>
      </w:r>
      <w:r w:rsidR="00002F7E" w:rsidRPr="00EF7033">
        <w:t>,</w:t>
      </w:r>
      <w:r w:rsidR="00073CFA" w:rsidRPr="00EF7033">
        <w:t xml:space="preserve"> </w:t>
      </w:r>
      <w:r w:rsidR="008D16E3" w:rsidRPr="00EF7033">
        <w:t>à son bureau principal ou à tout autre endroit indiqué par la Société</w:t>
      </w:r>
      <w:r w:rsidR="00073CFA" w:rsidRPr="00EF7033">
        <w:t>; (</w:t>
      </w:r>
      <w:r w:rsidR="00073CFA" w:rsidRPr="00060926">
        <w:t>i</w:t>
      </w:r>
      <w:r w:rsidR="0034687A" w:rsidRPr="00060926">
        <w:t>i</w:t>
      </w:r>
      <w:r w:rsidR="0034687A" w:rsidRPr="00EF7033">
        <w:t>) </w:t>
      </w:r>
      <w:r w:rsidR="00C7205D" w:rsidRPr="00EF7033">
        <w:t>livrera</w:t>
      </w:r>
      <w:r w:rsidR="008D16E3" w:rsidRPr="00EF7033">
        <w:t xml:space="preserve"> les documents </w:t>
      </w:r>
      <w:r w:rsidR="00C7205D" w:rsidRPr="00EF7033">
        <w:t>requis</w:t>
      </w:r>
      <w:r w:rsidR="008D16E3" w:rsidRPr="00EF7033">
        <w:t xml:space="preserve"> aux termes </w:t>
      </w:r>
      <w:r w:rsidR="00002F7E" w:rsidRPr="00EF7033">
        <w:t>du paragraphe</w:t>
      </w:r>
      <w:r w:rsidR="008D16E3" w:rsidRPr="00EF7033">
        <w:t> </w:t>
      </w:r>
      <w:r w:rsidR="00073CFA" w:rsidRPr="00060926">
        <w:fldChar w:fldCharType="begin"/>
      </w:r>
      <w:r w:rsidR="00073CFA" w:rsidRPr="00060926">
        <w:instrText xml:space="preserve"> REF _Ref27811908 \r \h </w:instrText>
      </w:r>
      <w:r w:rsidR="00073CFA" w:rsidRPr="00060926">
        <w:fldChar w:fldCharType="separate"/>
      </w:r>
      <w:r w:rsidR="00BF3E18">
        <w:t>4</w:t>
      </w:r>
      <w:r w:rsidR="00073CFA" w:rsidRPr="00060926">
        <w:fldChar w:fldCharType="end"/>
      </w:r>
      <w:r w:rsidR="00073CFA" w:rsidRPr="00EF7033">
        <w:fldChar w:fldCharType="begin"/>
      </w:r>
      <w:r w:rsidR="00073CFA" w:rsidRPr="00EF7033">
        <w:instrText xml:space="preserve"> REF _Ref29804555 \r \h </w:instrText>
      </w:r>
      <w:r w:rsidR="00073CFA" w:rsidRPr="00EF7033">
        <w:fldChar w:fldCharType="separate"/>
      </w:r>
      <w:r w:rsidR="00BF3E18">
        <w:t>f)</w:t>
      </w:r>
      <w:r w:rsidR="00073CFA" w:rsidRPr="00EF7033">
        <w:fldChar w:fldCharType="end"/>
      </w:r>
      <w:r w:rsidR="00073CFA" w:rsidRPr="00EF7033">
        <w:t xml:space="preserve">; </w:t>
      </w:r>
      <w:r w:rsidR="008D16E3" w:rsidRPr="00EF7033">
        <w:t>et</w:t>
      </w:r>
      <w:r w:rsidR="00073CFA" w:rsidRPr="00EF7033">
        <w:t xml:space="preserve"> (</w:t>
      </w:r>
      <w:r w:rsidR="00073CFA" w:rsidRPr="00060926">
        <w:t>ii</w:t>
      </w:r>
      <w:r w:rsidR="0034687A" w:rsidRPr="00060926">
        <w:t>i</w:t>
      </w:r>
      <w:r w:rsidR="0034687A" w:rsidRPr="00EF7033">
        <w:t>) </w:t>
      </w:r>
      <w:r w:rsidR="00073CFA" w:rsidRPr="00EF7033">
        <w:t>sign</w:t>
      </w:r>
      <w:r w:rsidR="008D16E3" w:rsidRPr="00EF7033">
        <w:t xml:space="preserve">era et remettra </w:t>
      </w:r>
      <w:r w:rsidR="009F4C72" w:rsidRPr="00EF7033">
        <w:t>à la Société</w:t>
      </w:r>
      <w:r w:rsidR="00073CFA" w:rsidRPr="00EF7033">
        <w:t xml:space="preserve"> </w:t>
      </w:r>
      <w:r w:rsidR="008D16E3" w:rsidRPr="00EF7033">
        <w:t>une quittance et déc</w:t>
      </w:r>
      <w:r w:rsidR="00737616" w:rsidRPr="00EF7033">
        <w:t>h</w:t>
      </w:r>
      <w:r w:rsidR="008D16E3" w:rsidRPr="00EF7033">
        <w:t xml:space="preserve">arge complète du Billet </w:t>
      </w:r>
      <w:r w:rsidR="00C7205D" w:rsidRPr="00EF7033">
        <w:t xml:space="preserve">présentée dans </w:t>
      </w:r>
      <w:r w:rsidR="008D16E3" w:rsidRPr="00EF7033">
        <w:t>la forme établie par la Société et jugée acceptable</w:t>
      </w:r>
      <w:r w:rsidR="00737616" w:rsidRPr="00EF7033">
        <w:t xml:space="preserve"> </w:t>
      </w:r>
      <w:r w:rsidR="008D16E3" w:rsidRPr="00EF7033">
        <w:t>par le Porteur, agissant raisonnablement</w:t>
      </w:r>
      <w:r w:rsidR="00073CFA" w:rsidRPr="00EF7033">
        <w:t xml:space="preserve">. </w:t>
      </w:r>
      <w:r w:rsidR="00737616" w:rsidRPr="00EF7033">
        <w:t>Une fois la conversion réalisée, la Société sera libérée de toutes ses obligations et responsabilités</w:t>
      </w:r>
      <w:r w:rsidR="00073CFA" w:rsidRPr="00EF7033">
        <w:t xml:space="preserve"> </w:t>
      </w:r>
      <w:r w:rsidR="00A02708" w:rsidRPr="00EF7033">
        <w:t>aux termes du présent Billet</w:t>
      </w:r>
      <w:r w:rsidR="00073CFA" w:rsidRPr="00EF7033">
        <w:t>.</w:t>
      </w:r>
    </w:p>
    <w:p w14:paraId="7B413514" w14:textId="5F0C6339" w:rsidR="00F0406C" w:rsidRPr="00060926" w:rsidRDefault="00477BF0" w:rsidP="009752EB">
      <w:pPr>
        <w:pStyle w:val="StandardL1"/>
        <w:keepNext/>
      </w:pPr>
      <w:r w:rsidRPr="00EF7033">
        <w:rPr>
          <w:b/>
          <w:u w:val="single"/>
        </w:rPr>
        <w:t>Paiement</w:t>
      </w:r>
      <w:r w:rsidR="00073CFA" w:rsidRPr="00EF7033">
        <w:rPr>
          <w:b/>
          <w:u w:val="single"/>
        </w:rPr>
        <w:t xml:space="preserve">; </w:t>
      </w:r>
      <w:r w:rsidRPr="00EF7033">
        <w:rPr>
          <w:b/>
          <w:u w:val="single"/>
        </w:rPr>
        <w:t>remboursement anticipé</w:t>
      </w:r>
      <w:r w:rsidR="00073CFA" w:rsidRPr="00060926">
        <w:rPr>
          <w:rStyle w:val="FootnoteReference"/>
          <w:bCs/>
          <w:u w:val="single"/>
        </w:rPr>
        <w:footnoteReference w:id="14"/>
      </w:r>
      <w:r w:rsidR="00073CFA" w:rsidRPr="00EF7033">
        <w:rPr>
          <w:bCs/>
        </w:rPr>
        <w:t>.</w:t>
      </w:r>
    </w:p>
    <w:p w14:paraId="0F9E3F1F" w14:textId="002720A7" w:rsidR="00F0406C" w:rsidRPr="00060926" w:rsidRDefault="00477BF0" w:rsidP="00E5787D">
      <w:pPr>
        <w:pStyle w:val="StandardL2"/>
      </w:pPr>
      <w:r w:rsidRPr="00EF7033">
        <w:t xml:space="preserve">Tous les paiements </w:t>
      </w:r>
      <w:r w:rsidR="00A02708" w:rsidRPr="00EF7033">
        <w:t>aux termes du présent Billet</w:t>
      </w:r>
      <w:r w:rsidR="00073CFA" w:rsidRPr="00EF7033">
        <w:t xml:space="preserve"> </w:t>
      </w:r>
      <w:r w:rsidRPr="00EF7033">
        <w:t xml:space="preserve">seront </w:t>
      </w:r>
      <w:r w:rsidR="00D11CBE" w:rsidRPr="00EF7033">
        <w:t xml:space="preserve">effectués dans la </w:t>
      </w:r>
      <w:r w:rsidRPr="00EF7033">
        <w:t>monnaie légale [du Canada]</w:t>
      </w:r>
      <w:r w:rsidR="00D11CBE" w:rsidRPr="00EF7033">
        <w:t>,</w:t>
      </w:r>
      <w:r w:rsidRPr="00EF7033">
        <w:t xml:space="preserve"> à l’endroit que le Porteur</w:t>
      </w:r>
      <w:r w:rsidR="0085305E" w:rsidRPr="00EF7033">
        <w:t xml:space="preserve"> </w:t>
      </w:r>
      <w:r w:rsidRPr="00EF7033">
        <w:t>peut indiquer par écrit de temps à autre à la Société</w:t>
      </w:r>
      <w:r w:rsidR="00073CFA" w:rsidRPr="00EF7033">
        <w:t>.</w:t>
      </w:r>
    </w:p>
    <w:p w14:paraId="44E84FAB" w14:textId="4C3DE1F6" w:rsidR="00F0406C" w:rsidRPr="00060926" w:rsidRDefault="00D11CBE" w:rsidP="00E5787D">
      <w:pPr>
        <w:pStyle w:val="StandardL2"/>
      </w:pPr>
      <w:r w:rsidRPr="00EF7033">
        <w:t>La Société ne peut effectuer le</w:t>
      </w:r>
      <w:r w:rsidR="00477BF0" w:rsidRPr="00EF7033">
        <w:t xml:space="preserve"> remboursement anticipé de toute partie du </w:t>
      </w:r>
      <w:r w:rsidR="0023154E" w:rsidRPr="00EF7033">
        <w:t>Montant impayé</w:t>
      </w:r>
      <w:r w:rsidR="00073CFA" w:rsidRPr="00EF7033">
        <w:t xml:space="preserve"> </w:t>
      </w:r>
      <w:r w:rsidRPr="00EF7033">
        <w:t>sans</w:t>
      </w:r>
      <w:r w:rsidR="00073CFA" w:rsidRPr="00EF7033">
        <w:t xml:space="preserve"> </w:t>
      </w:r>
      <w:r w:rsidR="00477BF0" w:rsidRPr="00EF7033">
        <w:t>le</w:t>
      </w:r>
      <w:r w:rsidR="00073CFA" w:rsidRPr="00EF7033">
        <w:t xml:space="preserve"> </w:t>
      </w:r>
      <w:r w:rsidR="00477BF0" w:rsidRPr="00EF7033">
        <w:t>consentement écrit</w:t>
      </w:r>
      <w:r w:rsidR="00073CFA" w:rsidRPr="00EF7033">
        <w:t xml:space="preserve"> </w:t>
      </w:r>
      <w:r w:rsidR="00477BF0" w:rsidRPr="00EF7033">
        <w:t>du Porteur</w:t>
      </w:r>
      <w:r w:rsidR="00073CFA" w:rsidRPr="00EF7033">
        <w:t>. [</w:t>
      </w:r>
      <w:r w:rsidR="00897F5A" w:rsidRPr="00EF7033">
        <w:t xml:space="preserve">Les Billets auront égalité de rang </w:t>
      </w:r>
      <w:r w:rsidRPr="00EF7033">
        <w:t>entre eux relativement au</w:t>
      </w:r>
      <w:r w:rsidR="00897F5A" w:rsidRPr="00EF7033">
        <w:t xml:space="preserve"> droit </w:t>
      </w:r>
      <w:r w:rsidRPr="00EF7033">
        <w:t>de</w:t>
      </w:r>
      <w:r w:rsidR="00897F5A" w:rsidRPr="00EF7033">
        <w:t xml:space="preserve"> paiement</w:t>
      </w:r>
      <w:r w:rsidR="00073CFA" w:rsidRPr="00EF7033">
        <w:t xml:space="preserve">, </w:t>
      </w:r>
      <w:r w:rsidR="003D5F29" w:rsidRPr="00EF7033">
        <w:t xml:space="preserve">et tout paiement </w:t>
      </w:r>
      <w:r w:rsidRPr="00EF7033">
        <w:t>en faveur de</w:t>
      </w:r>
      <w:r w:rsidR="003D5F29" w:rsidRPr="00EF7033">
        <w:t xml:space="preserve"> chacun des Porteurs aux termes des Billets ser</w:t>
      </w:r>
      <w:r w:rsidR="009752EB" w:rsidRPr="00EF7033">
        <w:t xml:space="preserve">a </w:t>
      </w:r>
      <w:r w:rsidRPr="00EF7033">
        <w:t>effectué</w:t>
      </w:r>
      <w:r w:rsidR="003D5F29" w:rsidRPr="00EF7033">
        <w:t xml:space="preserve"> </w:t>
      </w:r>
      <w:r w:rsidR="00073CFA" w:rsidRPr="00EF7033">
        <w:t>[</w:t>
      </w:r>
      <w:r w:rsidRPr="00EF7033">
        <w:t>au prorata des</w:t>
      </w:r>
      <w:r w:rsidR="00AC2030" w:rsidRPr="00EF7033">
        <w:t xml:space="preserve"> </w:t>
      </w:r>
      <w:r w:rsidR="008403CC" w:rsidRPr="00EF7033">
        <w:t>Porteurs</w:t>
      </w:r>
      <w:r w:rsidR="00073CFA" w:rsidRPr="00EF7033">
        <w:t xml:space="preserve"> </w:t>
      </w:r>
      <w:r w:rsidR="00AC2030" w:rsidRPr="00EF7033">
        <w:t xml:space="preserve">en fonction du capital total </w:t>
      </w:r>
      <w:r w:rsidR="00A20643" w:rsidRPr="00EF7033">
        <w:t>impayé</w:t>
      </w:r>
      <w:r w:rsidR="00AC2030" w:rsidRPr="00EF7033">
        <w:t xml:space="preserve"> des Billets </w:t>
      </w:r>
      <w:r w:rsidR="00E132AE" w:rsidRPr="00EF7033">
        <w:t>immédiatement</w:t>
      </w:r>
      <w:r w:rsidR="00073CFA" w:rsidRPr="00EF7033">
        <w:t xml:space="preserve"> </w:t>
      </w:r>
      <w:r w:rsidR="00AC2030" w:rsidRPr="00EF7033">
        <w:t>avant un tel paiement</w:t>
      </w:r>
      <w:r w:rsidR="00073CFA" w:rsidRPr="00EF7033">
        <w:t>] [</w:t>
      </w:r>
      <w:r w:rsidR="00AC2030" w:rsidRPr="00EF7033">
        <w:t>conformément</w:t>
      </w:r>
      <w:r w:rsidR="00073CFA" w:rsidRPr="00EF7033">
        <w:t xml:space="preserve"> </w:t>
      </w:r>
      <w:r w:rsidR="003D5F29" w:rsidRPr="00EF7033">
        <w:t>à la</w:t>
      </w:r>
      <w:r w:rsidR="00073CFA" w:rsidRPr="00EF7033">
        <w:t xml:space="preserve"> [</w:t>
      </w:r>
      <w:r w:rsidR="00BE556D" w:rsidRPr="00EF7033">
        <w:t>Convention d’achat</w:t>
      </w:r>
      <w:r w:rsidR="00073CFA" w:rsidRPr="00EF7033">
        <w:t>].]</w:t>
      </w:r>
    </w:p>
    <w:p w14:paraId="1F4530EF" w14:textId="2C67DB18" w:rsidR="00F0406C" w:rsidRPr="00060926" w:rsidRDefault="00073CFA" w:rsidP="00E5787D">
      <w:pPr>
        <w:pStyle w:val="StandardL1"/>
      </w:pPr>
      <w:bookmarkStart w:id="10" w:name="_Ref117260903"/>
      <w:r w:rsidRPr="00EF7033">
        <w:rPr>
          <w:b/>
          <w:u w:val="single"/>
        </w:rPr>
        <w:t>[</w:t>
      </w:r>
      <w:r w:rsidR="00C262A4" w:rsidRPr="00EF7033">
        <w:rPr>
          <w:b/>
          <w:u w:val="single"/>
        </w:rPr>
        <w:t>Sûreté</w:t>
      </w:r>
      <w:r w:rsidRPr="00060926">
        <w:rPr>
          <w:rStyle w:val="FootnoteReference"/>
          <w:bCs/>
          <w:u w:val="single"/>
        </w:rPr>
        <w:footnoteReference w:id="15"/>
      </w:r>
      <w:r w:rsidRPr="00EF7033">
        <w:t xml:space="preserve">. </w:t>
      </w:r>
      <w:r w:rsidR="003D5F29" w:rsidRPr="00EF7033">
        <w:t>En garantie permanente</w:t>
      </w:r>
      <w:r w:rsidRPr="00EF7033">
        <w:t xml:space="preserve"> </w:t>
      </w:r>
      <w:r w:rsidR="003D5F29" w:rsidRPr="00EF7033">
        <w:t xml:space="preserve">du paiement </w:t>
      </w:r>
      <w:r w:rsidR="001B7C5B" w:rsidRPr="00EF7033">
        <w:t xml:space="preserve">en bonne et due forme et en temps voulu </w:t>
      </w:r>
      <w:r w:rsidR="00EE52A1" w:rsidRPr="00EF7033">
        <w:t>par la Société du Capital, des intérêts et de toutes les autres sommes</w:t>
      </w:r>
      <w:r w:rsidR="007B21DC" w:rsidRPr="00EF7033">
        <w:t xml:space="preserve"> dues aux termes du présent Billet</w:t>
      </w:r>
      <w:r w:rsidRPr="00EF7033">
        <w:t xml:space="preserve">, </w:t>
      </w:r>
      <w:r w:rsidR="00F56EC4" w:rsidRPr="00EF7033">
        <w:t>la Société</w:t>
      </w:r>
      <w:r w:rsidRPr="00EF7033">
        <w:t xml:space="preserve"> </w:t>
      </w:r>
      <w:r w:rsidR="007B21DC" w:rsidRPr="00EF7033">
        <w:t>accorde une sûreté en faveur d</w:t>
      </w:r>
      <w:r w:rsidR="009752EB" w:rsidRPr="00EF7033">
        <w:t>u</w:t>
      </w:r>
      <w:r w:rsidR="007B21DC" w:rsidRPr="00EF7033">
        <w:t xml:space="preserve"> Porteur conformément aux modalités d’un</w:t>
      </w:r>
      <w:r w:rsidR="00484F62" w:rsidRPr="00EF7033">
        <w:t>e convention</w:t>
      </w:r>
      <w:r w:rsidR="007B21DC" w:rsidRPr="00EF7033">
        <w:t xml:space="preserve"> </w:t>
      </w:r>
      <w:r w:rsidR="00484F62" w:rsidRPr="00EF7033">
        <w:t>de sûreté</w:t>
      </w:r>
      <w:r w:rsidR="007B21DC" w:rsidRPr="00EF7033">
        <w:t xml:space="preserve"> générale</w:t>
      </w:r>
      <w:r w:rsidR="0085305E" w:rsidRPr="00EF7033">
        <w:t xml:space="preserve"> </w:t>
      </w:r>
      <w:r w:rsidRPr="00EF7033">
        <w:t>(</w:t>
      </w:r>
      <w:r w:rsidR="007B21DC" w:rsidRPr="00EF7033">
        <w:t>l</w:t>
      </w:r>
      <w:r w:rsidR="00DF3E94" w:rsidRPr="00EF7033">
        <w:t>a</w:t>
      </w:r>
      <w:r w:rsidRPr="00EF7033">
        <w:t xml:space="preserve"> </w:t>
      </w:r>
      <w:r w:rsidR="005956FF" w:rsidRPr="00EF7033">
        <w:t>« </w:t>
      </w:r>
      <w:r w:rsidR="00DF3E94" w:rsidRPr="00EF7033">
        <w:rPr>
          <w:b/>
        </w:rPr>
        <w:t>Convention de sûreté</w:t>
      </w:r>
      <w:r w:rsidR="005956FF" w:rsidRPr="00EF7033">
        <w:t> »</w:t>
      </w:r>
      <w:r w:rsidR="00C262A4" w:rsidRPr="00EF7033">
        <w:t>)</w:t>
      </w:r>
      <w:r w:rsidRPr="00EF7033">
        <w:t xml:space="preserve"> </w:t>
      </w:r>
      <w:r w:rsidR="007B21DC" w:rsidRPr="00EF7033">
        <w:t>consenti</w:t>
      </w:r>
      <w:r w:rsidR="009E0078" w:rsidRPr="00EF7033">
        <w:t>e</w:t>
      </w:r>
      <w:r w:rsidRPr="00EF7033">
        <w:t xml:space="preserve"> </w:t>
      </w:r>
      <w:r w:rsidR="007B21DC" w:rsidRPr="00EF7033">
        <w:t>par la Société</w:t>
      </w:r>
      <w:r w:rsidRPr="00EF7033">
        <w:t xml:space="preserve"> </w:t>
      </w:r>
      <w:r w:rsidR="007B21DC" w:rsidRPr="00EF7033">
        <w:t>en faveur</w:t>
      </w:r>
      <w:r w:rsidRPr="00EF7033">
        <w:t xml:space="preserve"> </w:t>
      </w:r>
      <w:r w:rsidR="00477BF0" w:rsidRPr="00EF7033">
        <w:t>du Porteur</w:t>
      </w:r>
      <w:r w:rsidRPr="00EF7033">
        <w:t>. [</w:t>
      </w:r>
      <w:r w:rsidR="007B21DC" w:rsidRPr="00EF7033">
        <w:t xml:space="preserve">Conformément à la </w:t>
      </w:r>
      <w:r w:rsidRPr="00EF7033">
        <w:t>[</w:t>
      </w:r>
      <w:r w:rsidR="00BE556D" w:rsidRPr="00EF7033">
        <w:t>Convention d’achat</w:t>
      </w:r>
      <w:r w:rsidRPr="00EF7033">
        <w:t xml:space="preserve">], </w:t>
      </w:r>
      <w:r w:rsidR="008403CC" w:rsidRPr="00EF7033">
        <w:t>les Porteurs</w:t>
      </w:r>
      <w:r w:rsidRPr="00EF7033">
        <w:t xml:space="preserve"> </w:t>
      </w:r>
      <w:r w:rsidR="007B21DC" w:rsidRPr="00EF7033">
        <w:t xml:space="preserve">conviennent que les sûretés </w:t>
      </w:r>
      <w:r w:rsidR="009752EB" w:rsidRPr="00EF7033">
        <w:t>consenties</w:t>
      </w:r>
      <w:r w:rsidR="007B21DC" w:rsidRPr="00EF7033">
        <w:t xml:space="preserve"> par la Société en faveur des </w:t>
      </w:r>
      <w:r w:rsidR="008403CC" w:rsidRPr="00EF7033">
        <w:t>Porteurs</w:t>
      </w:r>
      <w:r w:rsidRPr="00EF7033">
        <w:t xml:space="preserve"> </w:t>
      </w:r>
      <w:r w:rsidR="007B21DC" w:rsidRPr="00EF7033">
        <w:t>pour garantir les Billets ont égalité de rang</w:t>
      </w:r>
      <w:r w:rsidRPr="00EF7033">
        <w:t>.</w:t>
      </w:r>
      <w:r w:rsidRPr="00EF7033">
        <w:rPr>
          <w:i/>
        </w:rPr>
        <w:t xml:space="preserve"> </w:t>
      </w:r>
      <w:r w:rsidR="00F579A8" w:rsidRPr="00EF7033">
        <w:t>Le Porteur</w:t>
      </w:r>
      <w:r w:rsidRPr="00EF7033">
        <w:t xml:space="preserve"> </w:t>
      </w:r>
      <w:r w:rsidR="007B21DC" w:rsidRPr="00EF7033">
        <w:t>reconnaît</w:t>
      </w:r>
      <w:r w:rsidRPr="00EF7033">
        <w:t xml:space="preserve"> </w:t>
      </w:r>
      <w:r w:rsidR="00646184" w:rsidRPr="00EF7033">
        <w:t xml:space="preserve">que toute demande de paiement </w:t>
      </w:r>
      <w:r w:rsidR="00A02708" w:rsidRPr="00EF7033">
        <w:t>aux termes du présent Billet</w:t>
      </w:r>
      <w:r w:rsidRPr="00EF7033">
        <w:t xml:space="preserve"> </w:t>
      </w:r>
      <w:r w:rsidR="00646184" w:rsidRPr="00EF7033">
        <w:t>et d</w:t>
      </w:r>
      <w:r w:rsidR="00DF3E94" w:rsidRPr="00EF7033">
        <w:t>e la</w:t>
      </w:r>
      <w:r w:rsidRPr="00EF7033">
        <w:t xml:space="preserve"> </w:t>
      </w:r>
      <w:r w:rsidR="00DF3E94" w:rsidRPr="00EF7033">
        <w:t>Convention de sûreté</w:t>
      </w:r>
      <w:r w:rsidRPr="00EF7033">
        <w:t xml:space="preserve"> </w:t>
      </w:r>
      <w:r w:rsidR="00646184" w:rsidRPr="00EF7033">
        <w:t xml:space="preserve">ne peut être présentée ou remise que selon ce que permet la </w:t>
      </w:r>
      <w:r w:rsidRPr="00EF7033">
        <w:t>[</w:t>
      </w:r>
      <w:r w:rsidR="00BE556D" w:rsidRPr="00EF7033">
        <w:t>Convention d’achat</w:t>
      </w:r>
      <w:r w:rsidRPr="00EF7033">
        <w:t>].]</w:t>
      </w:r>
      <w:bookmarkEnd w:id="10"/>
    </w:p>
    <w:p w14:paraId="3C73042F" w14:textId="386EC967" w:rsidR="00F0406C" w:rsidRPr="00060926" w:rsidRDefault="00073CFA" w:rsidP="00E5787D">
      <w:pPr>
        <w:pStyle w:val="StandardL1"/>
      </w:pPr>
      <w:r w:rsidRPr="00EF7033">
        <w:rPr>
          <w:b/>
          <w:u w:val="single"/>
        </w:rPr>
        <w:t>[Subordination</w:t>
      </w:r>
      <w:r w:rsidRPr="00EF7033">
        <w:rPr>
          <w:bCs/>
        </w:rPr>
        <w:t>.</w:t>
      </w:r>
      <w:r w:rsidRPr="00EF7033">
        <w:t xml:space="preserve"> </w:t>
      </w:r>
      <w:r w:rsidR="00463643" w:rsidRPr="00EF7033">
        <w:t xml:space="preserve">Simultanément à l’émission du présent Billet, le </w:t>
      </w:r>
      <w:r w:rsidR="00F579A8" w:rsidRPr="00EF7033">
        <w:t>Porteur</w:t>
      </w:r>
      <w:r w:rsidRPr="00EF7033">
        <w:t xml:space="preserve"> </w:t>
      </w:r>
      <w:r w:rsidR="00463643" w:rsidRPr="00EF7033">
        <w:t>conclura une convention de subordination</w:t>
      </w:r>
      <w:r w:rsidRPr="00EF7033">
        <w:t xml:space="preserve"> </w:t>
      </w:r>
      <w:r w:rsidR="00463643" w:rsidRPr="00EF7033">
        <w:t>avec les prêteurs [de rang</w:t>
      </w:r>
      <w:r w:rsidR="00D57B9D" w:rsidRPr="00EF7033">
        <w:t xml:space="preserve"> supérieur</w:t>
      </w:r>
      <w:r w:rsidR="00463643" w:rsidRPr="00EF7033">
        <w:t>/garantis] de</w:t>
      </w:r>
      <w:r w:rsidRPr="00EF7033">
        <w:t xml:space="preserve"> </w:t>
      </w:r>
      <w:r w:rsidR="00F56EC4" w:rsidRPr="00EF7033">
        <w:t>la Société</w:t>
      </w:r>
      <w:r w:rsidR="00B735CB" w:rsidRPr="00EF7033">
        <w:t xml:space="preserve"> présentée dans</w:t>
      </w:r>
      <w:r w:rsidR="00463643" w:rsidRPr="00EF7033">
        <w:t xml:space="preserve"> la forme qu’exigent raisonnablement ces prêteurs</w:t>
      </w:r>
      <w:r w:rsidRPr="00EF7033">
        <w:t>.]</w:t>
      </w:r>
    </w:p>
    <w:p w14:paraId="2374643B" w14:textId="294E1B40" w:rsidR="00F0406C" w:rsidRPr="00060926" w:rsidRDefault="00356C94" w:rsidP="009752EB">
      <w:pPr>
        <w:pStyle w:val="StandardL1"/>
        <w:keepNext/>
        <w:rPr>
          <w:b/>
          <w:u w:val="single"/>
        </w:rPr>
      </w:pPr>
      <w:r w:rsidRPr="00EF7033">
        <w:rPr>
          <w:b/>
          <w:u w:val="single"/>
        </w:rPr>
        <w:t>Déclarations et garanties</w:t>
      </w:r>
      <w:r w:rsidR="00073CFA" w:rsidRPr="00060926">
        <w:rPr>
          <w:rStyle w:val="FootnoteReference"/>
          <w:bCs/>
          <w:u w:val="single"/>
        </w:rPr>
        <w:footnoteReference w:id="16"/>
      </w:r>
      <w:r w:rsidR="00073CFA" w:rsidRPr="00EF7033">
        <w:rPr>
          <w:bCs/>
        </w:rPr>
        <w:t>.</w:t>
      </w:r>
    </w:p>
    <w:p w14:paraId="4335E727" w14:textId="6B721153" w:rsidR="00F0406C" w:rsidRPr="00060926" w:rsidRDefault="00356C94" w:rsidP="005135D7">
      <w:pPr>
        <w:pStyle w:val="StandardL2"/>
      </w:pPr>
      <w:r w:rsidRPr="00EF7033">
        <w:rPr>
          <w:u w:val="single"/>
        </w:rPr>
        <w:t xml:space="preserve">Déclarations et garanties de la </w:t>
      </w:r>
      <w:r w:rsidR="005956FF" w:rsidRPr="00EF7033">
        <w:rPr>
          <w:u w:val="single"/>
        </w:rPr>
        <w:t>Société</w:t>
      </w:r>
      <w:r w:rsidR="00073CFA" w:rsidRPr="00EF7033">
        <w:t xml:space="preserve">. </w:t>
      </w:r>
      <w:r w:rsidR="00B12567" w:rsidRPr="00EF7033">
        <w:t>La Société</w:t>
      </w:r>
      <w:r w:rsidR="00073CFA" w:rsidRPr="00EF7033">
        <w:t xml:space="preserve"> </w:t>
      </w:r>
      <w:r w:rsidR="008568F7" w:rsidRPr="00EF7033">
        <w:t>déclare et garantit</w:t>
      </w:r>
      <w:r w:rsidR="00073CFA" w:rsidRPr="00EF7033">
        <w:t xml:space="preserve"> </w:t>
      </w:r>
      <w:r w:rsidR="00DB6765" w:rsidRPr="00EF7033">
        <w:t>au</w:t>
      </w:r>
      <w:r w:rsidR="008403CC" w:rsidRPr="00EF7033">
        <w:t xml:space="preserve"> Porteur</w:t>
      </w:r>
      <w:r w:rsidR="0050259D" w:rsidRPr="00EF7033">
        <w:t xml:space="preserve"> ce qui </w:t>
      </w:r>
      <w:r w:rsidR="00DB6765" w:rsidRPr="00EF7033">
        <w:t xml:space="preserve">est énoncé à l’Annexe A du </w:t>
      </w:r>
      <w:r w:rsidR="001267F4" w:rsidRPr="00EF7033">
        <w:t>présent Billet</w:t>
      </w:r>
      <w:r w:rsidR="00DB6765" w:rsidRPr="00EF7033">
        <w:t xml:space="preserve"> </w:t>
      </w:r>
      <w:r w:rsidR="004240FF" w:rsidRPr="00EF7033">
        <w:t>à</w:t>
      </w:r>
      <w:r w:rsidR="0050259D" w:rsidRPr="00EF7033">
        <w:t xml:space="preserve"> la Date d’émission</w:t>
      </w:r>
      <w:r w:rsidR="00073CFA" w:rsidRPr="00EF7033">
        <w:t xml:space="preserve">, </w:t>
      </w:r>
      <w:r w:rsidR="0050259D" w:rsidRPr="00EF7033">
        <w:t>ces</w:t>
      </w:r>
      <w:r w:rsidR="00073CFA" w:rsidRPr="00EF7033">
        <w:t xml:space="preserve"> </w:t>
      </w:r>
      <w:r w:rsidR="0050259D" w:rsidRPr="00EF7033">
        <w:t>déclarations et garanties</w:t>
      </w:r>
      <w:r w:rsidR="00073CFA" w:rsidRPr="00EF7033">
        <w:t xml:space="preserve"> </w:t>
      </w:r>
      <w:r w:rsidR="0050259D" w:rsidRPr="00EF7033">
        <w:t xml:space="preserve">demeurant en vigueur tant que le </w:t>
      </w:r>
      <w:r w:rsidR="001267F4" w:rsidRPr="00EF7033">
        <w:t>présent Billet</w:t>
      </w:r>
      <w:r w:rsidR="00073CFA" w:rsidRPr="00EF7033">
        <w:t xml:space="preserve"> </w:t>
      </w:r>
      <w:r w:rsidR="0050259D" w:rsidRPr="00EF7033">
        <w:t>est en cours</w:t>
      </w:r>
      <w:r w:rsidR="00073CFA" w:rsidRPr="00EF7033">
        <w:t xml:space="preserve">. </w:t>
      </w:r>
      <w:r w:rsidR="00B12567" w:rsidRPr="00EF7033">
        <w:t>La Société</w:t>
      </w:r>
      <w:r w:rsidR="00073CFA" w:rsidRPr="00EF7033">
        <w:t xml:space="preserve"> </w:t>
      </w:r>
      <w:r w:rsidR="0050259D" w:rsidRPr="00EF7033">
        <w:t xml:space="preserve">reconnaît que le Porteur acquiert </w:t>
      </w:r>
      <w:r w:rsidR="001267F4" w:rsidRPr="00EF7033">
        <w:t>le présent Billet</w:t>
      </w:r>
      <w:r w:rsidR="00073CFA" w:rsidRPr="00EF7033">
        <w:t xml:space="preserve"> </w:t>
      </w:r>
      <w:r w:rsidR="0050259D" w:rsidRPr="00EF7033">
        <w:t>en se fondant sur ces déclarations et garanties</w:t>
      </w:r>
      <w:r w:rsidR="00073CFA" w:rsidRPr="00EF7033">
        <w:t>.</w:t>
      </w:r>
    </w:p>
    <w:p w14:paraId="05F19418" w14:textId="4F6D22AB" w:rsidR="00F0406C" w:rsidRPr="00060926" w:rsidRDefault="00356C94" w:rsidP="005135D7">
      <w:pPr>
        <w:pStyle w:val="StandardL2"/>
      </w:pPr>
      <w:r w:rsidRPr="00EF7033">
        <w:rPr>
          <w:u w:val="single"/>
        </w:rPr>
        <w:t>Déclarations, garanties et reconnaissances du Porteur</w:t>
      </w:r>
      <w:r w:rsidR="00073CFA" w:rsidRPr="00EF7033">
        <w:t xml:space="preserve">. </w:t>
      </w:r>
      <w:r w:rsidR="00F579A8" w:rsidRPr="00EF7033">
        <w:t>Le Porteur</w:t>
      </w:r>
      <w:r w:rsidR="00073CFA" w:rsidRPr="00EF7033">
        <w:t xml:space="preserve"> </w:t>
      </w:r>
      <w:r w:rsidR="008568F7" w:rsidRPr="00EF7033">
        <w:t>déclare et garantit</w:t>
      </w:r>
      <w:r w:rsidR="00073CFA" w:rsidRPr="00EF7033">
        <w:t xml:space="preserve"> </w:t>
      </w:r>
      <w:r w:rsidR="009F4C72" w:rsidRPr="00EF7033">
        <w:t>à la Société</w:t>
      </w:r>
      <w:r w:rsidR="00073CFA" w:rsidRPr="00EF7033">
        <w:t xml:space="preserve"> </w:t>
      </w:r>
      <w:r w:rsidR="0050259D" w:rsidRPr="00EF7033">
        <w:t>ce qui est énoncé à l’Annexe B du présent Billet</w:t>
      </w:r>
      <w:r w:rsidR="004240FF" w:rsidRPr="00EF7033">
        <w:t xml:space="preserve"> à</w:t>
      </w:r>
      <w:r w:rsidR="0050259D" w:rsidRPr="00EF7033">
        <w:t xml:space="preserve"> la </w:t>
      </w:r>
      <w:r w:rsidR="005956FF" w:rsidRPr="00EF7033">
        <w:t>Date d’émission</w:t>
      </w:r>
      <w:r w:rsidR="00073CFA" w:rsidRPr="00EF7033">
        <w:t xml:space="preserve">, </w:t>
      </w:r>
      <w:r w:rsidR="0050259D" w:rsidRPr="00EF7033">
        <w:t>ces déclarations et garanties demeurant en vigueur tant que le présent Billet est en cours</w:t>
      </w:r>
      <w:r w:rsidR="00073CFA" w:rsidRPr="00EF7033">
        <w:t xml:space="preserve">. </w:t>
      </w:r>
      <w:r w:rsidR="00F579A8" w:rsidRPr="00EF7033">
        <w:t>Le Porteur</w:t>
      </w:r>
      <w:r w:rsidR="00073CFA" w:rsidRPr="00EF7033">
        <w:t xml:space="preserve"> </w:t>
      </w:r>
      <w:r w:rsidR="0050259D" w:rsidRPr="00EF7033">
        <w:t xml:space="preserve">reconnaît que </w:t>
      </w:r>
      <w:r w:rsidR="00F56EC4" w:rsidRPr="00EF7033">
        <w:t>la Société</w:t>
      </w:r>
      <w:r w:rsidR="00073CFA" w:rsidRPr="00EF7033">
        <w:t xml:space="preserve"> </w:t>
      </w:r>
      <w:r w:rsidR="0050259D" w:rsidRPr="00EF7033">
        <w:t xml:space="preserve">signe et émet le présent </w:t>
      </w:r>
      <w:r w:rsidR="001267F4" w:rsidRPr="00EF7033">
        <w:t>Billet</w:t>
      </w:r>
      <w:r w:rsidR="00073CFA" w:rsidRPr="00EF7033">
        <w:t xml:space="preserve"> </w:t>
      </w:r>
      <w:r w:rsidR="0050259D" w:rsidRPr="00EF7033">
        <w:t>en se fondant sur ces déclarations, garanties et reconnaissances</w:t>
      </w:r>
      <w:r w:rsidR="00073CFA" w:rsidRPr="00EF7033">
        <w:t>.</w:t>
      </w:r>
    </w:p>
    <w:p w14:paraId="1FCB16CA" w14:textId="49EFAADA" w:rsidR="00F0406C" w:rsidRPr="00060926" w:rsidRDefault="002C08F9" w:rsidP="00E5787D">
      <w:pPr>
        <w:pStyle w:val="StandardL1"/>
        <w:rPr>
          <w:b/>
          <w:u w:val="single"/>
        </w:rPr>
      </w:pPr>
      <w:r w:rsidRPr="00EF7033">
        <w:rPr>
          <w:b/>
          <w:u w:val="single"/>
        </w:rPr>
        <w:t>Engagements</w:t>
      </w:r>
      <w:r w:rsidR="00073CFA" w:rsidRPr="00EF7033">
        <w:rPr>
          <w:b/>
          <w:u w:val="single"/>
        </w:rPr>
        <w:t xml:space="preserve"> </w:t>
      </w:r>
      <w:r w:rsidR="004D1DAF" w:rsidRPr="00EF7033">
        <w:rPr>
          <w:b/>
          <w:u w:val="single"/>
        </w:rPr>
        <w:t>de la Société</w:t>
      </w:r>
      <w:r w:rsidR="00073CFA" w:rsidRPr="00EF7033">
        <w:t xml:space="preserve">. </w:t>
      </w:r>
      <w:r w:rsidR="00B12567" w:rsidRPr="00EF7033">
        <w:t>La Société</w:t>
      </w:r>
      <w:r w:rsidR="00073CFA" w:rsidRPr="00EF7033">
        <w:t xml:space="preserve"> </w:t>
      </w:r>
      <w:r w:rsidR="007430EF" w:rsidRPr="00EF7033">
        <w:t xml:space="preserve">honorera les engagements pris en faveur du Porteur </w:t>
      </w:r>
      <w:r w:rsidR="000A28EC" w:rsidRPr="00EF7033">
        <w:t xml:space="preserve">qui sont </w:t>
      </w:r>
      <w:r w:rsidR="007430EF" w:rsidRPr="00EF7033">
        <w:t xml:space="preserve">énoncés à l’Annexe C du </w:t>
      </w:r>
      <w:r w:rsidR="001267F4" w:rsidRPr="00EF7033">
        <w:t>présent Billet</w:t>
      </w:r>
      <w:r w:rsidR="00073CFA" w:rsidRPr="00EF7033">
        <w:t xml:space="preserve"> </w:t>
      </w:r>
      <w:r w:rsidR="007430EF" w:rsidRPr="00EF7033">
        <w:t xml:space="preserve">tant que le présent Billet </w:t>
      </w:r>
      <w:r w:rsidR="00CE4E22" w:rsidRPr="00EF7033">
        <w:t>sera</w:t>
      </w:r>
      <w:r w:rsidR="007430EF" w:rsidRPr="00EF7033">
        <w:t xml:space="preserve"> en cours</w:t>
      </w:r>
      <w:r w:rsidR="00073CFA" w:rsidRPr="00EF7033">
        <w:t>.</w:t>
      </w:r>
    </w:p>
    <w:p w14:paraId="4D361474" w14:textId="0B3DD48F" w:rsidR="00F0406C" w:rsidRPr="00060926" w:rsidRDefault="002C08F9" w:rsidP="00E5787D">
      <w:pPr>
        <w:pStyle w:val="StandardL1"/>
        <w:rPr>
          <w:b/>
          <w:u w:val="single"/>
        </w:rPr>
      </w:pPr>
      <w:bookmarkStart w:id="11" w:name="_Ref123210358"/>
      <w:r w:rsidRPr="00EF7033">
        <w:rPr>
          <w:b/>
          <w:u w:val="single"/>
        </w:rPr>
        <w:t>Cas de défaut</w:t>
      </w:r>
      <w:r w:rsidR="00073CFA" w:rsidRPr="00EF7033">
        <w:t>.</w:t>
      </w:r>
      <w:bookmarkStart w:id="12" w:name="_Ref112406514"/>
      <w:r w:rsidR="00073CFA" w:rsidRPr="00EF7033">
        <w:t xml:space="preserve"> </w:t>
      </w:r>
      <w:r w:rsidR="00F9304A" w:rsidRPr="00EF7033">
        <w:t xml:space="preserve">Toutes les sommes dues </w:t>
      </w:r>
      <w:r w:rsidR="00A02708" w:rsidRPr="00EF7033">
        <w:t>aux termes du présent Billet</w:t>
      </w:r>
      <w:r w:rsidR="00073CFA" w:rsidRPr="00EF7033">
        <w:t xml:space="preserve">, </w:t>
      </w:r>
      <w:r w:rsidR="00F9304A" w:rsidRPr="00EF7033">
        <w:t xml:space="preserve">y compris le Capital </w:t>
      </w:r>
      <w:r w:rsidR="00CE4E22" w:rsidRPr="00EF7033">
        <w:t>impayé</w:t>
      </w:r>
      <w:r w:rsidR="00073CFA" w:rsidRPr="00EF7033">
        <w:t xml:space="preserve"> </w:t>
      </w:r>
      <w:r w:rsidR="00F9304A" w:rsidRPr="00EF7033">
        <w:t>et tous les intérêts c</w:t>
      </w:r>
      <w:r w:rsidR="00CE4E22" w:rsidRPr="00EF7033">
        <w:t>ourus</w:t>
      </w:r>
      <w:r w:rsidR="00F9304A" w:rsidRPr="00EF7033">
        <w:t xml:space="preserve"> et impayés </w:t>
      </w:r>
      <w:r w:rsidR="000A28EC" w:rsidRPr="00EF7033">
        <w:t>sur celui-ci</w:t>
      </w:r>
      <w:r w:rsidR="00F9304A" w:rsidRPr="00EF7033">
        <w:t xml:space="preserve">, deviendront, au gré du Porteur, </w:t>
      </w:r>
      <w:r w:rsidR="00E132AE" w:rsidRPr="00EF7033">
        <w:t>immédiatement</w:t>
      </w:r>
      <w:r w:rsidR="00073CFA" w:rsidRPr="00EF7033">
        <w:t xml:space="preserve"> </w:t>
      </w:r>
      <w:r w:rsidR="00CE4E22" w:rsidRPr="00EF7033">
        <w:t>exigibles</w:t>
      </w:r>
      <w:r w:rsidR="00F9304A" w:rsidRPr="00EF7033">
        <w:t xml:space="preserve"> à la survenance de l’un ou l’autre des événements suivants </w:t>
      </w:r>
      <w:r w:rsidR="00073CFA" w:rsidRPr="00EF7033">
        <w:t>(</w:t>
      </w:r>
      <w:r w:rsidR="00F9304A" w:rsidRPr="00EF7033">
        <w:t xml:space="preserve">chacun étant un </w:t>
      </w:r>
      <w:r w:rsidR="005956FF" w:rsidRPr="00EF7033">
        <w:t>« </w:t>
      </w:r>
      <w:r w:rsidRPr="00EF7033">
        <w:rPr>
          <w:b/>
        </w:rPr>
        <w:t>Cas de défaut</w:t>
      </w:r>
      <w:r w:rsidR="005956FF" w:rsidRPr="00EF7033">
        <w:t> »</w:t>
      </w:r>
      <w:r w:rsidR="00C262A4" w:rsidRPr="00EF7033">
        <w:t>)</w:t>
      </w:r>
      <w:r w:rsidR="009B31F3" w:rsidRPr="00EF7033">
        <w:t> :</w:t>
      </w:r>
      <w:bookmarkEnd w:id="11"/>
    </w:p>
    <w:p w14:paraId="2EBB9483" w14:textId="265DAB06" w:rsidR="00F0406C" w:rsidRPr="00060926" w:rsidRDefault="00F56EC4" w:rsidP="00E5787D">
      <w:pPr>
        <w:pStyle w:val="StandardL2"/>
        <w:rPr>
          <w:b/>
          <w:u w:val="single"/>
        </w:rPr>
      </w:pPr>
      <w:bookmarkStart w:id="13" w:name="_Ref27834709"/>
      <w:r w:rsidRPr="00EF7033">
        <w:t>la Société</w:t>
      </w:r>
      <w:r w:rsidR="004A1587" w:rsidRPr="00EF7033">
        <w:t xml:space="preserve"> omet de payer à l’échéance toute somme </w:t>
      </w:r>
      <w:r w:rsidR="00CE4E22" w:rsidRPr="00EF7033">
        <w:t>exigible</w:t>
      </w:r>
      <w:r w:rsidR="004A1587" w:rsidRPr="00EF7033">
        <w:t xml:space="preserve"> </w:t>
      </w:r>
      <w:r w:rsidR="00A02708" w:rsidRPr="00EF7033">
        <w:t>aux termes du présent Billet</w:t>
      </w:r>
      <w:r w:rsidR="00073CFA" w:rsidRPr="00EF7033">
        <w:t>;</w:t>
      </w:r>
      <w:bookmarkEnd w:id="12"/>
      <w:bookmarkEnd w:id="13"/>
    </w:p>
    <w:p w14:paraId="6D3D2E6B" w14:textId="28174DE7" w:rsidR="00F0406C" w:rsidRPr="00060926" w:rsidRDefault="00F56EC4" w:rsidP="00E5787D">
      <w:pPr>
        <w:pStyle w:val="StandardL2"/>
        <w:rPr>
          <w:b/>
          <w:u w:val="single"/>
        </w:rPr>
      </w:pPr>
      <w:r w:rsidRPr="00EF7033">
        <w:t>la Société</w:t>
      </w:r>
      <w:r w:rsidR="00073CFA" w:rsidRPr="00EF7033">
        <w:t xml:space="preserve"> </w:t>
      </w:r>
      <w:r w:rsidR="008C5409" w:rsidRPr="00EF7033">
        <w:t>manque à son obligation de respecter ou d’exécuter toute déclaration, toute garantie</w:t>
      </w:r>
      <w:r w:rsidR="00073CFA" w:rsidRPr="00EF7033">
        <w:t xml:space="preserve"> </w:t>
      </w:r>
      <w:r w:rsidR="008C5409" w:rsidRPr="00EF7033">
        <w:t xml:space="preserve">ou tout engagement figurant dans la </w:t>
      </w:r>
      <w:r w:rsidR="00BE556D" w:rsidRPr="00EF7033">
        <w:t>Convention d’achat</w:t>
      </w:r>
      <w:r w:rsidR="00073CFA" w:rsidRPr="00EF7033">
        <w:t xml:space="preserve"> </w:t>
      </w:r>
      <w:r w:rsidR="008C5409" w:rsidRPr="00EF7033">
        <w:t>ou dans</w:t>
      </w:r>
      <w:r w:rsidR="00073CFA" w:rsidRPr="00EF7033">
        <w:t xml:space="preserve"> </w:t>
      </w:r>
      <w:r w:rsidR="001267F4" w:rsidRPr="00EF7033">
        <w:t>le présent Billet</w:t>
      </w:r>
      <w:r w:rsidR="00073CFA" w:rsidRPr="00EF7033">
        <w:t xml:space="preserve"> (</w:t>
      </w:r>
      <w:r w:rsidR="007130AF" w:rsidRPr="00EF7033">
        <w:t>sauf un</w:t>
      </w:r>
      <w:r w:rsidR="008C5409" w:rsidRPr="00EF7033">
        <w:t xml:space="preserve"> engagement de paiement prévu </w:t>
      </w:r>
      <w:r w:rsidR="00CE4E22" w:rsidRPr="00EF7033">
        <w:t>au paragraphe</w:t>
      </w:r>
      <w:r w:rsidR="008C5409" w:rsidRPr="00EF7033">
        <w:t> </w:t>
      </w:r>
      <w:r w:rsidR="00F82C61" w:rsidRPr="00060926">
        <w:fldChar w:fldCharType="begin"/>
      </w:r>
      <w:r w:rsidR="00F82C61" w:rsidRPr="00060926">
        <w:instrText xml:space="preserve"> REF _Ref123210358 \r \h </w:instrText>
      </w:r>
      <w:r w:rsidR="00F82C61" w:rsidRPr="00060926">
        <w:fldChar w:fldCharType="separate"/>
      </w:r>
      <w:r w:rsidR="00BF3E18">
        <w:t>10</w:t>
      </w:r>
      <w:r w:rsidR="00F82C61" w:rsidRPr="00060926">
        <w:fldChar w:fldCharType="end"/>
      </w:r>
      <w:r w:rsidR="00F82C61">
        <w:fldChar w:fldCharType="begin"/>
      </w:r>
      <w:r w:rsidR="00F82C61">
        <w:instrText xml:space="preserve"> REF _Ref27834709 \r \h </w:instrText>
      </w:r>
      <w:r w:rsidR="00F82C61">
        <w:fldChar w:fldCharType="separate"/>
      </w:r>
      <w:r w:rsidR="00BF3E18">
        <w:t>a)</w:t>
      </w:r>
      <w:r w:rsidR="00F82C61">
        <w:fldChar w:fldCharType="end"/>
      </w:r>
      <w:r w:rsidR="00073CFA" w:rsidRPr="00EF7033">
        <w:t>)</w:t>
      </w:r>
      <w:r w:rsidR="008C5409" w:rsidRPr="00EF7033">
        <w:t xml:space="preserve">, ce qui entraîne </w:t>
      </w:r>
      <w:r w:rsidR="00E202FF" w:rsidRPr="00EF7033">
        <w:t>une Incidence défavorable importante</w:t>
      </w:r>
      <w:r w:rsidR="00073CFA" w:rsidRPr="00EF7033">
        <w:t xml:space="preserve"> (</w:t>
      </w:r>
      <w:r w:rsidR="00A3579A" w:rsidRPr="00EF7033">
        <w:t>au sens donné à ce terme</w:t>
      </w:r>
      <w:r w:rsidR="009F4C72" w:rsidRPr="00EF7033">
        <w:t xml:space="preserve"> ci</w:t>
      </w:r>
      <w:r w:rsidR="009F4C72" w:rsidRPr="00EF7033">
        <w:noBreakHyphen/>
        <w:t>dessous</w:t>
      </w:r>
      <w:r w:rsidR="00073CFA" w:rsidRPr="00EF7033">
        <w:t xml:space="preserve">) </w:t>
      </w:r>
      <w:r w:rsidR="008C5409" w:rsidRPr="00EF7033">
        <w:t>et</w:t>
      </w:r>
      <w:r w:rsidR="008A10D0" w:rsidRPr="00EF7033">
        <w:t>, s’il est possible de remédier à ce défaut</w:t>
      </w:r>
      <w:r w:rsidR="00073CFA" w:rsidRPr="00EF7033">
        <w:t xml:space="preserve">, </w:t>
      </w:r>
      <w:r w:rsidRPr="00EF7033">
        <w:t>la Société</w:t>
      </w:r>
      <w:r w:rsidR="00073CFA" w:rsidRPr="00EF7033">
        <w:t xml:space="preserve"> </w:t>
      </w:r>
      <w:r w:rsidR="008A10D0" w:rsidRPr="00EF7033">
        <w:t xml:space="preserve">omet de </w:t>
      </w:r>
      <w:r w:rsidR="0045209C" w:rsidRPr="00EF7033">
        <w:t>remédier au</w:t>
      </w:r>
      <w:r w:rsidR="008A10D0" w:rsidRPr="00EF7033">
        <w:t xml:space="preserve"> défaut dans les </w:t>
      </w:r>
      <w:r w:rsidR="00073CFA" w:rsidRPr="00EF7033">
        <w:t>[</w:t>
      </w:r>
      <w:r w:rsidR="00073CFA" w:rsidRPr="00060926">
        <w:t>20</w:t>
      </w:r>
      <w:r w:rsidR="00073CFA" w:rsidRPr="00EF7033">
        <w:t>]</w:t>
      </w:r>
      <w:r w:rsidR="0032328A" w:rsidRPr="00EF7033">
        <w:t> </w:t>
      </w:r>
      <w:r w:rsidR="002C4927" w:rsidRPr="00EF7033">
        <w:t>jours [ouvrables]</w:t>
      </w:r>
      <w:r w:rsidR="00073CFA" w:rsidRPr="00EF7033">
        <w:t xml:space="preserve"> </w:t>
      </w:r>
      <w:r w:rsidR="008A10D0" w:rsidRPr="00EF7033">
        <w:t>suivant la réception</w:t>
      </w:r>
      <w:r w:rsidR="00E80CD9" w:rsidRPr="00EF7033">
        <w:t>,</w:t>
      </w:r>
      <w:r w:rsidR="008A10D0" w:rsidRPr="00EF7033">
        <w:t xml:space="preserve"> par la Société</w:t>
      </w:r>
      <w:r w:rsidR="0045209C" w:rsidRPr="00EF7033">
        <w:t>,</w:t>
      </w:r>
      <w:r w:rsidR="008A10D0" w:rsidRPr="00EF7033">
        <w:t xml:space="preserve"> d’un </w:t>
      </w:r>
      <w:r w:rsidR="002C4927" w:rsidRPr="00EF7033">
        <w:t>avis écrit</w:t>
      </w:r>
      <w:r w:rsidR="00073CFA" w:rsidRPr="00EF7033">
        <w:t xml:space="preserve"> </w:t>
      </w:r>
      <w:r w:rsidR="0045209C" w:rsidRPr="00EF7033">
        <w:t>à cet égard de</w:t>
      </w:r>
      <w:r w:rsidR="008A10D0" w:rsidRPr="00EF7033">
        <w:t xml:space="preserve"> l’un ou l’autre des Porteurs</w:t>
      </w:r>
      <w:r w:rsidR="00073CFA" w:rsidRPr="00EF7033">
        <w:t>;</w:t>
      </w:r>
    </w:p>
    <w:p w14:paraId="5F2AADFD" w14:textId="2B577914" w:rsidR="00F0406C" w:rsidRPr="00060926" w:rsidRDefault="00F56EC4" w:rsidP="00E5787D">
      <w:pPr>
        <w:pStyle w:val="StandardL2"/>
        <w:rPr>
          <w:b/>
          <w:u w:val="single"/>
        </w:rPr>
      </w:pPr>
      <w:r w:rsidRPr="00EF7033">
        <w:t>la Société</w:t>
      </w:r>
      <w:r w:rsidR="00073CFA" w:rsidRPr="00EF7033">
        <w:t xml:space="preserve"> </w:t>
      </w:r>
      <w:r w:rsidR="0045209C" w:rsidRPr="00EF7033">
        <w:t xml:space="preserve">manque à son obligation de </w:t>
      </w:r>
      <w:r w:rsidR="009752EB" w:rsidRPr="00EF7033">
        <w:t>payer</w:t>
      </w:r>
      <w:r w:rsidR="00150423" w:rsidRPr="00EF7033">
        <w:t xml:space="preserve"> tout capital</w:t>
      </w:r>
      <w:r w:rsidR="0045209C" w:rsidRPr="00EF7033">
        <w:t xml:space="preserve"> ou tous </w:t>
      </w:r>
      <w:r w:rsidR="00150423" w:rsidRPr="00EF7033">
        <w:t>intérêt</w:t>
      </w:r>
      <w:r w:rsidR="0045209C" w:rsidRPr="00EF7033">
        <w:t>s</w:t>
      </w:r>
      <w:r w:rsidR="00150423" w:rsidRPr="00EF7033">
        <w:t xml:space="preserve"> ou autre</w:t>
      </w:r>
      <w:r w:rsidR="001321EB" w:rsidRPr="00EF7033">
        <w:t>s</w:t>
      </w:r>
      <w:r w:rsidR="00150423" w:rsidRPr="00EF7033">
        <w:t xml:space="preserve"> frais</w:t>
      </w:r>
      <w:r w:rsidR="0085305E" w:rsidRPr="00EF7033">
        <w:t xml:space="preserve"> </w:t>
      </w:r>
      <w:r w:rsidR="00150423" w:rsidRPr="00EF7033">
        <w:t xml:space="preserve">ou </w:t>
      </w:r>
      <w:r w:rsidR="009752EB" w:rsidRPr="00EF7033">
        <w:t>coût</w:t>
      </w:r>
      <w:r w:rsidR="001321EB" w:rsidRPr="00EF7033">
        <w:t>s</w:t>
      </w:r>
      <w:r w:rsidR="00150423" w:rsidRPr="00EF7033">
        <w:t xml:space="preserve"> sur toute autre dette </w:t>
      </w:r>
      <w:r w:rsidR="004D1DAF" w:rsidRPr="00EF7033">
        <w:t>de la Société</w:t>
      </w:r>
      <w:r w:rsidR="00073CFA" w:rsidRPr="00EF7033">
        <w:t xml:space="preserve"> (</w:t>
      </w:r>
      <w:r w:rsidR="0045209C" w:rsidRPr="00EF7033">
        <w:t>sauf</w:t>
      </w:r>
      <w:r w:rsidR="00150423" w:rsidRPr="00EF7033">
        <w:t xml:space="preserve"> les Billets</w:t>
      </w:r>
      <w:r w:rsidR="00073CFA" w:rsidRPr="00EF7033">
        <w:t xml:space="preserve">) </w:t>
      </w:r>
      <w:r w:rsidR="00150423" w:rsidRPr="00EF7033">
        <w:t xml:space="preserve">dépassant </w:t>
      </w:r>
      <w:r w:rsidR="00A02708" w:rsidRPr="00EF7033">
        <w:t>● $</w:t>
      </w:r>
      <w:r w:rsidR="00073CFA" w:rsidRPr="00EF7033">
        <w:t xml:space="preserve"> </w:t>
      </w:r>
      <w:r w:rsidR="00150423" w:rsidRPr="00EF7033">
        <w:t xml:space="preserve">lorsqu’une telle obligation devient </w:t>
      </w:r>
      <w:r w:rsidR="0045209C" w:rsidRPr="00EF7033">
        <w:t>exigible</w:t>
      </w:r>
      <w:r w:rsidR="00150423" w:rsidRPr="00EF7033">
        <w:t xml:space="preserve">, </w:t>
      </w:r>
      <w:r w:rsidR="0032328A" w:rsidRPr="00EF7033">
        <w:t>compte</w:t>
      </w:r>
      <w:r w:rsidR="00E80CD9" w:rsidRPr="00EF7033">
        <w:t xml:space="preserve"> tenu</w:t>
      </w:r>
      <w:r w:rsidR="00150423" w:rsidRPr="00EF7033">
        <w:t xml:space="preserve"> de tout</w:t>
      </w:r>
      <w:r w:rsidR="0045209C" w:rsidRPr="00EF7033">
        <w:t xml:space="preserve"> délai</w:t>
      </w:r>
      <w:r w:rsidR="00150423" w:rsidRPr="00EF7033">
        <w:t xml:space="preserve"> de grâce ou de </w:t>
      </w:r>
      <w:r w:rsidR="0045209C" w:rsidRPr="00EF7033">
        <w:t>remédiation</w:t>
      </w:r>
      <w:r w:rsidR="00073CFA" w:rsidRPr="00EF7033">
        <w:t xml:space="preserve"> a</w:t>
      </w:r>
      <w:bookmarkStart w:id="14" w:name="_Ref503518641"/>
      <w:r w:rsidR="00073CFA" w:rsidRPr="00EF7033">
        <w:t>pplicable;</w:t>
      </w:r>
    </w:p>
    <w:p w14:paraId="0361AB24" w14:textId="1F14D28B" w:rsidR="00F0406C" w:rsidRPr="00060926" w:rsidRDefault="00F56EC4" w:rsidP="00E5787D">
      <w:pPr>
        <w:pStyle w:val="StandardL2"/>
        <w:rPr>
          <w:b/>
          <w:u w:val="single"/>
        </w:rPr>
      </w:pPr>
      <w:r w:rsidRPr="00EF7033">
        <w:t>la Société</w:t>
      </w:r>
      <w:r w:rsidR="00073CFA" w:rsidRPr="00EF7033">
        <w:t xml:space="preserve"> </w:t>
      </w:r>
      <w:r w:rsidR="002002DC" w:rsidRPr="00EF7033">
        <w:t>procède à une</w:t>
      </w:r>
      <w:r w:rsidR="00073CFA" w:rsidRPr="00EF7033">
        <w:t xml:space="preserve"> </w:t>
      </w:r>
      <w:r w:rsidR="002002DC" w:rsidRPr="00EF7033">
        <w:t>cession au profit de ses créanciers</w:t>
      </w:r>
      <w:r w:rsidR="00073CFA" w:rsidRPr="00EF7033">
        <w:t xml:space="preserve">, </w:t>
      </w:r>
      <w:r w:rsidR="002002DC" w:rsidRPr="00EF7033">
        <w:t xml:space="preserve">reconnaît son insolvabilité de </w:t>
      </w:r>
      <w:r w:rsidR="0045209C" w:rsidRPr="00EF7033">
        <w:t xml:space="preserve">quelque </w:t>
      </w:r>
      <w:r w:rsidR="002002DC" w:rsidRPr="00EF7033">
        <w:t xml:space="preserve">manière </w:t>
      </w:r>
      <w:r w:rsidR="0045209C" w:rsidRPr="00EF7033">
        <w:t xml:space="preserve">que ce </w:t>
      </w:r>
      <w:r w:rsidR="002002DC" w:rsidRPr="00EF7033">
        <w:t>soit, ou commet un acte de faillite en vertu de la</w:t>
      </w:r>
      <w:r w:rsidR="00073CFA" w:rsidRPr="00EF7033">
        <w:t xml:space="preserve"> </w:t>
      </w:r>
      <w:r w:rsidR="00150423" w:rsidRPr="00EF7033">
        <w:rPr>
          <w:i/>
        </w:rPr>
        <w:t>Loi sur la faillite et l’insolvabilité</w:t>
      </w:r>
      <w:r w:rsidR="00073CFA" w:rsidRPr="00EF7033">
        <w:t xml:space="preserve"> (Canada) </w:t>
      </w:r>
      <w:r w:rsidR="002002DC" w:rsidRPr="00EF7033">
        <w:t>ou de</w:t>
      </w:r>
      <w:r w:rsidR="0032328A" w:rsidRPr="00EF7033">
        <w:t xml:space="preserve"> toutes</w:t>
      </w:r>
      <w:r w:rsidR="002002DC" w:rsidRPr="00EF7033">
        <w:t xml:space="preserve"> lois analogues de tout territoire</w:t>
      </w:r>
      <w:r w:rsidR="00073CFA" w:rsidRPr="00EF7033">
        <w:t>;</w:t>
      </w:r>
    </w:p>
    <w:p w14:paraId="54EF2A97" w14:textId="10F14575" w:rsidR="00F0406C" w:rsidRPr="00060926" w:rsidRDefault="00F56EC4" w:rsidP="00E5787D">
      <w:pPr>
        <w:pStyle w:val="StandardL2"/>
      </w:pPr>
      <w:r w:rsidRPr="00EF7033">
        <w:t>la Société</w:t>
      </w:r>
      <w:r w:rsidR="00073CFA" w:rsidRPr="00EF7033">
        <w:t xml:space="preserve"> </w:t>
      </w:r>
      <w:r w:rsidR="00015FAB" w:rsidRPr="00EF7033">
        <w:t>intente une procédure</w:t>
      </w:r>
      <w:r w:rsidR="002F5774" w:rsidRPr="00EF7033">
        <w:t>, ou prend toute mesure ou signe toute convention ou tout avis d’intention</w:t>
      </w:r>
      <w:r w:rsidR="00A52DC5" w:rsidRPr="00EF7033">
        <w:t xml:space="preserve"> </w:t>
      </w:r>
      <w:r w:rsidR="002F5774" w:rsidRPr="00EF7033">
        <w:t>autoris</w:t>
      </w:r>
      <w:r w:rsidR="00A52DC5" w:rsidRPr="00EF7033">
        <w:t>ant</w:t>
      </w:r>
      <w:r w:rsidR="002F5774" w:rsidRPr="00EF7033">
        <w:t xml:space="preserve"> </w:t>
      </w:r>
      <w:r w:rsidR="00A52DC5" w:rsidRPr="00EF7033">
        <w:t>sa</w:t>
      </w:r>
      <w:r w:rsidR="002F5774" w:rsidRPr="00EF7033">
        <w:t xml:space="preserve"> particip</w:t>
      </w:r>
      <w:r w:rsidR="00A52DC5" w:rsidRPr="00EF7033">
        <w:t xml:space="preserve">ation </w:t>
      </w:r>
      <w:r w:rsidR="002F5774" w:rsidRPr="00EF7033">
        <w:t xml:space="preserve">à toute procédure ou </w:t>
      </w:r>
      <w:r w:rsidR="00A52DC5" w:rsidRPr="00EF7033">
        <w:t xml:space="preserve"> le commencement de</w:t>
      </w:r>
      <w:r w:rsidR="002F5774" w:rsidRPr="00EF7033">
        <w:t xml:space="preserve"> toute procédure </w:t>
      </w:r>
      <w:r w:rsidR="00073CFA" w:rsidRPr="00EF7033">
        <w:t>(</w:t>
      </w:r>
      <w:r w:rsidR="0034687A" w:rsidRPr="00060926">
        <w:t>i</w:t>
      </w:r>
      <w:r w:rsidR="0034687A" w:rsidRPr="00EF7033">
        <w:t>) </w:t>
      </w:r>
      <w:r w:rsidR="00B72737" w:rsidRPr="00EF7033">
        <w:t>dans le but de se faire déclarer faillie ou insolvable</w:t>
      </w:r>
      <w:r w:rsidR="00073CFA" w:rsidRPr="00EF7033">
        <w:t>, o</w:t>
      </w:r>
      <w:r w:rsidR="00B72737" w:rsidRPr="00EF7033">
        <w:t>u</w:t>
      </w:r>
      <w:r w:rsidR="00073CFA" w:rsidRPr="00EF7033">
        <w:t xml:space="preserve"> (</w:t>
      </w:r>
      <w:r w:rsidR="00073CFA" w:rsidRPr="00060926">
        <w:t>i</w:t>
      </w:r>
      <w:r w:rsidR="0034687A" w:rsidRPr="00060926">
        <w:t>i</w:t>
      </w:r>
      <w:r w:rsidR="0034687A" w:rsidRPr="00EF7033">
        <w:t>) </w:t>
      </w:r>
      <w:r w:rsidR="004E37AC" w:rsidRPr="00EF7033">
        <w:t xml:space="preserve">dans le but de demander une liquidation, une dissolution, une </w:t>
      </w:r>
      <w:r w:rsidR="006712ED" w:rsidRPr="00EF7033">
        <w:t>restructuration</w:t>
      </w:r>
      <w:r w:rsidR="004E37AC" w:rsidRPr="00EF7033">
        <w:t>, un arrangement, une protection, un redressement ou un concordat à son égard ou à l’égard de l’un ou l’autre de ses biens ou de ses dettes, ou</w:t>
      </w:r>
      <w:r w:rsidR="0032328A" w:rsidRPr="00EF7033">
        <w:t xml:space="preserve"> dans le but</w:t>
      </w:r>
      <w:r w:rsidR="004E37AC" w:rsidRPr="00EF7033">
        <w:t xml:space="preserve"> de déposer une proposition en vertu de toute loi relative à la faillite, à l’insolvabilité</w:t>
      </w:r>
      <w:r w:rsidR="008A05EE" w:rsidRPr="00EF7033">
        <w:t xml:space="preserve">, </w:t>
      </w:r>
      <w:r w:rsidR="004E37AC" w:rsidRPr="00EF7033">
        <w:t xml:space="preserve">à la restructuration </w:t>
      </w:r>
      <w:r w:rsidR="008A05EE" w:rsidRPr="00EF7033">
        <w:t xml:space="preserve">ou aux </w:t>
      </w:r>
      <w:r w:rsidR="00E27289" w:rsidRPr="00EF7033">
        <w:t>transactions</w:t>
      </w:r>
      <w:r w:rsidR="008A05EE" w:rsidRPr="00EF7033">
        <w:t xml:space="preserve"> sur les dettes </w:t>
      </w:r>
      <w:r w:rsidR="00A52DC5" w:rsidRPr="00EF7033">
        <w:t xml:space="preserve">ou d’autres lois </w:t>
      </w:r>
      <w:r w:rsidR="0004675A" w:rsidRPr="00EF7033">
        <w:t>semblables</w:t>
      </w:r>
      <w:r w:rsidR="00A52DC5" w:rsidRPr="00EF7033">
        <w:t xml:space="preserve"> </w:t>
      </w:r>
      <w:r w:rsidR="008A05EE" w:rsidRPr="00EF7033">
        <w:t xml:space="preserve">(y compris, sans toutefois s’y limiter, toute demande en vertu de la </w:t>
      </w:r>
      <w:r w:rsidR="00015FAB" w:rsidRPr="00EF7033">
        <w:rPr>
          <w:i/>
        </w:rPr>
        <w:t xml:space="preserve">Loi sur les arrangements avec les créanciers des compagnies </w:t>
      </w:r>
      <w:r w:rsidR="00073CFA" w:rsidRPr="00EF7033">
        <w:t>(Canada)</w:t>
      </w:r>
      <w:r w:rsidR="00E27289" w:rsidRPr="00EF7033">
        <w:t xml:space="preserve"> ou</w:t>
      </w:r>
      <w:r w:rsidR="00073CFA" w:rsidRPr="00EF7033">
        <w:t xml:space="preserve"> </w:t>
      </w:r>
      <w:r w:rsidR="008A05EE" w:rsidRPr="00EF7033">
        <w:t xml:space="preserve">de la </w:t>
      </w:r>
      <w:r w:rsidR="00150423" w:rsidRPr="00EF7033">
        <w:rPr>
          <w:i/>
        </w:rPr>
        <w:t>Loi sur la faillite et l’insolvabilité</w:t>
      </w:r>
      <w:r w:rsidR="00073CFA" w:rsidRPr="00EF7033">
        <w:t xml:space="preserve"> (Canada) </w:t>
      </w:r>
      <w:r w:rsidR="008A05EE" w:rsidRPr="00EF7033">
        <w:t>ou toute restructuration, tout arrangement ou tout</w:t>
      </w:r>
      <w:r w:rsidR="00E27289" w:rsidRPr="00EF7033">
        <w:t>e transaction</w:t>
      </w:r>
      <w:r w:rsidR="008A05EE" w:rsidRPr="00EF7033">
        <w:t xml:space="preserve"> sur les dettes en vertu des lois de son territoire de constitution</w:t>
      </w:r>
      <w:r w:rsidR="00073CFA" w:rsidRPr="00EF7033">
        <w:t>);</w:t>
      </w:r>
    </w:p>
    <w:p w14:paraId="7641CAA1" w14:textId="44B9B070" w:rsidR="00F0406C" w:rsidRPr="00060926" w:rsidRDefault="00EB6923" w:rsidP="00E5787D">
      <w:pPr>
        <w:pStyle w:val="StandardL2"/>
      </w:pPr>
      <w:r w:rsidRPr="00EF7033">
        <w:t>une</w:t>
      </w:r>
      <w:r w:rsidR="00244868" w:rsidRPr="00EF7033">
        <w:t xml:space="preserve"> procédure </w:t>
      </w:r>
      <w:r w:rsidR="0032328A" w:rsidRPr="00EF7033">
        <w:t xml:space="preserve">est </w:t>
      </w:r>
      <w:r w:rsidR="00244868" w:rsidRPr="00EF7033">
        <w:t>intentée contre la Société ou</w:t>
      </w:r>
      <w:r w:rsidR="00D74318" w:rsidRPr="00EF7033">
        <w:t xml:space="preserve"> touche</w:t>
      </w:r>
      <w:r w:rsidR="00244868" w:rsidRPr="00EF7033">
        <w:t xml:space="preserve"> Société qui n’est pas (</w:t>
      </w:r>
      <w:r w:rsidR="00244868" w:rsidRPr="00060926">
        <w:t>A</w:t>
      </w:r>
      <w:r w:rsidR="00244868" w:rsidRPr="00EF7033">
        <w:t>) </w:t>
      </w:r>
      <w:r w:rsidR="00073CFA" w:rsidRPr="00EF7033">
        <w:t>contest</w:t>
      </w:r>
      <w:r w:rsidR="00244868" w:rsidRPr="00EF7033">
        <w:t xml:space="preserve">ée activement et avec diligence, de bonne foi, </w:t>
      </w:r>
      <w:r w:rsidR="0032328A" w:rsidRPr="00EF7033">
        <w:t>au moyen des</w:t>
      </w:r>
      <w:r w:rsidR="00244868" w:rsidRPr="00EF7033">
        <w:t xml:space="preserve"> procédures appropriées en temps opportun</w:t>
      </w:r>
      <w:r w:rsidR="00073CFA" w:rsidRPr="00EF7033">
        <w:t xml:space="preserve">; </w:t>
      </w:r>
      <w:r w:rsidR="0004675A" w:rsidRPr="00EF7033">
        <w:t>ni</w:t>
      </w:r>
      <w:r w:rsidR="00073CFA" w:rsidRPr="00EF7033">
        <w:t xml:space="preserve"> </w:t>
      </w:r>
      <w:r w:rsidR="00244868" w:rsidRPr="00EF7033">
        <w:t>(</w:t>
      </w:r>
      <w:r w:rsidR="00244868" w:rsidRPr="00060926">
        <w:t>B</w:t>
      </w:r>
      <w:r w:rsidR="00244868" w:rsidRPr="00EF7033">
        <w:t xml:space="preserve">) suspendue dans les tous les cas dans les </w:t>
      </w:r>
      <w:r w:rsidR="00073CFA" w:rsidRPr="00EF7033">
        <w:t>[</w:t>
      </w:r>
      <w:r w:rsidR="00073CFA" w:rsidRPr="00060926">
        <w:t>30</w:t>
      </w:r>
      <w:r w:rsidR="00073CFA" w:rsidRPr="00EF7033">
        <w:t>]</w:t>
      </w:r>
      <w:r w:rsidR="00244868" w:rsidRPr="00EF7033">
        <w:t xml:space="preserve"> jours </w:t>
      </w:r>
      <w:r w:rsidR="0004675A" w:rsidRPr="00EF7033">
        <w:t xml:space="preserve">suivant </w:t>
      </w:r>
      <w:r w:rsidR="0032328A" w:rsidRPr="00EF7033">
        <w:t>son</w:t>
      </w:r>
      <w:r w:rsidR="00244868" w:rsidRPr="00EF7033">
        <w:t xml:space="preserve"> commencement :</w:t>
      </w:r>
    </w:p>
    <w:p w14:paraId="55077248" w14:textId="07741E0C" w:rsidR="00F0406C" w:rsidRPr="00060926" w:rsidRDefault="00244868" w:rsidP="00E5787D">
      <w:pPr>
        <w:pStyle w:val="StandardL3"/>
      </w:pPr>
      <w:r w:rsidRPr="00EF7033">
        <w:t>dans le but de la faire déclarer faillie ou insolvable</w:t>
      </w:r>
      <w:r w:rsidR="00073CFA" w:rsidRPr="00EF7033">
        <w:t>;</w:t>
      </w:r>
    </w:p>
    <w:p w14:paraId="084E9AC6" w14:textId="0C8214A3" w:rsidR="006712ED" w:rsidRPr="00060926" w:rsidRDefault="006712ED" w:rsidP="00E5787D">
      <w:pPr>
        <w:pStyle w:val="StandardL3"/>
      </w:pPr>
      <w:r w:rsidRPr="00EF7033">
        <w:t xml:space="preserve">dans le but de demander une liquidation, une dissolution, une restructuration, un arrangement, une protection, un redressement ou un concordat à son égard ou à l’égard de l’un ou l’autre de ses biens ou de ses dettes, ou de déposer une proposition à son égard en vertu de toute loi relative à la faillite, à l’insolvabilité, à la restructuration ou aux </w:t>
      </w:r>
      <w:r w:rsidR="00D74318" w:rsidRPr="00EF7033">
        <w:t>transactions</w:t>
      </w:r>
      <w:r w:rsidRPr="00EF7033">
        <w:t xml:space="preserve"> sur les dettes ou d</w:t>
      </w:r>
      <w:r w:rsidR="0004675A" w:rsidRPr="00EF7033">
        <w:t>’</w:t>
      </w:r>
      <w:r w:rsidRPr="00EF7033">
        <w:t>autre</w:t>
      </w:r>
      <w:r w:rsidR="0004675A" w:rsidRPr="00EF7033">
        <w:t>s</w:t>
      </w:r>
      <w:r w:rsidRPr="00EF7033">
        <w:t xml:space="preserve"> loi</w:t>
      </w:r>
      <w:r w:rsidR="0004675A" w:rsidRPr="00EF7033">
        <w:t>s</w:t>
      </w:r>
      <w:r w:rsidRPr="00EF7033">
        <w:t xml:space="preserve"> semblable</w:t>
      </w:r>
      <w:r w:rsidR="0004675A" w:rsidRPr="00EF7033">
        <w:t>s</w:t>
      </w:r>
      <w:r w:rsidRPr="00EF7033">
        <w:t xml:space="preserve"> (y compris, sans toutefois s’y limiter, toute restructuration, tout arrangement ou tout</w:t>
      </w:r>
      <w:r w:rsidR="00D74318" w:rsidRPr="00EF7033">
        <w:t xml:space="preserve">e transaction </w:t>
      </w:r>
      <w:r w:rsidRPr="00EF7033">
        <w:t>sur les dettes en vertu des lois de son territoire de constitution); ou</w:t>
      </w:r>
    </w:p>
    <w:p w14:paraId="450940CB" w14:textId="2508CA42" w:rsidR="00F0406C" w:rsidRPr="00060926" w:rsidRDefault="0003061A" w:rsidP="00E5787D">
      <w:pPr>
        <w:pStyle w:val="StandardL3"/>
      </w:pPr>
      <w:r w:rsidRPr="00EF7033">
        <w:rPr>
          <w:bCs/>
        </w:rPr>
        <w:t xml:space="preserve">dans le but de faire nommer un séquestre, un </w:t>
      </w:r>
      <w:r w:rsidR="00BB4BCF" w:rsidRPr="00EF7033">
        <w:rPr>
          <w:bCs/>
        </w:rPr>
        <w:t>gérant</w:t>
      </w:r>
      <w:r w:rsidRPr="00EF7033">
        <w:rPr>
          <w:bCs/>
        </w:rPr>
        <w:t>, un séquestre-gérant, un fiduciaire, un agent, un dépositaire ou un représentant semblable à son égard ou à l’égard de l’un ou l’autre de ses biens et de ses actifs</w:t>
      </w:r>
      <w:r w:rsidR="00073CFA" w:rsidRPr="00EF7033">
        <w:rPr>
          <w:bCs/>
        </w:rPr>
        <w:t>;</w:t>
      </w:r>
    </w:p>
    <w:p w14:paraId="0F0774A8" w14:textId="0606E5CF" w:rsidR="00F0406C" w:rsidRPr="00060926" w:rsidRDefault="003963E6" w:rsidP="00E5787D">
      <w:pPr>
        <w:pStyle w:val="StandardL2"/>
        <w:rPr>
          <w:b/>
          <w:u w:val="single"/>
        </w:rPr>
      </w:pPr>
      <w:r w:rsidRPr="00EF7033">
        <w:rPr>
          <w:szCs w:val="22"/>
        </w:rPr>
        <w:t xml:space="preserve">le titulaire de toute sûreté, de toute hypothèque, de toute charge, de tout privilège ou de toute réclamation </w:t>
      </w:r>
      <w:r w:rsidR="0004675A" w:rsidRPr="00EF7033">
        <w:rPr>
          <w:szCs w:val="22"/>
        </w:rPr>
        <w:t>grevant</w:t>
      </w:r>
      <w:r w:rsidRPr="00EF7033">
        <w:rPr>
          <w:szCs w:val="22"/>
        </w:rPr>
        <w:t xml:space="preserve"> l’un ou l’autre des actifs de la Société </w:t>
      </w:r>
      <w:r w:rsidR="00C409CB" w:rsidRPr="00EF7033">
        <w:rPr>
          <w:szCs w:val="22"/>
        </w:rPr>
        <w:t>prend toute mesure pour faire valoir ou réaliser cette sûreté</w:t>
      </w:r>
      <w:r w:rsidR="00073CFA" w:rsidRPr="00EF7033">
        <w:rPr>
          <w:szCs w:val="22"/>
        </w:rPr>
        <w:t xml:space="preserve">, </w:t>
      </w:r>
      <w:r w:rsidR="00C409CB" w:rsidRPr="00EF7033">
        <w:rPr>
          <w:szCs w:val="22"/>
        </w:rPr>
        <w:t>cette hypothèque</w:t>
      </w:r>
      <w:r w:rsidR="00073CFA" w:rsidRPr="00EF7033">
        <w:rPr>
          <w:szCs w:val="22"/>
        </w:rPr>
        <w:t xml:space="preserve">, </w:t>
      </w:r>
      <w:r w:rsidR="00C409CB" w:rsidRPr="00EF7033">
        <w:rPr>
          <w:szCs w:val="22"/>
        </w:rPr>
        <w:t xml:space="preserve">cette </w:t>
      </w:r>
      <w:r w:rsidR="00073CFA" w:rsidRPr="00EF7033">
        <w:rPr>
          <w:szCs w:val="22"/>
        </w:rPr>
        <w:t>charge,</w:t>
      </w:r>
      <w:r w:rsidR="00C409CB" w:rsidRPr="00EF7033">
        <w:rPr>
          <w:szCs w:val="22"/>
        </w:rPr>
        <w:t xml:space="preserve"> ce privilège ou cette réclamation, ou prend possession de toute partie des biens de la Société</w:t>
      </w:r>
      <w:r w:rsidR="00073CFA" w:rsidRPr="00EF7033">
        <w:t>;</w:t>
      </w:r>
    </w:p>
    <w:p w14:paraId="2C12FA65" w14:textId="677DAA7C" w:rsidR="00F0406C" w:rsidRPr="00060926" w:rsidRDefault="00154F78" w:rsidP="00E5787D">
      <w:pPr>
        <w:pStyle w:val="StandardL2"/>
        <w:rPr>
          <w:b/>
          <w:u w:val="single"/>
        </w:rPr>
      </w:pPr>
      <w:r w:rsidRPr="00EF7033">
        <w:t>une saisie-exécution, une saisie</w:t>
      </w:r>
      <w:r w:rsidR="00FE61F5" w:rsidRPr="00EF7033">
        <w:t>-gagerie</w:t>
      </w:r>
      <w:r w:rsidRPr="00EF7033">
        <w:t xml:space="preserve"> ou toute autre procédure </w:t>
      </w:r>
      <w:r w:rsidR="00FE61F5" w:rsidRPr="00EF7033">
        <w:t>judiciaire</w:t>
      </w:r>
      <w:r w:rsidRPr="00EF7033">
        <w:t xml:space="preserve"> devient exécutoire à l’encontre de l’un ou l’autre des biens de la Société, ou une saisie</w:t>
      </w:r>
      <w:r w:rsidR="00FE61F5" w:rsidRPr="00EF7033">
        <w:t>-gagerie</w:t>
      </w:r>
      <w:r w:rsidRPr="00EF7033">
        <w:t xml:space="preserve"> ou une procédure semblable est </w:t>
      </w:r>
      <w:r w:rsidR="00FE61F5" w:rsidRPr="00EF7033">
        <w:t>effectuée ou intentée à l’égard de</w:t>
      </w:r>
      <w:r w:rsidRPr="00EF7033">
        <w:t xml:space="preserve"> l’un ou l’autre de ses biens</w:t>
      </w:r>
      <w:r w:rsidR="00073CFA" w:rsidRPr="00EF7033">
        <w:t xml:space="preserve">; </w:t>
      </w:r>
      <w:r w:rsidR="00B3163F" w:rsidRPr="00EF7033">
        <w:t>ou</w:t>
      </w:r>
    </w:p>
    <w:bookmarkEnd w:id="14"/>
    <w:p w14:paraId="6F1CB25B" w14:textId="3F8D3A03" w:rsidR="00F0406C" w:rsidRPr="00060926" w:rsidRDefault="00F56EC4" w:rsidP="00E5787D">
      <w:pPr>
        <w:pStyle w:val="StandardL2"/>
        <w:rPr>
          <w:b/>
          <w:u w:val="single"/>
        </w:rPr>
      </w:pPr>
      <w:r w:rsidRPr="00EF7033">
        <w:t>la Société</w:t>
      </w:r>
      <w:r w:rsidR="00073CFA" w:rsidRPr="00EF7033">
        <w:t xml:space="preserve"> </w:t>
      </w:r>
      <w:r w:rsidR="00154F78" w:rsidRPr="00EF7033">
        <w:t>cesse d’exercer la totalité ou une partie importante de ses activités</w:t>
      </w:r>
      <w:r w:rsidR="00073CFA" w:rsidRPr="00EF7033">
        <w:t>.</w:t>
      </w:r>
    </w:p>
    <w:p w14:paraId="3AF339B5" w14:textId="5140B7A7" w:rsidR="00F0406C" w:rsidRPr="00EF7033" w:rsidRDefault="00DE54FC" w:rsidP="00E5787D">
      <w:pPr>
        <w:pStyle w:val="StandardL2"/>
        <w:numPr>
          <w:ilvl w:val="0"/>
          <w:numId w:val="0"/>
        </w:numPr>
        <w:ind w:left="720"/>
        <w:rPr>
          <w:b/>
          <w:u w:val="single"/>
        </w:rPr>
      </w:pPr>
      <w:r w:rsidRPr="00EF7033">
        <w:t>Pour les besoins du présent Billet</w:t>
      </w:r>
      <w:r w:rsidR="00073CFA" w:rsidRPr="00EF7033">
        <w:t xml:space="preserve">, </w:t>
      </w:r>
      <w:r w:rsidRPr="00EF7033">
        <w:t>un</w:t>
      </w:r>
      <w:r w:rsidR="00E202FF" w:rsidRPr="00EF7033">
        <w:t>e</w:t>
      </w:r>
      <w:r w:rsidRPr="00EF7033">
        <w:t xml:space="preserve"> </w:t>
      </w:r>
      <w:r w:rsidR="005956FF" w:rsidRPr="00EF7033">
        <w:t>« </w:t>
      </w:r>
      <w:r w:rsidR="00E202FF" w:rsidRPr="00EF7033">
        <w:rPr>
          <w:b/>
        </w:rPr>
        <w:t>Incidence défavorable importante</w:t>
      </w:r>
      <w:r w:rsidR="005956FF" w:rsidRPr="00EF7033">
        <w:t> »</w:t>
      </w:r>
      <w:r w:rsidR="0085305E" w:rsidRPr="00EF7033">
        <w:t xml:space="preserve"> </w:t>
      </w:r>
      <w:r w:rsidR="00D61BCB" w:rsidRPr="00EF7033">
        <w:t>désigne tout fait, tout changement, toute circonstance, toute situation (financière ou autre)</w:t>
      </w:r>
      <w:r w:rsidR="00073CFA" w:rsidRPr="00EF7033">
        <w:t>,</w:t>
      </w:r>
      <w:r w:rsidR="00D61BCB" w:rsidRPr="00EF7033">
        <w:t xml:space="preserve"> tout événement ou tout </w:t>
      </w:r>
      <w:r w:rsidR="00FE61F5" w:rsidRPr="00EF7033">
        <w:t>fait nouveau</w:t>
      </w:r>
      <w:r w:rsidR="00D61BCB" w:rsidRPr="00EF7033">
        <w:t xml:space="preserve"> qui, pris seul ou </w:t>
      </w:r>
      <w:r w:rsidR="00FE61F5" w:rsidRPr="00EF7033">
        <w:t xml:space="preserve">collectivement </w:t>
      </w:r>
      <w:r w:rsidR="00D61BCB" w:rsidRPr="00EF7033">
        <w:t xml:space="preserve">avec </w:t>
      </w:r>
      <w:r w:rsidR="00FE61F5" w:rsidRPr="00EF7033">
        <w:t xml:space="preserve">les </w:t>
      </w:r>
      <w:r w:rsidR="00D61BCB" w:rsidRPr="00EF7033">
        <w:t>autres</w:t>
      </w:r>
      <w:r w:rsidR="00073CFA" w:rsidRPr="00EF7033">
        <w:t>,</w:t>
      </w:r>
      <w:r w:rsidR="00D61BCB" w:rsidRPr="00EF7033">
        <w:t xml:space="preserve"> a entraîné ou [est/pourrait être] raisonnablement susceptible d’entraîner des répercussions importantes et défavorables </w:t>
      </w:r>
      <w:r w:rsidR="00073CFA" w:rsidRPr="00EF7033">
        <w:t>(</w:t>
      </w:r>
      <w:r w:rsidR="0034687A" w:rsidRPr="00060926">
        <w:t>x</w:t>
      </w:r>
      <w:r w:rsidR="0034687A" w:rsidRPr="00EF7033">
        <w:t>)</w:t>
      </w:r>
      <w:r w:rsidR="00D61BCB" w:rsidRPr="00EF7033">
        <w:t> </w:t>
      </w:r>
      <w:r w:rsidR="00524A53" w:rsidRPr="00EF7033">
        <w:t xml:space="preserve">sur </w:t>
      </w:r>
      <w:r w:rsidR="00D61BCB" w:rsidRPr="00EF7033">
        <w:t>l’entreprise, les actifs, les passifs, la situation financière, les activités ou les pers</w:t>
      </w:r>
      <w:r w:rsidR="0085305E" w:rsidRPr="00EF7033">
        <w:t>p</w:t>
      </w:r>
      <w:r w:rsidR="00D61BCB" w:rsidRPr="00EF7033">
        <w:t xml:space="preserve">ectives </w:t>
      </w:r>
      <w:r w:rsidR="004D1DAF" w:rsidRPr="00EF7033">
        <w:t>de la Société</w:t>
      </w:r>
      <w:r w:rsidR="00073CFA" w:rsidRPr="00EF7033">
        <w:t xml:space="preserve"> o</w:t>
      </w:r>
      <w:r w:rsidR="00D61BCB" w:rsidRPr="00EF7033">
        <w:t>u</w:t>
      </w:r>
      <w:r w:rsidR="00073CFA" w:rsidRPr="00EF7033">
        <w:t xml:space="preserve"> (</w:t>
      </w:r>
      <w:r w:rsidR="00073CFA" w:rsidRPr="00060926">
        <w:t>y</w:t>
      </w:r>
      <w:r w:rsidR="00073CFA" w:rsidRPr="00EF7033">
        <w:t>) </w:t>
      </w:r>
      <w:r w:rsidR="00524A53" w:rsidRPr="00EF7033">
        <w:t xml:space="preserve">sur </w:t>
      </w:r>
      <w:r w:rsidR="00D61BCB" w:rsidRPr="00EF7033">
        <w:t xml:space="preserve">la capacité de la </w:t>
      </w:r>
      <w:r w:rsidR="004D1DAF" w:rsidRPr="00EF7033">
        <w:t>Société</w:t>
      </w:r>
      <w:r w:rsidR="00073CFA" w:rsidRPr="00EF7033">
        <w:t xml:space="preserve"> </w:t>
      </w:r>
      <w:r w:rsidR="00244868" w:rsidRPr="00EF7033">
        <w:t>(</w:t>
      </w:r>
      <w:r w:rsidR="00244868" w:rsidRPr="00060926">
        <w:t>A</w:t>
      </w:r>
      <w:r w:rsidR="00244868" w:rsidRPr="00EF7033">
        <w:t>) </w:t>
      </w:r>
      <w:r w:rsidR="00491C06" w:rsidRPr="00EF7033">
        <w:t xml:space="preserve">de payer ou d’exécuter l’une ou l’autre de ses </w:t>
      </w:r>
      <w:r w:rsidR="00073CFA" w:rsidRPr="00EF7033">
        <w:t xml:space="preserve">obligations </w:t>
      </w:r>
      <w:r w:rsidR="00491C06" w:rsidRPr="00EF7033">
        <w:t xml:space="preserve">aux termes des Billets ou </w:t>
      </w:r>
      <w:r w:rsidR="00244868" w:rsidRPr="00EF7033">
        <w:t>(</w:t>
      </w:r>
      <w:r w:rsidR="00244868" w:rsidRPr="00060926">
        <w:t>B</w:t>
      </w:r>
      <w:r w:rsidR="00244868" w:rsidRPr="00EF7033">
        <w:t>) </w:t>
      </w:r>
      <w:r w:rsidR="00491C06" w:rsidRPr="00EF7033">
        <w:t xml:space="preserve">d’éviter un </w:t>
      </w:r>
      <w:r w:rsidR="002C08F9" w:rsidRPr="00EF7033">
        <w:t>Cas de défaut</w:t>
      </w:r>
      <w:r w:rsidR="00073CFA" w:rsidRPr="00EF7033">
        <w:t xml:space="preserve"> </w:t>
      </w:r>
      <w:r w:rsidR="00491C06" w:rsidRPr="00EF7033">
        <w:t xml:space="preserve">ou un événement qui, avec la remise d’un avis ou l’écoulement du temps, ou les deux, constituerait un </w:t>
      </w:r>
      <w:r w:rsidR="002C08F9" w:rsidRPr="00EF7033">
        <w:t>Cas de défaut</w:t>
      </w:r>
      <w:r w:rsidR="00073CFA" w:rsidRPr="00EF7033">
        <w:t>.</w:t>
      </w:r>
    </w:p>
    <w:p w14:paraId="1FF996EB" w14:textId="79D4A3E9" w:rsidR="00F0406C" w:rsidRPr="00060926" w:rsidRDefault="00CC33A4" w:rsidP="00E5787D">
      <w:pPr>
        <w:pStyle w:val="StandardL1"/>
      </w:pPr>
      <w:r w:rsidRPr="00EF7033">
        <w:rPr>
          <w:b/>
          <w:u w:val="single"/>
        </w:rPr>
        <w:t>Absence de droit à titre d’actionnaire</w:t>
      </w:r>
      <w:r w:rsidR="00073CFA" w:rsidRPr="00EF7033">
        <w:t xml:space="preserve">. </w:t>
      </w:r>
      <w:r w:rsidR="000B0B42" w:rsidRPr="00EF7033">
        <w:t xml:space="preserve">Le présent Billet en lui-même ne confère au Porteur aucun droit de vote </w:t>
      </w:r>
      <w:r w:rsidR="00524A53" w:rsidRPr="00EF7033">
        <w:t>ni</w:t>
      </w:r>
      <w:r w:rsidR="000B0B42" w:rsidRPr="00EF7033">
        <w:t xml:space="preserve"> autre droit en tant qu</w:t>
      </w:r>
      <w:r w:rsidR="00F868E0" w:rsidRPr="00EF7033">
        <w:t>’</w:t>
      </w:r>
      <w:r w:rsidR="000B0B42" w:rsidRPr="00EF7033">
        <w:t>actionnaire de la Société.</w:t>
      </w:r>
      <w:r w:rsidR="0085305E" w:rsidRPr="00EF7033">
        <w:t xml:space="preserve"> </w:t>
      </w:r>
      <w:r w:rsidR="00A4744F" w:rsidRPr="00EF7033">
        <w:t>Si le</w:t>
      </w:r>
      <w:r w:rsidR="000B0B42" w:rsidRPr="00EF7033">
        <w:t xml:space="preserve"> présent Billet</w:t>
      </w:r>
      <w:r w:rsidR="00A4744F" w:rsidRPr="00EF7033">
        <w:t xml:space="preserve"> n’est pas converti</w:t>
      </w:r>
      <w:r w:rsidR="000B0B42" w:rsidRPr="00EF7033">
        <w:t>, aucune disposition du présent Billet, ni aucune énumération des droits ou privilèges du Porteur dans le présent Billet, ne fera en sorte que le Porteur soit un actionnaire de la Société à quelque fin que ce soit</w:t>
      </w:r>
      <w:r w:rsidR="00073CFA" w:rsidRPr="00EF7033">
        <w:t>.</w:t>
      </w:r>
    </w:p>
    <w:p w14:paraId="451F77C2" w14:textId="368D9230" w:rsidR="00F0406C" w:rsidRPr="00060926" w:rsidRDefault="00073CFA" w:rsidP="00E5787D">
      <w:pPr>
        <w:pStyle w:val="StandardL1"/>
      </w:pPr>
      <w:r w:rsidRPr="00EF7033">
        <w:rPr>
          <w:b/>
          <w:u w:val="single"/>
        </w:rPr>
        <w:t>Transfer</w:t>
      </w:r>
      <w:r w:rsidR="00CF5CE1" w:rsidRPr="00EF7033">
        <w:rPr>
          <w:b/>
          <w:u w:val="single"/>
        </w:rPr>
        <w:t>t</w:t>
      </w:r>
      <w:r w:rsidRPr="00EF7033">
        <w:rPr>
          <w:b/>
          <w:u w:val="single"/>
        </w:rPr>
        <w:t xml:space="preserve">; </w:t>
      </w:r>
      <w:r w:rsidR="00CF5CE1" w:rsidRPr="00EF7033">
        <w:rPr>
          <w:b/>
          <w:u w:val="single"/>
        </w:rPr>
        <w:t>successeurs</w:t>
      </w:r>
      <w:r w:rsidR="00BE1EEE" w:rsidRPr="00EF7033">
        <w:rPr>
          <w:b/>
          <w:u w:val="single"/>
        </w:rPr>
        <w:t>,</w:t>
      </w:r>
      <w:r w:rsidR="00CF5CE1" w:rsidRPr="00EF7033">
        <w:rPr>
          <w:b/>
          <w:u w:val="single"/>
        </w:rPr>
        <w:t xml:space="preserve"> ayants droit</w:t>
      </w:r>
      <w:r w:rsidR="00BE1EEE" w:rsidRPr="00EF7033">
        <w:rPr>
          <w:b/>
          <w:u w:val="single"/>
        </w:rPr>
        <w:t xml:space="preserve"> et ayants cause</w:t>
      </w:r>
      <w:r w:rsidRPr="00EF7033">
        <w:t xml:space="preserve">. </w:t>
      </w:r>
      <w:r w:rsidR="00591571" w:rsidRPr="00EF7033">
        <w:t xml:space="preserve">Les modalités et conditions </w:t>
      </w:r>
      <w:r w:rsidR="008403CC" w:rsidRPr="00EF7033">
        <w:t>du présent Billet</w:t>
      </w:r>
      <w:r w:rsidRPr="00EF7033">
        <w:t xml:space="preserve"> </w:t>
      </w:r>
      <w:r w:rsidR="00672F11" w:rsidRPr="00EF7033">
        <w:t xml:space="preserve">lieront les </w:t>
      </w:r>
      <w:r w:rsidR="00CF5CE1" w:rsidRPr="00EF7033">
        <w:t>successeurs</w:t>
      </w:r>
      <w:r w:rsidR="00BE1EEE" w:rsidRPr="00EF7033">
        <w:t>,</w:t>
      </w:r>
      <w:r w:rsidRPr="00EF7033">
        <w:t xml:space="preserve"> </w:t>
      </w:r>
      <w:r w:rsidR="00CF5CE1" w:rsidRPr="00EF7033">
        <w:t>ayants droit</w:t>
      </w:r>
      <w:r w:rsidR="00BE1EEE" w:rsidRPr="00EF7033">
        <w:t xml:space="preserve"> et ayants cause</w:t>
      </w:r>
      <w:r w:rsidRPr="00EF7033">
        <w:t xml:space="preserve"> </w:t>
      </w:r>
      <w:r w:rsidR="00CF5CE1" w:rsidRPr="00EF7033">
        <w:t>autorisés respectifs des parties</w:t>
      </w:r>
      <w:r w:rsidR="00672F11" w:rsidRPr="00EF7033">
        <w:t xml:space="preserve"> et s’appliqueront à leur bénéfice</w:t>
      </w:r>
      <w:r w:rsidRPr="00EF7033">
        <w:t xml:space="preserve">. </w:t>
      </w:r>
      <w:r w:rsidR="000B0B42" w:rsidRPr="00EF7033">
        <w:t>Malgré ce qui précède</w:t>
      </w:r>
      <w:r w:rsidRPr="00EF7033">
        <w:t xml:space="preserve">, </w:t>
      </w:r>
      <w:r w:rsidR="008403CC" w:rsidRPr="00EF7033">
        <w:t>le Porteur</w:t>
      </w:r>
      <w:r w:rsidRPr="00EF7033">
        <w:t xml:space="preserve"> </w:t>
      </w:r>
      <w:r w:rsidR="00672F11" w:rsidRPr="00EF7033">
        <w:t xml:space="preserve">ne peut céder, mettre en gage ni transférer autrement </w:t>
      </w:r>
      <w:r w:rsidR="001267F4" w:rsidRPr="00EF7033">
        <w:t>le présent Billet</w:t>
      </w:r>
      <w:r w:rsidRPr="00EF7033">
        <w:t xml:space="preserve"> </w:t>
      </w:r>
      <w:r w:rsidR="00672F11" w:rsidRPr="00EF7033">
        <w:t>sans avoir obtenu le</w:t>
      </w:r>
      <w:r w:rsidRPr="00EF7033">
        <w:t xml:space="preserve"> </w:t>
      </w:r>
      <w:r w:rsidR="00672F11" w:rsidRPr="00EF7033">
        <w:t>consentement préalable écrit</w:t>
      </w:r>
      <w:r w:rsidRPr="00EF7033">
        <w:t xml:space="preserve"> </w:t>
      </w:r>
      <w:r w:rsidR="004D1DAF" w:rsidRPr="00EF7033">
        <w:t>de la Société</w:t>
      </w:r>
      <w:r w:rsidRPr="00EF7033">
        <w:t>, [</w:t>
      </w:r>
      <w:r w:rsidR="00672F11" w:rsidRPr="00EF7033">
        <w:t xml:space="preserve">sauf en ce qui concerne une cession ou un transfert </w:t>
      </w:r>
      <w:r w:rsidRPr="00EF7033">
        <w:t>[</w:t>
      </w:r>
      <w:r w:rsidR="00672F11" w:rsidRPr="00EF7033">
        <w:t>en totalité</w:t>
      </w:r>
      <w:r w:rsidRPr="00EF7033">
        <w:t xml:space="preserve"> (</w:t>
      </w:r>
      <w:r w:rsidR="00672F11" w:rsidRPr="00EF7033">
        <w:t>et non en partie</w:t>
      </w:r>
      <w:r w:rsidRPr="00EF7033">
        <w:t xml:space="preserve">)] </w:t>
      </w:r>
      <w:r w:rsidR="00672F11" w:rsidRPr="00EF7033">
        <w:t xml:space="preserve">en faveur d’un </w:t>
      </w:r>
      <w:r w:rsidR="00D57BF4" w:rsidRPr="00EF7033">
        <w:t>Membre du même groupe</w:t>
      </w:r>
      <w:r w:rsidRPr="00EF7033">
        <w:t xml:space="preserve"> (</w:t>
      </w:r>
      <w:r w:rsidR="00A3579A" w:rsidRPr="00EF7033">
        <w:t>au sens donné à ce terme</w:t>
      </w:r>
      <w:r w:rsidR="009F4C72" w:rsidRPr="00EF7033">
        <w:t xml:space="preserve"> ci</w:t>
      </w:r>
      <w:r w:rsidR="009F4C72" w:rsidRPr="00EF7033">
        <w:noBreakHyphen/>
        <w:t>dessous</w:t>
      </w:r>
      <w:r w:rsidRPr="00EF7033">
        <w:t xml:space="preserve">)]. </w:t>
      </w:r>
      <w:r w:rsidR="00672F11" w:rsidRPr="00EF7033">
        <w:t>Sous réserve de la phrase précédent</w:t>
      </w:r>
      <w:r w:rsidR="0085305E" w:rsidRPr="00EF7033">
        <w:t>e</w:t>
      </w:r>
      <w:r w:rsidRPr="00EF7033">
        <w:t xml:space="preserve">, </w:t>
      </w:r>
      <w:r w:rsidR="001267F4" w:rsidRPr="00EF7033">
        <w:t>le présent Billet</w:t>
      </w:r>
      <w:r w:rsidRPr="00EF7033">
        <w:t xml:space="preserve"> </w:t>
      </w:r>
      <w:r w:rsidR="00672F11" w:rsidRPr="00EF7033">
        <w:t>ne peut être cédé ou transféré que sur remise du Billet original aux fins d’enregistrement du transfert, dûment endossé</w:t>
      </w:r>
      <w:r w:rsidRPr="00EF7033">
        <w:t>,</w:t>
      </w:r>
      <w:r w:rsidR="00672F11" w:rsidRPr="00EF7033">
        <w:t xml:space="preserve"> ou accompagné d’un instrument de transfert dûment signé</w:t>
      </w:r>
      <w:r w:rsidRPr="00EF7033">
        <w:t xml:space="preserve"> </w:t>
      </w:r>
      <w:r w:rsidR="00BE1EEE" w:rsidRPr="00EF7033">
        <w:t xml:space="preserve">dans </w:t>
      </w:r>
      <w:r w:rsidR="00672F11" w:rsidRPr="00EF7033">
        <w:t xml:space="preserve">une forme jugée </w:t>
      </w:r>
      <w:r w:rsidR="00F917C7" w:rsidRPr="00EF7033">
        <w:t xml:space="preserve">raisonnablement </w:t>
      </w:r>
      <w:r w:rsidR="00672F11" w:rsidRPr="00EF7033">
        <w:t>satisfaisante par la Société</w:t>
      </w:r>
      <w:r w:rsidRPr="00EF7033">
        <w:t xml:space="preserve">. </w:t>
      </w:r>
      <w:r w:rsidR="00672F11" w:rsidRPr="00EF7033">
        <w:t>Dès lors, un billet à ordre</w:t>
      </w:r>
      <w:r w:rsidRPr="00EF7033">
        <w:t xml:space="preserve"> </w:t>
      </w:r>
      <w:r w:rsidR="00672F11" w:rsidRPr="00EF7033">
        <w:t>de remplacement</w:t>
      </w:r>
      <w:r w:rsidR="00F917C7" w:rsidRPr="00EF7033">
        <w:t xml:space="preserve"> du</w:t>
      </w:r>
      <w:r w:rsidR="00672F11" w:rsidRPr="00EF7033">
        <w:t xml:space="preserve"> même montant de capital sera émis en faveur du cessionnaire et immatriculé au nom du cessionnaire</w:t>
      </w:r>
      <w:r w:rsidRPr="00EF7033">
        <w:t>,</w:t>
      </w:r>
      <w:r w:rsidR="00672F11" w:rsidRPr="00EF7033">
        <w:t xml:space="preserve"> et (comme condition à une telle cession), le cessionnaire reconnaît et accepte le transfert et l’ensemble des modalités et conditions </w:t>
      </w:r>
      <w:r w:rsidR="008403CC" w:rsidRPr="00EF7033">
        <w:t>du présent Billet</w:t>
      </w:r>
      <w:r w:rsidRPr="00EF7033">
        <w:t xml:space="preserve"> </w:t>
      </w:r>
      <w:r w:rsidR="00672F11" w:rsidRPr="00EF7033">
        <w:t>et</w:t>
      </w:r>
      <w:r w:rsidR="00524A53" w:rsidRPr="00EF7033">
        <w:t xml:space="preserve"> de</w:t>
      </w:r>
      <w:r w:rsidR="00672F11" w:rsidRPr="00EF7033">
        <w:t xml:space="preserve"> la</w:t>
      </w:r>
      <w:r w:rsidRPr="00EF7033">
        <w:t xml:space="preserve"> [</w:t>
      </w:r>
      <w:r w:rsidR="00BE556D" w:rsidRPr="00EF7033">
        <w:t>Convention d’achat</w:t>
      </w:r>
      <w:r w:rsidRPr="00EF7033">
        <w:t xml:space="preserve">], </w:t>
      </w:r>
      <w:r w:rsidR="00672F11" w:rsidRPr="00EF7033">
        <w:t xml:space="preserve">dans chaque cas selon ce que la Société estime raisonnablement satisfaisant sur le plan de la forme et du fond. Le capital, les intérêts et toute autre somme due aux </w:t>
      </w:r>
      <w:r w:rsidR="00A02708" w:rsidRPr="00EF7033">
        <w:t>termes du présent Billet</w:t>
      </w:r>
      <w:r w:rsidRPr="00EF7033">
        <w:t xml:space="preserve"> </w:t>
      </w:r>
      <w:r w:rsidR="00672F11" w:rsidRPr="00EF7033">
        <w:t xml:space="preserve">sont payables uniquement au porteur inscrit </w:t>
      </w:r>
      <w:r w:rsidR="008403CC" w:rsidRPr="00EF7033">
        <w:t>du présent Billet</w:t>
      </w:r>
      <w:r w:rsidRPr="00EF7033">
        <w:t>. [</w:t>
      </w:r>
      <w:r w:rsidR="00DE54FC" w:rsidRPr="00EF7033">
        <w:t>Pour les besoins du présent Billet</w:t>
      </w:r>
      <w:r w:rsidRPr="00EF7033">
        <w:t xml:space="preserve">, </w:t>
      </w:r>
      <w:r w:rsidR="00524A53" w:rsidRPr="00EF7033">
        <w:t xml:space="preserve">un </w:t>
      </w:r>
      <w:r w:rsidR="005956FF" w:rsidRPr="00EF7033">
        <w:t>« </w:t>
      </w:r>
      <w:r w:rsidR="00D57BF4" w:rsidRPr="00EF7033">
        <w:rPr>
          <w:b/>
        </w:rPr>
        <w:t>Membre du même groupe</w:t>
      </w:r>
      <w:r w:rsidR="005956FF" w:rsidRPr="00EF7033">
        <w:t> »</w:t>
      </w:r>
      <w:r w:rsidR="0085305E" w:rsidRPr="00EF7033">
        <w:t xml:space="preserve"> </w:t>
      </w:r>
      <w:r w:rsidR="0012163D" w:rsidRPr="00EF7033">
        <w:t>désigne, à l’égard d</w:t>
      </w:r>
      <w:r w:rsidR="00524A53" w:rsidRPr="00EF7033">
        <w:t>u Porteur</w:t>
      </w:r>
      <w:r w:rsidR="0012163D" w:rsidRPr="00EF7033">
        <w:t xml:space="preserve">, toute autre personne ou entité qui, directement ou indirectement, contrôle le Porteur, est contrôlée par le Porteur ou se trouve avec le Porteur sous un contrôle commun, y compris, sans toutefois s’y limiter, un commandité, un </w:t>
      </w:r>
      <w:r w:rsidR="00B36E2B" w:rsidRPr="00EF7033">
        <w:t>membre dirigeant</w:t>
      </w:r>
      <w:r w:rsidR="0012163D" w:rsidRPr="00EF7033">
        <w:t xml:space="preserve">, un dirigeant ou un administrateur du Porteur ou un fonds de capital de risque </w:t>
      </w:r>
      <w:r w:rsidR="00B36E2B" w:rsidRPr="00EF7033">
        <w:t>qui existe actuellement ou existera ultérieurement et qui est contrôlé</w:t>
      </w:r>
      <w:r w:rsidR="0012163D" w:rsidRPr="00EF7033">
        <w:t xml:space="preserve"> par un ou plusieurs commandités ou </w:t>
      </w:r>
      <w:r w:rsidR="00B36E2B" w:rsidRPr="00EF7033">
        <w:t xml:space="preserve">membres dirigeants </w:t>
      </w:r>
      <w:r w:rsidR="0012163D" w:rsidRPr="00EF7033">
        <w:t>du Porteur ou partage</w:t>
      </w:r>
      <w:r w:rsidR="004C4BC0" w:rsidRPr="00EF7033">
        <w:t xml:space="preserve"> avec le Porteur</w:t>
      </w:r>
      <w:r w:rsidR="0012163D" w:rsidRPr="00EF7033">
        <w:t xml:space="preserve"> la même société de gestion</w:t>
      </w:r>
      <w:r w:rsidRPr="00EF7033">
        <w:t>.]</w:t>
      </w:r>
    </w:p>
    <w:p w14:paraId="634224C4" w14:textId="27451F03" w:rsidR="00F0406C" w:rsidRPr="00060926" w:rsidRDefault="000B0B42" w:rsidP="00E5787D">
      <w:pPr>
        <w:pStyle w:val="StandardL1"/>
      </w:pPr>
      <w:bookmarkStart w:id="15" w:name="_Ref27820199"/>
      <w:r w:rsidRPr="00EF7033">
        <w:rPr>
          <w:b/>
          <w:u w:val="single"/>
        </w:rPr>
        <w:t>Avis</w:t>
      </w:r>
      <w:r w:rsidR="00073CFA" w:rsidRPr="00EF7033">
        <w:t xml:space="preserve">. </w:t>
      </w:r>
      <w:r w:rsidR="00E807CB" w:rsidRPr="00EF7033">
        <w:t xml:space="preserve">Tous les avis et autres communications donnés ou échangés aux termes du présent Billet doivent être consignés par écrit et </w:t>
      </w:r>
      <w:r w:rsidR="00B36E2B" w:rsidRPr="00EF7033">
        <w:t>sont</w:t>
      </w:r>
      <w:r w:rsidR="00E807CB" w:rsidRPr="00EF7033">
        <w:t xml:space="preserve"> réputés avoir été donnés </w:t>
      </w:r>
      <w:r w:rsidR="004A59BB" w:rsidRPr="00EF7033">
        <w:t>à la première des</w:t>
      </w:r>
      <w:r w:rsidR="00E807CB" w:rsidRPr="00EF7033">
        <w:t xml:space="preserve"> éventualité</w:t>
      </w:r>
      <w:r w:rsidR="004A59BB" w:rsidRPr="00EF7033">
        <w:t>s</w:t>
      </w:r>
      <w:r w:rsidR="00E807CB" w:rsidRPr="00EF7033">
        <w:t xml:space="preserve"> </w:t>
      </w:r>
      <w:r w:rsidR="004A59BB" w:rsidRPr="00EF7033">
        <w:t>suivantes</w:t>
      </w:r>
      <w:r w:rsidR="00E807CB" w:rsidRPr="00EF7033">
        <w:t xml:space="preserve"> : </w:t>
      </w:r>
      <w:r w:rsidR="00E807CB" w:rsidRPr="00060926">
        <w:t>a</w:t>
      </w:r>
      <w:r w:rsidR="00E807CB" w:rsidRPr="00EF7033">
        <w:t xml:space="preserve">) au moment de leur livraison en main propre au destinataire de l’avis, </w:t>
      </w:r>
      <w:r w:rsidR="00E807CB" w:rsidRPr="00060926">
        <w:t>b</w:t>
      </w:r>
      <w:r w:rsidR="00E807CB" w:rsidRPr="00EF7033">
        <w:t xml:space="preserve">) au moment de leur envoi, s’ils sont envoyés par courrier électronique </w:t>
      </w:r>
      <w:r w:rsidR="006D6992" w:rsidRPr="00EF7033">
        <w:t xml:space="preserve">ou par télécopieur </w:t>
      </w:r>
      <w:r w:rsidR="00E807CB" w:rsidRPr="00EF7033">
        <w:t xml:space="preserve">durant les heures d’ouverture habituelles du destinataire et, s’ils ne sont pas envoyés durant les heures d’ouverture habituelles, le jour ouvrable suivant pour le destinataire, </w:t>
      </w:r>
      <w:r w:rsidR="00E807CB" w:rsidRPr="00060926">
        <w:t>c</w:t>
      </w:r>
      <w:r w:rsidR="00E807CB" w:rsidRPr="00EF7033">
        <w:t>) [trois] jours ouvrables après leur dépôt auprès d’un service de messagerie reconnu à l’échelle internationale garantissant la livraison le jour suivant, port payé, auquel il a été précisé que la livraison doit être effectuée le jour ouvrable suivant ou deux</w:t>
      </w:r>
      <w:r w:rsidR="006D6992" w:rsidRPr="00EF7033">
        <w:t> </w:t>
      </w:r>
      <w:r w:rsidR="00E807CB" w:rsidRPr="00EF7033">
        <w:t>jours ouvrables plus tard, avec vérification de réception par écrit</w:t>
      </w:r>
      <w:r w:rsidR="00073CFA" w:rsidRPr="00EF7033">
        <w:t xml:space="preserve">. </w:t>
      </w:r>
      <w:r w:rsidR="00E807CB" w:rsidRPr="00EF7033">
        <w:t>Toutes les</w:t>
      </w:r>
      <w:r w:rsidR="00073CFA" w:rsidRPr="00EF7033">
        <w:t xml:space="preserve"> communications </w:t>
      </w:r>
      <w:r w:rsidR="00E807CB" w:rsidRPr="00EF7033">
        <w:t xml:space="preserve">seront transmises au </w:t>
      </w:r>
      <w:r w:rsidR="008403CC" w:rsidRPr="00EF7033">
        <w:t>Porteur</w:t>
      </w:r>
      <w:r w:rsidR="00073CFA" w:rsidRPr="00EF7033">
        <w:t xml:space="preserve"> </w:t>
      </w:r>
      <w:r w:rsidR="00E807CB" w:rsidRPr="00EF7033">
        <w:t xml:space="preserve">à son adresse figurant </w:t>
      </w:r>
      <w:r w:rsidR="00073CFA" w:rsidRPr="00EF7033">
        <w:t>[</w:t>
      </w:r>
      <w:r w:rsidR="00E807CB" w:rsidRPr="00EF7033">
        <w:t xml:space="preserve">dans la </w:t>
      </w:r>
      <w:r w:rsidR="00BE556D" w:rsidRPr="00EF7033">
        <w:t>Convention d’achat</w:t>
      </w:r>
      <w:r w:rsidR="00073CFA" w:rsidRPr="00EF7033">
        <w:t>][</w:t>
      </w:r>
      <w:r w:rsidR="00E807CB" w:rsidRPr="00EF7033">
        <w:t>à la page de s</w:t>
      </w:r>
      <w:r w:rsidR="00073CFA" w:rsidRPr="00EF7033">
        <w:t xml:space="preserve">ignature page </w:t>
      </w:r>
      <w:r w:rsidR="00E807CB" w:rsidRPr="00EF7033">
        <w:t xml:space="preserve">du </w:t>
      </w:r>
      <w:r w:rsidR="001267F4" w:rsidRPr="00EF7033">
        <w:t>présent Billet</w:t>
      </w:r>
      <w:r w:rsidR="00073CFA" w:rsidRPr="00EF7033">
        <w:t xml:space="preserve">], </w:t>
      </w:r>
      <w:r w:rsidR="00E807CB" w:rsidRPr="00EF7033">
        <w:t xml:space="preserve">ou à l’adresse courriel, au numéro de télécopieur ou à l’adresse postale subséquemment modifiée au moyen d’un avis écrit donné conformément au présent </w:t>
      </w:r>
      <w:r w:rsidR="001E263D" w:rsidRPr="00EF7033">
        <w:t>article</w:t>
      </w:r>
      <w:r w:rsidR="00E807CB" w:rsidRPr="00EF7033">
        <w:t> </w:t>
      </w:r>
      <w:r w:rsidR="00073CFA" w:rsidRPr="00060926">
        <w:fldChar w:fldCharType="begin"/>
      </w:r>
      <w:r w:rsidR="00073CFA" w:rsidRPr="00060926">
        <w:instrText xml:space="preserve"> REF _Ref27820199 \w \h </w:instrText>
      </w:r>
      <w:r w:rsidR="00715C36" w:rsidRPr="00060926">
        <w:instrText xml:space="preserve"> \* MERGEFORMAT </w:instrText>
      </w:r>
      <w:r w:rsidR="00073CFA" w:rsidRPr="00060926">
        <w:fldChar w:fldCharType="separate"/>
      </w:r>
      <w:r w:rsidR="00BF3E18">
        <w:t>13</w:t>
      </w:r>
      <w:r w:rsidR="00073CFA" w:rsidRPr="00060926">
        <w:fldChar w:fldCharType="end"/>
      </w:r>
      <w:r w:rsidR="00073CFA" w:rsidRPr="00EF7033">
        <w:t xml:space="preserve">. </w:t>
      </w:r>
      <w:r w:rsidR="00E807CB" w:rsidRPr="00EF7033">
        <w:t>Tout avis transmis à la Société sera envoyé à son siège social</w:t>
      </w:r>
      <w:r w:rsidR="00073CFA" w:rsidRPr="00EF7033">
        <w:t>.</w:t>
      </w:r>
      <w:bookmarkEnd w:id="15"/>
    </w:p>
    <w:p w14:paraId="7B89647E" w14:textId="4BECC6B4" w:rsidR="00F0406C" w:rsidRPr="00060926" w:rsidRDefault="001F1498" w:rsidP="00E5787D">
      <w:pPr>
        <w:pStyle w:val="StandardL1"/>
      </w:pPr>
      <w:r w:rsidRPr="00EF7033">
        <w:rPr>
          <w:b/>
          <w:u w:val="single"/>
        </w:rPr>
        <w:t>Droit applicable</w:t>
      </w:r>
      <w:r w:rsidR="00073CFA" w:rsidRPr="00EF7033">
        <w:t xml:space="preserve">. </w:t>
      </w:r>
      <w:r w:rsidR="005D1F30" w:rsidRPr="00EF7033">
        <w:t>Le présent Billet</w:t>
      </w:r>
      <w:r w:rsidR="00073CFA" w:rsidRPr="00EF7033">
        <w:t xml:space="preserve"> </w:t>
      </w:r>
      <w:r w:rsidRPr="00EF7033">
        <w:t xml:space="preserve">sera régi et interprété conformément aux lois de la province de </w:t>
      </w:r>
      <w:r w:rsidR="00073CFA" w:rsidRPr="00EF7033">
        <w:t xml:space="preserve">● </w:t>
      </w:r>
      <w:r w:rsidRPr="00EF7033">
        <w:t xml:space="preserve">et </w:t>
      </w:r>
      <w:r w:rsidR="00524A53" w:rsidRPr="00EF7033">
        <w:t>aux</w:t>
      </w:r>
      <w:r w:rsidRPr="00EF7033">
        <w:t xml:space="preserve"> lois fédérales du Canada qui s’y appliquent, sans tenir compte des principes de conflits de lois</w:t>
      </w:r>
      <w:r w:rsidR="00073CFA" w:rsidRPr="00EF7033">
        <w:t>.</w:t>
      </w:r>
    </w:p>
    <w:p w14:paraId="60E12830" w14:textId="750C68E3" w:rsidR="00F0406C" w:rsidRPr="00060926" w:rsidRDefault="00E313C9" w:rsidP="00E5787D">
      <w:pPr>
        <w:pStyle w:val="StandardL1"/>
      </w:pPr>
      <w:bookmarkStart w:id="16" w:name="_Ref44318230"/>
      <w:r w:rsidRPr="00EF7033">
        <w:rPr>
          <w:b/>
          <w:u w:val="single"/>
        </w:rPr>
        <w:t>Modifications et renonciations</w:t>
      </w:r>
      <w:r w:rsidR="00073CFA" w:rsidRPr="00EF7033">
        <w:t xml:space="preserve">. </w:t>
      </w:r>
      <w:r w:rsidR="008768CC" w:rsidRPr="00EF7033">
        <w:rPr>
          <w:szCs w:val="24"/>
        </w:rPr>
        <w:t xml:space="preserve">Toute modalité </w:t>
      </w:r>
      <w:r w:rsidR="008403CC" w:rsidRPr="00EF7033">
        <w:rPr>
          <w:szCs w:val="24"/>
        </w:rPr>
        <w:t>du présent Billet</w:t>
      </w:r>
      <w:r w:rsidR="00073CFA" w:rsidRPr="00EF7033">
        <w:rPr>
          <w:szCs w:val="24"/>
        </w:rPr>
        <w:t xml:space="preserve"> </w:t>
      </w:r>
      <w:r w:rsidR="008768CC" w:rsidRPr="00EF7033">
        <w:rPr>
          <w:szCs w:val="24"/>
        </w:rPr>
        <w:t xml:space="preserve">peut être modifiée, et le respect de toute modalité </w:t>
      </w:r>
      <w:r w:rsidR="008403CC" w:rsidRPr="00EF7033">
        <w:rPr>
          <w:szCs w:val="22"/>
        </w:rPr>
        <w:t>du présent Billet</w:t>
      </w:r>
      <w:r w:rsidR="00073CFA" w:rsidRPr="00EF7033">
        <w:rPr>
          <w:szCs w:val="22"/>
        </w:rPr>
        <w:t xml:space="preserve"> </w:t>
      </w:r>
      <w:r w:rsidR="008768CC" w:rsidRPr="00EF7033">
        <w:rPr>
          <w:szCs w:val="22"/>
        </w:rPr>
        <w:t>peut faire l’objet d’une renonciation</w:t>
      </w:r>
      <w:r w:rsidR="00073CFA" w:rsidRPr="00EF7033">
        <w:rPr>
          <w:szCs w:val="22"/>
        </w:rPr>
        <w:t xml:space="preserve"> (</w:t>
      </w:r>
      <w:r w:rsidR="008768CC" w:rsidRPr="00EF7033">
        <w:rPr>
          <w:szCs w:val="22"/>
        </w:rPr>
        <w:t>de façon générale ou dans un cas particulier, rétroactivement ou prospectivement</w:t>
      </w:r>
      <w:r w:rsidR="00073CFA" w:rsidRPr="00EF7033">
        <w:rPr>
          <w:szCs w:val="22"/>
        </w:rPr>
        <w:t>)</w:t>
      </w:r>
      <w:r w:rsidR="00073CFA" w:rsidRPr="00EF7033">
        <w:rPr>
          <w:szCs w:val="24"/>
        </w:rPr>
        <w:t xml:space="preserve"> </w:t>
      </w:r>
      <w:r w:rsidR="008768CC" w:rsidRPr="00EF7033">
        <w:rPr>
          <w:szCs w:val="24"/>
        </w:rPr>
        <w:t>seulement</w:t>
      </w:r>
      <w:r w:rsidR="00073CFA" w:rsidRPr="00EF7033">
        <w:t xml:space="preserve"> [</w:t>
      </w:r>
      <w:r w:rsidR="008768CC" w:rsidRPr="00EF7033">
        <w:t>avec le</w:t>
      </w:r>
      <w:r w:rsidR="00073CFA" w:rsidRPr="00EF7033">
        <w:t xml:space="preserve"> </w:t>
      </w:r>
      <w:r w:rsidR="00477BF0" w:rsidRPr="00EF7033">
        <w:t>consentement écrit</w:t>
      </w:r>
      <w:r w:rsidR="00073CFA" w:rsidRPr="00EF7033">
        <w:t xml:space="preserve"> </w:t>
      </w:r>
      <w:r w:rsidR="004D1DAF" w:rsidRPr="00EF7033">
        <w:t>de la Société</w:t>
      </w:r>
      <w:r w:rsidR="00073CFA" w:rsidRPr="00EF7033">
        <w:t xml:space="preserve"> </w:t>
      </w:r>
      <w:r w:rsidR="008768CC" w:rsidRPr="00EF7033">
        <w:t>et [du] [des]</w:t>
      </w:r>
      <w:r w:rsidR="008403CC" w:rsidRPr="00EF7033">
        <w:t xml:space="preserve"> Porteur</w:t>
      </w:r>
      <w:r w:rsidR="00073CFA" w:rsidRPr="00EF7033">
        <w:t>[s] [</w:t>
      </w:r>
      <w:r w:rsidR="008768CC" w:rsidRPr="00EF7033">
        <w:t xml:space="preserve">détenant des Billets représentant au moins </w:t>
      </w:r>
      <w:r w:rsidR="00073CFA" w:rsidRPr="00EF7033">
        <w:t>●</w:t>
      </w:r>
      <w:r w:rsidR="00CB696A" w:rsidRPr="00EF7033">
        <w:t> %</w:t>
      </w:r>
      <w:r w:rsidR="00073CFA" w:rsidRPr="00EF7033">
        <w:t xml:space="preserve"> </w:t>
      </w:r>
      <w:r w:rsidR="008768CC" w:rsidRPr="00EF7033">
        <w:t xml:space="preserve">du capital total en cours des Billets </w:t>
      </w:r>
      <w:r w:rsidR="00073CFA" w:rsidRPr="00EF7033">
        <w:t>(</w:t>
      </w:r>
      <w:r w:rsidR="008768CC" w:rsidRPr="00EF7033">
        <w:t>les </w:t>
      </w:r>
      <w:r w:rsidR="005956FF" w:rsidRPr="00EF7033">
        <w:t>« </w:t>
      </w:r>
      <w:r w:rsidR="008768CC" w:rsidRPr="00EF7033">
        <w:rPr>
          <w:b/>
        </w:rPr>
        <w:t>Porteurs majoritaires</w:t>
      </w:r>
      <w:r w:rsidR="005956FF" w:rsidRPr="00EF7033">
        <w:t> »</w:t>
      </w:r>
      <w:r w:rsidR="00C262A4" w:rsidRPr="00EF7033">
        <w:t>)</w:t>
      </w:r>
      <w:r w:rsidR="00073CFA" w:rsidRPr="00EF7033">
        <w:t>,</w:t>
      </w:r>
      <w:r w:rsidR="00073CFA" w:rsidRPr="00EF7033">
        <w:rPr>
          <w:i/>
          <w:iCs/>
          <w:szCs w:val="22"/>
        </w:rPr>
        <w:t xml:space="preserve"> </w:t>
      </w:r>
      <w:r w:rsidR="008768CC" w:rsidRPr="00EF7033">
        <w:rPr>
          <w:iCs/>
          <w:szCs w:val="22"/>
        </w:rPr>
        <w:t xml:space="preserve">étant entendu que </w:t>
      </w:r>
      <w:r w:rsidR="00073CFA" w:rsidRPr="00EF7033">
        <w:rPr>
          <w:szCs w:val="22"/>
        </w:rPr>
        <w:t>(</w:t>
      </w:r>
      <w:r w:rsidR="0034687A" w:rsidRPr="00060926">
        <w:rPr>
          <w:szCs w:val="22"/>
        </w:rPr>
        <w:t>i</w:t>
      </w:r>
      <w:r w:rsidR="0034687A" w:rsidRPr="00EF7033">
        <w:rPr>
          <w:szCs w:val="22"/>
        </w:rPr>
        <w:t>) </w:t>
      </w:r>
      <w:r w:rsidR="0085305E" w:rsidRPr="00EF7033">
        <w:rPr>
          <w:szCs w:val="22"/>
        </w:rPr>
        <w:t xml:space="preserve">ni </w:t>
      </w:r>
      <w:r w:rsidR="008768CC" w:rsidRPr="00EF7033">
        <w:rPr>
          <w:szCs w:val="22"/>
        </w:rPr>
        <w:t xml:space="preserve">le solde du </w:t>
      </w:r>
      <w:r w:rsidR="005956FF" w:rsidRPr="00EF7033">
        <w:t>Capital</w:t>
      </w:r>
      <w:r w:rsidR="00073CFA" w:rsidRPr="00EF7033">
        <w:t xml:space="preserve"> </w:t>
      </w:r>
      <w:r w:rsidR="008403CC" w:rsidRPr="00EF7033">
        <w:t>du présent Billet</w:t>
      </w:r>
      <w:r w:rsidR="00073CFA" w:rsidRPr="00EF7033">
        <w:t xml:space="preserve"> </w:t>
      </w:r>
      <w:r w:rsidR="0085305E" w:rsidRPr="00EF7033">
        <w:t>ni</w:t>
      </w:r>
      <w:r w:rsidR="008768CC" w:rsidRPr="00EF7033">
        <w:t xml:space="preserve"> le taux d’intérêt prévu </w:t>
      </w:r>
      <w:r w:rsidR="005D1F30" w:rsidRPr="00EF7033">
        <w:t>à l’article </w:t>
      </w:r>
      <w:r w:rsidR="00073CFA" w:rsidRPr="00060926">
        <w:fldChar w:fldCharType="begin"/>
      </w:r>
      <w:r w:rsidR="00073CFA" w:rsidRPr="00060926">
        <w:instrText xml:space="preserve"> REF _Ref27838513 \r \h  \* MERGEFORMAT </w:instrText>
      </w:r>
      <w:r w:rsidR="00073CFA" w:rsidRPr="00060926">
        <w:fldChar w:fldCharType="separate"/>
      </w:r>
      <w:r w:rsidR="00BF3E18">
        <w:t>2</w:t>
      </w:r>
      <w:r w:rsidR="00073CFA" w:rsidRPr="00060926">
        <w:fldChar w:fldCharType="end"/>
      </w:r>
      <w:r w:rsidR="00073CFA" w:rsidRPr="00EF7033">
        <w:t xml:space="preserve"> </w:t>
      </w:r>
      <w:r w:rsidR="008768CC" w:rsidRPr="00EF7033">
        <w:rPr>
          <w:szCs w:val="22"/>
        </w:rPr>
        <w:t>ne peu</w:t>
      </w:r>
      <w:r w:rsidR="0085305E" w:rsidRPr="00EF7033">
        <w:rPr>
          <w:szCs w:val="22"/>
        </w:rPr>
        <w:t>vent</w:t>
      </w:r>
      <w:r w:rsidR="008768CC" w:rsidRPr="00EF7033">
        <w:rPr>
          <w:szCs w:val="22"/>
        </w:rPr>
        <w:t xml:space="preserve"> être modifié</w:t>
      </w:r>
      <w:r w:rsidR="0085305E" w:rsidRPr="00EF7033">
        <w:rPr>
          <w:szCs w:val="22"/>
        </w:rPr>
        <w:t>s</w:t>
      </w:r>
      <w:r w:rsidR="008768CC" w:rsidRPr="00EF7033">
        <w:rPr>
          <w:szCs w:val="22"/>
        </w:rPr>
        <w:t xml:space="preserve"> ni faire l’objet d’une renonciation sans le consentement </w:t>
      </w:r>
      <w:r w:rsidR="00477BF0" w:rsidRPr="00EF7033">
        <w:rPr>
          <w:szCs w:val="22"/>
        </w:rPr>
        <w:t>du Porteur</w:t>
      </w:r>
      <w:r w:rsidR="00073CFA" w:rsidRPr="00EF7033">
        <w:rPr>
          <w:szCs w:val="22"/>
        </w:rPr>
        <w:t>, (</w:t>
      </w:r>
      <w:r w:rsidR="00073CFA" w:rsidRPr="00060926">
        <w:rPr>
          <w:szCs w:val="22"/>
        </w:rPr>
        <w:t>i</w:t>
      </w:r>
      <w:r w:rsidR="0034687A" w:rsidRPr="00060926">
        <w:rPr>
          <w:szCs w:val="22"/>
        </w:rPr>
        <w:t>i</w:t>
      </w:r>
      <w:r w:rsidR="0034687A" w:rsidRPr="00EF7033">
        <w:rPr>
          <w:szCs w:val="22"/>
        </w:rPr>
        <w:t>) </w:t>
      </w:r>
      <w:r w:rsidR="008768CC" w:rsidRPr="00EF7033">
        <w:rPr>
          <w:szCs w:val="22"/>
        </w:rPr>
        <w:t>le consentement</w:t>
      </w:r>
      <w:r w:rsidR="00073CFA" w:rsidRPr="00EF7033">
        <w:rPr>
          <w:szCs w:val="22"/>
        </w:rPr>
        <w:t xml:space="preserve"> </w:t>
      </w:r>
      <w:r w:rsidR="00477BF0" w:rsidRPr="00EF7033">
        <w:rPr>
          <w:szCs w:val="22"/>
        </w:rPr>
        <w:t>du Porteur</w:t>
      </w:r>
      <w:r w:rsidR="00073CFA" w:rsidRPr="00EF7033">
        <w:t xml:space="preserve"> </w:t>
      </w:r>
      <w:r w:rsidR="008768CC" w:rsidRPr="00EF7033">
        <w:t>à une telle modification ou à une telle renonciation</w:t>
      </w:r>
      <w:r w:rsidR="00073CFA" w:rsidRPr="00EF7033">
        <w:t xml:space="preserve"> </w:t>
      </w:r>
      <w:r w:rsidR="008768CC" w:rsidRPr="00EF7033">
        <w:t>doit être sol</w:t>
      </w:r>
      <w:r w:rsidR="0085305E" w:rsidRPr="00EF7033">
        <w:t>l</w:t>
      </w:r>
      <w:r w:rsidR="008768CC" w:rsidRPr="00EF7033">
        <w:t xml:space="preserve">icité </w:t>
      </w:r>
      <w:r w:rsidR="00073CFA" w:rsidRPr="00EF7033">
        <w:rPr>
          <w:szCs w:val="22"/>
        </w:rPr>
        <w:t>(</w:t>
      </w:r>
      <w:r w:rsidR="008768CC" w:rsidRPr="00EF7033">
        <w:rPr>
          <w:szCs w:val="22"/>
        </w:rPr>
        <w:t>même s’il n’est pas obtenu</w:t>
      </w:r>
      <w:r w:rsidR="00073CFA" w:rsidRPr="00EF7033">
        <w:rPr>
          <w:szCs w:val="22"/>
        </w:rPr>
        <w:t xml:space="preserve">), </w:t>
      </w:r>
      <w:r w:rsidR="008768CC" w:rsidRPr="00EF7033">
        <w:rPr>
          <w:szCs w:val="22"/>
        </w:rPr>
        <w:t>et</w:t>
      </w:r>
      <w:r w:rsidR="00073CFA" w:rsidRPr="00EF7033">
        <w:rPr>
          <w:szCs w:val="22"/>
        </w:rPr>
        <w:t xml:space="preserve"> (</w:t>
      </w:r>
      <w:r w:rsidR="00073CFA" w:rsidRPr="00060926">
        <w:rPr>
          <w:szCs w:val="22"/>
        </w:rPr>
        <w:t>ii</w:t>
      </w:r>
      <w:r w:rsidR="0034687A" w:rsidRPr="00060926">
        <w:rPr>
          <w:szCs w:val="22"/>
        </w:rPr>
        <w:t>i</w:t>
      </w:r>
      <w:r w:rsidR="0034687A" w:rsidRPr="00EF7033">
        <w:rPr>
          <w:szCs w:val="22"/>
        </w:rPr>
        <w:t>) </w:t>
      </w:r>
      <w:r w:rsidR="008768CC" w:rsidRPr="00EF7033">
        <w:rPr>
          <w:szCs w:val="22"/>
        </w:rPr>
        <w:t xml:space="preserve">cette modification ou cette renonciation, </w:t>
      </w:r>
      <w:r w:rsidR="008F33F8" w:rsidRPr="00EF7033">
        <w:rPr>
          <w:szCs w:val="22"/>
        </w:rPr>
        <w:t>par ses modalités nominales expresses</w:t>
      </w:r>
      <w:r w:rsidR="00073CFA" w:rsidRPr="00EF7033">
        <w:rPr>
          <w:szCs w:val="22"/>
        </w:rPr>
        <w:t xml:space="preserve">, </w:t>
      </w:r>
      <w:r w:rsidR="008F33F8" w:rsidRPr="00EF7033">
        <w:rPr>
          <w:szCs w:val="22"/>
        </w:rPr>
        <w:t>s’applique à tous les porteurs de Billets de la même manière</w:t>
      </w:r>
      <w:r w:rsidR="00073CFA" w:rsidRPr="00060926">
        <w:rPr>
          <w:rStyle w:val="FootnoteReference"/>
          <w:szCs w:val="22"/>
        </w:rPr>
        <w:footnoteReference w:id="17"/>
      </w:r>
      <w:r w:rsidR="00073CFA" w:rsidRPr="00EF7033">
        <w:rPr>
          <w:szCs w:val="22"/>
        </w:rPr>
        <w:t xml:space="preserve">]] </w:t>
      </w:r>
      <w:r w:rsidR="00073CFA" w:rsidRPr="00EF7033">
        <w:t>[</w:t>
      </w:r>
      <w:r w:rsidR="008F33F8" w:rsidRPr="00EF7033">
        <w:t xml:space="preserve">conformément à la </w:t>
      </w:r>
      <w:r w:rsidR="00073CFA" w:rsidRPr="00EF7033">
        <w:t>[</w:t>
      </w:r>
      <w:r w:rsidR="00BE556D" w:rsidRPr="00EF7033">
        <w:t>Convention d’achat</w:t>
      </w:r>
      <w:r w:rsidR="00073CFA" w:rsidRPr="00EF7033">
        <w:t>]]</w:t>
      </w:r>
      <w:r w:rsidR="00073CFA" w:rsidRPr="00060926">
        <w:rPr>
          <w:rStyle w:val="FootnoteReference"/>
        </w:rPr>
        <w:footnoteReference w:id="18"/>
      </w:r>
      <w:r w:rsidR="00073CFA" w:rsidRPr="00EF7033">
        <w:t>. [</w:t>
      </w:r>
      <w:r w:rsidR="00405A6D" w:rsidRPr="00EF7033">
        <w:t xml:space="preserve">Toute modification ou renonciation effectuée conformément au présent </w:t>
      </w:r>
      <w:r w:rsidR="001E263D" w:rsidRPr="00EF7033">
        <w:t>article </w:t>
      </w:r>
      <w:r w:rsidR="00073CFA" w:rsidRPr="00060926">
        <w:fldChar w:fldCharType="begin"/>
      </w:r>
      <w:r w:rsidR="00073CFA" w:rsidRPr="00060926">
        <w:instrText xml:space="preserve"> REF _Ref44318230 \r \h </w:instrText>
      </w:r>
      <w:r w:rsidR="00073CFA" w:rsidRPr="00060926">
        <w:fldChar w:fldCharType="separate"/>
      </w:r>
      <w:r w:rsidR="00BF3E18">
        <w:t>15</w:t>
      </w:r>
      <w:r w:rsidR="00073CFA" w:rsidRPr="00060926">
        <w:fldChar w:fldCharType="end"/>
      </w:r>
      <w:r w:rsidR="00073CFA" w:rsidRPr="00EF7033">
        <w:t xml:space="preserve"> </w:t>
      </w:r>
      <w:r w:rsidR="00405A6D" w:rsidRPr="00EF7033">
        <w:t>liera le Porteur, tout futur porteur</w:t>
      </w:r>
      <w:r w:rsidR="00073CFA" w:rsidRPr="00EF7033">
        <w:t xml:space="preserve"> </w:t>
      </w:r>
      <w:r w:rsidR="00405A6D" w:rsidRPr="00EF7033">
        <w:t xml:space="preserve">du Billet et de toutes </w:t>
      </w:r>
      <w:r w:rsidR="00CB696A" w:rsidRPr="00EF7033">
        <w:t>Actions issues de la conversion</w:t>
      </w:r>
      <w:r w:rsidR="00073CFA" w:rsidRPr="00EF7033">
        <w:t xml:space="preserve">, </w:t>
      </w:r>
      <w:r w:rsidR="00405A6D" w:rsidRPr="00EF7033">
        <w:t>de même que</w:t>
      </w:r>
      <w:r w:rsidR="00073CFA" w:rsidRPr="00EF7033">
        <w:t xml:space="preserve"> </w:t>
      </w:r>
      <w:r w:rsidR="00F56EC4" w:rsidRPr="00EF7033">
        <w:t>la Société</w:t>
      </w:r>
      <w:r w:rsidR="00073CFA" w:rsidRPr="00EF7033">
        <w:t xml:space="preserve">. </w:t>
      </w:r>
      <w:r w:rsidR="00B12567" w:rsidRPr="00EF7033">
        <w:t>La Société</w:t>
      </w:r>
      <w:r w:rsidR="00073CFA" w:rsidRPr="00EF7033">
        <w:t xml:space="preserve"> </w:t>
      </w:r>
      <w:r w:rsidR="005D2682" w:rsidRPr="00EF7033">
        <w:t xml:space="preserve">remettra sans délai au Porteur un avis </w:t>
      </w:r>
      <w:r w:rsidR="002C4927" w:rsidRPr="00EF7033">
        <w:t>écrit</w:t>
      </w:r>
      <w:r w:rsidR="00073CFA" w:rsidRPr="00EF7033">
        <w:t xml:space="preserve"> </w:t>
      </w:r>
      <w:r w:rsidR="005D2682" w:rsidRPr="00EF7033">
        <w:t xml:space="preserve">de toute modification ou renonciation effectuée aux termes du </w:t>
      </w:r>
      <w:r w:rsidR="001E263D" w:rsidRPr="00EF7033">
        <w:t>présent article </w:t>
      </w:r>
      <w:r w:rsidR="00073CFA" w:rsidRPr="00060926">
        <w:fldChar w:fldCharType="begin"/>
      </w:r>
      <w:r w:rsidR="00073CFA" w:rsidRPr="00060926">
        <w:instrText xml:space="preserve"> REF _Ref44318230 \r \h </w:instrText>
      </w:r>
      <w:r w:rsidR="00073CFA" w:rsidRPr="00060926">
        <w:fldChar w:fldCharType="separate"/>
      </w:r>
      <w:r w:rsidR="00BF3E18">
        <w:t>15</w:t>
      </w:r>
      <w:r w:rsidR="00073CFA" w:rsidRPr="00060926">
        <w:fldChar w:fldCharType="end"/>
      </w:r>
      <w:r w:rsidR="00073CFA" w:rsidRPr="00EF7033">
        <w:t xml:space="preserve"> </w:t>
      </w:r>
      <w:r w:rsidR="005D2682" w:rsidRPr="00EF7033">
        <w:t>sans le consentement du Porteur</w:t>
      </w:r>
      <w:r w:rsidR="00073CFA" w:rsidRPr="00EF7033">
        <w:t>.]</w:t>
      </w:r>
      <w:bookmarkEnd w:id="16"/>
    </w:p>
    <w:p w14:paraId="38CFA15D" w14:textId="01D62AB5" w:rsidR="00F0406C" w:rsidRPr="00060926" w:rsidRDefault="00101C13" w:rsidP="00E5787D">
      <w:pPr>
        <w:pStyle w:val="StandardL1"/>
      </w:pPr>
      <w:r w:rsidRPr="00EF7033">
        <w:rPr>
          <w:b/>
          <w:u w:val="single"/>
        </w:rPr>
        <w:t>Coûts</w:t>
      </w:r>
      <w:r w:rsidR="00073CFA" w:rsidRPr="00EF7033">
        <w:rPr>
          <w:b/>
          <w:u w:val="single"/>
        </w:rPr>
        <w:t xml:space="preserve">; </w:t>
      </w:r>
      <w:r w:rsidRPr="00EF7033">
        <w:rPr>
          <w:b/>
          <w:u w:val="single"/>
        </w:rPr>
        <w:t>renonciation</w:t>
      </w:r>
      <w:r w:rsidR="00247407" w:rsidRPr="00EF7033">
        <w:rPr>
          <w:bCs/>
        </w:rPr>
        <w:t>.</w:t>
      </w:r>
      <w:r w:rsidR="00073CFA" w:rsidRPr="00EF7033">
        <w:t xml:space="preserve"> </w:t>
      </w:r>
      <w:r w:rsidR="00B12567" w:rsidRPr="00EF7033">
        <w:t>La Société</w:t>
      </w:r>
      <w:r w:rsidR="00073CFA" w:rsidRPr="00EF7033">
        <w:t xml:space="preserve"> </w:t>
      </w:r>
      <w:r w:rsidR="005A6263" w:rsidRPr="00EF7033">
        <w:t xml:space="preserve">paiera, sur demande, tous les frais et dépenses raisonnables </w:t>
      </w:r>
      <w:r w:rsidR="00073CFA" w:rsidRPr="00EF7033">
        <w:t>(</w:t>
      </w:r>
      <w:r w:rsidR="008A05EE" w:rsidRPr="00EF7033">
        <w:t>y compris, sans toutefois s’y limiter</w:t>
      </w:r>
      <w:r w:rsidR="00073CFA" w:rsidRPr="00EF7033">
        <w:t xml:space="preserve">, </w:t>
      </w:r>
      <w:r w:rsidR="005A6263" w:rsidRPr="00EF7033">
        <w:t>les honoraires et les débours d’avocat raisonnables</w:t>
      </w:r>
      <w:r w:rsidR="00073CFA" w:rsidRPr="00EF7033">
        <w:t xml:space="preserve">) </w:t>
      </w:r>
      <w:r w:rsidR="005A6263" w:rsidRPr="00EF7033">
        <w:t xml:space="preserve">que le Porteur </w:t>
      </w:r>
      <w:r w:rsidR="0085305E" w:rsidRPr="00EF7033">
        <w:t>engage</w:t>
      </w:r>
      <w:r w:rsidR="005A6263" w:rsidRPr="00EF7033">
        <w:t xml:space="preserve"> relativement à l’ex</w:t>
      </w:r>
      <w:r w:rsidR="00BA0A5C" w:rsidRPr="00EF7033">
        <w:t>écution du présent Billet ou</w:t>
      </w:r>
      <w:r w:rsidR="005A6263" w:rsidRPr="00EF7033">
        <w:t xml:space="preserve"> à la protection ou à la préservation de ses droits aux termes </w:t>
      </w:r>
      <w:r w:rsidR="008403CC" w:rsidRPr="00EF7033">
        <w:t>d</w:t>
      </w:r>
      <w:r w:rsidR="00BA0A5C" w:rsidRPr="00EF7033">
        <w:t>es</w:t>
      </w:r>
      <w:r w:rsidR="008403CC" w:rsidRPr="00EF7033">
        <w:t xml:space="preserve"> présent</w:t>
      </w:r>
      <w:r w:rsidR="00BA0A5C" w:rsidRPr="00EF7033">
        <w:t>es</w:t>
      </w:r>
      <w:r w:rsidR="00073CFA" w:rsidRPr="00EF7033">
        <w:t xml:space="preserve">. </w:t>
      </w:r>
      <w:r w:rsidR="00B12567" w:rsidRPr="00EF7033">
        <w:t>La Société</w:t>
      </w:r>
      <w:r w:rsidR="00073CFA" w:rsidRPr="00EF7033">
        <w:t xml:space="preserve"> </w:t>
      </w:r>
      <w:r w:rsidR="00BD7817" w:rsidRPr="00EF7033">
        <w:t>renonce par les présentes à toute mise en demeure,</w:t>
      </w:r>
      <w:r w:rsidR="004E64BE" w:rsidRPr="00EF7033">
        <w:t xml:space="preserve"> toute</w:t>
      </w:r>
      <w:r w:rsidR="00BD7817" w:rsidRPr="00EF7033">
        <w:t xml:space="preserve"> présentation,</w:t>
      </w:r>
      <w:r w:rsidR="004E64BE" w:rsidRPr="00EF7033">
        <w:t xml:space="preserve"> tout</w:t>
      </w:r>
      <w:r w:rsidR="00BD7817" w:rsidRPr="00EF7033">
        <w:t xml:space="preserve"> protêt ou</w:t>
      </w:r>
      <w:r w:rsidR="004E64BE" w:rsidRPr="00EF7033">
        <w:t xml:space="preserve"> tout</w:t>
      </w:r>
      <w:r w:rsidR="00BD7817" w:rsidRPr="00EF7033">
        <w:t xml:space="preserve"> avis de quelque nature que ce soit.</w:t>
      </w:r>
    </w:p>
    <w:p w14:paraId="106E4428" w14:textId="64CDA5F1" w:rsidR="00F0406C" w:rsidRPr="00060926" w:rsidRDefault="007432BA" w:rsidP="00E5787D">
      <w:pPr>
        <w:pStyle w:val="StandardL1"/>
      </w:pPr>
      <w:r w:rsidRPr="00EF7033">
        <w:rPr>
          <w:b/>
          <w:u w:val="single"/>
        </w:rPr>
        <w:t>Prolongations</w:t>
      </w:r>
      <w:r w:rsidR="00073CFA" w:rsidRPr="00EF7033">
        <w:t xml:space="preserve">. </w:t>
      </w:r>
      <w:r w:rsidR="00E3613B" w:rsidRPr="00EF7033">
        <w:t xml:space="preserve">Tout accord avec le Porteur visant à prolonger le délai de paiement de toute partie ou de la totalité des sommes garanties par les présentes, conclu </w:t>
      </w:r>
      <w:r w:rsidR="00BA0A5C" w:rsidRPr="00EF7033">
        <w:t xml:space="preserve">à </w:t>
      </w:r>
      <w:r w:rsidR="00E3613B" w:rsidRPr="00EF7033">
        <w:t>l</w:t>
      </w:r>
      <w:r w:rsidR="00067882" w:rsidRPr="00EF7033">
        <w:t>’</w:t>
      </w:r>
      <w:r w:rsidR="00E3613B" w:rsidRPr="00EF7033">
        <w:t>échéance</w:t>
      </w:r>
      <w:r w:rsidR="00BA0A5C" w:rsidRPr="00EF7033">
        <w:t xml:space="preserve"> ou avant ou après celle-ci</w:t>
      </w:r>
      <w:r w:rsidR="00E3613B" w:rsidRPr="00EF7033">
        <w:t>, et avant la signature d</w:t>
      </w:r>
      <w:r w:rsidR="00067882" w:rsidRPr="00EF7033">
        <w:t>’</w:t>
      </w:r>
      <w:r w:rsidR="00E3613B" w:rsidRPr="00EF7033">
        <w:t>une quittance ou d</w:t>
      </w:r>
      <w:r w:rsidR="00067882" w:rsidRPr="00EF7033">
        <w:t>’</w:t>
      </w:r>
      <w:r w:rsidR="00E3613B" w:rsidRPr="00EF7033">
        <w:t>une décharge du présent Billet, ne nécessite pas d</w:t>
      </w:r>
      <w:r w:rsidR="00067882" w:rsidRPr="00EF7033">
        <w:t>’</w:t>
      </w:r>
      <w:r w:rsidR="00E3613B" w:rsidRPr="00EF7033">
        <w:t>être enregistré auprès d</w:t>
      </w:r>
      <w:r w:rsidR="00067882" w:rsidRPr="00EF7033">
        <w:t>’</w:t>
      </w:r>
      <w:r w:rsidR="00E3613B" w:rsidRPr="00EF7033">
        <w:t xml:space="preserve">un bureau de publicité des droits, mais </w:t>
      </w:r>
      <w:r w:rsidR="000C267D" w:rsidRPr="00EF7033">
        <w:t xml:space="preserve">prendra effet et liera </w:t>
      </w:r>
      <w:r w:rsidR="00E3613B" w:rsidRPr="00EF7033">
        <w:t>la Société lorsqu</w:t>
      </w:r>
      <w:r w:rsidR="00067882" w:rsidRPr="00EF7033">
        <w:t>’</w:t>
      </w:r>
      <w:r w:rsidR="00E3613B" w:rsidRPr="00EF7033">
        <w:t>il sera signé par la Société et remis au Porteur</w:t>
      </w:r>
      <w:r w:rsidR="00073CFA" w:rsidRPr="00EF7033">
        <w:t>.</w:t>
      </w:r>
    </w:p>
    <w:p w14:paraId="71395E10" w14:textId="1B1C4A44" w:rsidR="00F0406C" w:rsidRPr="00060926" w:rsidRDefault="00090C9A" w:rsidP="00BE5ADF">
      <w:pPr>
        <w:pStyle w:val="StandardL1"/>
      </w:pPr>
      <w:r w:rsidRPr="00EF7033">
        <w:rPr>
          <w:b/>
          <w:u w:val="single"/>
        </w:rPr>
        <w:t>Taux d’intérêt maximal</w:t>
      </w:r>
      <w:r w:rsidR="00073CFA" w:rsidRPr="00EF7033">
        <w:t xml:space="preserve">. </w:t>
      </w:r>
      <w:r w:rsidR="002810EB" w:rsidRPr="00EF7033">
        <w:t>Si une quelconque disposition du présent Billet ou un quelconque document conclu en rapport avec celui</w:t>
      </w:r>
      <w:r w:rsidR="00313A99" w:rsidRPr="00EF7033">
        <w:noBreakHyphen/>
        <w:t>ci</w:t>
      </w:r>
      <w:r w:rsidR="002810EB" w:rsidRPr="00EF7033">
        <w:t xml:space="preserve"> obligeait la Société à verser des intérêts ou d’autres sommes </w:t>
      </w:r>
      <w:r w:rsidR="000C267D" w:rsidRPr="00EF7033">
        <w:t xml:space="preserve">payables </w:t>
      </w:r>
      <w:r w:rsidR="002810EB" w:rsidRPr="00EF7033">
        <w:t xml:space="preserve">au Porteur d’un montant ou </w:t>
      </w:r>
      <w:r w:rsidR="00F93654" w:rsidRPr="00EF7033">
        <w:t xml:space="preserve">calculés </w:t>
      </w:r>
      <w:r w:rsidR="002810EB" w:rsidRPr="00EF7033">
        <w:t>en fonction d’un taux qui serait interdit par toute loi applicable ou qui entraînerait la réception par le Porteur d’intérêts à un taux criminel ou à un taux interdit (</w:t>
      </w:r>
      <w:r w:rsidR="000C267D" w:rsidRPr="00EF7033">
        <w:t>comme</w:t>
      </w:r>
      <w:r w:rsidR="002810EB" w:rsidRPr="00EF7033">
        <w:t xml:space="preserve"> ces expressions sont interprétées </w:t>
      </w:r>
      <w:r w:rsidR="004E64BE" w:rsidRPr="00EF7033">
        <w:t>en vertu d</w:t>
      </w:r>
      <w:r w:rsidR="002810EB" w:rsidRPr="00EF7033">
        <w:t xml:space="preserve">u </w:t>
      </w:r>
      <w:r w:rsidR="00D777BA" w:rsidRPr="00EF7033">
        <w:rPr>
          <w:i/>
          <w:iCs/>
        </w:rPr>
        <w:t>Code criminel</w:t>
      </w:r>
      <w:r w:rsidR="00073CFA" w:rsidRPr="00EF7033">
        <w:t xml:space="preserve"> (Canada) </w:t>
      </w:r>
      <w:r w:rsidR="002810EB" w:rsidRPr="00EF7033">
        <w:t xml:space="preserve">ou </w:t>
      </w:r>
      <w:r w:rsidR="004E64BE" w:rsidRPr="00EF7033">
        <w:t>de</w:t>
      </w:r>
      <w:r w:rsidR="002810EB" w:rsidRPr="00EF7033">
        <w:t xml:space="preserve"> toute autre loi applicable</w:t>
      </w:r>
      <w:r w:rsidR="00073CFA" w:rsidRPr="00EF7033">
        <w:t xml:space="preserve">), </w:t>
      </w:r>
      <w:r w:rsidR="002810EB" w:rsidRPr="00EF7033">
        <w:t xml:space="preserve">alors, malgré cette disposition, le montant ou le taux sera réputé avoir été ajusté, avec les mêmes effets que s’il avait été ajusté à la date initiale du </w:t>
      </w:r>
      <w:r w:rsidR="008403CC" w:rsidRPr="00EF7033">
        <w:t>présent Billet</w:t>
      </w:r>
      <w:r w:rsidR="002810EB" w:rsidRPr="00EF7033">
        <w:t>, au montant ou au taux d’intérêt maximal, selon le cas, qui ne contrevient pas à toute loi applicable ou qui n’entraîne pas la réception, par le Porteur, d’intérêts à un taux criminel ou à un taux interdit</w:t>
      </w:r>
      <w:r w:rsidR="00073CFA" w:rsidRPr="00EF7033">
        <w:t xml:space="preserve">, </w:t>
      </w:r>
      <w:r w:rsidR="002810EB" w:rsidRPr="00EF7033">
        <w:t>cet ajustement devant être effectué dans la mesure nécessaire en réduisant le montant ou le taux d’intérêt prévu à l’article </w:t>
      </w:r>
      <w:r w:rsidR="00073CFA" w:rsidRPr="00060926">
        <w:fldChar w:fldCharType="begin"/>
      </w:r>
      <w:r w:rsidR="00073CFA" w:rsidRPr="00060926">
        <w:instrText xml:space="preserve"> REF _Ref27838513 \w \h  \* MERGEFORMAT </w:instrText>
      </w:r>
      <w:r w:rsidR="00073CFA" w:rsidRPr="00060926">
        <w:fldChar w:fldCharType="separate"/>
      </w:r>
      <w:r w:rsidR="00BF3E18">
        <w:t>2</w:t>
      </w:r>
      <w:r w:rsidR="00073CFA" w:rsidRPr="00060926">
        <w:fldChar w:fldCharType="end"/>
      </w:r>
      <w:r w:rsidR="002810EB" w:rsidRPr="00EF7033">
        <w:t xml:space="preserve">, </w:t>
      </w:r>
      <w:r w:rsidR="004E64BE" w:rsidRPr="00EF7033">
        <w:t xml:space="preserve">et </w:t>
      </w:r>
      <w:r w:rsidR="002810EB" w:rsidRPr="00EF7033">
        <w:t xml:space="preserve">tout excédant restant ayant déjà été payé </w:t>
      </w:r>
      <w:r w:rsidR="004E64BE" w:rsidRPr="00EF7033">
        <w:t>doit être</w:t>
      </w:r>
      <w:r w:rsidR="002810EB" w:rsidRPr="00EF7033">
        <w:t xml:space="preserve"> porté au crédit du Capital à titre de remboursement anticipé</w:t>
      </w:r>
      <w:r w:rsidR="00073CFA" w:rsidRPr="00EF7033">
        <w:t>.</w:t>
      </w:r>
      <w:r w:rsidR="002810EB" w:rsidRPr="00EF7033">
        <w:t xml:space="preserve"> Tout trop-perçu qui resterait après ce crédit sera retourné sans délai à la Société sur demande</w:t>
      </w:r>
      <w:r w:rsidR="00073CFA" w:rsidRPr="00EF7033">
        <w:t>.</w:t>
      </w:r>
    </w:p>
    <w:p w14:paraId="40DA7A1B" w14:textId="2444DC73" w:rsidR="00F0406C" w:rsidRPr="00060926" w:rsidRDefault="00D260F9" w:rsidP="00E5787D">
      <w:pPr>
        <w:pStyle w:val="StandardL1"/>
      </w:pPr>
      <w:r w:rsidRPr="00EF7033">
        <w:rPr>
          <w:b/>
          <w:u w:val="single"/>
        </w:rPr>
        <w:t>Incompatibilité ou incohérence</w:t>
      </w:r>
      <w:r w:rsidR="00073CFA" w:rsidRPr="00EF7033">
        <w:t xml:space="preserve">. </w:t>
      </w:r>
      <w:r w:rsidRPr="00EF7033">
        <w:t>En cas d’incompatibilité ou d’incohérence</w:t>
      </w:r>
      <w:r w:rsidR="00073CFA" w:rsidRPr="00EF7033">
        <w:t xml:space="preserve"> </w:t>
      </w:r>
      <w:r w:rsidRPr="00EF7033">
        <w:t>entre les modalités</w:t>
      </w:r>
      <w:r w:rsidR="00073CFA" w:rsidRPr="00EF7033">
        <w:t xml:space="preserve"> </w:t>
      </w:r>
      <w:r w:rsidR="008403CC" w:rsidRPr="00EF7033">
        <w:t>du présent Billet</w:t>
      </w:r>
      <w:r w:rsidR="00073CFA" w:rsidRPr="00EF7033">
        <w:t xml:space="preserve"> </w:t>
      </w:r>
      <w:r w:rsidRPr="00EF7033">
        <w:t>et celles [de la</w:t>
      </w:r>
      <w:r w:rsidR="00073CFA" w:rsidRPr="00EF7033">
        <w:t xml:space="preserve"> </w:t>
      </w:r>
      <w:r w:rsidR="00BE556D" w:rsidRPr="00EF7033">
        <w:t>Convention d’achat</w:t>
      </w:r>
      <w:r w:rsidR="00073CFA" w:rsidRPr="00EF7033">
        <w:t xml:space="preserve">], </w:t>
      </w:r>
      <w:r w:rsidRPr="00EF7033">
        <w:t xml:space="preserve">la ou les dispositions pertinentes [de la </w:t>
      </w:r>
      <w:r w:rsidR="00BE556D" w:rsidRPr="00EF7033">
        <w:t>Convention d’achat</w:t>
      </w:r>
      <w:r w:rsidR="00073CFA" w:rsidRPr="00EF7033">
        <w:t xml:space="preserve">] </w:t>
      </w:r>
      <w:r w:rsidRPr="00EF7033">
        <w:t>l’emporteront et auront préséance dans la mesure de cette incompatibilité ou incohérence</w:t>
      </w:r>
      <w:r w:rsidR="00073CFA" w:rsidRPr="00EF7033">
        <w:t>.</w:t>
      </w:r>
    </w:p>
    <w:p w14:paraId="188B4609" w14:textId="6105F0C0" w:rsidR="00F0406C" w:rsidRPr="00060926" w:rsidRDefault="00487F58" w:rsidP="00E5787D">
      <w:pPr>
        <w:pStyle w:val="StandardL1"/>
      </w:pPr>
      <w:r w:rsidRPr="00EF7033">
        <w:rPr>
          <w:b/>
          <w:u w:val="single"/>
        </w:rPr>
        <w:t>Di</w:t>
      </w:r>
      <w:r w:rsidR="00F93654" w:rsidRPr="00EF7033">
        <w:rPr>
          <w:b/>
          <w:u w:val="single"/>
        </w:rPr>
        <w:t>ssociabilité</w:t>
      </w:r>
      <w:r w:rsidR="00073CFA" w:rsidRPr="00EF7033">
        <w:t xml:space="preserve">. </w:t>
      </w:r>
      <w:r w:rsidRPr="00EF7033">
        <w:t xml:space="preserve">Chacune des dispositions figurant dans </w:t>
      </w:r>
      <w:r w:rsidR="001267F4" w:rsidRPr="00EF7033">
        <w:t>le présent Billet</w:t>
      </w:r>
      <w:r w:rsidR="00073CFA" w:rsidRPr="00EF7033">
        <w:t xml:space="preserve"> </w:t>
      </w:r>
      <w:r w:rsidRPr="00EF7033">
        <w:t>est</w:t>
      </w:r>
      <w:r w:rsidR="00073CFA" w:rsidRPr="00EF7033">
        <w:t xml:space="preserve"> </w:t>
      </w:r>
      <w:r w:rsidRPr="00EF7033">
        <w:t xml:space="preserve">distincte et </w:t>
      </w:r>
      <w:r w:rsidR="006062C3" w:rsidRPr="00EF7033">
        <w:t>dissociable</w:t>
      </w:r>
      <w:r w:rsidRPr="00EF7033">
        <w:t>, et une déclaration d’invalidité, d’illégalité ou d</w:t>
      </w:r>
      <w:r w:rsidR="00F93654" w:rsidRPr="00EF7033">
        <w:t>’in</w:t>
      </w:r>
      <w:r w:rsidRPr="00EF7033">
        <w:t xml:space="preserve">opposabilité de toute disposition, totale ou partielle, par un tribunal compétent n’entachera en rien la validité ou l’opposabilité de toute autre disposition </w:t>
      </w:r>
      <w:r w:rsidR="008403CC" w:rsidRPr="00EF7033">
        <w:t>du présent Billet</w:t>
      </w:r>
      <w:r w:rsidR="00073CFA" w:rsidRPr="00EF7033">
        <w:t>.</w:t>
      </w:r>
    </w:p>
    <w:p w14:paraId="320A9426" w14:textId="5E9D037D" w:rsidR="00F0406C" w:rsidRPr="00060926" w:rsidRDefault="009905F6" w:rsidP="00E5787D">
      <w:pPr>
        <w:pStyle w:val="StandardL1"/>
      </w:pPr>
      <w:r w:rsidRPr="00EF7033">
        <w:rPr>
          <w:b/>
          <w:u w:val="single"/>
        </w:rPr>
        <w:t>Exemplaires</w:t>
      </w:r>
      <w:r w:rsidR="00073CFA" w:rsidRPr="00EF7033">
        <w:rPr>
          <w:b/>
          <w:u w:val="single"/>
        </w:rPr>
        <w:t>;</w:t>
      </w:r>
      <w:r w:rsidRPr="00EF7033">
        <w:rPr>
          <w:b/>
          <w:u w:val="single"/>
        </w:rPr>
        <w:t xml:space="preserve"> signature électronique</w:t>
      </w:r>
      <w:r w:rsidR="00073CFA" w:rsidRPr="00EF7033">
        <w:t xml:space="preserve">. </w:t>
      </w:r>
      <w:r w:rsidR="00ED7167" w:rsidRPr="00EF7033">
        <w:t xml:space="preserve">Le présent Billet peut être signé en plusieurs exemplaires </w:t>
      </w:r>
      <w:r w:rsidR="00C76E55" w:rsidRPr="00EF7033">
        <w:t xml:space="preserve">qui, individuellement, sont réputés constituer </w:t>
      </w:r>
      <w:r w:rsidR="00ED7167" w:rsidRPr="00EF7033">
        <w:t xml:space="preserve">un original et qui, </w:t>
      </w:r>
      <w:r w:rsidR="00C76E55" w:rsidRPr="00EF7033">
        <w:t>collectivement</w:t>
      </w:r>
      <w:r w:rsidR="00ED7167" w:rsidRPr="00EF7033">
        <w:t xml:space="preserve">, constitueront un seul et même instrument. Les exemplaires peuvent être signés ou transmis par télécopieur, par voie électronique (y compris en format PDF ou au moyen d’un outil de signature électronique) ou par d’autres moyens de transmission, et tout exemplaire ainsi transmis sera réputé </w:t>
      </w:r>
      <w:r w:rsidR="00C76E55" w:rsidRPr="00EF7033">
        <w:t>l’</w:t>
      </w:r>
      <w:r w:rsidR="00ED7167" w:rsidRPr="00EF7033">
        <w:t>avoir été dûment et valablement</w:t>
      </w:r>
      <w:r w:rsidR="00C76E55" w:rsidRPr="00EF7033">
        <w:t xml:space="preserve"> en plus d’</w:t>
      </w:r>
      <w:r w:rsidR="00ED7167" w:rsidRPr="00EF7033">
        <w:t xml:space="preserve">être valide et </w:t>
      </w:r>
      <w:r w:rsidR="00C76E55" w:rsidRPr="00EF7033">
        <w:t>en vigueur</w:t>
      </w:r>
      <w:r w:rsidR="00ED7167" w:rsidRPr="00EF7033">
        <w:t xml:space="preserve"> à toutes fins</w:t>
      </w:r>
      <w:r w:rsidR="0031008B" w:rsidRPr="00060926">
        <w:rPr>
          <w:rStyle w:val="FootnoteReference"/>
        </w:rPr>
        <w:footnoteReference w:id="19"/>
      </w:r>
      <w:r w:rsidR="00073CFA" w:rsidRPr="00EF7033">
        <w:t>.</w:t>
      </w:r>
    </w:p>
    <w:p w14:paraId="5AE23737" w14:textId="23ECB827" w:rsidR="00F0406C" w:rsidRPr="00060926" w:rsidRDefault="00ED7167" w:rsidP="00E5787D">
      <w:pPr>
        <w:pStyle w:val="StandardL1"/>
      </w:pPr>
      <w:r w:rsidRPr="00EF7033">
        <w:rPr>
          <w:b/>
          <w:u w:val="single"/>
        </w:rPr>
        <w:t>Billet perdu</w:t>
      </w:r>
      <w:r w:rsidR="00073CFA" w:rsidRPr="00EF7033">
        <w:t xml:space="preserve">. </w:t>
      </w:r>
      <w:r w:rsidR="00843E0A" w:rsidRPr="00EF7033">
        <w:t>À la réception par la Société d’une preuve qu’elle juge</w:t>
      </w:r>
      <w:r w:rsidR="00C76E55" w:rsidRPr="00EF7033">
        <w:t xml:space="preserve"> raisonnablement</w:t>
      </w:r>
      <w:r w:rsidR="00843E0A" w:rsidRPr="00EF7033">
        <w:t xml:space="preserve"> satisfaisante, de la perte, du vol, de la </w:t>
      </w:r>
      <w:r w:rsidR="00073CFA" w:rsidRPr="00EF7033">
        <w:t xml:space="preserve">destruction </w:t>
      </w:r>
      <w:r w:rsidR="00843E0A" w:rsidRPr="00EF7033">
        <w:t xml:space="preserve">ou de l’endommagement </w:t>
      </w:r>
      <w:r w:rsidR="008403CC" w:rsidRPr="00EF7033">
        <w:t>du présent Billet</w:t>
      </w:r>
      <w:r w:rsidR="00073CFA" w:rsidRPr="00EF7033">
        <w:t xml:space="preserve"> </w:t>
      </w:r>
      <w:r w:rsidR="00843E0A" w:rsidRPr="00EF7033">
        <w:t>ou de tout Billet échangé contre celui</w:t>
      </w:r>
      <w:r w:rsidR="00313A99" w:rsidRPr="00EF7033">
        <w:noBreakHyphen/>
        <w:t>ci</w:t>
      </w:r>
      <w:r w:rsidR="00843E0A" w:rsidRPr="00EF7033">
        <w:t xml:space="preserve">, et </w:t>
      </w:r>
      <w:r w:rsidR="006062C3" w:rsidRPr="00EF7033">
        <w:t xml:space="preserve">contre </w:t>
      </w:r>
      <w:r w:rsidR="00843E0A" w:rsidRPr="00EF7033">
        <w:t xml:space="preserve">une indemnité jugée raisonnablement satisfaisante par la Société </w:t>
      </w:r>
      <w:r w:rsidR="00073CFA" w:rsidRPr="00EF7033">
        <w:t>(</w:t>
      </w:r>
      <w:r w:rsidR="00843E0A" w:rsidRPr="00EF7033">
        <w:t xml:space="preserve">dans le cas de la perte, du vol ou de la </w:t>
      </w:r>
      <w:r w:rsidR="00073CFA" w:rsidRPr="00EF7033">
        <w:t xml:space="preserve">destruction) </w:t>
      </w:r>
      <w:r w:rsidR="00913FEF" w:rsidRPr="00EF7033">
        <w:t xml:space="preserve">ou la remise et l’annulation du Billet </w:t>
      </w:r>
      <w:r w:rsidR="00073CFA" w:rsidRPr="00EF7033">
        <w:t>(</w:t>
      </w:r>
      <w:r w:rsidR="00913FEF" w:rsidRPr="00EF7033">
        <w:t>dans le cas de l’endommagement</w:t>
      </w:r>
      <w:r w:rsidR="00073CFA" w:rsidRPr="00EF7033">
        <w:t xml:space="preserve">), </w:t>
      </w:r>
      <w:r w:rsidR="00913FEF" w:rsidRPr="00EF7033">
        <w:t>la Société établira et remettra en lieu et place de ce Billet un nouveau Billet de même teneur</w:t>
      </w:r>
      <w:r w:rsidR="00073CFA" w:rsidRPr="00EF7033">
        <w:t>.</w:t>
      </w:r>
    </w:p>
    <w:p w14:paraId="336D28C6" w14:textId="4434D953" w:rsidR="00F0406C" w:rsidRPr="00EF7033" w:rsidRDefault="00073CFA" w:rsidP="00E5787D">
      <w:pPr>
        <w:pStyle w:val="Centered"/>
        <w:spacing w:after="1200"/>
        <w:rPr>
          <w:i/>
        </w:rPr>
      </w:pPr>
      <w:r w:rsidRPr="00EF7033">
        <w:rPr>
          <w:i/>
        </w:rPr>
        <w:t>[</w:t>
      </w:r>
      <w:r w:rsidR="00694CA7" w:rsidRPr="00EF7033">
        <w:rPr>
          <w:i/>
        </w:rPr>
        <w:t>La page de signature suit</w:t>
      </w:r>
      <w:r w:rsidRPr="00EF7033">
        <w:rPr>
          <w:i/>
        </w:rPr>
        <w:t>]</w:t>
      </w:r>
    </w:p>
    <w:p w14:paraId="7DC20E11" w14:textId="77777777" w:rsidR="00F0406C" w:rsidRPr="00EF7033" w:rsidRDefault="00F0406C" w:rsidP="00E5787D">
      <w:pPr>
        <w:pStyle w:val="BodyText"/>
        <w:sectPr w:rsidR="00F0406C" w:rsidRPr="00EF7033" w:rsidSect="00B15FBA">
          <w:footerReference w:type="first" r:id="rId15"/>
          <w:pgSz w:w="12240" w:h="15840" w:code="1"/>
          <w:pgMar w:top="1440" w:right="1440" w:bottom="1440" w:left="1440" w:header="720" w:footer="576" w:gutter="0"/>
          <w:pgNumType w:start="1"/>
          <w:cols w:space="720"/>
          <w:titlePg/>
          <w:docGrid w:linePitch="360"/>
        </w:sectPr>
      </w:pPr>
    </w:p>
    <w:p w14:paraId="18A28FB9" w14:textId="593B3971" w:rsidR="00F0406C" w:rsidRPr="00EF7033" w:rsidRDefault="00B12567" w:rsidP="00E5787D">
      <w:pPr>
        <w:pStyle w:val="BodyTextFirstIndent"/>
      </w:pPr>
      <w:r w:rsidRPr="00EF7033">
        <w:t>La Société</w:t>
      </w:r>
      <w:r w:rsidR="00073CFA" w:rsidRPr="00EF7033">
        <w:t xml:space="preserve"> </w:t>
      </w:r>
      <w:r w:rsidR="004539D0" w:rsidRPr="00EF7033">
        <w:t>a signé le présent Billet à ordre convertible</w:t>
      </w:r>
      <w:r w:rsidR="00073CFA" w:rsidRPr="00EF7033">
        <w:t xml:space="preserve"> </w:t>
      </w:r>
      <w:r w:rsidR="004539D0" w:rsidRPr="00EF7033">
        <w:t>[garanti] à la</w:t>
      </w:r>
      <w:r w:rsidR="00073CFA" w:rsidRPr="00EF7033">
        <w:t xml:space="preserve"> </w:t>
      </w:r>
      <w:r w:rsidR="005956FF" w:rsidRPr="00EF7033">
        <w:t>Date d’émission</w:t>
      </w:r>
      <w:r w:rsidR="00073CFA" w:rsidRPr="00EF7033">
        <w:t xml:space="preserve"> </w:t>
      </w:r>
      <w:r w:rsidR="004539D0" w:rsidRPr="00EF7033">
        <w:t>indiquée ci</w:t>
      </w:r>
      <w:r w:rsidR="004539D0" w:rsidRPr="00EF7033">
        <w:noBreakHyphen/>
        <w:t>dessus</w:t>
      </w:r>
      <w:r w:rsidR="00073CFA" w:rsidRPr="00EF7033">
        <w:t>.</w:t>
      </w:r>
    </w:p>
    <w:tbl>
      <w:tblPr>
        <w:tblStyle w:val="TableGrid"/>
        <w:tblW w:w="0" w:type="auto"/>
        <w:tblInd w:w="4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3964"/>
      </w:tblGrid>
      <w:tr w:rsidR="00233974" w:rsidRPr="00EF7033" w14:paraId="697C00C9" w14:textId="77777777" w:rsidTr="00E5787D">
        <w:tc>
          <w:tcPr>
            <w:tcW w:w="4590" w:type="dxa"/>
            <w:gridSpan w:val="2"/>
          </w:tcPr>
          <w:p w14:paraId="2F707543" w14:textId="18215427" w:rsidR="00F0406C" w:rsidRPr="00EF7033" w:rsidRDefault="00A156B8" w:rsidP="00E5787D">
            <w:pPr>
              <w:pStyle w:val="BodyText"/>
              <w:rPr>
                <w:b/>
              </w:rPr>
            </w:pPr>
            <w:r w:rsidRPr="00EF7033">
              <w:rPr>
                <w:b/>
              </w:rPr>
              <w:t>SOCIÉTÉ</w:t>
            </w:r>
            <w:r w:rsidR="009B31F3" w:rsidRPr="00EF7033">
              <w:rPr>
                <w:b/>
              </w:rPr>
              <w:t> :</w:t>
            </w:r>
          </w:p>
          <w:p w14:paraId="084F6901" w14:textId="77777777" w:rsidR="00F0406C" w:rsidRPr="00EF7033" w:rsidRDefault="00073CFA" w:rsidP="00E5787D">
            <w:pPr>
              <w:pStyle w:val="BodyText"/>
              <w:rPr>
                <w:b/>
              </w:rPr>
            </w:pPr>
            <w:r w:rsidRPr="00EF7033">
              <w:rPr>
                <w:b/>
              </w:rPr>
              <w:t>●</w:t>
            </w:r>
          </w:p>
        </w:tc>
      </w:tr>
      <w:tr w:rsidR="00233974" w:rsidRPr="00EF7033" w14:paraId="39A65312" w14:textId="77777777" w:rsidTr="00A156B8">
        <w:tc>
          <w:tcPr>
            <w:tcW w:w="626" w:type="dxa"/>
          </w:tcPr>
          <w:p w14:paraId="55370C6A" w14:textId="0CA30CCC" w:rsidR="00F0406C" w:rsidRPr="00EF7033" w:rsidRDefault="00A156B8" w:rsidP="00E5787D">
            <w:pPr>
              <w:pStyle w:val="BodyText"/>
              <w:spacing w:before="240" w:after="0"/>
            </w:pPr>
            <w:r w:rsidRPr="00EF7033">
              <w:t>Par :</w:t>
            </w:r>
          </w:p>
        </w:tc>
        <w:tc>
          <w:tcPr>
            <w:tcW w:w="3964" w:type="dxa"/>
            <w:tcBorders>
              <w:bottom w:val="single" w:sz="4" w:space="0" w:color="auto"/>
            </w:tcBorders>
          </w:tcPr>
          <w:p w14:paraId="3BE41FD7" w14:textId="77777777" w:rsidR="00F0406C" w:rsidRPr="00EF7033" w:rsidRDefault="00F0406C" w:rsidP="00E5787D">
            <w:pPr>
              <w:pStyle w:val="BodyText"/>
              <w:spacing w:before="240" w:after="0"/>
            </w:pPr>
          </w:p>
        </w:tc>
      </w:tr>
      <w:tr w:rsidR="00233974" w:rsidRPr="00EF7033" w14:paraId="3BD1919E" w14:textId="77777777" w:rsidTr="00E5787D">
        <w:tc>
          <w:tcPr>
            <w:tcW w:w="4590" w:type="dxa"/>
            <w:gridSpan w:val="2"/>
          </w:tcPr>
          <w:p w14:paraId="3CCDBCD2" w14:textId="17F6CD4C" w:rsidR="00F0406C" w:rsidRPr="00EF7033" w:rsidRDefault="00A156B8" w:rsidP="00E5787D">
            <w:pPr>
              <w:pStyle w:val="BodyText"/>
            </w:pPr>
            <w:r w:rsidRPr="00EF7033">
              <w:t>Nom :</w:t>
            </w:r>
            <w:r w:rsidR="00073CFA" w:rsidRPr="00EF7033">
              <w:tab/>
            </w:r>
            <w:r w:rsidR="00073CFA" w:rsidRPr="00EF7033">
              <w:rPr>
                <w:b/>
              </w:rPr>
              <w:t>●</w:t>
            </w:r>
            <w:r w:rsidR="00073CFA" w:rsidRPr="00EF7033">
              <w:br/>
            </w:r>
            <w:r w:rsidRPr="00EF7033">
              <w:t>Titre :</w:t>
            </w:r>
            <w:r w:rsidR="00073CFA" w:rsidRPr="00EF7033">
              <w:tab/>
            </w:r>
            <w:r w:rsidR="00073CFA" w:rsidRPr="00EF7033">
              <w:rPr>
                <w:b/>
              </w:rPr>
              <w:t>●</w:t>
            </w:r>
          </w:p>
        </w:tc>
      </w:tr>
    </w:tbl>
    <w:p w14:paraId="71CC1F41" w14:textId="1EDFA0A9" w:rsidR="00F0406C" w:rsidRPr="00EF7033" w:rsidRDefault="00A156B8" w:rsidP="00E5787D">
      <w:pPr>
        <w:pStyle w:val="BodyText"/>
        <w:rPr>
          <w:b/>
        </w:rPr>
      </w:pPr>
      <w:r w:rsidRPr="00EF7033">
        <w:rPr>
          <w:b/>
        </w:rPr>
        <w:t>ACCEPTÉ ET CONVENU :</w:t>
      </w:r>
    </w:p>
    <w:p w14:paraId="3ED7FE0B" w14:textId="6EBC97CC" w:rsidR="00F0406C" w:rsidRPr="00EF7033" w:rsidRDefault="00A156B8" w:rsidP="00E5787D">
      <w:pPr>
        <w:pStyle w:val="BodyText"/>
        <w:rPr>
          <w:b/>
        </w:rPr>
      </w:pPr>
      <w:r w:rsidRPr="00EF7033">
        <w:rPr>
          <w:b/>
        </w:rPr>
        <w:t>PORTEUR</w:t>
      </w:r>
      <w:r w:rsidR="009B31F3" w:rsidRPr="00EF7033">
        <w:rPr>
          <w:b/>
        </w:rPr>
        <w:t> :</w:t>
      </w:r>
    </w:p>
    <w:p w14:paraId="7F39C887" w14:textId="77777777" w:rsidR="00F0406C" w:rsidRPr="00EF7033" w:rsidRDefault="00F0406C" w:rsidP="00E5787D">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3981"/>
      </w:tblGrid>
      <w:tr w:rsidR="00233974" w:rsidRPr="00EF7033" w14:paraId="2BD0C41D" w14:textId="77777777" w:rsidTr="00E5787D">
        <w:tc>
          <w:tcPr>
            <w:tcW w:w="4680" w:type="dxa"/>
            <w:gridSpan w:val="2"/>
          </w:tcPr>
          <w:p w14:paraId="66CEEFC2" w14:textId="77777777" w:rsidR="00F0406C" w:rsidRPr="00EF7033" w:rsidRDefault="00073CFA" w:rsidP="00E5787D">
            <w:pPr>
              <w:pStyle w:val="BodyText"/>
              <w:jc w:val="left"/>
            </w:pPr>
            <w:r w:rsidRPr="00EF7033">
              <w:rPr>
                <w:b/>
              </w:rPr>
              <w:t>●</w:t>
            </w:r>
          </w:p>
        </w:tc>
      </w:tr>
      <w:tr w:rsidR="00233974" w:rsidRPr="00EF7033" w14:paraId="158F4D2A" w14:textId="77777777" w:rsidTr="00E5787D">
        <w:tc>
          <w:tcPr>
            <w:tcW w:w="699" w:type="dxa"/>
          </w:tcPr>
          <w:p w14:paraId="03004FD3" w14:textId="26AEE105" w:rsidR="00F0406C" w:rsidRPr="00EF7033" w:rsidRDefault="00A156B8" w:rsidP="00E5787D">
            <w:pPr>
              <w:pStyle w:val="BodyText"/>
              <w:spacing w:before="240" w:after="0"/>
            </w:pPr>
            <w:r w:rsidRPr="00EF7033">
              <w:t>Par :</w:t>
            </w:r>
          </w:p>
        </w:tc>
        <w:tc>
          <w:tcPr>
            <w:tcW w:w="3981" w:type="dxa"/>
            <w:tcBorders>
              <w:bottom w:val="single" w:sz="4" w:space="0" w:color="auto"/>
            </w:tcBorders>
          </w:tcPr>
          <w:p w14:paraId="3E030979" w14:textId="77777777" w:rsidR="00F0406C" w:rsidRPr="00EF7033" w:rsidRDefault="00F0406C" w:rsidP="00E5787D">
            <w:pPr>
              <w:pStyle w:val="BodyText"/>
              <w:spacing w:before="240" w:after="0"/>
            </w:pPr>
          </w:p>
        </w:tc>
      </w:tr>
      <w:tr w:rsidR="00233974" w:rsidRPr="00EF7033" w14:paraId="712DC14D" w14:textId="77777777" w:rsidTr="00E5787D">
        <w:tc>
          <w:tcPr>
            <w:tcW w:w="4680" w:type="dxa"/>
            <w:gridSpan w:val="2"/>
          </w:tcPr>
          <w:p w14:paraId="35900572" w14:textId="00714120" w:rsidR="00F0406C" w:rsidRPr="00EF7033" w:rsidRDefault="00A156B8" w:rsidP="00E5787D">
            <w:pPr>
              <w:pStyle w:val="BodyText"/>
            </w:pPr>
            <w:r w:rsidRPr="00EF7033">
              <w:t>Nom :</w:t>
            </w:r>
            <w:r w:rsidR="00073CFA" w:rsidRPr="00EF7033">
              <w:tab/>
            </w:r>
            <w:r w:rsidR="00073CFA" w:rsidRPr="00EF7033">
              <w:rPr>
                <w:b/>
              </w:rPr>
              <w:t>●</w:t>
            </w:r>
            <w:r w:rsidR="00073CFA" w:rsidRPr="00EF7033">
              <w:br/>
            </w:r>
            <w:r w:rsidRPr="00EF7033">
              <w:t>Titre :</w:t>
            </w:r>
            <w:r w:rsidR="00073CFA" w:rsidRPr="00EF7033">
              <w:tab/>
            </w:r>
            <w:r w:rsidR="00073CFA" w:rsidRPr="00EF7033">
              <w:rPr>
                <w:b/>
              </w:rPr>
              <w:t>●</w:t>
            </w:r>
          </w:p>
        </w:tc>
      </w:tr>
    </w:tbl>
    <w:p w14:paraId="035D8D7B" w14:textId="77777777" w:rsidR="00F0406C" w:rsidRPr="00EF7033" w:rsidRDefault="00F0406C" w:rsidP="00E5787D">
      <w:pPr>
        <w:pStyle w:val="BodyText"/>
      </w:pPr>
    </w:p>
    <w:p w14:paraId="37094761" w14:textId="4BC57369" w:rsidR="00F0406C" w:rsidRPr="00EF7033" w:rsidRDefault="00073CFA" w:rsidP="00BA57A1">
      <w:pPr>
        <w:tabs>
          <w:tab w:val="left" w:pos="4500"/>
        </w:tabs>
        <w:spacing w:after="240"/>
        <w:rPr>
          <w:u w:val="single"/>
        </w:rPr>
      </w:pPr>
      <w:r w:rsidRPr="00EF7033">
        <w:t>[</w:t>
      </w:r>
      <w:r w:rsidR="002E6F67" w:rsidRPr="00EF7033">
        <w:t>Adresse</w:t>
      </w:r>
      <w:r w:rsidR="009B31F3" w:rsidRPr="00EF7033">
        <w:t> :</w:t>
      </w:r>
      <w:r w:rsidR="00BA57A1">
        <w:t xml:space="preserve"> </w:t>
      </w:r>
      <w:r w:rsidR="00BA57A1" w:rsidRPr="00EF7033">
        <w:rPr>
          <w:u w:val="single"/>
        </w:rPr>
        <w:tab/>
      </w:r>
    </w:p>
    <w:p w14:paraId="7A0427B5" w14:textId="5E936E03" w:rsidR="00F0406C" w:rsidRPr="00EF7033" w:rsidRDefault="00BA57A1" w:rsidP="00BA57A1">
      <w:pPr>
        <w:tabs>
          <w:tab w:val="left" w:pos="4500"/>
        </w:tabs>
        <w:spacing w:after="240"/>
        <w:rPr>
          <w:u w:val="single"/>
        </w:rPr>
      </w:pPr>
      <w:r w:rsidRPr="00EF7033">
        <w:rPr>
          <w:u w:val="single"/>
        </w:rPr>
        <w:tab/>
      </w:r>
    </w:p>
    <w:p w14:paraId="0C7431EF" w14:textId="11F3C4CE" w:rsidR="00F0406C" w:rsidRPr="00EF7033" w:rsidRDefault="00BA57A1" w:rsidP="00BA57A1">
      <w:pPr>
        <w:tabs>
          <w:tab w:val="left" w:pos="4500"/>
        </w:tabs>
        <w:spacing w:after="240"/>
        <w:rPr>
          <w:u w:val="single"/>
        </w:rPr>
      </w:pPr>
      <w:r w:rsidRPr="00EF7033">
        <w:rPr>
          <w:u w:val="single"/>
        </w:rPr>
        <w:tab/>
      </w:r>
    </w:p>
    <w:p w14:paraId="60AC55F2" w14:textId="2C00A547" w:rsidR="00F0406C" w:rsidRPr="00EF7033" w:rsidRDefault="002E6F67" w:rsidP="00BA57A1">
      <w:pPr>
        <w:tabs>
          <w:tab w:val="left" w:pos="4500"/>
        </w:tabs>
        <w:spacing w:after="480"/>
        <w:rPr>
          <w:u w:val="single"/>
        </w:rPr>
      </w:pPr>
      <w:r w:rsidRPr="00EF7033">
        <w:t>Courriel</w:t>
      </w:r>
      <w:r w:rsidR="009B31F3" w:rsidRPr="00EF7033">
        <w:t> :</w:t>
      </w:r>
      <w:r w:rsidR="00073CFA" w:rsidRPr="00EF7033">
        <w:t xml:space="preserve"> </w:t>
      </w:r>
      <w:r w:rsidR="00073CFA" w:rsidRPr="00EF7033">
        <w:rPr>
          <w:u w:val="single"/>
        </w:rPr>
        <w:tab/>
      </w:r>
      <w:r w:rsidR="00073CFA" w:rsidRPr="00EF7033">
        <w:t>]</w:t>
      </w:r>
    </w:p>
    <w:p w14:paraId="4E6A00A0" w14:textId="77777777" w:rsidR="00F0406C" w:rsidRPr="00EF7033" w:rsidRDefault="00F0406C">
      <w:pPr>
        <w:ind w:left="-144"/>
        <w:sectPr w:rsidR="00F0406C" w:rsidRPr="00EF7033" w:rsidSect="003053DC">
          <w:footerReference w:type="default" r:id="rId16"/>
          <w:headerReference w:type="first" r:id="rId17"/>
          <w:footerReference w:type="first" r:id="rId18"/>
          <w:pgSz w:w="12240" w:h="15840" w:code="1"/>
          <w:pgMar w:top="1440" w:right="1440" w:bottom="1440" w:left="1440" w:header="720" w:footer="576" w:gutter="0"/>
          <w:pgNumType w:start="1"/>
          <w:cols w:space="720"/>
          <w:docGrid w:linePitch="360"/>
        </w:sectPr>
      </w:pPr>
    </w:p>
    <w:p w14:paraId="53A6E08D" w14:textId="1F00B4DF" w:rsidR="00F0406C" w:rsidRPr="00EF7033" w:rsidRDefault="00313A99" w:rsidP="003B6060">
      <w:pPr>
        <w:pStyle w:val="StandardL2"/>
        <w:numPr>
          <w:ilvl w:val="0"/>
          <w:numId w:val="0"/>
        </w:numPr>
        <w:jc w:val="center"/>
        <w:rPr>
          <w:b/>
        </w:rPr>
      </w:pPr>
      <w:r w:rsidRPr="00EF7033">
        <w:rPr>
          <w:b/>
        </w:rPr>
        <w:t>Annexe A</w:t>
      </w:r>
    </w:p>
    <w:p w14:paraId="440166AD" w14:textId="774EF800" w:rsidR="00F0406C" w:rsidRPr="00EF7033" w:rsidRDefault="00356C94" w:rsidP="006B63B5">
      <w:pPr>
        <w:pStyle w:val="StandardL2"/>
        <w:numPr>
          <w:ilvl w:val="0"/>
          <w:numId w:val="0"/>
        </w:numPr>
        <w:jc w:val="center"/>
        <w:rPr>
          <w:b/>
        </w:rPr>
      </w:pPr>
      <w:r w:rsidRPr="00EF7033">
        <w:rPr>
          <w:b/>
        </w:rPr>
        <w:t>Déclarations et garanties</w:t>
      </w:r>
      <w:r w:rsidR="002D5CB8" w:rsidRPr="00EF7033">
        <w:rPr>
          <w:b/>
        </w:rPr>
        <w:t xml:space="preserve"> de la</w:t>
      </w:r>
      <w:r w:rsidR="00D9037B" w:rsidRPr="00EF7033">
        <w:rPr>
          <w:b/>
        </w:rPr>
        <w:t xml:space="preserve"> </w:t>
      </w:r>
      <w:r w:rsidR="002D5CB8" w:rsidRPr="00EF7033">
        <w:rPr>
          <w:b/>
        </w:rPr>
        <w:t>Société</w:t>
      </w:r>
      <w:r w:rsidR="00073CFA" w:rsidRPr="00060926">
        <w:rPr>
          <w:rStyle w:val="FootnoteReference"/>
          <w:b/>
        </w:rPr>
        <w:footnoteReference w:id="20"/>
      </w:r>
    </w:p>
    <w:p w14:paraId="04CCD271" w14:textId="62ECDBA0" w:rsidR="00F0406C" w:rsidRPr="00060926" w:rsidRDefault="004623A8" w:rsidP="0041223B">
      <w:pPr>
        <w:pStyle w:val="StandardL1"/>
        <w:numPr>
          <w:ilvl w:val="0"/>
          <w:numId w:val="10"/>
        </w:numPr>
      </w:pPr>
      <w:bookmarkStart w:id="17" w:name="_Ref31707568"/>
      <w:r w:rsidRPr="00EF7033">
        <w:rPr>
          <w:u w:val="single"/>
        </w:rPr>
        <w:t>Constitution en bonne et due forme</w:t>
      </w:r>
      <w:r w:rsidR="00073CFA" w:rsidRPr="00EF7033">
        <w:rPr>
          <w:u w:val="single"/>
        </w:rPr>
        <w:t xml:space="preserve">, </w:t>
      </w:r>
      <w:r w:rsidR="002460B5" w:rsidRPr="00EF7033">
        <w:rPr>
          <w:u w:val="single"/>
        </w:rPr>
        <w:t>autorisation</w:t>
      </w:r>
      <w:r w:rsidR="00073CFA" w:rsidRPr="00EF7033">
        <w:rPr>
          <w:u w:val="single"/>
        </w:rPr>
        <w:t>, etc</w:t>
      </w:r>
      <w:r w:rsidR="00073CFA" w:rsidRPr="00060926">
        <w:rPr>
          <w:u w:val="single"/>
        </w:rPr>
        <w:t>.</w:t>
      </w:r>
      <w:r w:rsidR="0085305E" w:rsidRPr="00EF7033">
        <w:t xml:space="preserve"> </w:t>
      </w:r>
      <w:r w:rsidRPr="00EF7033">
        <w:t xml:space="preserve">La Société est une société dûment constituée et existant valablement en vertu des lois de son territoire de constitution et elle a l’autorité et les pouvoirs requis à titre de personne morale pour exercer ses activités </w:t>
      </w:r>
      <w:r w:rsidR="001826FF" w:rsidRPr="00EF7033">
        <w:t>comme elle les exerce actuellement</w:t>
      </w:r>
      <w:r w:rsidRPr="00EF7033">
        <w:t xml:space="preserve">. </w:t>
      </w:r>
      <w:r w:rsidR="001826FF" w:rsidRPr="00EF7033">
        <w:t xml:space="preserve">La Société est dûment autorisée à conclure des </w:t>
      </w:r>
      <w:r w:rsidR="0078293A" w:rsidRPr="00EF7033">
        <w:t>opérations</w:t>
      </w:r>
      <w:r w:rsidR="001826FF" w:rsidRPr="00EF7033">
        <w:t xml:space="preserve"> </w:t>
      </w:r>
      <w:r w:rsidRPr="00EF7033">
        <w:t xml:space="preserve">dans chaque territoire </w:t>
      </w:r>
      <w:r w:rsidR="001826FF" w:rsidRPr="00EF7033">
        <w:t>où le défaut d’être ainsi autorisée</w:t>
      </w:r>
      <w:r w:rsidRPr="00EF7033">
        <w:t>, individuellement ou collectivement, aurait une Incidence défavorable importante</w:t>
      </w:r>
      <w:r w:rsidR="00073CFA" w:rsidRPr="00EF7033">
        <w:t>.</w:t>
      </w:r>
    </w:p>
    <w:p w14:paraId="40B1F97D" w14:textId="3F5B4A87" w:rsidR="00F0406C" w:rsidRPr="00060926" w:rsidRDefault="00073CFA" w:rsidP="0041223B">
      <w:pPr>
        <w:pStyle w:val="StandardL1"/>
      </w:pPr>
      <w:r w:rsidRPr="00EF7033">
        <w:rPr>
          <w:u w:val="single"/>
        </w:rPr>
        <w:t>Autorit</w:t>
      </w:r>
      <w:r w:rsidR="00B15FBA" w:rsidRPr="00EF7033">
        <w:rPr>
          <w:u w:val="single"/>
        </w:rPr>
        <w:t>é</w:t>
      </w:r>
      <w:r w:rsidRPr="00EF7033">
        <w:t>.</w:t>
      </w:r>
      <w:r w:rsidR="0085305E" w:rsidRPr="00EF7033">
        <w:t xml:space="preserve"> </w:t>
      </w:r>
      <w:r w:rsidR="007B269D" w:rsidRPr="00EF7033">
        <w:t xml:space="preserve">La signature et la remise </w:t>
      </w:r>
      <w:r w:rsidR="007B21DC" w:rsidRPr="00EF7033">
        <w:t>par la Société</w:t>
      </w:r>
      <w:r w:rsidRPr="00EF7033">
        <w:t xml:space="preserve"> </w:t>
      </w:r>
      <w:r w:rsidR="008403CC" w:rsidRPr="00EF7033">
        <w:t>du présent Billet</w:t>
      </w:r>
      <w:r w:rsidRPr="00EF7033">
        <w:t xml:space="preserve"> </w:t>
      </w:r>
      <w:r w:rsidR="007B269D" w:rsidRPr="00EF7033">
        <w:t xml:space="preserve">et l’exécution par la Société de ses </w:t>
      </w:r>
      <w:r w:rsidRPr="00EF7033">
        <w:t xml:space="preserve">obligations </w:t>
      </w:r>
      <w:r w:rsidR="00A02708" w:rsidRPr="00EF7033">
        <w:t>aux termes du présent Billet</w:t>
      </w:r>
      <w:r w:rsidRPr="00EF7033">
        <w:t xml:space="preserve"> </w:t>
      </w:r>
      <w:r w:rsidR="007B269D" w:rsidRPr="00EF7033">
        <w:t>ont été dûment autorisées</w:t>
      </w:r>
      <w:r w:rsidRPr="00EF7033">
        <w:t xml:space="preserve"> </w:t>
      </w:r>
      <w:r w:rsidR="007B269D" w:rsidRPr="00EF7033">
        <w:t>par toutes les mesures nécessaires de la part de la Société</w:t>
      </w:r>
      <w:r w:rsidRPr="00EF7033">
        <w:t xml:space="preserve"> </w:t>
      </w:r>
      <w:r w:rsidR="00504C6A" w:rsidRPr="00EF7033">
        <w:rPr>
          <w:bCs/>
        </w:rPr>
        <w:t>et ne cons</w:t>
      </w:r>
      <w:r w:rsidR="003053DC" w:rsidRPr="00EF7033">
        <w:rPr>
          <w:bCs/>
        </w:rPr>
        <w:t>t</w:t>
      </w:r>
      <w:r w:rsidR="00504C6A" w:rsidRPr="00EF7033">
        <w:rPr>
          <w:bCs/>
        </w:rPr>
        <w:t xml:space="preserve">itueront pas un manquement, une contravention ou un défaut aux statuts ou aux règlements administratifs de la Société, à toute loi applicable à la Société ou à toute entente à laquelle la Société est partie ou à laquelle </w:t>
      </w:r>
      <w:r w:rsidR="00B15FBA" w:rsidRPr="00EF7033">
        <w:rPr>
          <w:bCs/>
        </w:rPr>
        <w:t>sont</w:t>
      </w:r>
      <w:r w:rsidR="00504C6A" w:rsidRPr="00EF7033">
        <w:rPr>
          <w:bCs/>
        </w:rPr>
        <w:t xml:space="preserve"> soumis ses actifs ou</w:t>
      </w:r>
      <w:r w:rsidR="00B15FBA" w:rsidRPr="00EF7033">
        <w:rPr>
          <w:bCs/>
        </w:rPr>
        <w:t xml:space="preserve"> ses</w:t>
      </w:r>
      <w:r w:rsidR="00504C6A" w:rsidRPr="00EF7033">
        <w:rPr>
          <w:bCs/>
        </w:rPr>
        <w:t xml:space="preserve"> biens</w:t>
      </w:r>
      <w:r w:rsidRPr="00EF7033">
        <w:rPr>
          <w:bCs/>
        </w:rPr>
        <w:t>.</w:t>
      </w:r>
    </w:p>
    <w:p w14:paraId="06BD1258" w14:textId="6A36FE99" w:rsidR="00F0406C" w:rsidRPr="00060926" w:rsidRDefault="00B15FBA" w:rsidP="0041223B">
      <w:pPr>
        <w:pStyle w:val="StandardL1"/>
      </w:pPr>
      <w:r w:rsidRPr="00EF7033">
        <w:rPr>
          <w:u w:val="single"/>
        </w:rPr>
        <w:t>Caractère exécutoire</w:t>
      </w:r>
      <w:r w:rsidR="00073CFA" w:rsidRPr="00EF7033">
        <w:t>.</w:t>
      </w:r>
      <w:r w:rsidR="0085305E" w:rsidRPr="00EF7033">
        <w:t xml:space="preserve"> </w:t>
      </w:r>
      <w:r w:rsidR="005D1F30" w:rsidRPr="00EF7033">
        <w:t>Le présent Billet</w:t>
      </w:r>
      <w:r w:rsidR="00073CFA" w:rsidRPr="00EF7033">
        <w:t xml:space="preserve"> </w:t>
      </w:r>
      <w:r w:rsidR="004623A8" w:rsidRPr="00EF7033">
        <w:t>a été ou sera dûment signé et remis par la Société et constitue, ou constituera, une fois signé et remis par la Société</w:t>
      </w:r>
      <w:r w:rsidR="00073CFA" w:rsidRPr="00EF7033">
        <w:t xml:space="preserve">, </w:t>
      </w:r>
      <w:r w:rsidR="004623A8" w:rsidRPr="00EF7033">
        <w:t>une obligation légale</w:t>
      </w:r>
      <w:r w:rsidR="00B86B47" w:rsidRPr="00EF7033">
        <w:t xml:space="preserve"> et</w:t>
      </w:r>
      <w:r w:rsidR="004623A8" w:rsidRPr="00EF7033">
        <w:t xml:space="preserve"> valable </w:t>
      </w:r>
      <w:r w:rsidR="00B86B47" w:rsidRPr="00EF7033">
        <w:t xml:space="preserve">qui lie </w:t>
      </w:r>
      <w:r w:rsidR="004623A8" w:rsidRPr="00EF7033">
        <w:t>la Société</w:t>
      </w:r>
      <w:r w:rsidR="00B86B47" w:rsidRPr="00EF7033">
        <w:t xml:space="preserve"> et lui est</w:t>
      </w:r>
      <w:r w:rsidR="004623A8" w:rsidRPr="00EF7033">
        <w:t xml:space="preserve"> opposable conformément à ses modalités, sauf dans la mesure où cette obligation est limitée par les lois applicables sur la faillite et l’insolvabilité ou d’autres lois d’application générale concernant ou touchant </w:t>
      </w:r>
      <w:r w:rsidR="006B13F2" w:rsidRPr="00EF7033">
        <w:t>l’exécution des</w:t>
      </w:r>
      <w:r w:rsidR="004623A8" w:rsidRPr="00EF7033">
        <w:t xml:space="preserve"> droits des créanciers en général et les principes généraux d’equity</w:t>
      </w:r>
      <w:r w:rsidR="00073CFA" w:rsidRPr="00EF7033">
        <w:t>.</w:t>
      </w:r>
    </w:p>
    <w:p w14:paraId="1E757CF5" w14:textId="45C482B0" w:rsidR="00F0406C" w:rsidRPr="00060926" w:rsidRDefault="00504C6A" w:rsidP="00E62658">
      <w:pPr>
        <w:pStyle w:val="StandardL1"/>
      </w:pPr>
      <w:r w:rsidRPr="00EF7033">
        <w:rPr>
          <w:u w:val="single"/>
        </w:rPr>
        <w:t>Dispense de l’obligation de p</w:t>
      </w:r>
      <w:r w:rsidR="00073CFA" w:rsidRPr="00EF7033">
        <w:rPr>
          <w:u w:val="single"/>
        </w:rPr>
        <w:t>rospectus</w:t>
      </w:r>
      <w:r w:rsidR="00073CFA" w:rsidRPr="00EF7033">
        <w:t>. [</w:t>
      </w:r>
      <w:r w:rsidR="00B12567" w:rsidRPr="00EF7033">
        <w:t>La Société</w:t>
      </w:r>
      <w:r w:rsidR="00073CFA" w:rsidRPr="00EF7033">
        <w:t xml:space="preserve"> </w:t>
      </w:r>
      <w:r w:rsidRPr="00EF7033">
        <w:t>est un</w:t>
      </w:r>
      <w:r w:rsidR="00073CFA" w:rsidRPr="00EF7033">
        <w:t xml:space="preserve"> </w:t>
      </w:r>
      <w:r w:rsidR="005956FF" w:rsidRPr="00EF7033">
        <w:t>« </w:t>
      </w:r>
      <w:r w:rsidRPr="00EF7033">
        <w:t>émetteur fermé</w:t>
      </w:r>
      <w:r w:rsidR="005956FF" w:rsidRPr="00EF7033">
        <w:t> »</w:t>
      </w:r>
      <w:r w:rsidR="00073CFA" w:rsidRPr="00EF7033">
        <w:t xml:space="preserve">, </w:t>
      </w:r>
      <w:r w:rsidR="00A3579A" w:rsidRPr="00EF7033">
        <w:t>au sens donné à ce terme</w:t>
      </w:r>
      <w:r w:rsidRPr="00EF7033">
        <w:t xml:space="preserve"> dans la </w:t>
      </w:r>
      <w:r w:rsidRPr="00EF7033">
        <w:rPr>
          <w:i/>
          <w:iCs/>
        </w:rPr>
        <w:t>Loi sur les valeurs mobilières</w:t>
      </w:r>
      <w:r w:rsidRPr="00EF7033">
        <w:t xml:space="preserve"> </w:t>
      </w:r>
      <w:r w:rsidR="00073CFA" w:rsidRPr="00EF7033">
        <w:t xml:space="preserve">(Ontario) </w:t>
      </w:r>
      <w:r w:rsidRPr="00EF7033">
        <w:t>et le</w:t>
      </w:r>
      <w:r w:rsidR="00073CFA" w:rsidRPr="00EF7033">
        <w:t xml:space="preserve"> </w:t>
      </w:r>
      <w:r w:rsidRPr="00EF7033">
        <w:rPr>
          <w:i/>
          <w:iCs/>
        </w:rPr>
        <w:t>Règlement </w:t>
      </w:r>
      <w:r w:rsidRPr="00060926">
        <w:rPr>
          <w:i/>
          <w:iCs/>
        </w:rPr>
        <w:t>45</w:t>
      </w:r>
      <w:r w:rsidRPr="00060926">
        <w:rPr>
          <w:i/>
          <w:iCs/>
        </w:rPr>
        <w:noBreakHyphen/>
        <w:t>106</w:t>
      </w:r>
      <w:r w:rsidRPr="00EF7033">
        <w:rPr>
          <w:i/>
          <w:iCs/>
        </w:rPr>
        <w:t xml:space="preserve"> sur les dispenses de prospectus</w:t>
      </w:r>
      <w:r w:rsidR="00073CFA" w:rsidRPr="00EF7033">
        <w:rPr>
          <w:iCs/>
        </w:rPr>
        <w:t>.]</w:t>
      </w:r>
      <w:r w:rsidR="00073CFA" w:rsidRPr="00EF7033">
        <w:t xml:space="preserve"> </w:t>
      </w:r>
      <w:r w:rsidRPr="00EF7033">
        <w:t xml:space="preserve">Sous réserve de l’exactitude des </w:t>
      </w:r>
      <w:r w:rsidR="0050259D" w:rsidRPr="00EF7033">
        <w:t>déclarations et garanties</w:t>
      </w:r>
      <w:r w:rsidR="00073CFA" w:rsidRPr="00EF7033">
        <w:t xml:space="preserve"> </w:t>
      </w:r>
      <w:r w:rsidRPr="00EF7033">
        <w:t>du Porteur figurant dans</w:t>
      </w:r>
      <w:r w:rsidR="00073CFA" w:rsidRPr="00EF7033">
        <w:t xml:space="preserve"> </w:t>
      </w:r>
      <w:r w:rsidR="001267F4" w:rsidRPr="00EF7033">
        <w:t>le présent Billet</w:t>
      </w:r>
      <w:r w:rsidR="00073CFA" w:rsidRPr="00EF7033">
        <w:t xml:space="preserve">, </w:t>
      </w:r>
      <w:r w:rsidRPr="00EF7033">
        <w:t xml:space="preserve">l’offre, la vente et l’émission </w:t>
      </w:r>
      <w:r w:rsidR="008403CC" w:rsidRPr="00EF7033">
        <w:t>du présent Billet</w:t>
      </w:r>
      <w:r w:rsidR="00073CFA" w:rsidRPr="00EF7033">
        <w:t xml:space="preserve"> </w:t>
      </w:r>
      <w:r w:rsidRPr="00EF7033">
        <w:t xml:space="preserve">et l’émission des </w:t>
      </w:r>
      <w:r w:rsidR="00CB696A" w:rsidRPr="00EF7033">
        <w:t>Actions issues de la conversion</w:t>
      </w:r>
      <w:r w:rsidR="00073CFA" w:rsidRPr="00EF7033">
        <w:t xml:space="preserve"> </w:t>
      </w:r>
      <w:r w:rsidRPr="00EF7033">
        <w:t>au</w:t>
      </w:r>
      <w:r w:rsidR="008403CC" w:rsidRPr="00EF7033">
        <w:t xml:space="preserve"> Porteur</w:t>
      </w:r>
      <w:r w:rsidR="00073CFA" w:rsidRPr="00EF7033">
        <w:t xml:space="preserve"> </w:t>
      </w:r>
      <w:r w:rsidRPr="00EF7033">
        <w:t xml:space="preserve">lors de la conversion en bonne et due forme du </w:t>
      </w:r>
      <w:r w:rsidR="008403CC" w:rsidRPr="00EF7033">
        <w:t>présent Billet</w:t>
      </w:r>
      <w:r w:rsidR="00073CFA" w:rsidRPr="00EF7033">
        <w:t xml:space="preserve"> </w:t>
      </w:r>
      <w:r w:rsidRPr="00EF7033">
        <w:t xml:space="preserve">constitueront des </w:t>
      </w:r>
      <w:r w:rsidR="0078293A" w:rsidRPr="00EF7033">
        <w:t>opérations</w:t>
      </w:r>
      <w:r w:rsidRPr="00EF7033">
        <w:t xml:space="preserve"> dispensées des obligations de prospectus prévues par les lois </w:t>
      </w:r>
      <w:r w:rsidR="005956FF" w:rsidRPr="00EF7033">
        <w:t>canadiennes sur les valeurs mobilières</w:t>
      </w:r>
      <w:r w:rsidR="00B86B47" w:rsidRPr="00EF7033">
        <w:t xml:space="preserve"> applicables</w:t>
      </w:r>
      <w:r w:rsidR="00073CFA" w:rsidRPr="00EF7033">
        <w:t>.</w:t>
      </w:r>
    </w:p>
    <w:p w14:paraId="1C478551" w14:textId="2F70C23D" w:rsidR="00F0406C" w:rsidRPr="00060926" w:rsidRDefault="004904A5" w:rsidP="0041223B">
      <w:pPr>
        <w:pStyle w:val="StandardL1"/>
      </w:pPr>
      <w:r w:rsidRPr="00EF7033">
        <w:rPr>
          <w:u w:val="single"/>
        </w:rPr>
        <w:t>Aucune approbation requise</w:t>
      </w:r>
      <w:r w:rsidR="00073CFA" w:rsidRPr="00EF7033">
        <w:t>.</w:t>
      </w:r>
      <w:r w:rsidR="0085305E" w:rsidRPr="00EF7033">
        <w:t xml:space="preserve"> </w:t>
      </w:r>
      <w:r w:rsidR="00066F72" w:rsidRPr="00EF7033">
        <w:t xml:space="preserve">Aucune </w:t>
      </w:r>
      <w:r w:rsidR="00B15FBA" w:rsidRPr="00EF7033">
        <w:t>approbation</w:t>
      </w:r>
      <w:r w:rsidR="00066F72" w:rsidRPr="00EF7033">
        <w:t>, aucun consentement</w:t>
      </w:r>
      <w:r w:rsidR="001321EB" w:rsidRPr="00EF7033">
        <w:t>,</w:t>
      </w:r>
      <w:r w:rsidR="00066F72" w:rsidRPr="00EF7033">
        <w:t xml:space="preserve"> ni aucune </w:t>
      </w:r>
      <w:r w:rsidR="00B15FBA" w:rsidRPr="00EF7033">
        <w:t>autorisation</w:t>
      </w:r>
      <w:r w:rsidR="00066F72" w:rsidRPr="00EF7033">
        <w:t xml:space="preserve"> d’une autorité gouvernementale, ni aucun avis à une telle autorité gouvernementale ou dépôt auprès d’une </w:t>
      </w:r>
      <w:r w:rsidR="00B15FBA" w:rsidRPr="00EF7033">
        <w:t xml:space="preserve">telle </w:t>
      </w:r>
      <w:r w:rsidR="00066F72" w:rsidRPr="00EF7033">
        <w:t xml:space="preserve">autorité gouvernementale n’est exigé de la Société dans le cadre de la signature ou de </w:t>
      </w:r>
      <w:r w:rsidR="00B15FBA" w:rsidRPr="00EF7033">
        <w:t>la remise</w:t>
      </w:r>
      <w:r w:rsidR="00066F72" w:rsidRPr="00EF7033">
        <w:t xml:space="preserve"> du présent Billet ou </w:t>
      </w:r>
      <w:r w:rsidR="00CF7845" w:rsidRPr="00EF7033">
        <w:t>de l’exécution</w:t>
      </w:r>
      <w:r w:rsidR="00066F72" w:rsidRPr="00EF7033">
        <w:t xml:space="preserve"> par la Société de ses obligations aux termes du présent Billet</w:t>
      </w:r>
      <w:r w:rsidR="00073CFA" w:rsidRPr="00EF7033">
        <w:t xml:space="preserve">, </w:t>
      </w:r>
      <w:r w:rsidR="00066F72" w:rsidRPr="00EF7033">
        <w:t xml:space="preserve">outre les avis ou les dépôts devant être remis ou faits avant la </w:t>
      </w:r>
      <w:r w:rsidR="005956FF" w:rsidRPr="00EF7033">
        <w:t>Date d’émission</w:t>
      </w:r>
      <w:r w:rsidR="00073CFA" w:rsidRPr="00EF7033">
        <w:t xml:space="preserve"> </w:t>
      </w:r>
      <w:r w:rsidR="00066F72" w:rsidRPr="00EF7033">
        <w:t xml:space="preserve">ou dans les délais prescrits après la </w:t>
      </w:r>
      <w:r w:rsidR="005956FF" w:rsidRPr="00EF7033">
        <w:t>Date d’émission</w:t>
      </w:r>
      <w:r w:rsidR="00073CFA" w:rsidRPr="00EF7033">
        <w:t>.</w:t>
      </w:r>
    </w:p>
    <w:p w14:paraId="7ED244BF" w14:textId="53451AF7" w:rsidR="00F0406C" w:rsidRPr="00060926" w:rsidRDefault="00066F72" w:rsidP="0041223B">
      <w:pPr>
        <w:pStyle w:val="StandardL1"/>
      </w:pPr>
      <w:r w:rsidRPr="00EF7033">
        <w:rPr>
          <w:u w:val="single"/>
        </w:rPr>
        <w:t>Respect des lois</w:t>
      </w:r>
      <w:r w:rsidR="00073CFA" w:rsidRPr="00EF7033">
        <w:t>.</w:t>
      </w:r>
      <w:r w:rsidR="0085305E" w:rsidRPr="00EF7033">
        <w:t xml:space="preserve"> </w:t>
      </w:r>
      <w:r w:rsidRPr="00EF7033">
        <w:t>La Société respecte, à tous égards importants, toutes les lois applicables de chaque territoire où elle exerce ses activités</w:t>
      </w:r>
      <w:r w:rsidR="00073CFA" w:rsidRPr="00EF7033">
        <w:t>.</w:t>
      </w:r>
    </w:p>
    <w:p w14:paraId="63A448CC" w14:textId="0DC4DB96" w:rsidR="00F0406C" w:rsidRPr="00060926" w:rsidRDefault="002E0578" w:rsidP="0041223B">
      <w:pPr>
        <w:pStyle w:val="StandardL1"/>
      </w:pPr>
      <w:r w:rsidRPr="00EF7033">
        <w:rPr>
          <w:u w:val="single"/>
        </w:rPr>
        <w:t>Litiges</w:t>
      </w:r>
      <w:r w:rsidR="00073CFA" w:rsidRPr="00EF7033">
        <w:t xml:space="preserve">. </w:t>
      </w:r>
      <w:r w:rsidRPr="00EF7033">
        <w:t xml:space="preserve">Il n’existe aucune action, poursuite, procédure, réclamation, </w:t>
      </w:r>
      <w:r w:rsidR="00CF7845" w:rsidRPr="00EF7033">
        <w:t>procédure d’a</w:t>
      </w:r>
      <w:r w:rsidRPr="00EF7033">
        <w:t xml:space="preserve">rbitrage </w:t>
      </w:r>
      <w:r w:rsidR="00CF7845" w:rsidRPr="00EF7033">
        <w:t>ou</w:t>
      </w:r>
      <w:r w:rsidRPr="00EF7033">
        <w:t xml:space="preserve"> enquête, privé</w:t>
      </w:r>
      <w:r w:rsidR="00CF7845" w:rsidRPr="00EF7033">
        <w:t>e</w:t>
      </w:r>
      <w:r w:rsidRPr="00EF7033">
        <w:t xml:space="preserve"> ou gouvernemental</w:t>
      </w:r>
      <w:r w:rsidR="00CF7845" w:rsidRPr="00EF7033">
        <w:t>e</w:t>
      </w:r>
      <w:r w:rsidRPr="00EF7033">
        <w:t xml:space="preserve">, </w:t>
      </w:r>
      <w:r w:rsidR="00CF7845" w:rsidRPr="00EF7033">
        <w:t xml:space="preserve">en instance </w:t>
      </w:r>
      <w:r w:rsidRPr="00EF7033">
        <w:t xml:space="preserve">devant un organisme, une cour ou un tribunal, étranger ou national, ou, à la connaissance de la Société, </w:t>
      </w:r>
      <w:r w:rsidR="00CF7845" w:rsidRPr="00EF7033">
        <w:t>appréhendée</w:t>
      </w:r>
      <w:r w:rsidRPr="00EF7033">
        <w:t xml:space="preserve"> contre la Société ou l’un ou l’autre de ses biens</w:t>
      </w:r>
      <w:r w:rsidR="00073CFA" w:rsidRPr="00EF7033">
        <w:t xml:space="preserve">. </w:t>
      </w:r>
      <w:r w:rsidRPr="00EF7033">
        <w:t>Il n</w:t>
      </w:r>
      <w:r w:rsidR="006C459E" w:rsidRPr="00EF7033">
        <w:t>’</w:t>
      </w:r>
      <w:r w:rsidRPr="00EF7033">
        <w:t xml:space="preserve">existe </w:t>
      </w:r>
      <w:r w:rsidR="006C459E" w:rsidRPr="00EF7033">
        <w:t xml:space="preserve">aucun </w:t>
      </w:r>
      <w:r w:rsidRPr="00EF7033">
        <w:t>jugement</w:t>
      </w:r>
      <w:r w:rsidR="00CF7845" w:rsidRPr="00EF7033">
        <w:t xml:space="preserve">, aucun </w:t>
      </w:r>
      <w:r w:rsidRPr="00EF7033">
        <w:t>décret ou</w:t>
      </w:r>
      <w:r w:rsidR="00B15FBA" w:rsidRPr="00EF7033">
        <w:t xml:space="preserve"> aucune</w:t>
      </w:r>
      <w:r w:rsidRPr="00EF7033">
        <w:t xml:space="preserve"> ordonnance contre la Société qui pourrait empêcher, interdire, ou modifier ou retarder de manière importante l</w:t>
      </w:r>
      <w:r w:rsidR="006C459E" w:rsidRPr="00EF7033">
        <w:t>’</w:t>
      </w:r>
      <w:r w:rsidRPr="00EF7033">
        <w:t>une ou l</w:t>
      </w:r>
      <w:r w:rsidR="006C459E" w:rsidRPr="00EF7033">
        <w:t>’</w:t>
      </w:r>
      <w:r w:rsidRPr="00EF7033">
        <w:t>autre des opérations envisagées dans le présent Billet, ou dont on pourrait raisonnablement s</w:t>
      </w:r>
      <w:r w:rsidR="006C459E" w:rsidRPr="00EF7033">
        <w:t>’</w:t>
      </w:r>
      <w:r w:rsidRPr="00EF7033">
        <w:t>attendre à ce qu</w:t>
      </w:r>
      <w:r w:rsidR="006C459E" w:rsidRPr="00EF7033">
        <w:t>’</w:t>
      </w:r>
      <w:r w:rsidRPr="00EF7033">
        <w:t xml:space="preserve">il ait </w:t>
      </w:r>
      <w:r w:rsidR="00E202FF" w:rsidRPr="00EF7033">
        <w:t>une Incidence défavorable importante</w:t>
      </w:r>
      <w:r w:rsidR="00073CFA" w:rsidRPr="00EF7033">
        <w:t>.</w:t>
      </w:r>
    </w:p>
    <w:p w14:paraId="3089AC3A" w14:textId="54D6E9B9" w:rsidR="00F0406C" w:rsidRPr="00060926" w:rsidRDefault="006C459E" w:rsidP="0041223B">
      <w:pPr>
        <w:pStyle w:val="StandardL1"/>
      </w:pPr>
      <w:r w:rsidRPr="00EF7033">
        <w:rPr>
          <w:u w:val="single"/>
        </w:rPr>
        <w:t>Propriété d</w:t>
      </w:r>
      <w:r w:rsidR="00CF7845" w:rsidRPr="00EF7033">
        <w:rPr>
          <w:u w:val="single"/>
        </w:rPr>
        <w:t>’</w:t>
      </w:r>
      <w:r w:rsidRPr="00EF7033">
        <w:rPr>
          <w:u w:val="single"/>
        </w:rPr>
        <w:t>actifs</w:t>
      </w:r>
      <w:r w:rsidR="00073CFA" w:rsidRPr="00EF7033">
        <w:t>.</w:t>
      </w:r>
      <w:r w:rsidR="0085305E" w:rsidRPr="00EF7033">
        <w:t xml:space="preserve"> </w:t>
      </w:r>
      <w:r w:rsidRPr="00EF7033">
        <w:t>La Société a tous les titres et droits de propriété relatifs aux brevets, marques de commerce, marques de service, noms commerciaux, noms de domaine, droits d’auteur, secrets commerciaux, renseignements et autres éléments de propriété intellectuelle et droits exclusifs nécessaires à l’exercice de ses activités tel qu’elle les exerce à l’heure actuelle</w:t>
      </w:r>
      <w:r w:rsidR="00073CFA" w:rsidRPr="00EF7033">
        <w:t>.</w:t>
      </w:r>
    </w:p>
    <w:p w14:paraId="2CA0F90D" w14:textId="04EE4942" w:rsidR="00F0406C" w:rsidRPr="00060926" w:rsidRDefault="006C459E" w:rsidP="0041223B">
      <w:pPr>
        <w:pStyle w:val="StandardL1"/>
      </w:pPr>
      <w:r w:rsidRPr="00EF7033">
        <w:rPr>
          <w:u w:val="single"/>
        </w:rPr>
        <w:t>Taxes et impôts</w:t>
      </w:r>
      <w:r w:rsidR="00073CFA" w:rsidRPr="00EF7033">
        <w:t>.</w:t>
      </w:r>
      <w:r w:rsidR="0085305E" w:rsidRPr="00EF7033">
        <w:t xml:space="preserve"> </w:t>
      </w:r>
      <w:r w:rsidR="00741E67" w:rsidRPr="00EF7033">
        <w:t>La Société se conforme à toutes les lois applicables en matière d’impôts, de taxes</w:t>
      </w:r>
      <w:r w:rsidR="00B15FBA" w:rsidRPr="00EF7033">
        <w:t xml:space="preserve"> et</w:t>
      </w:r>
      <w:r w:rsidR="00741E67" w:rsidRPr="00EF7033">
        <w:t xml:space="preserve"> de régimes de retraite ou d’assurance-emploi</w:t>
      </w:r>
      <w:r w:rsidR="00AD2C89" w:rsidRPr="00EF7033">
        <w:t xml:space="preserve"> gouvernementaux</w:t>
      </w:r>
      <w:r w:rsidR="00B15FBA" w:rsidRPr="00EF7033">
        <w:t>,</w:t>
      </w:r>
      <w:r w:rsidR="00741E67" w:rsidRPr="00EF7033">
        <w:t xml:space="preserve"> et a perçu, retenu</w:t>
      </w:r>
      <w:r w:rsidR="00AD2C89" w:rsidRPr="00EF7033">
        <w:t xml:space="preserve"> ainsi que</w:t>
      </w:r>
      <w:r w:rsidR="00741E67" w:rsidRPr="00EF7033">
        <w:t xml:space="preserve"> remis et payé en temps opportun tous les montants requis en vertu de ces lois, y compris les taxes sur les produits et services, les taxes d’accise, les charges sociales ou l</w:t>
      </w:r>
      <w:r w:rsidR="00B15FBA" w:rsidRPr="00EF7033">
        <w:t>’</w:t>
      </w:r>
      <w:r w:rsidR="00741E67" w:rsidRPr="00EF7033">
        <w:t xml:space="preserve">impôt sur le revenu applicables à la Société ou à ses </w:t>
      </w:r>
      <w:r w:rsidR="00AD2C89" w:rsidRPr="00EF7033">
        <w:t xml:space="preserve">affaires et </w:t>
      </w:r>
      <w:r w:rsidR="00741E67" w:rsidRPr="00EF7033">
        <w:t>activités</w:t>
      </w:r>
      <w:r w:rsidR="00073CFA" w:rsidRPr="00EF7033">
        <w:t>.</w:t>
      </w:r>
    </w:p>
    <w:p w14:paraId="367F223E" w14:textId="39921996" w:rsidR="00F0406C" w:rsidRPr="00060926" w:rsidRDefault="00741E67" w:rsidP="0041223B">
      <w:pPr>
        <w:pStyle w:val="StandardL1"/>
      </w:pPr>
      <w:r w:rsidRPr="00EF7033">
        <w:rPr>
          <w:u w:val="single"/>
        </w:rPr>
        <w:t>Aucun défaut</w:t>
      </w:r>
      <w:r w:rsidR="00073CFA" w:rsidRPr="00EF7033">
        <w:t>.</w:t>
      </w:r>
      <w:r w:rsidR="0085305E" w:rsidRPr="00EF7033">
        <w:t xml:space="preserve"> </w:t>
      </w:r>
      <w:r w:rsidRPr="00EF7033">
        <w:t>Aucun</w:t>
      </w:r>
      <w:r w:rsidR="00073CFA" w:rsidRPr="00EF7033">
        <w:t xml:space="preserve"> </w:t>
      </w:r>
      <w:r w:rsidR="002C08F9" w:rsidRPr="00EF7033">
        <w:t>Cas de défaut</w:t>
      </w:r>
      <w:r w:rsidR="00073CFA" w:rsidRPr="00EF7033">
        <w:t xml:space="preserve"> </w:t>
      </w:r>
      <w:r w:rsidRPr="00EF7033">
        <w:t>n’est survenu ni ne persiste</w:t>
      </w:r>
      <w:r w:rsidR="00073CFA" w:rsidRPr="00EF7033">
        <w:t>.</w:t>
      </w:r>
    </w:p>
    <w:p w14:paraId="38F70EA8" w14:textId="241E8887" w:rsidR="00F0406C" w:rsidRPr="00060926" w:rsidRDefault="00B27D37" w:rsidP="00DD51C0">
      <w:pPr>
        <w:pStyle w:val="StandardL1"/>
      </w:pPr>
      <w:r w:rsidRPr="00DD51C0">
        <w:rPr>
          <w:u w:val="single"/>
        </w:rPr>
        <w:t>Divulgation complète</w:t>
      </w:r>
      <w:r w:rsidR="00073CFA" w:rsidRPr="00EF7033">
        <w:t>.</w:t>
      </w:r>
      <w:r w:rsidR="0085305E" w:rsidRPr="00EF7033">
        <w:t xml:space="preserve"> </w:t>
      </w:r>
      <w:r w:rsidRPr="00EF7033">
        <w:t xml:space="preserve">La Société a fourni au Porteur tous les renseignements demandés par le Porteur en lien avec le présent Billet et il n’existe aucun fait connu de la Société qui n’a pas été divulgué au Porteur </w:t>
      </w:r>
      <w:r w:rsidR="00AD2C89" w:rsidRPr="00EF7033">
        <w:t xml:space="preserve">et </w:t>
      </w:r>
      <w:r w:rsidRPr="00EF7033">
        <w:t>qui pourrait raisonnablement avoir un effet défavorable important sur la capacité de la Société à respecter et à exécuter ses obligations aux termes du présent Billet</w:t>
      </w:r>
      <w:r w:rsidR="00073CFA" w:rsidRPr="00EF7033">
        <w:t xml:space="preserve">. </w:t>
      </w:r>
      <w:r w:rsidR="004623A8" w:rsidRPr="00EF7033">
        <w:t xml:space="preserve">Aucun document remis au Porteur par la Société relativement au </w:t>
      </w:r>
      <w:r w:rsidR="001267F4" w:rsidRPr="00EF7033">
        <w:t>présent Billet</w:t>
      </w:r>
      <w:r w:rsidR="00073CFA" w:rsidRPr="00EF7033">
        <w:t xml:space="preserve"> </w:t>
      </w:r>
      <w:r w:rsidR="004623A8" w:rsidRPr="00EF7033">
        <w:t xml:space="preserve">ne contient d’information fausse ou trompeuse concernant un fait important </w:t>
      </w:r>
      <w:r w:rsidR="00943A28" w:rsidRPr="00EF7033">
        <w:t xml:space="preserve">ni </w:t>
      </w:r>
      <w:r w:rsidR="004623A8" w:rsidRPr="00EF7033">
        <w:t>n’omet de déclarer un fait important nécessaire pour que les déclarations contenues aux présente ne soient pas trompeuses</w:t>
      </w:r>
      <w:r w:rsidR="00073CFA" w:rsidRPr="00EF7033">
        <w:t>.</w:t>
      </w:r>
      <w:bookmarkEnd w:id="17"/>
    </w:p>
    <w:p w14:paraId="78FA1D04" w14:textId="77777777" w:rsidR="00F0406C" w:rsidRPr="00EF7033" w:rsidRDefault="00F0406C" w:rsidP="003B6060">
      <w:pPr>
        <w:pStyle w:val="StandardL2"/>
        <w:numPr>
          <w:ilvl w:val="0"/>
          <w:numId w:val="0"/>
        </w:numPr>
        <w:sectPr w:rsidR="00F0406C" w:rsidRPr="00EF7033" w:rsidSect="003053DC">
          <w:footerReference w:type="default" r:id="rId19"/>
          <w:footerReference w:type="first" r:id="rId20"/>
          <w:pgSz w:w="12240" w:h="15840" w:code="1"/>
          <w:pgMar w:top="1440" w:right="1440" w:bottom="1440" w:left="1440" w:header="720" w:footer="576" w:gutter="0"/>
          <w:pgNumType w:start="1"/>
          <w:cols w:space="720"/>
          <w:docGrid w:linePitch="360"/>
        </w:sectPr>
      </w:pPr>
    </w:p>
    <w:p w14:paraId="2E38286D" w14:textId="30E0767A" w:rsidR="00F0406C" w:rsidRPr="00EF7033" w:rsidRDefault="00313A99" w:rsidP="003B6060">
      <w:pPr>
        <w:pStyle w:val="StandardL2"/>
        <w:numPr>
          <w:ilvl w:val="0"/>
          <w:numId w:val="0"/>
        </w:numPr>
        <w:jc w:val="center"/>
        <w:rPr>
          <w:b/>
        </w:rPr>
      </w:pPr>
      <w:r w:rsidRPr="00EF7033">
        <w:rPr>
          <w:b/>
        </w:rPr>
        <w:t>Annexe B</w:t>
      </w:r>
    </w:p>
    <w:p w14:paraId="3B73AEBF" w14:textId="13617CC4" w:rsidR="00F0406C" w:rsidRPr="00EF7033" w:rsidRDefault="00B2640C" w:rsidP="00247D35">
      <w:pPr>
        <w:pStyle w:val="StandardL2"/>
        <w:numPr>
          <w:ilvl w:val="0"/>
          <w:numId w:val="0"/>
        </w:numPr>
        <w:jc w:val="center"/>
        <w:rPr>
          <w:b/>
        </w:rPr>
      </w:pPr>
      <w:r w:rsidRPr="00EF7033">
        <w:rPr>
          <w:b/>
        </w:rPr>
        <w:t xml:space="preserve">Déclarations, garanties et reconnaissances du </w:t>
      </w:r>
      <w:r w:rsidR="00ED43AC" w:rsidRPr="00EF7033">
        <w:rPr>
          <w:b/>
        </w:rPr>
        <w:t>Porteur</w:t>
      </w:r>
    </w:p>
    <w:p w14:paraId="6003A45C" w14:textId="4FDCDD1D" w:rsidR="00F0406C" w:rsidRPr="00060926" w:rsidRDefault="00073CFA" w:rsidP="00247D35">
      <w:pPr>
        <w:pStyle w:val="StandardL1"/>
        <w:numPr>
          <w:ilvl w:val="0"/>
          <w:numId w:val="9"/>
        </w:numPr>
      </w:pPr>
      <w:bookmarkStart w:id="18" w:name="_Ref31707571"/>
      <w:r w:rsidRPr="00EF7033">
        <w:rPr>
          <w:u w:val="single"/>
        </w:rPr>
        <w:t>Autori</w:t>
      </w:r>
      <w:r w:rsidR="00B2640C" w:rsidRPr="00EF7033">
        <w:rPr>
          <w:u w:val="single"/>
        </w:rPr>
        <w:t>s</w:t>
      </w:r>
      <w:r w:rsidRPr="00EF7033">
        <w:rPr>
          <w:u w:val="single"/>
        </w:rPr>
        <w:t xml:space="preserve">ation </w:t>
      </w:r>
      <w:r w:rsidR="00B2640C" w:rsidRPr="00EF7033">
        <w:rPr>
          <w:u w:val="single"/>
        </w:rPr>
        <w:t>et caractère exécutoire</w:t>
      </w:r>
      <w:r w:rsidRPr="00EF7033">
        <w:rPr>
          <w:i/>
        </w:rPr>
        <w:t>.</w:t>
      </w:r>
      <w:r w:rsidRPr="00EF7033">
        <w:t xml:space="preserve"> </w:t>
      </w:r>
      <w:r w:rsidR="000B199D" w:rsidRPr="00EF7033">
        <w:t>Le Porteur a les pleins pouvoirs et l’autorité nécessaires pour conclure le présent Billet et s’acquitter de ses obligations aux termes du présent Billet</w:t>
      </w:r>
      <w:r w:rsidRPr="00EF7033">
        <w:t xml:space="preserve">. </w:t>
      </w:r>
      <w:r w:rsidR="00B946A7" w:rsidRPr="00EF7033">
        <w:t xml:space="preserve">Le présent Billet a été, ou sera, dûment signé et remis par le Porteur et constitue, ou </w:t>
      </w:r>
      <w:r w:rsidR="004623A8" w:rsidRPr="00EF7033">
        <w:t>constituera, une fois signé et remis par le Porteur</w:t>
      </w:r>
      <w:r w:rsidR="00B946A7" w:rsidRPr="00EF7033">
        <w:t xml:space="preserve">, une </w:t>
      </w:r>
      <w:r w:rsidR="004623A8" w:rsidRPr="00EF7033">
        <w:t>obligation légale</w:t>
      </w:r>
      <w:r w:rsidR="00B510A4" w:rsidRPr="00EF7033">
        <w:t xml:space="preserve"> et</w:t>
      </w:r>
      <w:r w:rsidR="004623A8" w:rsidRPr="00EF7033">
        <w:t xml:space="preserve"> valable </w:t>
      </w:r>
      <w:r w:rsidR="00B510A4" w:rsidRPr="00EF7033">
        <w:t>qui lie le</w:t>
      </w:r>
      <w:r w:rsidR="00B946A7" w:rsidRPr="00EF7033">
        <w:t xml:space="preserve"> Porteur</w:t>
      </w:r>
      <w:r w:rsidR="00B510A4" w:rsidRPr="00EF7033">
        <w:t xml:space="preserve"> et lui est</w:t>
      </w:r>
      <w:r w:rsidR="00B946A7" w:rsidRPr="00EF7033">
        <w:t xml:space="preserve"> opposable</w:t>
      </w:r>
      <w:r w:rsidR="00B510A4" w:rsidRPr="00EF7033">
        <w:t xml:space="preserve"> c</w:t>
      </w:r>
      <w:r w:rsidR="00B946A7" w:rsidRPr="00EF7033">
        <w:t xml:space="preserve">onformément à ses modalités, sauf dans la mesure où </w:t>
      </w:r>
      <w:r w:rsidR="004623A8" w:rsidRPr="00EF7033">
        <w:t>cette obligation</w:t>
      </w:r>
      <w:r w:rsidR="00B946A7" w:rsidRPr="00EF7033">
        <w:t xml:space="preserve"> est </w:t>
      </w:r>
      <w:r w:rsidR="004623A8" w:rsidRPr="00EF7033">
        <w:t xml:space="preserve">limitée par les lois applicables sur la faillite et l’insolvabilité ou d’autres lois d’application générale </w:t>
      </w:r>
      <w:r w:rsidR="00B15FBA" w:rsidRPr="00EF7033">
        <w:t>concernant</w:t>
      </w:r>
      <w:r w:rsidR="00B946A7" w:rsidRPr="00EF7033">
        <w:t xml:space="preserve"> ou touchant l’exécution des droits des créanciers en général et les principes généraux d’equity</w:t>
      </w:r>
      <w:r w:rsidRPr="00EF7033">
        <w:t>.</w:t>
      </w:r>
      <w:bookmarkEnd w:id="18"/>
    </w:p>
    <w:p w14:paraId="06C54880" w14:textId="108A437C" w:rsidR="00F0406C" w:rsidRPr="00060926" w:rsidRDefault="00011B8F" w:rsidP="00247D35">
      <w:pPr>
        <w:pStyle w:val="StandardL1"/>
      </w:pPr>
      <w:bookmarkStart w:id="19" w:name="_Ref31707572"/>
      <w:r w:rsidRPr="00EF7033">
        <w:rPr>
          <w:u w:val="single"/>
        </w:rPr>
        <w:t>Achat pour son propre compte seulement</w:t>
      </w:r>
      <w:r w:rsidR="00073CFA" w:rsidRPr="00EF7033">
        <w:rPr>
          <w:i/>
        </w:rPr>
        <w:t>.</w:t>
      </w:r>
      <w:r w:rsidR="00073CFA" w:rsidRPr="00EF7033">
        <w:t xml:space="preserve"> </w:t>
      </w:r>
      <w:r w:rsidR="00F579A8" w:rsidRPr="00EF7033">
        <w:t>Le Porteur</w:t>
      </w:r>
      <w:r w:rsidR="00073CFA" w:rsidRPr="00EF7033">
        <w:t xml:space="preserve"> </w:t>
      </w:r>
      <w:r w:rsidR="0080269B" w:rsidRPr="00EF7033">
        <w:t>reconnaît que</w:t>
      </w:r>
      <w:r w:rsidR="00073CFA" w:rsidRPr="00EF7033">
        <w:t xml:space="preserve"> </w:t>
      </w:r>
      <w:r w:rsidR="001267F4" w:rsidRPr="00EF7033">
        <w:t>le présent Billet</w:t>
      </w:r>
      <w:r w:rsidR="00073CFA" w:rsidRPr="00EF7033">
        <w:t xml:space="preserve"> </w:t>
      </w:r>
      <w:r w:rsidR="0080269B" w:rsidRPr="00EF7033">
        <w:t xml:space="preserve">est conclu avec le </w:t>
      </w:r>
      <w:r w:rsidR="008403CC" w:rsidRPr="00EF7033">
        <w:t>Porteur</w:t>
      </w:r>
      <w:r w:rsidR="00073CFA" w:rsidRPr="00EF7033">
        <w:t xml:space="preserve"> </w:t>
      </w:r>
      <w:r w:rsidR="0080269B" w:rsidRPr="00EF7033">
        <w:t xml:space="preserve">sur la foi des déclarations fournies par le Porteur à la Société, qui sont confirmées par le Porteur par sa signature du </w:t>
      </w:r>
      <w:r w:rsidR="001267F4" w:rsidRPr="00EF7033">
        <w:t>présent Billet</w:t>
      </w:r>
      <w:r w:rsidR="00073CFA" w:rsidRPr="00EF7033">
        <w:t xml:space="preserve">, </w:t>
      </w:r>
      <w:r w:rsidR="00D35BBD" w:rsidRPr="00EF7033">
        <w:t>et selon lesquelles</w:t>
      </w:r>
      <w:r w:rsidR="0080269B" w:rsidRPr="00EF7033">
        <w:t xml:space="preserve"> </w:t>
      </w:r>
      <w:r w:rsidR="001267F4" w:rsidRPr="00EF7033">
        <w:t>le présent Billet</w:t>
      </w:r>
      <w:r w:rsidR="00073CFA" w:rsidRPr="00EF7033">
        <w:t xml:space="preserve">, </w:t>
      </w:r>
      <w:r w:rsidR="0080269B" w:rsidRPr="00EF7033">
        <w:t>les</w:t>
      </w:r>
      <w:r w:rsidR="00073CFA" w:rsidRPr="00EF7033">
        <w:t xml:space="preserve"> </w:t>
      </w:r>
      <w:r w:rsidR="00CB696A" w:rsidRPr="00EF7033">
        <w:t>Actions issues de la conversion</w:t>
      </w:r>
      <w:r w:rsidR="0080269B" w:rsidRPr="00EF7033">
        <w:t xml:space="preserve"> et tous titres pouvant être émis à la </w:t>
      </w:r>
      <w:r w:rsidR="00073CFA" w:rsidRPr="00EF7033">
        <w:t xml:space="preserve">conversion </w:t>
      </w:r>
      <w:r w:rsidR="0080269B" w:rsidRPr="00EF7033">
        <w:t>des</w:t>
      </w:r>
      <w:r w:rsidR="00073CFA" w:rsidRPr="00EF7033">
        <w:t xml:space="preserve"> </w:t>
      </w:r>
      <w:r w:rsidR="00CB696A" w:rsidRPr="00EF7033">
        <w:t>Actions issues de la conversion</w:t>
      </w:r>
      <w:r w:rsidR="00073CFA" w:rsidRPr="00EF7033">
        <w:t xml:space="preserve"> (</w:t>
      </w:r>
      <w:r w:rsidR="004E19F2" w:rsidRPr="00EF7033">
        <w:t>collectivement</w:t>
      </w:r>
      <w:r w:rsidR="00073CFA" w:rsidRPr="00EF7033">
        <w:t xml:space="preserve">, </w:t>
      </w:r>
      <w:r w:rsidR="0080269B" w:rsidRPr="00EF7033">
        <w:t>les</w:t>
      </w:r>
      <w:r w:rsidR="00073CFA" w:rsidRPr="00EF7033">
        <w:t xml:space="preserve"> </w:t>
      </w:r>
      <w:r w:rsidR="005956FF" w:rsidRPr="00EF7033">
        <w:t>« </w:t>
      </w:r>
      <w:r w:rsidR="0080269B" w:rsidRPr="00EF7033">
        <w:rPr>
          <w:b/>
        </w:rPr>
        <w:t>Titres</w:t>
      </w:r>
      <w:r w:rsidR="005956FF" w:rsidRPr="00EF7033">
        <w:t> »</w:t>
      </w:r>
      <w:r w:rsidR="00C262A4" w:rsidRPr="00EF7033">
        <w:t>)</w:t>
      </w:r>
      <w:r w:rsidR="00073CFA" w:rsidRPr="00EF7033">
        <w:t xml:space="preserve"> </w:t>
      </w:r>
      <w:r w:rsidR="0080269B" w:rsidRPr="00EF7033">
        <w:t xml:space="preserve">seront acquis à des fins </w:t>
      </w:r>
      <w:r w:rsidR="00D35BBD" w:rsidRPr="00EF7033">
        <w:t>de placement</w:t>
      </w:r>
      <w:r w:rsidR="0080269B" w:rsidRPr="00EF7033">
        <w:t xml:space="preserve"> </w:t>
      </w:r>
      <w:r w:rsidR="0073618C" w:rsidRPr="00EF7033">
        <w:t>pour le propre</w:t>
      </w:r>
      <w:r w:rsidR="00711B37" w:rsidRPr="00EF7033">
        <w:t xml:space="preserve"> compte</w:t>
      </w:r>
      <w:r w:rsidR="0073618C" w:rsidRPr="00EF7033">
        <w:t xml:space="preserve"> du Porteur</w:t>
      </w:r>
      <w:r w:rsidR="0080269B" w:rsidRPr="00EF7033">
        <w:t>, et non en tant que prête-nom ou</w:t>
      </w:r>
      <w:r w:rsidR="0073618C" w:rsidRPr="00EF7033">
        <w:t xml:space="preserve"> placeur pour compte ni</w:t>
      </w:r>
      <w:r w:rsidR="0080269B" w:rsidRPr="00EF7033">
        <w:t xml:space="preserve"> en vue de la revente ou du placement de toute partie de ceux-ci</w:t>
      </w:r>
      <w:r w:rsidR="00073CFA" w:rsidRPr="00EF7033">
        <w:t xml:space="preserve">, </w:t>
      </w:r>
      <w:r w:rsidR="0080269B" w:rsidRPr="00EF7033">
        <w:t xml:space="preserve">et que </w:t>
      </w:r>
      <w:r w:rsidR="008403CC" w:rsidRPr="00EF7033">
        <w:t>le Porteur</w:t>
      </w:r>
      <w:r w:rsidR="00073CFA" w:rsidRPr="00EF7033">
        <w:t xml:space="preserve"> </w:t>
      </w:r>
      <w:r w:rsidR="0080269B" w:rsidRPr="00EF7033">
        <w:t>n’a pas actuellement l’intention de vendre le présent Billet, les Actions issues de la conversion ou les Titres, de concéder une quelconque participation dans le présent Billet, les Actions issues de la conversion ou les Titres, ou de les distribuer d’une autre manière</w:t>
      </w:r>
      <w:r w:rsidR="00073CFA" w:rsidRPr="00EF7033">
        <w:t>.</w:t>
      </w:r>
      <w:bookmarkEnd w:id="19"/>
    </w:p>
    <w:p w14:paraId="597AF944" w14:textId="6EA94D0A" w:rsidR="00F0406C" w:rsidRPr="00060926" w:rsidRDefault="00B2640C" w:rsidP="00247D35">
      <w:pPr>
        <w:pStyle w:val="StandardL1"/>
      </w:pPr>
      <w:r w:rsidRPr="00EF7033">
        <w:rPr>
          <w:u w:val="single"/>
        </w:rPr>
        <w:t>Investisseur qualifié</w:t>
      </w:r>
      <w:r w:rsidR="00073CFA" w:rsidRPr="00EF7033">
        <w:t xml:space="preserve">. </w:t>
      </w:r>
      <w:r w:rsidR="00F579A8" w:rsidRPr="00EF7033">
        <w:t>Le Porteur</w:t>
      </w:r>
      <w:r w:rsidR="00073CFA" w:rsidRPr="00EF7033">
        <w:t xml:space="preserve"> </w:t>
      </w:r>
      <w:r w:rsidR="000B199D" w:rsidRPr="00EF7033">
        <w:t>est un</w:t>
      </w:r>
      <w:r w:rsidR="00073CFA" w:rsidRPr="00EF7033">
        <w:t xml:space="preserve"> </w:t>
      </w:r>
      <w:r w:rsidR="005956FF" w:rsidRPr="00EF7033">
        <w:t>« </w:t>
      </w:r>
      <w:r w:rsidRPr="00EF7033">
        <w:t>investisseur qualifié</w:t>
      </w:r>
      <w:r w:rsidR="005956FF" w:rsidRPr="00EF7033">
        <w:t> »</w:t>
      </w:r>
      <w:r w:rsidR="0085305E" w:rsidRPr="00EF7033">
        <w:t xml:space="preserve"> </w:t>
      </w:r>
      <w:r w:rsidR="000B199D" w:rsidRPr="00EF7033">
        <w:t xml:space="preserve">au sens du </w:t>
      </w:r>
      <w:r w:rsidR="000B199D" w:rsidRPr="00EF7033">
        <w:rPr>
          <w:i/>
          <w:iCs/>
        </w:rPr>
        <w:t>Règlement </w:t>
      </w:r>
      <w:r w:rsidR="000B199D" w:rsidRPr="00060926">
        <w:rPr>
          <w:i/>
          <w:iCs/>
        </w:rPr>
        <w:t>4</w:t>
      </w:r>
      <w:r w:rsidR="00313A99" w:rsidRPr="00060926">
        <w:rPr>
          <w:i/>
          <w:iCs/>
        </w:rPr>
        <w:t>5</w:t>
      </w:r>
      <w:r w:rsidR="00313A99" w:rsidRPr="00060926">
        <w:rPr>
          <w:i/>
          <w:iCs/>
        </w:rPr>
        <w:noBreakHyphen/>
        <w:t>1</w:t>
      </w:r>
      <w:r w:rsidR="000B199D" w:rsidRPr="00060926">
        <w:rPr>
          <w:i/>
          <w:iCs/>
        </w:rPr>
        <w:t>06</w:t>
      </w:r>
      <w:r w:rsidR="000B199D" w:rsidRPr="00EF7033">
        <w:rPr>
          <w:i/>
          <w:iCs/>
        </w:rPr>
        <w:t xml:space="preserve"> sur les dispenses de prospectus</w:t>
      </w:r>
      <w:r w:rsidR="00073CFA" w:rsidRPr="00EF7033">
        <w:t xml:space="preserve"> (o</w:t>
      </w:r>
      <w:r w:rsidR="000B199D" w:rsidRPr="00EF7033">
        <w:t>u</w:t>
      </w:r>
      <w:r w:rsidR="00073CFA" w:rsidRPr="00EF7033">
        <w:t xml:space="preserve">, </w:t>
      </w:r>
      <w:r w:rsidR="000B199D" w:rsidRPr="00EF7033">
        <w:t>si</w:t>
      </w:r>
      <w:r w:rsidR="00073CFA" w:rsidRPr="00EF7033">
        <w:t xml:space="preserve"> </w:t>
      </w:r>
      <w:r w:rsidR="008403CC" w:rsidRPr="00EF7033">
        <w:t>le Porteur</w:t>
      </w:r>
      <w:r w:rsidR="00073CFA" w:rsidRPr="00EF7033">
        <w:t xml:space="preserve"> </w:t>
      </w:r>
      <w:r w:rsidR="000B199D" w:rsidRPr="00EF7033">
        <w:t>est un résident de l’Ontario, au sens du paragraphe </w:t>
      </w:r>
      <w:r w:rsidR="00073CFA" w:rsidRPr="00060926">
        <w:t>73.3</w:t>
      </w:r>
      <w:r w:rsidR="00073CFA" w:rsidRPr="00EF7033">
        <w:t>(</w:t>
      </w:r>
      <w:r w:rsidR="00073CFA" w:rsidRPr="00060926">
        <w:t>1</w:t>
      </w:r>
      <w:r w:rsidR="00073CFA" w:rsidRPr="00EF7033">
        <w:t xml:space="preserve">) </w:t>
      </w:r>
      <w:r w:rsidR="000B199D" w:rsidRPr="00EF7033">
        <w:t xml:space="preserve">de la </w:t>
      </w:r>
      <w:r w:rsidR="000B199D" w:rsidRPr="00EF7033">
        <w:rPr>
          <w:i/>
          <w:iCs/>
        </w:rPr>
        <w:t>Loi sur les valeurs mobilières</w:t>
      </w:r>
      <w:r w:rsidR="000B199D" w:rsidRPr="00EF7033">
        <w:t xml:space="preserve"> </w:t>
      </w:r>
      <w:r w:rsidR="00073CFA" w:rsidRPr="00EF7033">
        <w:t xml:space="preserve">(Ontario)). </w:t>
      </w:r>
      <w:r w:rsidR="00944F9E" w:rsidRPr="00EF7033">
        <w:t xml:space="preserve">Le Porteur convient de fournir tout renseignement supplémentaire demandé par la Société pour veiller à la conformité aux lois sur les valeurs mobilières applicables dans le cadre de l’achat et de la vente du présent Billet et de signer, de livrer et de déposer </w:t>
      </w:r>
      <w:r w:rsidR="00B15FBA" w:rsidRPr="00EF7033">
        <w:t>(</w:t>
      </w:r>
      <w:r w:rsidR="00944F9E" w:rsidRPr="00EF7033">
        <w:t>ou d’aider la Société à déposer</w:t>
      </w:r>
      <w:r w:rsidR="00B15FBA" w:rsidRPr="00EF7033">
        <w:t>)</w:t>
      </w:r>
      <w:r w:rsidR="00944F9E" w:rsidRPr="00EF7033">
        <w:t xml:space="preserve"> les rapports, les engagements et les autres documents relatifs à l’émission des Titres qui peuvent être exigés en vertu des lois sur les valeurs mobilières applicables</w:t>
      </w:r>
      <w:r w:rsidR="00073CFA" w:rsidRPr="00EF7033">
        <w:t>.</w:t>
      </w:r>
    </w:p>
    <w:p w14:paraId="5DB98A55" w14:textId="3EA5CFA7" w:rsidR="00F0406C" w:rsidRPr="00060926" w:rsidRDefault="00011B8F" w:rsidP="00247D35">
      <w:pPr>
        <w:pStyle w:val="StandardL1"/>
      </w:pPr>
      <w:bookmarkStart w:id="20" w:name="_Ref31707573"/>
      <w:r w:rsidRPr="00EF7033">
        <w:rPr>
          <w:u w:val="single"/>
        </w:rPr>
        <w:t>Divulgation de renseignements</w:t>
      </w:r>
      <w:r w:rsidR="00073CFA" w:rsidRPr="00EF7033">
        <w:rPr>
          <w:i/>
        </w:rPr>
        <w:t>.</w:t>
      </w:r>
      <w:r w:rsidR="00073CFA" w:rsidRPr="00EF7033">
        <w:t xml:space="preserve"> </w:t>
      </w:r>
      <w:r w:rsidR="00C43DAD" w:rsidRPr="00EF7033">
        <w:t>Le Porteur a eu l</w:t>
      </w:r>
      <w:r w:rsidR="003236E5" w:rsidRPr="00EF7033">
        <w:t>a possibilité</w:t>
      </w:r>
      <w:r w:rsidR="00C43DAD" w:rsidRPr="00EF7033">
        <w:t xml:space="preserve"> de poser des questions et de recevoir des réponses de la Société au sujet des modalités et conditions du placement du présent Billet et d’obtenir tout renseignement ou document supplémentaire concernant la Société, ses activités et son </w:t>
      </w:r>
      <w:r w:rsidR="003236E5" w:rsidRPr="00EF7033">
        <w:t>placement</w:t>
      </w:r>
      <w:r w:rsidR="00C43DAD" w:rsidRPr="00EF7033">
        <w:t xml:space="preserve"> dans la Société selon ce que le Porteur juge nécessaire, étant entendu que ce qui précède ne limite </w:t>
      </w:r>
      <w:r w:rsidR="003236E5" w:rsidRPr="00EF7033">
        <w:t xml:space="preserve">pas ni </w:t>
      </w:r>
      <w:r w:rsidR="00C43DAD" w:rsidRPr="00EF7033">
        <w:t>ne modifie les déclarations et garanties de la Société figurant dans le présent Billet ni le droit du Porteur de se</w:t>
      </w:r>
      <w:r w:rsidR="003236E5" w:rsidRPr="00EF7033">
        <w:t xml:space="preserve"> fonder sur celles-ci</w:t>
      </w:r>
      <w:r w:rsidR="00073CFA" w:rsidRPr="00EF7033">
        <w:t>.</w:t>
      </w:r>
      <w:bookmarkEnd w:id="20"/>
    </w:p>
    <w:p w14:paraId="31FCB68C" w14:textId="6A7A150D" w:rsidR="00F0406C" w:rsidRPr="00060926" w:rsidRDefault="00F512D6" w:rsidP="00DE398B">
      <w:pPr>
        <w:pStyle w:val="StandardL1"/>
      </w:pPr>
      <w:bookmarkStart w:id="21" w:name="_Ref31707574"/>
      <w:r w:rsidRPr="00EF7033">
        <w:rPr>
          <w:u w:val="single"/>
        </w:rPr>
        <w:t>Expérience en matière de placement</w:t>
      </w:r>
      <w:r w:rsidR="00073CFA" w:rsidRPr="00EF7033">
        <w:rPr>
          <w:i/>
        </w:rPr>
        <w:t>.</w:t>
      </w:r>
      <w:r w:rsidR="00073CFA" w:rsidRPr="00EF7033">
        <w:t xml:space="preserve"> </w:t>
      </w:r>
      <w:r w:rsidR="00F579A8" w:rsidRPr="00EF7033">
        <w:t>Le Porteur</w:t>
      </w:r>
      <w:r w:rsidR="00073CFA" w:rsidRPr="00EF7033">
        <w:t xml:space="preserve"> </w:t>
      </w:r>
      <w:r w:rsidRPr="00EF7033">
        <w:t>a un degré suffisant de connaissances et d’expérience en matière de questions financières et commerciales pour pouvoir évaluer le bien-fondé et les risques d</w:t>
      </w:r>
      <w:r w:rsidR="003236E5" w:rsidRPr="00EF7033">
        <w:t>u placement</w:t>
      </w:r>
      <w:r w:rsidRPr="00EF7033">
        <w:t xml:space="preserve">, </w:t>
      </w:r>
      <w:r w:rsidR="00943A28" w:rsidRPr="00EF7033">
        <w:t>peut</w:t>
      </w:r>
      <w:r w:rsidRPr="00EF7033">
        <w:t xml:space="preserve"> assumer la perte totale d</w:t>
      </w:r>
      <w:r w:rsidR="003236E5" w:rsidRPr="00EF7033">
        <w:t>u placement</w:t>
      </w:r>
      <w:r w:rsidRPr="00EF7033">
        <w:t xml:space="preserve"> sans que cela affecte sa situation financière, et peut tolérer le risque économique propre </w:t>
      </w:r>
      <w:r w:rsidR="003236E5" w:rsidRPr="00EF7033">
        <w:t>au placement</w:t>
      </w:r>
      <w:r w:rsidRPr="00EF7033">
        <w:t xml:space="preserve"> pour une durée indéterminée</w:t>
      </w:r>
      <w:r w:rsidR="00073CFA" w:rsidRPr="00EF7033">
        <w:t xml:space="preserve">. </w:t>
      </w:r>
      <w:bookmarkEnd w:id="21"/>
      <w:r w:rsidRPr="00EF7033">
        <w:t>Si le Porteur n’est pas une personne physique, il déclare également qu’il n’a pas été constitué uniquement dans l’objectif d’acquérir les Titres</w:t>
      </w:r>
      <w:r w:rsidR="00073CFA" w:rsidRPr="00EF7033">
        <w:t>.</w:t>
      </w:r>
    </w:p>
    <w:p w14:paraId="46F3E044" w14:textId="4800D92C" w:rsidR="00F0406C" w:rsidRPr="00060926" w:rsidRDefault="00011B8F" w:rsidP="00247D35">
      <w:pPr>
        <w:pStyle w:val="StandardL1"/>
      </w:pPr>
      <w:bookmarkStart w:id="22" w:name="_Ref31707576"/>
      <w:r w:rsidRPr="00EF7033">
        <w:rPr>
          <w:u w:val="single"/>
        </w:rPr>
        <w:t>Titres assujettis à des restrictions</w:t>
      </w:r>
      <w:r w:rsidR="00073CFA" w:rsidRPr="00EF7033">
        <w:rPr>
          <w:i/>
        </w:rPr>
        <w:t>.</w:t>
      </w:r>
      <w:r w:rsidR="00073CFA" w:rsidRPr="00EF7033">
        <w:t xml:space="preserve"> </w:t>
      </w:r>
      <w:r w:rsidR="007655B1" w:rsidRPr="00EF7033">
        <w:t>Le Porteur comprend que les Titres seront soumis à des restrictions à la revente et à d’autres restrictions de transfert en vertu des lois sur les valeurs mobilières applicables. Les Titres n’ont pas été visés par un prospectus ni inscrits en vertu des lois sur les valeurs mobilières de tout territoire et, par conséquent, le Porteur doit conserver les Titres indéfiniment à moins qu’ils ne soient ainsi visés ou inscrits ou que le Porteur puisse se prévaloir d’une dispense de ces exigences d’inscription et de prospectus</w:t>
      </w:r>
      <w:r w:rsidR="00073CFA" w:rsidRPr="00EF7033">
        <w:t xml:space="preserve">. </w:t>
      </w:r>
      <w:r w:rsidRPr="00EF7033">
        <w:t>Le Porteur reconnaît que la Société n’a aucune obligation d’inscrire ou de rendre admissibles les Titres aux fins de revente</w:t>
      </w:r>
      <w:r w:rsidR="00073CFA" w:rsidRPr="00EF7033">
        <w:t>.</w:t>
      </w:r>
      <w:bookmarkEnd w:id="22"/>
    </w:p>
    <w:p w14:paraId="14EF6E84" w14:textId="539B064F" w:rsidR="00F0406C" w:rsidRPr="00060926" w:rsidRDefault="009619D7" w:rsidP="00247D35">
      <w:pPr>
        <w:pStyle w:val="StandardL1"/>
      </w:pPr>
      <w:r w:rsidRPr="00EF7033">
        <w:rPr>
          <w:u w:val="single"/>
        </w:rPr>
        <w:t>Investisseurs étrangers</w:t>
      </w:r>
      <w:r w:rsidR="00073CFA" w:rsidRPr="00EF7033">
        <w:t>.</w:t>
      </w:r>
      <w:r w:rsidRPr="00EF7033">
        <w:tab/>
        <w:t>S</w:t>
      </w:r>
      <w:r w:rsidR="000807B9" w:rsidRPr="00EF7033">
        <w:t>’il</w:t>
      </w:r>
      <w:r w:rsidRPr="00EF7033">
        <w:t xml:space="preserve"> n’est pas un résident du Canada, </w:t>
      </w:r>
      <w:r w:rsidR="000807B9" w:rsidRPr="00EF7033">
        <w:t xml:space="preserve">le Porteur </w:t>
      </w:r>
      <w:r w:rsidRPr="00EF7033">
        <w:t xml:space="preserve">déclare par les présentes qu’il s’est assuré du respect total des lois de son territoire en ce qui concerne l’achat du présent Billet et sa conversion en Actions issues de la conversion, y compris </w:t>
      </w:r>
      <w:r w:rsidR="00060926">
        <w:t>a)</w:t>
      </w:r>
      <w:r w:rsidRPr="00EF7033">
        <w:t xml:space="preserve"> les exigences légales dans son territoire applicables à l’achat du présent Billet et des Actions issues de la conversion, </w:t>
      </w:r>
      <w:r w:rsidR="00060926">
        <w:t>b</w:t>
      </w:r>
      <w:r w:rsidRPr="00EF7033">
        <w:t xml:space="preserve">) les restrictions de change applicables à cet achat, </w:t>
      </w:r>
      <w:r w:rsidR="00060926">
        <w:t>c</w:t>
      </w:r>
      <w:r w:rsidRPr="00EF7033">
        <w:t xml:space="preserve">) les autorisations gouvernementales ou autres consentements qu’il peut être nécessaire d’obtenir, et </w:t>
      </w:r>
      <w:r w:rsidR="00060926">
        <w:t>d</w:t>
      </w:r>
      <w:r w:rsidRPr="00EF7033">
        <w:t xml:space="preserve">) les incidences de l’impôt sur le revenu et autres incidences fiscales, le cas échéant, qui peuvent </w:t>
      </w:r>
      <w:r w:rsidR="003E2737" w:rsidRPr="00EF7033">
        <w:t>découler de</w:t>
      </w:r>
      <w:r w:rsidRPr="00EF7033">
        <w:t xml:space="preserve"> l’achat, </w:t>
      </w:r>
      <w:r w:rsidR="003E2737" w:rsidRPr="00EF7033">
        <w:t>de</w:t>
      </w:r>
      <w:r w:rsidRPr="00EF7033">
        <w:t xml:space="preserve"> la détention, </w:t>
      </w:r>
      <w:r w:rsidR="003E2737" w:rsidRPr="00EF7033">
        <w:t>du</w:t>
      </w:r>
      <w:r w:rsidRPr="00EF7033">
        <w:t xml:space="preserve"> </w:t>
      </w:r>
      <w:r w:rsidR="00455B54" w:rsidRPr="00EF7033">
        <w:t>r</w:t>
      </w:r>
      <w:r w:rsidR="000807B9" w:rsidRPr="00EF7033">
        <w:t>emboursement</w:t>
      </w:r>
      <w:r w:rsidRPr="00EF7033">
        <w:t xml:space="preserve">, </w:t>
      </w:r>
      <w:r w:rsidR="003E2737" w:rsidRPr="00EF7033">
        <w:t>de</w:t>
      </w:r>
      <w:r w:rsidRPr="00EF7033">
        <w:t xml:space="preserve"> la vente ou </w:t>
      </w:r>
      <w:r w:rsidR="003E2737" w:rsidRPr="00EF7033">
        <w:t>d</w:t>
      </w:r>
      <w:r w:rsidRPr="00EF7033">
        <w:t>u transfert du présent Billet et des Actions issues de la conversion</w:t>
      </w:r>
      <w:r w:rsidR="00073CFA" w:rsidRPr="00EF7033">
        <w:t>.</w:t>
      </w:r>
    </w:p>
    <w:p w14:paraId="66966394" w14:textId="67B7EE80" w:rsidR="00F0406C" w:rsidRPr="00060926" w:rsidRDefault="004206FC" w:rsidP="00247D35">
      <w:pPr>
        <w:pStyle w:val="StandardL1"/>
      </w:pPr>
      <w:bookmarkStart w:id="23" w:name="_Ref31707579"/>
      <w:r w:rsidRPr="00EF7033">
        <w:rPr>
          <w:u w:val="single"/>
        </w:rPr>
        <w:t>Consentement à la communication de renseignements personnels</w:t>
      </w:r>
      <w:r w:rsidR="00073CFA" w:rsidRPr="00EF7033">
        <w:rPr>
          <w:i/>
        </w:rPr>
        <w:t>.</w:t>
      </w:r>
      <w:r w:rsidR="00073CFA" w:rsidRPr="00EF7033">
        <w:t xml:space="preserve"> </w:t>
      </w:r>
      <w:r w:rsidR="00235C6F" w:rsidRPr="00EF7033">
        <w:t>Le Porteur reconnaît et accepte que la Société communique aux autorités de réglementation des valeurs mobilières</w:t>
      </w:r>
      <w:r w:rsidR="000807B9" w:rsidRPr="00EF7033">
        <w:t xml:space="preserve"> compétentes</w:t>
      </w:r>
      <w:r w:rsidR="00235C6F" w:rsidRPr="00EF7033">
        <w:t>, uniquement dans la mesure où les lois sur les valeurs mobilières applicables l’exigent, tout renseignement personnel fourni par le Porteur à la Société qui doit être communiqué</w:t>
      </w:r>
      <w:r w:rsidR="00073CFA" w:rsidRPr="00EF7033">
        <w:t>.</w:t>
      </w:r>
      <w:bookmarkEnd w:id="23"/>
    </w:p>
    <w:p w14:paraId="406F8150" w14:textId="6FFD619B" w:rsidR="00B15FBA" w:rsidRPr="00060926" w:rsidRDefault="00B15FBA" w:rsidP="00247D35">
      <w:pPr>
        <w:pStyle w:val="StandardL1"/>
        <w:sectPr w:rsidR="00B15FBA" w:rsidRPr="00060926" w:rsidSect="003053DC">
          <w:footerReference w:type="default" r:id="rId21"/>
          <w:footerReference w:type="first" r:id="rId22"/>
          <w:pgSz w:w="12240" w:h="15840" w:code="1"/>
          <w:pgMar w:top="1440" w:right="1440" w:bottom="1440" w:left="1440" w:header="720" w:footer="576" w:gutter="0"/>
          <w:pgNumType w:start="1"/>
          <w:cols w:space="720"/>
          <w:docGrid w:linePitch="360"/>
        </w:sectPr>
      </w:pPr>
    </w:p>
    <w:p w14:paraId="10C0BF38" w14:textId="4D9148BC" w:rsidR="00F0406C" w:rsidRPr="00EF7033" w:rsidRDefault="00313A99" w:rsidP="0052051F">
      <w:pPr>
        <w:pStyle w:val="StandardL2"/>
        <w:numPr>
          <w:ilvl w:val="0"/>
          <w:numId w:val="0"/>
        </w:numPr>
        <w:jc w:val="center"/>
        <w:rPr>
          <w:b/>
        </w:rPr>
      </w:pPr>
      <w:r w:rsidRPr="00EF7033">
        <w:rPr>
          <w:b/>
        </w:rPr>
        <w:t>Annexe C</w:t>
      </w:r>
    </w:p>
    <w:p w14:paraId="4D748310" w14:textId="713C83AF" w:rsidR="00F0406C" w:rsidRPr="00EF7033" w:rsidRDefault="00960A24" w:rsidP="0052051F">
      <w:pPr>
        <w:pStyle w:val="StandardL2"/>
        <w:numPr>
          <w:ilvl w:val="0"/>
          <w:numId w:val="0"/>
        </w:numPr>
        <w:jc w:val="center"/>
        <w:rPr>
          <w:b/>
          <w:vertAlign w:val="superscript"/>
        </w:rPr>
      </w:pPr>
      <w:r w:rsidRPr="00EF7033">
        <w:rPr>
          <w:b/>
        </w:rPr>
        <w:t>Engagements</w:t>
      </w:r>
      <w:r w:rsidR="00073CFA" w:rsidRPr="00EF7033">
        <w:rPr>
          <w:b/>
        </w:rPr>
        <w:t xml:space="preserve"> </w:t>
      </w:r>
      <w:r w:rsidR="004D1DAF" w:rsidRPr="00EF7033">
        <w:rPr>
          <w:b/>
        </w:rPr>
        <w:t>de la Société</w:t>
      </w:r>
      <w:r w:rsidR="00073CFA" w:rsidRPr="00060926">
        <w:rPr>
          <w:rStyle w:val="FootnoteReference"/>
          <w:b/>
        </w:rPr>
        <w:footnoteReference w:id="21"/>
      </w:r>
    </w:p>
    <w:p w14:paraId="09D4CDBD" w14:textId="133E05C8" w:rsidR="00F0406C" w:rsidRPr="00060926" w:rsidRDefault="005A6263" w:rsidP="00041005">
      <w:pPr>
        <w:pStyle w:val="StandardL1"/>
        <w:numPr>
          <w:ilvl w:val="0"/>
          <w:numId w:val="7"/>
        </w:numPr>
      </w:pPr>
      <w:r w:rsidRPr="00EF7033">
        <w:rPr>
          <w:b/>
          <w:u w:val="single"/>
        </w:rPr>
        <w:t>Engagements</w:t>
      </w:r>
      <w:r w:rsidR="00073CFA" w:rsidRPr="00EF7033">
        <w:t xml:space="preserve">. </w:t>
      </w:r>
      <w:r w:rsidR="009D5449" w:rsidRPr="00EF7033">
        <w:t>Tant et aussi longtemps que le présent Billet demeure en cours, la Société convient de ce qui suit :</w:t>
      </w:r>
      <w:bookmarkStart w:id="24" w:name="_Ref473886382"/>
    </w:p>
    <w:p w14:paraId="43E585BB" w14:textId="0B57702E" w:rsidR="00F0406C" w:rsidRPr="00060926" w:rsidRDefault="003C708F" w:rsidP="0052051F">
      <w:pPr>
        <w:pStyle w:val="StandardL2"/>
      </w:pPr>
      <w:r w:rsidRPr="00EF7033">
        <w:rPr>
          <w:u w:val="single"/>
        </w:rPr>
        <w:t>Paiement</w:t>
      </w:r>
      <w:r w:rsidR="007655B1" w:rsidRPr="00EF7033">
        <w:rPr>
          <w:u w:val="single"/>
        </w:rPr>
        <w:t xml:space="preserve"> du capital et des intérêts</w:t>
      </w:r>
      <w:r w:rsidR="00073CFA" w:rsidRPr="00EF7033">
        <w:t xml:space="preserve">. </w:t>
      </w:r>
      <w:r w:rsidR="009601CC" w:rsidRPr="00EF7033">
        <w:t>La Société paiera ou fera payer, dûment et ponctuellement au Porteur, le capital, les intérêts et toutes les autres sommes qui peuvent être dues</w:t>
      </w:r>
      <w:r w:rsidR="00FB3E4A" w:rsidRPr="00EF7033">
        <w:t xml:space="preserve"> de temps à autre</w:t>
      </w:r>
      <w:r w:rsidR="009601CC" w:rsidRPr="00EF7033">
        <w:t xml:space="preserve"> aux termes du présent Billet aux dates, au lieu et de la manière précisés dans le présent Billet</w:t>
      </w:r>
      <w:r w:rsidR="00073CFA" w:rsidRPr="00EF7033">
        <w:t>.</w:t>
      </w:r>
      <w:bookmarkStart w:id="25" w:name="_Ref476647691"/>
    </w:p>
    <w:p w14:paraId="57482801" w14:textId="06C0289B" w:rsidR="00F0406C" w:rsidRPr="00060926" w:rsidRDefault="009601CC" w:rsidP="0052051F">
      <w:pPr>
        <w:pStyle w:val="StandardL2"/>
      </w:pPr>
      <w:r w:rsidRPr="00EF7033">
        <w:rPr>
          <w:u w:val="single"/>
        </w:rPr>
        <w:t>Paiement des coûts</w:t>
      </w:r>
      <w:r w:rsidR="00073CFA" w:rsidRPr="00EF7033">
        <w:t>.</w:t>
      </w:r>
      <w:r w:rsidR="0085305E" w:rsidRPr="00EF7033">
        <w:t xml:space="preserve"> </w:t>
      </w:r>
      <w:bookmarkStart w:id="26" w:name="_Hlk117522814"/>
      <w:r w:rsidR="00AC1F10" w:rsidRPr="00EF7033">
        <w:t>La Société paiera sans délai tous les coûts, charges et dépenses raisonnables</w:t>
      </w:r>
      <w:r w:rsidR="00073CFA" w:rsidRPr="00EF7033">
        <w:t xml:space="preserve"> (</w:t>
      </w:r>
      <w:r w:rsidR="00AC1F10" w:rsidRPr="00EF7033">
        <w:t xml:space="preserve">y compris les </w:t>
      </w:r>
      <w:r w:rsidR="003C708F" w:rsidRPr="00EF7033">
        <w:t>honoraires</w:t>
      </w:r>
      <w:r w:rsidR="00AC1F10" w:rsidRPr="00EF7033">
        <w:t xml:space="preserve"> juridiques raisonnables engagés dans le cadre d’une relation avocat-client</w:t>
      </w:r>
      <w:r w:rsidR="00073CFA" w:rsidRPr="00EF7033">
        <w:t xml:space="preserve">) </w:t>
      </w:r>
      <w:bookmarkEnd w:id="26"/>
      <w:r w:rsidR="00AC1F10" w:rsidRPr="00EF7033">
        <w:rPr>
          <w:szCs w:val="22"/>
        </w:rPr>
        <w:t>du Porteur faisant suite ou se rapportant de quelque manière que ce soit à l</w:t>
      </w:r>
      <w:r w:rsidR="00034E98" w:rsidRPr="00EF7033">
        <w:rPr>
          <w:szCs w:val="22"/>
        </w:rPr>
        <w:t>’</w:t>
      </w:r>
      <w:r w:rsidR="00AC1F10" w:rsidRPr="00EF7033">
        <w:rPr>
          <w:szCs w:val="22"/>
        </w:rPr>
        <w:t>exécution du présent Billet</w:t>
      </w:r>
      <w:r w:rsidR="00073CFA" w:rsidRPr="00EF7033">
        <w:rPr>
          <w:szCs w:val="22"/>
        </w:rPr>
        <w:t xml:space="preserve">. </w:t>
      </w:r>
      <w:r w:rsidR="00034E98" w:rsidRPr="00EF7033">
        <w:rPr>
          <w:szCs w:val="22"/>
        </w:rPr>
        <w:t xml:space="preserve">Tous </w:t>
      </w:r>
      <w:r w:rsidR="003C708F" w:rsidRPr="00EF7033">
        <w:rPr>
          <w:szCs w:val="22"/>
        </w:rPr>
        <w:t>ces</w:t>
      </w:r>
      <w:r w:rsidR="00034E98" w:rsidRPr="00EF7033">
        <w:rPr>
          <w:szCs w:val="22"/>
        </w:rPr>
        <w:t xml:space="preserve"> coûts, charges et dépenses seront payables sur demande et porteront intérêt au taux indiqué à l’article </w:t>
      </w:r>
      <w:r w:rsidR="00073CFA" w:rsidRPr="00060926">
        <w:rPr>
          <w:szCs w:val="22"/>
        </w:rPr>
        <w:fldChar w:fldCharType="begin"/>
      </w:r>
      <w:r w:rsidR="00073CFA" w:rsidRPr="00060926">
        <w:rPr>
          <w:szCs w:val="22"/>
        </w:rPr>
        <w:instrText xml:space="preserve"> REF _Ref27838513 \w \h  \* MERGEFORMAT </w:instrText>
      </w:r>
      <w:r w:rsidR="00073CFA" w:rsidRPr="00060926">
        <w:rPr>
          <w:szCs w:val="22"/>
        </w:rPr>
      </w:r>
      <w:r w:rsidR="00073CFA" w:rsidRPr="00060926">
        <w:rPr>
          <w:szCs w:val="22"/>
        </w:rPr>
        <w:fldChar w:fldCharType="separate"/>
      </w:r>
      <w:r w:rsidR="00BF3E18">
        <w:rPr>
          <w:szCs w:val="22"/>
        </w:rPr>
        <w:t>2</w:t>
      </w:r>
      <w:r w:rsidR="00073CFA" w:rsidRPr="00060926">
        <w:rPr>
          <w:szCs w:val="22"/>
        </w:rPr>
        <w:fldChar w:fldCharType="end"/>
      </w:r>
      <w:r w:rsidR="00073CFA" w:rsidRPr="00EF7033">
        <w:rPr>
          <w:szCs w:val="22"/>
        </w:rPr>
        <w:t xml:space="preserve">, </w:t>
      </w:r>
      <w:r w:rsidR="00073CFA" w:rsidRPr="00EF7033">
        <w:t>calcul</w:t>
      </w:r>
      <w:r w:rsidR="00034E98" w:rsidRPr="00EF7033">
        <w:t>és mensuellement à terme échu</w:t>
      </w:r>
      <w:r w:rsidR="00073CFA" w:rsidRPr="00EF7033">
        <w:t xml:space="preserve"> </w:t>
      </w:r>
      <w:r w:rsidR="00034E98" w:rsidRPr="00EF7033">
        <w:t xml:space="preserve">à compter de la date où </w:t>
      </w:r>
      <w:r w:rsidR="003C708F" w:rsidRPr="00EF7033">
        <w:t>ils sont</w:t>
      </w:r>
      <w:r w:rsidR="00034E98" w:rsidRPr="00EF7033">
        <w:t xml:space="preserve"> engagés par le Porteur</w:t>
      </w:r>
      <w:r w:rsidR="00073CFA" w:rsidRPr="00EF7033">
        <w:rPr>
          <w:szCs w:val="22"/>
        </w:rPr>
        <w:t>.</w:t>
      </w:r>
      <w:bookmarkEnd w:id="24"/>
      <w:bookmarkEnd w:id="25"/>
    </w:p>
    <w:p w14:paraId="06339CBD" w14:textId="01CD5E41" w:rsidR="00F0406C" w:rsidRPr="00060926" w:rsidRDefault="00034E98" w:rsidP="002C2EED">
      <w:pPr>
        <w:pStyle w:val="StandardL2"/>
      </w:pPr>
      <w:r w:rsidRPr="00EF7033">
        <w:rPr>
          <w:szCs w:val="22"/>
          <w:u w:val="single"/>
        </w:rPr>
        <w:t>Maintien de la personnalité juridique</w:t>
      </w:r>
      <w:r w:rsidR="00073CFA" w:rsidRPr="00EF7033">
        <w:rPr>
          <w:szCs w:val="22"/>
        </w:rPr>
        <w:t>.</w:t>
      </w:r>
      <w:r w:rsidR="0085305E" w:rsidRPr="00EF7033">
        <w:rPr>
          <w:szCs w:val="22"/>
        </w:rPr>
        <w:t xml:space="preserve"> </w:t>
      </w:r>
      <w:r w:rsidR="00B12567" w:rsidRPr="00EF7033">
        <w:rPr>
          <w:szCs w:val="22"/>
        </w:rPr>
        <w:t>La Société</w:t>
      </w:r>
      <w:r w:rsidR="00073CFA" w:rsidRPr="00EF7033">
        <w:rPr>
          <w:szCs w:val="22"/>
        </w:rPr>
        <w:t xml:space="preserve"> </w:t>
      </w:r>
      <w:r w:rsidR="008571A5" w:rsidRPr="00EF7033">
        <w:t>maintiendra sa personnalité juridique</w:t>
      </w:r>
      <w:r w:rsidR="00073CFA" w:rsidRPr="00EF7033">
        <w:t xml:space="preserve">, </w:t>
      </w:r>
      <w:r w:rsidR="008571A5" w:rsidRPr="00EF7033">
        <w:t xml:space="preserve">exercera et mènera ses activités de manière appropriée et efficace et conformément à toutes les lois applicables et, à moins d’avoir obtenu le </w:t>
      </w:r>
      <w:r w:rsidR="00672F11" w:rsidRPr="00EF7033">
        <w:t>consentement préalable écrit</w:t>
      </w:r>
      <w:r w:rsidR="00073CFA" w:rsidRPr="00EF7033">
        <w:t xml:space="preserve"> </w:t>
      </w:r>
      <w:r w:rsidR="00561253" w:rsidRPr="00EF7033">
        <w:t xml:space="preserve">[du] </w:t>
      </w:r>
      <w:r w:rsidR="008571A5" w:rsidRPr="00EF7033">
        <w:t>des</w:t>
      </w:r>
      <w:r w:rsidR="00073CFA" w:rsidRPr="00EF7033">
        <w:t xml:space="preserve"> </w:t>
      </w:r>
      <w:r w:rsidR="008571A5" w:rsidRPr="00EF7033">
        <w:t xml:space="preserve">Porteur[s] </w:t>
      </w:r>
      <w:r w:rsidR="00073CFA" w:rsidRPr="00EF7033">
        <w:t>[</w:t>
      </w:r>
      <w:r w:rsidR="008571A5" w:rsidRPr="00EF7033">
        <w:t>majoritaire</w:t>
      </w:r>
      <w:r w:rsidR="00561253" w:rsidRPr="00EF7033">
        <w:t>[s]</w:t>
      </w:r>
      <w:r w:rsidR="00073CFA" w:rsidRPr="00EF7033">
        <w:t xml:space="preserve">], </w:t>
      </w:r>
      <w:r w:rsidR="00561253" w:rsidRPr="00EF7033">
        <w:t>ne changera pas la nature ou le type de ses activités</w:t>
      </w:r>
      <w:r w:rsidR="00073CFA" w:rsidRPr="00EF7033">
        <w:rPr>
          <w:szCs w:val="22"/>
        </w:rPr>
        <w:t xml:space="preserve">. </w:t>
      </w:r>
      <w:r w:rsidR="00EA5220" w:rsidRPr="00EF7033">
        <w:rPr>
          <w:szCs w:val="22"/>
        </w:rPr>
        <w:t xml:space="preserve">La Société tiendra des livres comptables appropriés contenant des entrées </w:t>
      </w:r>
      <w:r w:rsidR="003C708F" w:rsidRPr="00EF7033">
        <w:rPr>
          <w:szCs w:val="22"/>
        </w:rPr>
        <w:t>exactes</w:t>
      </w:r>
      <w:r w:rsidR="00EA5220" w:rsidRPr="00EF7033">
        <w:rPr>
          <w:szCs w:val="22"/>
        </w:rPr>
        <w:t xml:space="preserve"> de toutes les </w:t>
      </w:r>
      <w:r w:rsidR="0078293A" w:rsidRPr="00EF7033">
        <w:rPr>
          <w:szCs w:val="22"/>
        </w:rPr>
        <w:t>opérations</w:t>
      </w:r>
      <w:r w:rsidR="00EA5220" w:rsidRPr="00EF7033">
        <w:rPr>
          <w:szCs w:val="22"/>
        </w:rPr>
        <w:t xml:space="preserve"> importantes liées à ses activités</w:t>
      </w:r>
      <w:r w:rsidR="00073CFA" w:rsidRPr="00EF7033">
        <w:rPr>
          <w:szCs w:val="22"/>
        </w:rPr>
        <w:t>.</w:t>
      </w:r>
    </w:p>
    <w:p w14:paraId="0510A122" w14:textId="27FDB906" w:rsidR="00F0406C" w:rsidRPr="00060926" w:rsidRDefault="00EA5220" w:rsidP="001054CD">
      <w:pPr>
        <w:pStyle w:val="StandardL2"/>
      </w:pPr>
      <w:r w:rsidRPr="00EF7033">
        <w:rPr>
          <w:u w:val="single"/>
        </w:rPr>
        <w:t>Avis de défaut</w:t>
      </w:r>
      <w:r w:rsidR="00073CFA" w:rsidRPr="00EF7033">
        <w:t>.</w:t>
      </w:r>
      <w:r w:rsidR="0085305E" w:rsidRPr="00EF7033">
        <w:t xml:space="preserve"> </w:t>
      </w:r>
      <w:r w:rsidRPr="00EF7033">
        <w:t xml:space="preserve">La Société avisera le Porteur sans délai par écrit si elle découvre qu’elle </w:t>
      </w:r>
      <w:r w:rsidR="00FB3E4A" w:rsidRPr="00EF7033">
        <w:t>manque à</w:t>
      </w:r>
      <w:r w:rsidRPr="00EF7033">
        <w:t xml:space="preserve"> l’une ou l</w:t>
      </w:r>
      <w:r w:rsidR="00BD5076" w:rsidRPr="00EF7033">
        <w:t>’</w:t>
      </w:r>
      <w:r w:rsidRPr="00EF7033">
        <w:t>autre de ses déclarations, garanties ou obligations ou</w:t>
      </w:r>
      <w:r w:rsidR="00FB3E4A" w:rsidRPr="00EF7033">
        <w:t xml:space="preserve"> à</w:t>
      </w:r>
      <w:r w:rsidRPr="00EF7033">
        <w:t xml:space="preserve"> l’un ou l’autre de ses engagements aux termes du présent Billet ou qu’il existe</w:t>
      </w:r>
      <w:r w:rsidR="003C708F" w:rsidRPr="00EF7033">
        <w:t xml:space="preserve"> ou survient</w:t>
      </w:r>
      <w:r w:rsidRPr="00EF7033">
        <w:t xml:space="preserve"> un Cas de défaut (qu’il soit possible d’y remédier ou non) ou tout fait ou état de fait qui pourrait</w:t>
      </w:r>
      <w:r w:rsidR="00FB3E4A" w:rsidRPr="00EF7033">
        <w:t xml:space="preserve"> raisonnablement</w:t>
      </w:r>
      <w:r w:rsidRPr="00EF7033">
        <w:t xml:space="preserve">, </w:t>
      </w:r>
      <w:r w:rsidR="00FB3E4A" w:rsidRPr="00EF7033">
        <w:t>avec</w:t>
      </w:r>
      <w:r w:rsidRPr="00EF7033">
        <w:t xml:space="preserve"> la remise d’un avis ou l’écoulement du temps, donner lieu à un Cas de défaut</w:t>
      </w:r>
      <w:r w:rsidR="00073CFA" w:rsidRPr="00EF7033">
        <w:t>.</w:t>
      </w:r>
    </w:p>
    <w:p w14:paraId="6A0237BE" w14:textId="1AEDCF4C" w:rsidR="00F0406C" w:rsidRPr="00060926" w:rsidRDefault="00EA5220" w:rsidP="00041005">
      <w:pPr>
        <w:pStyle w:val="StandardL2"/>
      </w:pPr>
      <w:r w:rsidRPr="00EF7033">
        <w:rPr>
          <w:bCs/>
          <w:u w:val="single"/>
        </w:rPr>
        <w:t>Exécution des obligations</w:t>
      </w:r>
      <w:r w:rsidR="00073CFA" w:rsidRPr="00EF7033">
        <w:rPr>
          <w:bCs/>
        </w:rPr>
        <w:t xml:space="preserve">. </w:t>
      </w:r>
      <w:r w:rsidR="00D861AB" w:rsidRPr="00EF7033">
        <w:rPr>
          <w:bCs/>
        </w:rPr>
        <w:t xml:space="preserve">La Société s’acquittera de ses obligations aux termes de tous les accords importants auxquels </w:t>
      </w:r>
      <w:r w:rsidR="003C708F" w:rsidRPr="00EF7033">
        <w:rPr>
          <w:bCs/>
        </w:rPr>
        <w:t>elle</w:t>
      </w:r>
      <w:r w:rsidR="00D861AB" w:rsidRPr="00EF7033">
        <w:rPr>
          <w:bCs/>
        </w:rPr>
        <w:t xml:space="preserve"> est partie ou auxquels l’un ou l’autre de ses actifs ou biens est soumis. La Société tiendra tous ses prêts et emprunts, y compris ceux attestés par le présent Billet, à jour et en règle et observera et respectera tous les engagements et exécutera toutes les obligations qu’ils contiennent</w:t>
      </w:r>
      <w:r w:rsidR="00073CFA" w:rsidRPr="00EF7033">
        <w:t>.</w:t>
      </w:r>
    </w:p>
    <w:p w14:paraId="72215C2C" w14:textId="536EDDFC" w:rsidR="00F0406C" w:rsidRPr="00060926" w:rsidRDefault="00EA5220" w:rsidP="00041005">
      <w:pPr>
        <w:pStyle w:val="StandardL2"/>
      </w:pPr>
      <w:r w:rsidRPr="00EF7033">
        <w:rPr>
          <w:bCs/>
          <w:u w:val="single"/>
        </w:rPr>
        <w:t>Paiement des taxes et impôts</w:t>
      </w:r>
      <w:r w:rsidR="00073CFA" w:rsidRPr="00EF7033">
        <w:rPr>
          <w:bCs/>
        </w:rPr>
        <w:t xml:space="preserve">. </w:t>
      </w:r>
      <w:r w:rsidR="00D861AB" w:rsidRPr="00EF7033">
        <w:rPr>
          <w:bCs/>
        </w:rPr>
        <w:t xml:space="preserve">La Société paiera tous les impôts et taxes </w:t>
      </w:r>
      <w:r w:rsidR="003C708F" w:rsidRPr="00EF7033">
        <w:rPr>
          <w:bCs/>
        </w:rPr>
        <w:t>pré</w:t>
      </w:r>
      <w:r w:rsidR="00D861AB" w:rsidRPr="00EF7033">
        <w:rPr>
          <w:bCs/>
        </w:rPr>
        <w:t xml:space="preserve">levés, établis ou imposés à son égard ou à l’égard de ses biens, au fur et à mesure qu’ils deviendront exigibles, sauf si elle en conteste de bonne foi la validité par des procédures </w:t>
      </w:r>
      <w:r w:rsidR="00FB3E4A" w:rsidRPr="00EF7033">
        <w:rPr>
          <w:bCs/>
        </w:rPr>
        <w:t>judiciaires</w:t>
      </w:r>
      <w:r w:rsidR="00D861AB" w:rsidRPr="00EF7033">
        <w:rPr>
          <w:bCs/>
        </w:rPr>
        <w:t xml:space="preserve"> appropriées</w:t>
      </w:r>
      <w:r w:rsidR="00FB3E4A" w:rsidRPr="00EF7033">
        <w:rPr>
          <w:bCs/>
        </w:rPr>
        <w:t>,</w:t>
      </w:r>
      <w:r w:rsidR="00D861AB" w:rsidRPr="00EF7033">
        <w:rPr>
          <w:bCs/>
        </w:rPr>
        <w:t xml:space="preserve"> et pour lesquels </w:t>
      </w:r>
      <w:r w:rsidR="00527166" w:rsidRPr="00EF7033">
        <w:rPr>
          <w:bCs/>
        </w:rPr>
        <w:t>une</w:t>
      </w:r>
      <w:r w:rsidR="00D861AB" w:rsidRPr="00EF7033">
        <w:rPr>
          <w:bCs/>
        </w:rPr>
        <w:t xml:space="preserve"> provision raisonnable pour le paiement </w:t>
      </w:r>
      <w:r w:rsidR="00527166" w:rsidRPr="00EF7033">
        <w:rPr>
          <w:bCs/>
        </w:rPr>
        <w:t>a</w:t>
      </w:r>
      <w:r w:rsidR="00D861AB" w:rsidRPr="00EF7033">
        <w:rPr>
          <w:bCs/>
        </w:rPr>
        <w:t xml:space="preserve"> été constituée</w:t>
      </w:r>
      <w:r w:rsidR="00073CFA" w:rsidRPr="00EF7033">
        <w:rPr>
          <w:szCs w:val="22"/>
        </w:rPr>
        <w:t>.</w:t>
      </w:r>
    </w:p>
    <w:p w14:paraId="04D9F042" w14:textId="2F96EE21" w:rsidR="00F0406C" w:rsidRPr="00060926" w:rsidRDefault="00D861AB" w:rsidP="00041005">
      <w:pPr>
        <w:pStyle w:val="StandardL2"/>
      </w:pPr>
      <w:r w:rsidRPr="00EF7033">
        <w:rPr>
          <w:u w:val="single"/>
        </w:rPr>
        <w:t>Paiements au titre des actions</w:t>
      </w:r>
      <w:r w:rsidR="00073CFA" w:rsidRPr="00EF7033">
        <w:t xml:space="preserve">. </w:t>
      </w:r>
      <w:r w:rsidRPr="00EF7033">
        <w:t xml:space="preserve">À moins d’avoir obtenu le </w:t>
      </w:r>
      <w:r w:rsidR="00672F11" w:rsidRPr="00EF7033">
        <w:t>consentement préalable écrit</w:t>
      </w:r>
      <w:r w:rsidR="00073CFA" w:rsidRPr="00EF7033">
        <w:t xml:space="preserve"> </w:t>
      </w:r>
      <w:r w:rsidRPr="00EF7033">
        <w:t>[du] [des]</w:t>
      </w:r>
      <w:r w:rsidR="00073CFA" w:rsidRPr="00EF7033">
        <w:t xml:space="preserve"> </w:t>
      </w:r>
      <w:r w:rsidRPr="00EF7033">
        <w:t xml:space="preserve">Porteur[s] </w:t>
      </w:r>
      <w:r w:rsidR="00073CFA" w:rsidRPr="00EF7033">
        <w:t>[</w:t>
      </w:r>
      <w:r w:rsidRPr="00EF7033">
        <w:t>m</w:t>
      </w:r>
      <w:r w:rsidR="00073CFA" w:rsidRPr="00EF7033">
        <w:t>ajorit</w:t>
      </w:r>
      <w:r w:rsidRPr="00EF7033">
        <w:t>aire[s]</w:t>
      </w:r>
      <w:r w:rsidR="00073CFA" w:rsidRPr="00EF7033">
        <w:t xml:space="preserve">], </w:t>
      </w:r>
      <w:r w:rsidR="004F4FC9" w:rsidRPr="00EF7033">
        <w:t xml:space="preserve">la Société ne déclarera et ne versera aucun dividende ni ne fera aucune autre distribution sur ses actions émises, </w:t>
      </w:r>
      <w:r w:rsidR="00FB3E4A" w:rsidRPr="00EF7033">
        <w:t>et</w:t>
      </w:r>
      <w:r w:rsidR="004F4FC9" w:rsidRPr="00EF7033">
        <w:t xml:space="preserve"> n’achètera ni ne rachètera aucune de ses actions émises</w:t>
      </w:r>
      <w:r w:rsidR="00073CFA" w:rsidRPr="00EF7033">
        <w:t>.</w:t>
      </w:r>
    </w:p>
    <w:p w14:paraId="37E2D996" w14:textId="4169722E" w:rsidR="00F0406C" w:rsidRPr="00060926" w:rsidRDefault="004F4FC9" w:rsidP="00041005">
      <w:pPr>
        <w:pStyle w:val="StandardL2"/>
        <w:rPr>
          <w:bCs/>
        </w:rPr>
      </w:pPr>
      <w:r w:rsidRPr="00EF7033">
        <w:rPr>
          <w:bCs/>
          <w:u w:val="single"/>
        </w:rPr>
        <w:t>Respect des lois</w:t>
      </w:r>
      <w:r w:rsidR="00073CFA" w:rsidRPr="00EF7033">
        <w:rPr>
          <w:bCs/>
        </w:rPr>
        <w:t xml:space="preserve">. </w:t>
      </w:r>
      <w:r w:rsidR="00BA2BF3" w:rsidRPr="00EF7033">
        <w:rPr>
          <w:bCs/>
        </w:rPr>
        <w:t xml:space="preserve">La Société se conformera aux exigences de toutes les lois, </w:t>
      </w:r>
      <w:r w:rsidR="00527166" w:rsidRPr="00EF7033">
        <w:rPr>
          <w:bCs/>
        </w:rPr>
        <w:t xml:space="preserve">de </w:t>
      </w:r>
      <w:r w:rsidR="00BA2BF3" w:rsidRPr="00EF7033">
        <w:rPr>
          <w:bCs/>
        </w:rPr>
        <w:t>toutes les règles et</w:t>
      </w:r>
      <w:r w:rsidR="00527166" w:rsidRPr="00EF7033">
        <w:rPr>
          <w:bCs/>
        </w:rPr>
        <w:t xml:space="preserve"> de </w:t>
      </w:r>
      <w:r w:rsidR="00BA2BF3" w:rsidRPr="00EF7033">
        <w:rPr>
          <w:bCs/>
        </w:rPr>
        <w:t xml:space="preserve">toute la réglementation applicables de toute autorité gouvernementale dont le non-respect pourrait raisonnablement entraîner </w:t>
      </w:r>
      <w:r w:rsidR="00E202FF" w:rsidRPr="00EF7033">
        <w:rPr>
          <w:bCs/>
        </w:rPr>
        <w:t>une Incidence défavorable importante</w:t>
      </w:r>
      <w:r w:rsidR="00073CFA" w:rsidRPr="00EF7033">
        <w:t>.</w:t>
      </w:r>
    </w:p>
    <w:p w14:paraId="763FE47D" w14:textId="104A135D" w:rsidR="00F0406C" w:rsidRPr="00060926" w:rsidRDefault="007655B1" w:rsidP="00FB3E4A">
      <w:pPr>
        <w:pStyle w:val="StandardL2"/>
      </w:pPr>
      <w:r w:rsidRPr="00DD51C0">
        <w:rPr>
          <w:bCs/>
          <w:u w:val="single"/>
        </w:rPr>
        <w:t>Garanties supplémentaires</w:t>
      </w:r>
      <w:r w:rsidR="00247407" w:rsidRPr="00DD51C0">
        <w:rPr>
          <w:bCs/>
        </w:rPr>
        <w:t>.</w:t>
      </w:r>
      <w:r w:rsidR="0085305E" w:rsidRPr="00DD51C0">
        <w:rPr>
          <w:bCs/>
        </w:rPr>
        <w:t xml:space="preserve"> </w:t>
      </w:r>
      <w:r w:rsidRPr="00DD51C0">
        <w:rPr>
          <w:bCs/>
        </w:rPr>
        <w:t>La Société signera et remettra au Porteur, aux frais de la Société et sur demande du Porteur, les autres assurances et documents que le Porteur peut exiger pour protéger ses intérêts aux termes du présent Billet</w:t>
      </w:r>
      <w:r w:rsidR="00073CFA" w:rsidRPr="00DD51C0">
        <w:rPr>
          <w:bCs/>
        </w:rPr>
        <w:t>.</w:t>
      </w:r>
    </w:p>
    <w:p w14:paraId="0C2D91F0" w14:textId="77777777" w:rsidR="00F0406C" w:rsidRPr="00EF7033" w:rsidRDefault="00F0406C" w:rsidP="00FB3E4A"/>
    <w:sectPr w:rsidR="00F0406C" w:rsidRPr="00EF7033" w:rsidSect="003053DC">
      <w:footerReference w:type="default" r:id="rId23"/>
      <w:footerReference w:type="first" r:id="rId24"/>
      <w:pgSz w:w="12240" w:h="15840" w:code="1"/>
      <w:pgMar w:top="1440" w:right="1440" w:bottom="1440"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rgValue="AgBBAHIAdABpAGMAbABlAEIASgBfAEwAMQA=" wne:acdName="acd0" wne:fciIndexBasedOn="0065"/>
    <wne:acd wne:argValue="AgBBAHIAdABpAGMAbABlAEIASgBfAEwAMgA=" wne:acdName="acd1" wne:fciIndexBasedOn="0065"/>
    <wne:acd wne:argValue="AgBBAHIAdABpAGMAbABlAEIASgBfAEwAMwA=" wne:acdName="acd2" wne:fciIndexBasedOn="0065"/>
    <wne:acd wne:argValue="AgBBAHIAdABpAGMAbABlAEIASgBfAEwANAA=" wne:acdName="acd3" wne:fciIndexBasedOn="0065"/>
    <wne:acd wne:argValue="AgBBAHIAdABpAGMAbABlAEIASgBfAEwANQA=" wne:acdName="acd4" wne:fciIndexBasedOn="0065"/>
    <wne:acd wne:argValue="AgBBAHIAdABpAGMAbABlAEIASgBfAEwANgA=" wne:acdName="acd5" wne:fciIndexBasedOn="0065"/>
    <wne:acd wne:argValue="AgBBAHIAdABpAGMAbABlAEIASgBfAEwANwA=" wne:acdName="acd6" wne:fciIndexBasedOn="0065"/>
    <wne:acd wne:argValue="AgBBAHIAdABpAGMAbABlAEIASgBfAEwAO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27184" w14:textId="77777777" w:rsidR="008C5EE5" w:rsidRDefault="008C5EE5">
      <w:r>
        <w:separator/>
      </w:r>
    </w:p>
  </w:endnote>
  <w:endnote w:type="continuationSeparator" w:id="0">
    <w:p w14:paraId="4764575F" w14:textId="77777777" w:rsidR="008C5EE5" w:rsidRDefault="008C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C6D8" w14:textId="5C6117D5" w:rsidR="00F0406C" w:rsidRPr="00060926" w:rsidRDefault="00073CFA">
    <w:pPr>
      <w:pStyle w:val="Footer"/>
    </w:pPr>
    <w:r w:rsidRPr="00060926">
      <w:t>8703087.4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35BE" w14:textId="77777777" w:rsidR="00F0406C" w:rsidRDefault="00073CFA" w:rsidP="00AF45DF">
    <w:pPr>
      <w:pStyle w:val="Footer"/>
      <w:jc w:val="center"/>
    </w:pPr>
    <w:r>
      <w:t>B-</w:t>
    </w:r>
    <w:r w:rsidRPr="00060926">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441612"/>
      <w:docPartObj>
        <w:docPartGallery w:val="Page Numbers (Bottom of Page)"/>
        <w:docPartUnique/>
      </w:docPartObj>
    </w:sdtPr>
    <w:sdtEndPr>
      <w:rPr>
        <w:noProof/>
      </w:rPr>
    </w:sdtEndPr>
    <w:sdtContent>
      <w:p w14:paraId="7153A3FB" w14:textId="2129CD3C" w:rsidR="00F0406C" w:rsidRDefault="00073CFA" w:rsidP="003053DC">
        <w:pPr>
          <w:pStyle w:val="Footer"/>
          <w:tabs>
            <w:tab w:val="clear" w:pos="4680"/>
          </w:tabs>
          <w:jc w:val="center"/>
          <w:rPr>
            <w:noProof/>
          </w:rPr>
        </w:pPr>
        <w:r>
          <w:t>C</w:t>
        </w:r>
        <w:r w:rsidRPr="00060926">
          <w:t>-</w:t>
        </w:r>
        <w:r>
          <w:fldChar w:fldCharType="begin"/>
        </w:r>
        <w:r>
          <w:instrText xml:space="preserve"> PAGE   \* MERGEFORMAT </w:instrText>
        </w:r>
        <w:r>
          <w:fldChar w:fldCharType="separate"/>
        </w:r>
        <w:r>
          <w:rPr>
            <w:noProof/>
          </w:rPr>
          <w:t>2</w:t>
        </w:r>
        <w:r>
          <w:rPr>
            <w:noProof/>
          </w:rPr>
          <w:fldChar w:fldCharType="end"/>
        </w:r>
      </w:p>
    </w:sdtContent>
  </w:sdt>
  <w:p w14:paraId="425EE085" w14:textId="77777777" w:rsidR="00255E03" w:rsidRDefault="00255E03" w:rsidP="009A0148">
    <w:pPr>
      <w:pStyle w:val="Footer"/>
      <w:ind w:left="-144"/>
    </w:pPr>
    <w:r>
      <w:rPr>
        <w:noProof/>
        <w:lang w:val="en-GB" w:eastAsia="en-GB"/>
      </w:rPr>
      <mc:AlternateContent>
        <mc:Choice Requires="wps">
          <w:drawing>
            <wp:anchor distT="0" distB="0" distL="114300" distR="114300" simplePos="0" relativeHeight="251671552" behindDoc="1" locked="0" layoutInCell="1" allowOverlap="1" wp14:anchorId="4CD82D8D" wp14:editId="1C584EE5">
              <wp:simplePos x="0" y="0"/>
              <wp:positionH relativeFrom="margin">
                <wp:posOffset>0</wp:posOffset>
              </wp:positionH>
              <wp:positionV relativeFrom="page">
                <wp:align>bottom</wp:align>
              </wp:positionV>
              <wp:extent cx="2560320" cy="640080"/>
              <wp:effectExtent l="0" t="0" r="11430" b="7620"/>
              <wp:wrapNone/>
              <wp:docPr id="436888455" name="zzmpTrailer_1078_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18573" w14:textId="77777777" w:rsidR="00255E03" w:rsidRDefault="00255E03" w:rsidP="009A0148">
                          <w:pPr>
                            <w:pStyle w:val="MacPacTrailer"/>
                            <w:spacing w:line="20" w:lineRule="exact"/>
                          </w:pPr>
                        </w:p>
                        <w:p w14:paraId="5F89621E" w14:textId="77777777" w:rsidR="00255E03" w:rsidRDefault="00255E03" w:rsidP="009A0148">
                          <w:pPr>
                            <w:pStyle w:val="MacPacTrailer"/>
                          </w:pPr>
                          <w:r>
                            <w:t>WSLEGAL\058404\00011\36511819v2</w:t>
                          </w:r>
                        </w:p>
                        <w:p w14:paraId="348614D5" w14:textId="77777777" w:rsidR="00255E03" w:rsidRDefault="00255E03" w:rsidP="009A0148">
                          <w:pPr>
                            <w:pStyle w:val="MacPacTrailer"/>
                            <w:spacing w:line="20" w:lineRule="exact"/>
                          </w:pPr>
                        </w:p>
                        <w:p w14:paraId="16D9F37E" w14:textId="77777777" w:rsidR="00255E03" w:rsidRDefault="00255E03" w:rsidP="009A0148">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82D8D" id="_x0000_t202" coordsize="21600,21600" o:spt="202" path="m,l,21600r21600,l21600,xe">
              <v:stroke joinstyle="miter"/>
              <v:path gradientshapeok="t" o:connecttype="rect"/>
            </v:shapetype>
            <v:shape id="zzmpTrailer_1078_69" o:spid="_x0000_s1030" type="#_x0000_t202" style="position:absolute;left:0;text-align:left;margin-left:0;margin-top:0;width:201.6pt;height:50.4pt;z-index:-25164492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S2gEAAJgDAAAOAAAAZHJzL2Uyb0RvYy54bWysU9uO0zAQfUfiHyy/06QFqlXUdLXsahHS&#10;AistfMDEcRKLxGPGbpPy9YydpsvlDfFiTWbsM+ecmeyup6EXR03eoC3lepVLoa3C2ti2lF+/3L+6&#10;ksIHsDX0aHUpT9rL6/3LF7vRFXqDHfa1JsEg1hejK2UXgiuyzKtOD+BX6LTlYoM0QOBParOaYGT0&#10;oc82eb7NRqTaESrtPWfv5qLcJ/ym0Sp8bhqvg+hLydxCOimdVTyz/Q6KlsB1Rp1pwD+wGMBYbnqB&#10;uoMA4kDmL6jBKEKPTVgpHDJsGqN00sBq1vkfap46cDppYXO8u9jk/x+s+nR8co8kwvQOJx5gEuHd&#10;A6pvXli87cC2+oYIx05DzY3X0bJsdL44P41W+8JHkGr8iDUPGQ4BE9DU0BBdYZ2C0XkAp4vpegpC&#10;cXLzdpu/3nBJcW37Js+v0lQyKJbXjnx4r3EQMSgl8VATOhwffIhsoFiuxGYW703fp8H29rcEX4yZ&#10;xD4SnqmHqZqEqbl5lBbFVFifWA7hvC683hx0SD+kGHlVSum/H4C0FP0Hy5bEvVoCWoJqCcAqflrK&#10;IMUc3oZ5/w6OTNsx8my6xRu2rTFJ0TOLM10efxJ6XtW4X79+p1vPP9T+JwA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INYS&#10;2gEAAJgDAAAOAAAAAAAAAAAAAAAAAC4CAABkcnMvZTJvRG9jLnhtbFBLAQItABQABgAIAAAAIQCJ&#10;EBaJ2wAAAAUBAAAPAAAAAAAAAAAAAAAAADQEAABkcnMvZG93bnJldi54bWxQSwUGAAAAAAQABADz&#10;AAAAPAUAAAAA&#10;" filled="f" stroked="f">
              <v:textbox inset="0,0,0,0">
                <w:txbxContent>
                  <w:p w14:paraId="50A18573" w14:textId="77777777" w:rsidR="00255E03" w:rsidRDefault="00255E03" w:rsidP="009A0148">
                    <w:pPr>
                      <w:pStyle w:val="MacPacTrailer"/>
                      <w:spacing w:line="20" w:lineRule="exact"/>
                    </w:pPr>
                  </w:p>
                  <w:p w14:paraId="5F89621E" w14:textId="77777777" w:rsidR="00255E03" w:rsidRDefault="00255E03" w:rsidP="009A0148">
                    <w:pPr>
                      <w:pStyle w:val="MacPacTrailer"/>
                    </w:pPr>
                    <w:r>
                      <w:t>WSLEGAL\058404\00011\36511819v2</w:t>
                    </w:r>
                  </w:p>
                  <w:p w14:paraId="348614D5" w14:textId="77777777" w:rsidR="00255E03" w:rsidRDefault="00255E03" w:rsidP="009A0148">
                    <w:pPr>
                      <w:pStyle w:val="MacPacTrailer"/>
                      <w:spacing w:line="20" w:lineRule="exact"/>
                    </w:pPr>
                  </w:p>
                  <w:p w14:paraId="16D9F37E" w14:textId="77777777" w:rsidR="00255E03" w:rsidRDefault="00255E03" w:rsidP="009A0148">
                    <w:pPr>
                      <w:pStyle w:val="MacPacTrailer"/>
                      <w:spacing w:line="20" w:lineRule="exact"/>
                    </w:pPr>
                  </w:p>
                </w:txbxContent>
              </v:textbox>
              <w10:wrap anchorx="margin"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0FC4" w14:textId="77777777" w:rsidR="00F0406C" w:rsidRDefault="00073CFA" w:rsidP="00AF45DF">
    <w:pPr>
      <w:pStyle w:val="Footer"/>
      <w:jc w:val="center"/>
    </w:pPr>
    <w:r>
      <w:t>C-</w:t>
    </w:r>
    <w:r w:rsidRPr="00060926">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B00C" w14:textId="77777777" w:rsidR="00255E03" w:rsidRDefault="00255E03">
    <w:pPr>
      <w:pStyle w:val="Footer"/>
      <w:jc w:val="center"/>
      <w:rPr>
        <w:noProof/>
      </w:rPr>
    </w:pPr>
    <w:sdt>
      <w:sdtPr>
        <w:id w:val="-1199856299"/>
        <w:docPartObj>
          <w:docPartGallery w:val="Page Numbers (Bottom of Page)"/>
          <w:docPartUnique/>
        </w:docPartObj>
      </w:sdtPr>
      <w:sdtEndPr>
        <w:rPr>
          <w:noProof/>
        </w:rPr>
      </w:sdtEndPr>
      <w:sdtContent>
        <w:r w:rsidR="00073CFA">
          <w:fldChar w:fldCharType="begin"/>
        </w:r>
        <w:r w:rsidR="00073CFA">
          <w:instrText xml:space="preserve"> PAGE   \* MERGEFORMAT </w:instrText>
        </w:r>
        <w:r w:rsidR="00073CFA">
          <w:fldChar w:fldCharType="separate"/>
        </w:r>
        <w:r w:rsidR="00073CFA">
          <w:rPr>
            <w:noProof/>
          </w:rPr>
          <w:t>3</w:t>
        </w:r>
        <w:r w:rsidR="00073CFA">
          <w:rPr>
            <w:noProof/>
          </w:rPr>
          <w:fldChar w:fldCharType="end"/>
        </w:r>
      </w:sdtContent>
    </w:sdt>
  </w:p>
  <w:p w14:paraId="656EECC5" w14:textId="77777777" w:rsidR="00255E03" w:rsidRDefault="00255E03">
    <w:pPr>
      <w:pStyle w:val="Footer"/>
      <w:ind w:left="-144"/>
    </w:pPr>
    <w:r>
      <w:rPr>
        <w:noProof/>
        <w:lang w:val="en-GB" w:eastAsia="en-GB"/>
      </w:rPr>
      <w:pict w14:anchorId="6C3B5673">
        <v:shapetype id="_x0000_t202" coordsize="21600,21600" o:spt="202" path="m,l,21600r21600,l21600,xe">
          <v:stroke joinstyle="miter"/>
          <v:path gradientshapeok="t" o:connecttype="rect"/>
        </v:shapetype>
        <v:shape id="zzmpTrailer_1078_19" o:spid="_x0000_s102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14:paraId="3B707A94" w14:textId="0F812DDD" w:rsidR="00255E03" w:rsidRDefault="00255E03" w:rsidP="00255E03">
                <w:pPr>
                  <w:pStyle w:val="MacPacTrailer"/>
                  <w:spacing w:line="20" w:lineRule="exact"/>
                </w:pPr>
              </w:p>
              <w:p w14:paraId="651B62E5" w14:textId="53DC77CC" w:rsidR="00255E03" w:rsidRDefault="00255E03">
                <w:pPr>
                  <w:pStyle w:val="MacPacTrailer"/>
                </w:pPr>
                <w:r>
                  <w:t>WSLEGAL\058404\00011\36511819v2</w:t>
                </w:r>
              </w:p>
              <w:p w14:paraId="66ADD0F1" w14:textId="559096E5" w:rsidR="00255E03" w:rsidRDefault="00255E03" w:rsidP="00255E03">
                <w:pPr>
                  <w:pStyle w:val="MacPacTrailer"/>
                  <w:spacing w:line="20" w:lineRule="exact"/>
                </w:pPr>
              </w:p>
              <w:p w14:paraId="3535A104" w14:textId="5E2FD2C9" w:rsidR="00255E03" w:rsidRDefault="00255E03" w:rsidP="00255E03">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2C62" w14:textId="77777777" w:rsidR="00255E03" w:rsidRDefault="00255E03" w:rsidP="005956FF">
    <w:pPr>
      <w:pStyle w:val="Footer"/>
      <w:jc w:val="right"/>
      <w:rPr>
        <w:rFonts w:cs="Times New Roman"/>
        <w:noProof/>
      </w:rPr>
    </w:pPr>
    <w:sdt>
      <w:sdtPr>
        <w:id w:val="2127047176"/>
        <w:docPartObj>
          <w:docPartGallery w:val="Page Numbers (Bottom of Page)"/>
          <w:docPartUnique/>
        </w:docPartObj>
      </w:sdtPr>
      <w:sdtEndPr>
        <w:rPr>
          <w:rFonts w:cs="Times New Roman"/>
          <w:noProof/>
        </w:rPr>
      </w:sdtEndPr>
      <w:sdtContent>
        <w:r w:rsidR="005956FF">
          <w:t xml:space="preserve">Dernière mise à jour : </w:t>
        </w:r>
        <w:r w:rsidR="008E40C9">
          <w:t>o</w:t>
        </w:r>
        <w:r w:rsidR="005956FF">
          <w:t>ctobre</w:t>
        </w:r>
        <w:r w:rsidR="005956FF" w:rsidRPr="00060926">
          <w:t xml:space="preserve"> 202</w:t>
        </w:r>
        <w:r w:rsidR="005956FF">
          <w:t>0</w:t>
        </w:r>
      </w:sdtContent>
    </w:sdt>
  </w:p>
  <w:p w14:paraId="7CBF12AD" w14:textId="77777777" w:rsidR="00255E03" w:rsidRDefault="00255E03">
    <w:pPr>
      <w:pStyle w:val="Footer"/>
      <w:ind w:left="-144"/>
    </w:pPr>
    <w:r>
      <w:rPr>
        <w:noProof/>
        <w:lang w:val="en-GB" w:eastAsia="en-GB"/>
      </w:rPr>
      <w:pict w14:anchorId="2EFCFA7C">
        <v:shapetype id="_x0000_t202" coordsize="21600,21600" o:spt="202" path="m,l,21600r21600,l21600,xe">
          <v:stroke joinstyle="miter"/>
          <v:path gradientshapeok="t" o:connecttype="rect"/>
        </v:shapetype>
        <v:shape id="zzmpTrailer_1078_1B" o:spid="_x0000_s103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14:paraId="3A223D5D" w14:textId="7F50E84D" w:rsidR="00255E03" w:rsidRDefault="00255E03" w:rsidP="00255E03">
                <w:pPr>
                  <w:pStyle w:val="MacPacTrailer"/>
                  <w:spacing w:line="20" w:lineRule="exact"/>
                </w:pPr>
              </w:p>
              <w:p w14:paraId="4E98FC37" w14:textId="23D783C7" w:rsidR="00255E03" w:rsidRDefault="00255E03">
                <w:pPr>
                  <w:pStyle w:val="MacPacTrailer"/>
                </w:pPr>
                <w:r>
                  <w:t>WSLEGAL\058404\00011\36511819v2</w:t>
                </w:r>
              </w:p>
              <w:p w14:paraId="5E10A53E" w14:textId="4337983C" w:rsidR="00255E03" w:rsidRDefault="00255E03" w:rsidP="00255E03">
                <w:pPr>
                  <w:pStyle w:val="MacPacTrailer"/>
                  <w:spacing w:line="20" w:lineRule="exact"/>
                </w:pPr>
              </w:p>
              <w:p w14:paraId="3FA01E81" w14:textId="107D348D" w:rsidR="00255E03" w:rsidRDefault="00255E03" w:rsidP="00255E03">
                <w:pPr>
                  <w:pStyle w:val="MacPacTrailer"/>
                  <w:spacing w:line="20" w:lineRule="exact"/>
                </w:pPr>
              </w:p>
            </w:txbxContent>
          </v:textbox>
          <w10:wrap anchorx="margin"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6022"/>
      <w:docPartObj>
        <w:docPartGallery w:val="Page Numbers (Bottom of Page)"/>
        <w:docPartUnique/>
      </w:docPartObj>
    </w:sdtPr>
    <w:sdtEndPr>
      <w:rPr>
        <w:rFonts w:cs="Times New Roman"/>
        <w:noProof/>
      </w:rPr>
    </w:sdtEndPr>
    <w:sdtContent>
      <w:p w14:paraId="55DBBA81" w14:textId="11258D28" w:rsidR="00F0406C" w:rsidRDefault="00073CFA" w:rsidP="00B01DDB">
        <w:pPr>
          <w:pStyle w:val="Footer"/>
          <w:jc w:val="center"/>
          <w:rPr>
            <w:rFonts w:cs="Times New Roman"/>
            <w:noProof/>
          </w:rPr>
        </w:pPr>
        <w:r>
          <w:fldChar w:fldCharType="begin"/>
        </w:r>
        <w:r>
          <w:instrText xml:space="preserve"> PAGE   \* MERGEFORMAT </w:instrText>
        </w:r>
        <w:r>
          <w:fldChar w:fldCharType="separate"/>
        </w:r>
        <w:r>
          <w:rPr>
            <w:noProof/>
          </w:rPr>
          <w:t>1</w:t>
        </w:r>
        <w:r>
          <w:rPr>
            <w:noProof/>
          </w:rPr>
          <w:fldChar w:fldCharType="end"/>
        </w:r>
      </w:p>
    </w:sdtContent>
  </w:sdt>
  <w:p w14:paraId="76AF0673" w14:textId="77777777" w:rsidR="00255E03" w:rsidRDefault="00255E03" w:rsidP="00B413D6">
    <w:pPr>
      <w:pStyle w:val="Footer"/>
      <w:ind w:left="-144"/>
    </w:pPr>
    <w:r>
      <w:rPr>
        <w:noProof/>
        <w:lang w:val="en-GB" w:eastAsia="en-GB"/>
      </w:rPr>
      <mc:AlternateContent>
        <mc:Choice Requires="wps">
          <w:drawing>
            <wp:anchor distT="0" distB="0" distL="114300" distR="114300" simplePos="0" relativeHeight="251663360" behindDoc="1" locked="0" layoutInCell="1" allowOverlap="1" wp14:anchorId="33976B68" wp14:editId="5300318C">
              <wp:simplePos x="0" y="0"/>
              <wp:positionH relativeFrom="margin">
                <wp:posOffset>0</wp:posOffset>
              </wp:positionH>
              <wp:positionV relativeFrom="page">
                <wp:align>bottom</wp:align>
              </wp:positionV>
              <wp:extent cx="2560320" cy="640080"/>
              <wp:effectExtent l="0" t="0" r="11430" b="762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E7FB" w14:textId="77777777" w:rsidR="00255E03" w:rsidRDefault="00255E03" w:rsidP="00B413D6">
                          <w:pPr>
                            <w:pStyle w:val="MacPacTrailer"/>
                            <w:spacing w:line="20" w:lineRule="exact"/>
                          </w:pPr>
                        </w:p>
                        <w:p w14:paraId="00A563FA" w14:textId="77777777" w:rsidR="00255E03" w:rsidRDefault="00255E03" w:rsidP="00B413D6">
                          <w:pPr>
                            <w:pStyle w:val="MacPacTrailer"/>
                          </w:pPr>
                          <w:r>
                            <w:t>WSLEGAL\058404\00011\36511819v2</w:t>
                          </w:r>
                        </w:p>
                        <w:p w14:paraId="63F90E7D" w14:textId="77777777" w:rsidR="00255E03" w:rsidRDefault="00255E03" w:rsidP="00B413D6">
                          <w:pPr>
                            <w:pStyle w:val="MacPacTrailer"/>
                            <w:spacing w:line="20" w:lineRule="exact"/>
                          </w:pPr>
                        </w:p>
                        <w:p w14:paraId="64ADB2BE" w14:textId="77777777" w:rsidR="00255E03" w:rsidRDefault="00255E03" w:rsidP="00B413D6">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76B68" id="_x0000_t202" coordsize="21600,21600" o:spt="202" path="m,l,21600r21600,l21600,xe">
              <v:stroke joinstyle="miter"/>
              <v:path gradientshapeok="t" o:connecttype="rect"/>
            </v:shapetype>
            <v:shape id="zzmpTrailer_1078_2B" o:spid="_x0000_s1026" type="#_x0000_t202" style="position:absolute;left:0;text-align:left;margin-left:0;margin-top:0;width:201.6pt;height:50.4pt;z-index:-25165312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yf2QEAAJgDAAAOAAAAZHJzL2Uyb0RvYy54bWysU9uO0zAQfUfiHyy/06QFqlXUdLXsahHS&#10;AistfMDEcRKLxGPGbpPy9YydpsvlDfFijWfs43POjHfX09CLoyZv0JZyvcql0FZhbWxbyq9f7l9d&#10;SeED2Bp6tLqUJ+3l9f7li93oCr3BDvtak2AQ64vRlbILwRVZ5lWnB/ArdNpysUEaIPCW2qwmGBl9&#10;6LNNnm+zEal2hEp7z9m7uSj3Cb9ptAqfm8brIPpSMreQVkprFddsv4OiJXCdUWca8A8sBjCWH71A&#10;3UEAcSDzF9RgFKHHJqwUDhk2jVE6aWA16/wPNU8dOJ20sDneXWzy/w9WfTo+uUcSYXqHEzcwifDu&#10;AdU3LyzedmBbfUOEY6eh5ofX0bJsdL44X41W+8JHkGr8iDU3GQ4BE9DU0BBdYZ2C0bkBp4vpegpC&#10;cXLzdpu/3nBJcW37Js+vUlcyKJbbjnx4r3EQMSglcVMTOhwffIhsoFiOxMcs3pu+T43t7W8JPhgz&#10;iX0kPFMPUzUJUzOTKC2KqbA+sRzCeVx4vDnokH5IMfKolNJ/PwBpKfoPli2Jc7UEtATVEoBVfLWU&#10;QYo5vA3z/B0cmbZj5Nl0izdsW2OSomcWZ7rc/iT0PKpxvn7dp1PPH2r/EwAA//8DAFBLAwQUAAYA&#10;CAAAACEAiRAWidsAAAAFAQAADwAAAGRycy9kb3ducmV2LnhtbEyPwU7DMBBE70j8g7VI3KjdgqqS&#10;xqkqBCckRBoOHJ14m1iN1yF22/D3LFzKZaTVjGbe5pvJ9+KEY3SBNMxnCgRSE6yjVsNH9XK3AhGT&#10;IWv6QKjhGyNsiuur3GQ2nKnE0y61gksoZkZDl9KQSRmbDr2JszAgsbcPozeJz7GVdjRnLve9XCi1&#10;lN444oXODPjUYXPYHb2G7SeVz+7rrX4v96WrqkdFr8uD1rc303YNIuGULmH4xWd0KJipDkeyUfQa&#10;+JH0p+w9qPsFiJpDSq1AFrn8T1/8AAAA//8DAFBLAQItABQABgAIAAAAIQC2gziS/gAAAOEBAAAT&#10;AAAAAAAAAAAAAAAAAAAAAABbQ29udGVudF9UeXBlc10ueG1sUEsBAi0AFAAGAAgAAAAhADj9If/W&#10;AAAAlAEAAAsAAAAAAAAAAAAAAAAALwEAAF9yZWxzLy5yZWxzUEsBAi0AFAAGAAgAAAAhAPLsDJ/Z&#10;AQAAmAMAAA4AAAAAAAAAAAAAAAAALgIAAGRycy9lMm9Eb2MueG1sUEsBAi0AFAAGAAgAAAAhAIkQ&#10;FonbAAAABQEAAA8AAAAAAAAAAAAAAAAAMwQAAGRycy9kb3ducmV2LnhtbFBLBQYAAAAABAAEAPMA&#10;AAA7BQAAAAA=&#10;" filled="f" stroked="f">
              <v:textbox inset="0,0,0,0">
                <w:txbxContent>
                  <w:p w14:paraId="56D9E7FB" w14:textId="77777777" w:rsidR="00255E03" w:rsidRDefault="00255E03" w:rsidP="00B413D6">
                    <w:pPr>
                      <w:pStyle w:val="MacPacTrailer"/>
                      <w:spacing w:line="20" w:lineRule="exact"/>
                    </w:pPr>
                  </w:p>
                  <w:p w14:paraId="00A563FA" w14:textId="77777777" w:rsidR="00255E03" w:rsidRDefault="00255E03" w:rsidP="00B413D6">
                    <w:pPr>
                      <w:pStyle w:val="MacPacTrailer"/>
                    </w:pPr>
                    <w:r>
                      <w:t>WSLEGAL\058404\00011\36511819v2</w:t>
                    </w:r>
                  </w:p>
                  <w:p w14:paraId="63F90E7D" w14:textId="77777777" w:rsidR="00255E03" w:rsidRDefault="00255E03" w:rsidP="00B413D6">
                    <w:pPr>
                      <w:pStyle w:val="MacPacTrailer"/>
                      <w:spacing w:line="20" w:lineRule="exact"/>
                    </w:pPr>
                  </w:p>
                  <w:p w14:paraId="64ADB2BE" w14:textId="77777777" w:rsidR="00255E03" w:rsidRDefault="00255E03" w:rsidP="00B413D6">
                    <w:pPr>
                      <w:pStyle w:val="MacPacTrailer"/>
                      <w:spacing w:line="20" w:lineRule="exact"/>
                    </w:pPr>
                  </w:p>
                </w:txbxContent>
              </v:textbox>
              <w10:wrap anchorx="margin"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EF1C8" w14:textId="661A2227" w:rsidR="003053DC" w:rsidRDefault="003053DC" w:rsidP="003053DC">
    <w:pPr>
      <w:pStyle w:val="Footer"/>
    </w:pPr>
    <w:r>
      <w:t>Billet à ordre convertible</w:t>
    </w:r>
  </w:p>
  <w:p w14:paraId="206C3CDE" w14:textId="77777777" w:rsidR="00255E03" w:rsidRDefault="00255E03" w:rsidP="009A0148">
    <w:pPr>
      <w:pStyle w:val="Footer"/>
      <w:ind w:left="-144"/>
    </w:pPr>
    <w:r>
      <w:rPr>
        <w:noProof/>
        <w:lang w:val="en-GB" w:eastAsia="en-GB"/>
      </w:rPr>
      <mc:AlternateContent>
        <mc:Choice Requires="wps">
          <w:drawing>
            <wp:anchor distT="0" distB="0" distL="114300" distR="114300" simplePos="0" relativeHeight="251665408" behindDoc="1" locked="0" layoutInCell="1" allowOverlap="1" wp14:anchorId="7367DE32" wp14:editId="72C4244A">
              <wp:simplePos x="0" y="0"/>
              <wp:positionH relativeFrom="margin">
                <wp:posOffset>0</wp:posOffset>
              </wp:positionH>
              <wp:positionV relativeFrom="page">
                <wp:align>bottom</wp:align>
              </wp:positionV>
              <wp:extent cx="2560320" cy="640080"/>
              <wp:effectExtent l="0" t="0" r="11430" b="7620"/>
              <wp:wrapNone/>
              <wp:docPr id="2" name="zzmpTrailer_1078_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B5D1" w14:textId="77777777" w:rsidR="00255E03" w:rsidRDefault="00255E03" w:rsidP="009A0148">
                          <w:pPr>
                            <w:pStyle w:val="MacPacTrailer"/>
                            <w:spacing w:line="20" w:lineRule="exact"/>
                          </w:pPr>
                        </w:p>
                        <w:p w14:paraId="7FD3050A" w14:textId="77777777" w:rsidR="00255E03" w:rsidRDefault="00255E03" w:rsidP="009A0148">
                          <w:pPr>
                            <w:pStyle w:val="MacPacTrailer"/>
                          </w:pPr>
                          <w:r>
                            <w:t>WSLEGAL\058404\00011\36511819v2</w:t>
                          </w:r>
                        </w:p>
                        <w:p w14:paraId="5D7542F9" w14:textId="77777777" w:rsidR="00255E03" w:rsidRDefault="00255E03" w:rsidP="009A0148">
                          <w:pPr>
                            <w:pStyle w:val="MacPacTrailer"/>
                            <w:spacing w:line="20" w:lineRule="exact"/>
                          </w:pPr>
                        </w:p>
                        <w:p w14:paraId="76972B7C" w14:textId="77777777" w:rsidR="00255E03" w:rsidRDefault="00255E03" w:rsidP="009A0148">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7DE32" id="_x0000_t202" coordsize="21600,21600" o:spt="202" path="m,l,21600r21600,l21600,xe">
              <v:stroke joinstyle="miter"/>
              <v:path gradientshapeok="t" o:connecttype="rect"/>
            </v:shapetype>
            <v:shape id="zzmpTrailer_1078_39" o:spid="_x0000_s1027" type="#_x0000_t202" style="position:absolute;left:0;text-align:left;margin-left:0;margin-top:0;width:201.6pt;height:50.4pt;z-index:-251651072;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bK2gEAAJgDAAAOAAAAZHJzL2Uyb0RvYy54bWysU9tu2zAMfR+wfxD0vthJt6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a/2nBJcW37O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BBHqbK&#10;2gEAAJgDAAAOAAAAAAAAAAAAAAAAAC4CAABkcnMvZTJvRG9jLnhtbFBLAQItABQABgAIAAAAIQCJ&#10;EBaJ2wAAAAUBAAAPAAAAAAAAAAAAAAAAADQEAABkcnMvZG93bnJldi54bWxQSwUGAAAAAAQABADz&#10;AAAAPAUAAAAA&#10;" filled="f" stroked="f">
              <v:textbox inset="0,0,0,0">
                <w:txbxContent>
                  <w:p w14:paraId="6933B5D1" w14:textId="77777777" w:rsidR="00255E03" w:rsidRDefault="00255E03" w:rsidP="009A0148">
                    <w:pPr>
                      <w:pStyle w:val="MacPacTrailer"/>
                      <w:spacing w:line="20" w:lineRule="exact"/>
                    </w:pPr>
                  </w:p>
                  <w:p w14:paraId="7FD3050A" w14:textId="77777777" w:rsidR="00255E03" w:rsidRDefault="00255E03" w:rsidP="009A0148">
                    <w:pPr>
                      <w:pStyle w:val="MacPacTrailer"/>
                    </w:pPr>
                    <w:r>
                      <w:t>WSLEGAL\058404\00011\36511819v2</w:t>
                    </w:r>
                  </w:p>
                  <w:p w14:paraId="5D7542F9" w14:textId="77777777" w:rsidR="00255E03" w:rsidRDefault="00255E03" w:rsidP="009A0148">
                    <w:pPr>
                      <w:pStyle w:val="MacPacTrailer"/>
                      <w:spacing w:line="20" w:lineRule="exact"/>
                    </w:pPr>
                  </w:p>
                  <w:p w14:paraId="76972B7C" w14:textId="77777777" w:rsidR="00255E03" w:rsidRDefault="00255E03" w:rsidP="009A0148">
                    <w:pPr>
                      <w:pStyle w:val="MacPacTrailer"/>
                      <w:spacing w:line="20" w:lineRule="exact"/>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624256"/>
      <w:docPartObj>
        <w:docPartGallery w:val="Page Numbers (Bottom of Page)"/>
        <w:docPartUnique/>
      </w:docPartObj>
    </w:sdtPr>
    <w:sdtEndPr>
      <w:rPr>
        <w:noProof/>
      </w:rPr>
    </w:sdtEndPr>
    <w:sdtContent>
      <w:p w14:paraId="4FE20571" w14:textId="46D0B2A7" w:rsidR="00F0406C" w:rsidRPr="00FB3E4A" w:rsidRDefault="002D5CB8" w:rsidP="00E5787D">
        <w:pPr>
          <w:pStyle w:val="Footer"/>
        </w:pPr>
        <w:r w:rsidRPr="00FB3E4A">
          <w:t>Billet à ordre convertible</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013201"/>
      <w:docPartObj>
        <w:docPartGallery w:val="Page Numbers (Bottom of Page)"/>
        <w:docPartUnique/>
      </w:docPartObj>
    </w:sdtPr>
    <w:sdtEndPr>
      <w:rPr>
        <w:noProof/>
      </w:rPr>
    </w:sdtEndPr>
    <w:sdtContent>
      <w:p w14:paraId="43FF1EA8" w14:textId="77777777" w:rsidR="00F0406C" w:rsidRDefault="00073CFA">
        <w:pPr>
          <w:pStyle w:val="Footer"/>
          <w:jc w:val="center"/>
          <w:rPr>
            <w:noProof/>
          </w:rPr>
        </w:pPr>
        <w:r>
          <w:t>A</w:t>
        </w:r>
        <w:r w:rsidRPr="00060926">
          <w:t>-</w:t>
        </w:r>
        <w:r>
          <w:fldChar w:fldCharType="begin"/>
        </w:r>
        <w:r>
          <w:instrText xml:space="preserve"> PAGE   \* MERGEFORMAT </w:instrText>
        </w:r>
        <w:r>
          <w:fldChar w:fldCharType="separate"/>
        </w:r>
        <w:r>
          <w:rPr>
            <w:noProof/>
          </w:rPr>
          <w:t>2</w:t>
        </w:r>
        <w:r>
          <w:rPr>
            <w:noProof/>
          </w:rPr>
          <w:fldChar w:fldCharType="end"/>
        </w:r>
      </w:p>
    </w:sdtContent>
  </w:sdt>
  <w:p w14:paraId="280FD58A" w14:textId="77777777" w:rsidR="00255E03" w:rsidRDefault="00255E03" w:rsidP="009A0148">
    <w:pPr>
      <w:pStyle w:val="Footer"/>
      <w:ind w:left="-144"/>
    </w:pPr>
    <w:r>
      <w:rPr>
        <w:noProof/>
        <w:lang w:val="en-GB" w:eastAsia="en-GB"/>
      </w:rPr>
      <mc:AlternateContent>
        <mc:Choice Requires="wps">
          <w:drawing>
            <wp:anchor distT="0" distB="0" distL="114300" distR="114300" simplePos="0" relativeHeight="251667456" behindDoc="1" locked="0" layoutInCell="1" allowOverlap="1" wp14:anchorId="027FDD10" wp14:editId="7E505EB0">
              <wp:simplePos x="0" y="0"/>
              <wp:positionH relativeFrom="margin">
                <wp:posOffset>0</wp:posOffset>
              </wp:positionH>
              <wp:positionV relativeFrom="page">
                <wp:align>bottom</wp:align>
              </wp:positionV>
              <wp:extent cx="2560320" cy="640080"/>
              <wp:effectExtent l="0" t="0" r="11430" b="7620"/>
              <wp:wrapNone/>
              <wp:docPr id="1394798660" name="zzmpTrailer_1078_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D1F67" w14:textId="77777777" w:rsidR="00255E03" w:rsidRDefault="00255E03" w:rsidP="009A0148">
                          <w:pPr>
                            <w:pStyle w:val="MacPacTrailer"/>
                            <w:spacing w:line="20" w:lineRule="exact"/>
                          </w:pPr>
                        </w:p>
                        <w:p w14:paraId="2A3ABED6" w14:textId="77777777" w:rsidR="00255E03" w:rsidRDefault="00255E03" w:rsidP="009A0148">
                          <w:pPr>
                            <w:pStyle w:val="MacPacTrailer"/>
                          </w:pPr>
                          <w:r>
                            <w:t>WSLEGAL\058404\00011\36511819v2</w:t>
                          </w:r>
                        </w:p>
                        <w:p w14:paraId="2AB7DA81" w14:textId="77777777" w:rsidR="00255E03" w:rsidRDefault="00255E03" w:rsidP="009A0148">
                          <w:pPr>
                            <w:pStyle w:val="MacPacTrailer"/>
                            <w:spacing w:line="20" w:lineRule="exact"/>
                          </w:pPr>
                        </w:p>
                        <w:p w14:paraId="6A465AA1" w14:textId="77777777" w:rsidR="00255E03" w:rsidRDefault="00255E03" w:rsidP="009A0148">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FDD10" id="_x0000_t202" coordsize="21600,21600" o:spt="202" path="m,l,21600r21600,l21600,xe">
              <v:stroke joinstyle="miter"/>
              <v:path gradientshapeok="t" o:connecttype="rect"/>
            </v:shapetype>
            <v:shape id="zzmpTrailer_1078_49" o:spid="_x0000_s1028" type="#_x0000_t202" style="position:absolute;left:0;text-align:left;margin-left:0;margin-top:0;width:201.6pt;height:50.4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YO52gEAAJgDAAAOAAAAZHJzL2Uyb0RvYy54bWysU9tu2zAMfR+wfxD0vtjJu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zTZ/veGS4tr2K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AZxYO5&#10;2gEAAJgDAAAOAAAAAAAAAAAAAAAAAC4CAABkcnMvZTJvRG9jLnhtbFBLAQItABQABgAIAAAAIQCJ&#10;EBaJ2wAAAAUBAAAPAAAAAAAAAAAAAAAAADQEAABkcnMvZG93bnJldi54bWxQSwUGAAAAAAQABADz&#10;AAAAPAUAAAAA&#10;" filled="f" stroked="f">
              <v:textbox inset="0,0,0,0">
                <w:txbxContent>
                  <w:p w14:paraId="7ACD1F67" w14:textId="77777777" w:rsidR="00255E03" w:rsidRDefault="00255E03" w:rsidP="009A0148">
                    <w:pPr>
                      <w:pStyle w:val="MacPacTrailer"/>
                      <w:spacing w:line="20" w:lineRule="exact"/>
                    </w:pPr>
                  </w:p>
                  <w:p w14:paraId="2A3ABED6" w14:textId="77777777" w:rsidR="00255E03" w:rsidRDefault="00255E03" w:rsidP="009A0148">
                    <w:pPr>
                      <w:pStyle w:val="MacPacTrailer"/>
                    </w:pPr>
                    <w:r>
                      <w:t>WSLEGAL\058404\00011\36511819v2</w:t>
                    </w:r>
                  </w:p>
                  <w:p w14:paraId="2AB7DA81" w14:textId="77777777" w:rsidR="00255E03" w:rsidRDefault="00255E03" w:rsidP="009A0148">
                    <w:pPr>
                      <w:pStyle w:val="MacPacTrailer"/>
                      <w:spacing w:line="20" w:lineRule="exact"/>
                    </w:pPr>
                  </w:p>
                  <w:p w14:paraId="6A465AA1" w14:textId="77777777" w:rsidR="00255E03" w:rsidRDefault="00255E03" w:rsidP="009A0148">
                    <w:pPr>
                      <w:pStyle w:val="MacPacTrailer"/>
                      <w:spacing w:line="20" w:lineRule="exact"/>
                    </w:pPr>
                  </w:p>
                </w:txbxContent>
              </v:textbox>
              <w10:wrap anchorx="margin"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3392" w14:textId="77777777" w:rsidR="00F0406C" w:rsidRDefault="00073CFA" w:rsidP="00AF45DF">
    <w:pPr>
      <w:pStyle w:val="Footer"/>
      <w:jc w:val="center"/>
    </w:pPr>
    <w:r>
      <w:t>A-</w:t>
    </w:r>
    <w:r w:rsidRPr="00060926">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076284"/>
      <w:docPartObj>
        <w:docPartGallery w:val="Page Numbers (Bottom of Page)"/>
        <w:docPartUnique/>
      </w:docPartObj>
    </w:sdtPr>
    <w:sdtEndPr>
      <w:rPr>
        <w:noProof/>
      </w:rPr>
    </w:sdtEndPr>
    <w:sdtContent>
      <w:p w14:paraId="7D294FA6" w14:textId="77777777" w:rsidR="00F0406C" w:rsidRDefault="00073CFA">
        <w:pPr>
          <w:pStyle w:val="Footer"/>
          <w:jc w:val="center"/>
          <w:rPr>
            <w:noProof/>
          </w:rPr>
        </w:pPr>
        <w:r>
          <w:t>B</w:t>
        </w:r>
        <w:r w:rsidRPr="00060926">
          <w:t>-</w:t>
        </w:r>
        <w:r>
          <w:fldChar w:fldCharType="begin"/>
        </w:r>
        <w:r>
          <w:instrText xml:space="preserve"> PAGE   \* MERGEFORMAT </w:instrText>
        </w:r>
        <w:r>
          <w:fldChar w:fldCharType="separate"/>
        </w:r>
        <w:r>
          <w:rPr>
            <w:noProof/>
          </w:rPr>
          <w:t>2</w:t>
        </w:r>
        <w:r>
          <w:rPr>
            <w:noProof/>
          </w:rPr>
          <w:fldChar w:fldCharType="end"/>
        </w:r>
      </w:p>
    </w:sdtContent>
  </w:sdt>
  <w:p w14:paraId="38A99808" w14:textId="77777777" w:rsidR="00255E03" w:rsidRDefault="00255E03" w:rsidP="009A0148">
    <w:pPr>
      <w:pStyle w:val="Footer"/>
      <w:ind w:left="-144"/>
    </w:pPr>
    <w:r>
      <w:rPr>
        <w:noProof/>
        <w:lang w:val="en-GB" w:eastAsia="en-GB"/>
      </w:rPr>
      <mc:AlternateContent>
        <mc:Choice Requires="wps">
          <w:drawing>
            <wp:anchor distT="0" distB="0" distL="114300" distR="114300" simplePos="0" relativeHeight="251669504" behindDoc="1" locked="0" layoutInCell="1" allowOverlap="1" wp14:anchorId="5D3A3635" wp14:editId="1D3E7E26">
              <wp:simplePos x="0" y="0"/>
              <wp:positionH relativeFrom="margin">
                <wp:posOffset>0</wp:posOffset>
              </wp:positionH>
              <wp:positionV relativeFrom="page">
                <wp:align>bottom</wp:align>
              </wp:positionV>
              <wp:extent cx="2560320" cy="640080"/>
              <wp:effectExtent l="0" t="0" r="11430" b="7620"/>
              <wp:wrapNone/>
              <wp:docPr id="2136787251"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15F58" w14:textId="77777777" w:rsidR="00255E03" w:rsidRDefault="00255E03" w:rsidP="009A0148">
                          <w:pPr>
                            <w:pStyle w:val="MacPacTrailer"/>
                            <w:spacing w:line="20" w:lineRule="exact"/>
                          </w:pPr>
                        </w:p>
                        <w:p w14:paraId="20B376C8" w14:textId="77777777" w:rsidR="00255E03" w:rsidRDefault="00255E03" w:rsidP="009A0148">
                          <w:pPr>
                            <w:pStyle w:val="MacPacTrailer"/>
                          </w:pPr>
                          <w:r>
                            <w:t>WSLEGAL\058404\00011\36511819v2</w:t>
                          </w:r>
                        </w:p>
                        <w:p w14:paraId="1FE098E5" w14:textId="77777777" w:rsidR="00255E03" w:rsidRDefault="00255E03" w:rsidP="009A0148">
                          <w:pPr>
                            <w:pStyle w:val="MacPacTrailer"/>
                            <w:spacing w:line="20" w:lineRule="exact"/>
                          </w:pPr>
                        </w:p>
                        <w:p w14:paraId="0656528D" w14:textId="77777777" w:rsidR="00255E03" w:rsidRDefault="00255E03" w:rsidP="009A0148">
                          <w:pPr>
                            <w:pStyle w:val="MacPacTrailer"/>
                            <w:spacing w:line="2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A3635" id="_x0000_t202" coordsize="21600,21600" o:spt="202" path="m,l,21600r21600,l21600,xe">
              <v:stroke joinstyle="miter"/>
              <v:path gradientshapeok="t" o:connecttype="rect"/>
            </v:shapetype>
            <v:shape id="zzmpTrailer_1078_59" o:spid="_x0000_s1029" type="#_x0000_t202" style="position:absolute;left:0;text-align:left;margin-left:0;margin-top:0;width:201.6pt;height:50.4pt;z-index:-2516469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yns2gEAAJgDAAAOAAAAZHJzL2Uyb0RvYy54bWysU9tu2zAMfR+wfxD0vtjJ1qAw4hRdiw4D&#10;ugvQ7QNoWbaF2aJGKbGzrx8lx+kub8NeBIqUjs45pHY309CLoyZv0JZyvcql0FZhbWxbyq9fHl5d&#10;S+ED2Bp6tLqUJ+3lzf7li93oCr3BDvtak2AQ64vRlbILwRVZ5lWnB/ArdNpysUEaIPCW2qwmGBl9&#10;6LNNnm+zEal2hEp7z9n7uSj3Cb9ptAqfmsbrIPpSMreQVkprFddsv4OiJXCdUWca8A8sBjCWH71A&#10;3UMAcSDzF9RgFKHHJqwUDhk2jVE6aWA16/wPNU8dOJ20sDneXWzy/w9WfTw+uc8kwvQWJ25gEuHd&#10;I6pvXli868C2+pYIx05DzQ+vo2XZ6Hxxvhqt9oWPINX4AWtuMhwCJqCpoSG6wjoFo3MDThfT9RSE&#10;4uTmapu/3nBJcW37Js+vU1cyKJbbjnx4p3EQMSglcVMTOhwffYhsoFiOxMcsPpi+T43t7W8JPhgz&#10;iX0kPFMPUzUJU5fyKkqLYiqsTyyHcB4XHm8OOqQfUow8KqX03w9AWor+vWVL4lwtAS1BtQRgFV8t&#10;ZZBiDu/CPH8HR6btGHk23eIt29aYpOiZxZkutz8JPY9qnK9f9+nU84fa/wQAAP//AwBQSwMEFAAG&#10;AAgAAAAhAIkQFonbAAAABQEAAA8AAABkcnMvZG93bnJldi54bWxMj8FOwzAQRO9I/IO1SNyo3YKq&#10;ksapKgQnJEQaDhydeJtYjdchdtvw9yxcymWk1Yxm3uabyffihGN0gTTMZwoEUhOso1bDR/VytwIR&#10;kyFr+kCo4RsjbIrrq9xkNpypxNMutYJLKGZGQ5fSkEkZmw69ibMwILG3D6M3ic+xlXY0Zy73vVwo&#10;tZTeOOKFzgz41GFz2B29hu0nlc/u661+L/elq6pHRa/Lg9a3N9N2DSLhlC5h+MVndCiYqQ5HslH0&#10;GviR9KfsPaj7BYiaQ0qtQBa5/E9f/AAAAP//AwBQSwECLQAUAAYACAAAACEAtoM4kv4AAADhAQAA&#10;EwAAAAAAAAAAAAAAAAAAAAAAW0NvbnRlbnRfVHlwZXNdLnhtbFBLAQItABQABgAIAAAAIQA4/SH/&#10;1gAAAJQBAAALAAAAAAAAAAAAAAAAAC8BAABfcmVscy8ucmVsc1BLAQItABQABgAIAAAAIQCqNyns&#10;2gEAAJgDAAAOAAAAAAAAAAAAAAAAAC4CAABkcnMvZTJvRG9jLnhtbFBLAQItABQABgAIAAAAIQCJ&#10;EBaJ2wAAAAUBAAAPAAAAAAAAAAAAAAAAADQEAABkcnMvZG93bnJldi54bWxQSwUGAAAAAAQABADz&#10;AAAAPAUAAAAA&#10;" filled="f" stroked="f">
              <v:textbox inset="0,0,0,0">
                <w:txbxContent>
                  <w:p w14:paraId="05015F58" w14:textId="77777777" w:rsidR="00255E03" w:rsidRDefault="00255E03" w:rsidP="009A0148">
                    <w:pPr>
                      <w:pStyle w:val="MacPacTrailer"/>
                      <w:spacing w:line="20" w:lineRule="exact"/>
                    </w:pPr>
                  </w:p>
                  <w:p w14:paraId="20B376C8" w14:textId="77777777" w:rsidR="00255E03" w:rsidRDefault="00255E03" w:rsidP="009A0148">
                    <w:pPr>
                      <w:pStyle w:val="MacPacTrailer"/>
                    </w:pPr>
                    <w:r>
                      <w:t>WSLEGAL\058404\00011\36511819v2</w:t>
                    </w:r>
                  </w:p>
                  <w:p w14:paraId="1FE098E5" w14:textId="77777777" w:rsidR="00255E03" w:rsidRDefault="00255E03" w:rsidP="009A0148">
                    <w:pPr>
                      <w:pStyle w:val="MacPacTrailer"/>
                      <w:spacing w:line="20" w:lineRule="exact"/>
                    </w:pPr>
                  </w:p>
                  <w:p w14:paraId="0656528D" w14:textId="77777777" w:rsidR="00255E03" w:rsidRDefault="00255E03" w:rsidP="009A0148">
                    <w:pPr>
                      <w:pStyle w:val="MacPacTrailer"/>
                      <w:spacing w:line="20" w:lineRule="exact"/>
                    </w:pP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B0C1" w14:textId="77777777" w:rsidR="008C5EE5" w:rsidRDefault="008C5EE5" w:rsidP="00E50452">
      <w:r>
        <w:separator/>
      </w:r>
    </w:p>
  </w:footnote>
  <w:footnote w:type="continuationSeparator" w:id="0">
    <w:p w14:paraId="058B49B6" w14:textId="77777777" w:rsidR="008C5EE5" w:rsidRDefault="008C5EE5" w:rsidP="00E50452">
      <w:r>
        <w:continuationSeparator/>
      </w:r>
    </w:p>
  </w:footnote>
  <w:footnote w:id="1">
    <w:p w14:paraId="6B70EE79" w14:textId="59BEE80D" w:rsidR="00F0406C" w:rsidRPr="00EB6D2F" w:rsidRDefault="00073CFA" w:rsidP="00E5787D">
      <w:pPr>
        <w:pStyle w:val="FootnoteText"/>
        <w:ind w:left="0" w:firstLine="0"/>
      </w:pPr>
      <w:r w:rsidRPr="00060926">
        <w:rPr>
          <w:rStyle w:val="FootnoteReference"/>
        </w:rPr>
        <w:footnoteRef/>
      </w:r>
      <w:r w:rsidR="00FB21FE">
        <w:t xml:space="preserve"> </w:t>
      </w:r>
      <w:r w:rsidR="001267F4" w:rsidRPr="00EB6D2F">
        <w:t>Le Billet</w:t>
      </w:r>
      <w:r w:rsidRPr="00EB6D2F">
        <w:t xml:space="preserve"> </w:t>
      </w:r>
      <w:r w:rsidR="00EB6D2F">
        <w:t>est une « </w:t>
      </w:r>
      <w:r w:rsidR="00EB6D2F" w:rsidRPr="00EB6D2F">
        <w:t>valeur mobilière</w:t>
      </w:r>
      <w:r w:rsidR="00EB6D2F">
        <w:t xml:space="preserve"> » en vertu des </w:t>
      </w:r>
      <w:r w:rsidR="005956FF" w:rsidRPr="00EB6D2F">
        <w:t>lois canadiennes sur les valeurs mobilières</w:t>
      </w:r>
      <w:r w:rsidRPr="00EB6D2F">
        <w:t xml:space="preserve">. </w:t>
      </w:r>
      <w:r w:rsidR="00432788">
        <w:t>Pour pouvoir émettre le Billet sans devoir remettre un prospectus aux investisseurs</w:t>
      </w:r>
      <w:r w:rsidRPr="00EB6D2F">
        <w:t xml:space="preserve">, </w:t>
      </w:r>
      <w:r w:rsidR="00432788">
        <w:t>la Société devra se prévaloir d’une dispense</w:t>
      </w:r>
      <w:r w:rsidRPr="00EB6D2F">
        <w:t>.</w:t>
      </w:r>
      <w:r w:rsidR="00432788">
        <w:t xml:space="preserve"> Les dispenses les plus courantes sont celles applicables </w:t>
      </w:r>
      <w:r w:rsidR="00F24846">
        <w:t>à un « émetteur fermé »</w:t>
      </w:r>
      <w:r w:rsidRPr="00EB6D2F">
        <w:t xml:space="preserve">, </w:t>
      </w:r>
      <w:r w:rsidR="0023440A">
        <w:t xml:space="preserve">à </w:t>
      </w:r>
      <w:r w:rsidR="00F24846">
        <w:t>un « investisseur qualifié »</w:t>
      </w:r>
      <w:r w:rsidRPr="00EB6D2F">
        <w:t xml:space="preserve">, </w:t>
      </w:r>
      <w:r w:rsidR="0023440A">
        <w:t xml:space="preserve">à </w:t>
      </w:r>
      <w:r w:rsidR="005B4373">
        <w:t>des</w:t>
      </w:r>
      <w:r w:rsidR="0023440A">
        <w:t xml:space="preserve"> « salarié</w:t>
      </w:r>
      <w:r w:rsidR="005B4373">
        <w:t>s</w:t>
      </w:r>
      <w:r w:rsidR="0023440A">
        <w:t xml:space="preserve"> » </w:t>
      </w:r>
      <w:r w:rsidR="00313A99">
        <w:t>et</w:t>
      </w:r>
      <w:r w:rsidR="0023440A">
        <w:t xml:space="preserve"> à des « parents, amis et partenaires »</w:t>
      </w:r>
      <w:r w:rsidRPr="00EB6D2F">
        <w:t xml:space="preserve">. </w:t>
      </w:r>
      <w:r w:rsidR="0023440A">
        <w:t>Il en existe de nombreuses autres</w:t>
      </w:r>
      <w:r w:rsidRPr="00EB6D2F">
        <w:t xml:space="preserve">. </w:t>
      </w:r>
      <w:r w:rsidR="00A83977">
        <w:t>Cette</w:t>
      </w:r>
      <w:r w:rsidR="0023440A">
        <w:t xml:space="preserve"> </w:t>
      </w:r>
      <w:r w:rsidR="00E712F1">
        <w:t>mention</w:t>
      </w:r>
      <w:r w:rsidR="0023440A">
        <w:t xml:space="preserve"> s’applique aux dispenses de la « période de restriction »</w:t>
      </w:r>
      <w:r w:rsidR="00A83977">
        <w:t xml:space="preserve"> pour les émetteurs </w:t>
      </w:r>
      <w:r w:rsidR="005B4373">
        <w:t>non</w:t>
      </w:r>
      <w:r w:rsidR="00A83977">
        <w:t xml:space="preserve"> assujettis en vertu du paragraphe </w:t>
      </w:r>
      <w:r w:rsidR="00A83977" w:rsidRPr="00060926">
        <w:t>2.5</w:t>
      </w:r>
      <w:r w:rsidR="00A83977">
        <w:t xml:space="preserve"> du </w:t>
      </w:r>
      <w:r w:rsidR="00A83977" w:rsidRPr="00A83977">
        <w:rPr>
          <w:i/>
          <w:iCs/>
        </w:rPr>
        <w:t>Règlement </w:t>
      </w:r>
      <w:r w:rsidR="00A83977" w:rsidRPr="00060926">
        <w:rPr>
          <w:i/>
          <w:iCs/>
        </w:rPr>
        <w:t>45-102</w:t>
      </w:r>
      <w:r w:rsidR="00A83977" w:rsidRPr="00A83977">
        <w:rPr>
          <w:i/>
          <w:iCs/>
        </w:rPr>
        <w:t xml:space="preserve"> sur la revente de titres</w:t>
      </w:r>
      <w:r w:rsidRPr="00EB6D2F">
        <w:t xml:space="preserve">. </w:t>
      </w:r>
      <w:r w:rsidR="00AF2CE5">
        <w:t xml:space="preserve">Des </w:t>
      </w:r>
      <w:r w:rsidR="00E712F1">
        <w:t>mentions</w:t>
      </w:r>
      <w:r w:rsidR="00AF2CE5">
        <w:t xml:space="preserve"> supplémentaires </w:t>
      </w:r>
      <w:r w:rsidR="00313A99">
        <w:t>pourraient</w:t>
      </w:r>
      <w:r w:rsidR="00AF2CE5">
        <w:t xml:space="preserve"> être appropriées ou requises si l’investisseur réside dans un autre </w:t>
      </w:r>
      <w:r w:rsidR="005B4373">
        <w:t xml:space="preserve">territoire </w:t>
      </w:r>
      <w:r w:rsidR="00AF2CE5">
        <w:t>que le Canada. Cela serait nécessaire pour le recours à la dispense pour « investisseur qualifié » ou l’émission à un investisseur étranger en vertu de la Règle </w:t>
      </w:r>
      <w:r w:rsidR="00AF2CE5" w:rsidRPr="00060926">
        <w:t>72</w:t>
      </w:r>
      <w:r w:rsidR="007F1EAA" w:rsidRPr="00060926">
        <w:noBreakHyphen/>
      </w:r>
      <w:r w:rsidR="00AF2CE5" w:rsidRPr="00060926">
        <w:t>503</w:t>
      </w:r>
      <w:r w:rsidR="00AF2CE5">
        <w:t xml:space="preserve"> de la Commission des valeurs mobilières de l’Ontario. Si la Société est un « émetteur fermé », cette </w:t>
      </w:r>
      <w:r w:rsidR="00E712F1">
        <w:t>mention</w:t>
      </w:r>
      <w:r w:rsidR="00AF2CE5">
        <w:t xml:space="preserve"> n’est pas requise, mais il est de pratique courante de l’inclure quand même</w:t>
      </w:r>
      <w:r w:rsidRPr="00EB6D2F">
        <w:t>.</w:t>
      </w:r>
    </w:p>
  </w:footnote>
  <w:footnote w:id="2">
    <w:p w14:paraId="66798055" w14:textId="3EF73F9F" w:rsidR="00F0406C" w:rsidRPr="00EB6D2F" w:rsidRDefault="00073CFA" w:rsidP="00E5787D">
      <w:pPr>
        <w:pStyle w:val="FootnoteText"/>
        <w:ind w:left="0" w:firstLine="0"/>
      </w:pPr>
      <w:r w:rsidRPr="00060926">
        <w:rPr>
          <w:rStyle w:val="FootnoteReference"/>
        </w:rPr>
        <w:footnoteRef/>
      </w:r>
      <w:r w:rsidR="00FB21FE">
        <w:t xml:space="preserve"> </w:t>
      </w:r>
      <w:r w:rsidR="00173EB8">
        <w:t xml:space="preserve">Le présent Billet prévoit une seule avance de capital par l’investisseur. Si les parties souhaitent permettre des avances multiples, le Billet peut être </w:t>
      </w:r>
      <w:r w:rsidR="007F1EAA">
        <w:t>modifié</w:t>
      </w:r>
      <w:r w:rsidR="00173EB8">
        <w:t xml:space="preserve"> pour inclure une grille qui indique la date et le montant de chaque avance. Dans </w:t>
      </w:r>
      <w:r w:rsidR="00313A99">
        <w:t>un tel</w:t>
      </w:r>
      <w:r w:rsidR="00173EB8">
        <w:t xml:space="preserve"> cas,</w:t>
      </w:r>
      <w:r w:rsidR="003E03B8">
        <w:t xml:space="preserve"> il faudrait envisager d’inclure</w:t>
      </w:r>
      <w:r w:rsidR="00173EB8">
        <w:t xml:space="preserve"> la disposition relative aux intérêts prévue à l’article</w:t>
      </w:r>
      <w:r w:rsidR="00313A99">
        <w:t> </w:t>
      </w:r>
      <w:r w:rsidR="00173EB8" w:rsidRPr="00060926">
        <w:t>2</w:t>
      </w:r>
      <w:r w:rsidR="00173EB8">
        <w:t xml:space="preserve"> pour veiller à ce que les intérêts ne courent que sur les avances réellement effectuées et</w:t>
      </w:r>
      <w:r w:rsidR="00313A99">
        <w:t xml:space="preserve"> seulement</w:t>
      </w:r>
      <w:r w:rsidR="00173EB8">
        <w:t xml:space="preserve"> à compter de la date de l’avance</w:t>
      </w:r>
      <w:r w:rsidRPr="00EB6D2F">
        <w:t>.</w:t>
      </w:r>
    </w:p>
  </w:footnote>
  <w:footnote w:id="3">
    <w:p w14:paraId="5E3D17C4" w14:textId="28153A72" w:rsidR="00F0406C" w:rsidRPr="00EB6D2F" w:rsidRDefault="00073CFA" w:rsidP="00F84F6B">
      <w:r w:rsidRPr="00060926">
        <w:rPr>
          <w:rStyle w:val="FootnoteReference"/>
          <w:sz w:val="16"/>
          <w:szCs w:val="16"/>
        </w:rPr>
        <w:footnoteRef/>
      </w:r>
      <w:r w:rsidR="00FB21FE">
        <w:rPr>
          <w:rFonts w:cs="Times New Roman"/>
          <w:sz w:val="16"/>
          <w:szCs w:val="16"/>
        </w:rPr>
        <w:t xml:space="preserve"> </w:t>
      </w:r>
      <w:r w:rsidR="006C4CE8">
        <w:rPr>
          <w:rFonts w:cs="Times New Roman"/>
          <w:sz w:val="16"/>
          <w:szCs w:val="16"/>
        </w:rPr>
        <w:t xml:space="preserve">Examinez attentivement avec votre conseiller en fiscalité les incidences fiscales de ces modalités et conditions, qui varieront en fonction de la situation particulière de la Société et des Porteurs. </w:t>
      </w:r>
      <w:r w:rsidR="009C7C07">
        <w:rPr>
          <w:rFonts w:cs="Times New Roman"/>
          <w:sz w:val="16"/>
          <w:szCs w:val="16"/>
        </w:rPr>
        <w:t>La Société devrait porter u</w:t>
      </w:r>
      <w:r w:rsidR="006C4CE8">
        <w:rPr>
          <w:rFonts w:cs="Times New Roman"/>
          <w:sz w:val="16"/>
          <w:szCs w:val="16"/>
        </w:rPr>
        <w:t>ne attention particulière lorsqu’il y a des Porteurs qui ne sont pas des résidents du Canada, puisque la participation de non-résidents peut, entre autres, (</w:t>
      </w:r>
      <w:r w:rsidR="0034687A" w:rsidRPr="00060926">
        <w:rPr>
          <w:rFonts w:cs="Times New Roman"/>
          <w:sz w:val="16"/>
          <w:szCs w:val="16"/>
        </w:rPr>
        <w:t>i</w:t>
      </w:r>
      <w:r w:rsidR="0034687A">
        <w:rPr>
          <w:rFonts w:cs="Times New Roman"/>
          <w:sz w:val="16"/>
          <w:szCs w:val="16"/>
        </w:rPr>
        <w:t>) </w:t>
      </w:r>
      <w:r w:rsidR="006C4CE8">
        <w:rPr>
          <w:rFonts w:cs="Times New Roman"/>
          <w:sz w:val="16"/>
          <w:szCs w:val="16"/>
        </w:rPr>
        <w:t>nuire au statut avantageux de la Société en tant que société privée sous contrôle canadien; et (</w:t>
      </w:r>
      <w:r w:rsidR="006C4CE8" w:rsidRPr="00060926">
        <w:rPr>
          <w:rFonts w:cs="Times New Roman"/>
          <w:sz w:val="16"/>
          <w:szCs w:val="16"/>
        </w:rPr>
        <w:t>i</w:t>
      </w:r>
      <w:r w:rsidR="0034687A" w:rsidRPr="00060926">
        <w:rPr>
          <w:rFonts w:cs="Times New Roman"/>
          <w:sz w:val="16"/>
          <w:szCs w:val="16"/>
        </w:rPr>
        <w:t>i</w:t>
      </w:r>
      <w:r w:rsidR="0034687A">
        <w:rPr>
          <w:rFonts w:cs="Times New Roman"/>
          <w:sz w:val="16"/>
          <w:szCs w:val="16"/>
        </w:rPr>
        <w:t>) </w:t>
      </w:r>
      <w:r w:rsidR="006C4CE8">
        <w:rPr>
          <w:rFonts w:cs="Times New Roman"/>
          <w:sz w:val="16"/>
          <w:szCs w:val="16"/>
        </w:rPr>
        <w:t xml:space="preserve">déclencher des obligations de retenue d’impôt pour la Société à la conversion des Billets. Les modalités des Billets devraient être </w:t>
      </w:r>
      <w:r w:rsidR="009C7C07">
        <w:rPr>
          <w:rFonts w:cs="Times New Roman"/>
          <w:sz w:val="16"/>
          <w:szCs w:val="16"/>
        </w:rPr>
        <w:t>modifiée</w:t>
      </w:r>
      <w:r w:rsidR="006C4CE8">
        <w:rPr>
          <w:rFonts w:cs="Times New Roman"/>
          <w:sz w:val="16"/>
          <w:szCs w:val="16"/>
        </w:rPr>
        <w:t>s en fonction des conseils fiscaux reçus</w:t>
      </w:r>
      <w:r w:rsidRPr="00EB6D2F">
        <w:rPr>
          <w:rFonts w:cs="Times New Roman"/>
          <w:sz w:val="16"/>
          <w:szCs w:val="16"/>
        </w:rPr>
        <w:t>.</w:t>
      </w:r>
    </w:p>
  </w:footnote>
  <w:footnote w:id="4">
    <w:p w14:paraId="68C5A0B4" w14:textId="24866EB2" w:rsidR="00F0406C" w:rsidRPr="00EB6D2F" w:rsidRDefault="00073CFA" w:rsidP="00E5787D">
      <w:pPr>
        <w:pStyle w:val="FootnoteText"/>
        <w:ind w:left="0" w:firstLine="0"/>
      </w:pPr>
      <w:r w:rsidRPr="00060926">
        <w:rPr>
          <w:rStyle w:val="FootnoteReference"/>
        </w:rPr>
        <w:footnoteRef/>
      </w:r>
      <w:r w:rsidR="00FB21FE">
        <w:t xml:space="preserve"> </w:t>
      </w:r>
      <w:r w:rsidR="006C4CE8">
        <w:t xml:space="preserve">Une ronde de financement par billets convertibles peut inclure </w:t>
      </w:r>
      <w:r w:rsidR="00D57B9D">
        <w:t>plusieurs</w:t>
      </w:r>
      <w:r w:rsidR="006C4CE8">
        <w:t xml:space="preserve"> investisseurs qui </w:t>
      </w:r>
      <w:r w:rsidR="00D57B9D">
        <w:t>effectuent un placement assujetti</w:t>
      </w:r>
      <w:r w:rsidR="006C4CE8">
        <w:t xml:space="preserve"> essentiellement </w:t>
      </w:r>
      <w:r w:rsidR="00D57B9D">
        <w:t>aux</w:t>
      </w:r>
      <w:r w:rsidR="006C4CE8">
        <w:t xml:space="preserve"> mêmes conditions </w:t>
      </w:r>
      <w:r w:rsidR="009C7C07">
        <w:t>lors d’</w:t>
      </w:r>
      <w:r w:rsidR="006C4CE8">
        <w:t xml:space="preserve">une ou </w:t>
      </w:r>
      <w:r w:rsidR="009C7C07">
        <w:t xml:space="preserve">de </w:t>
      </w:r>
      <w:r w:rsidR="006C4CE8">
        <w:t xml:space="preserve">plusieurs clôtures, et souvent en vertu de la même convention d’achat. Par souci de simplicité, le présent Billet suppose que la convention d’achat de billets contiendrait les modalités </w:t>
      </w:r>
      <w:r w:rsidR="006F7EAF">
        <w:t>entre créanciers</w:t>
      </w:r>
      <w:r w:rsidR="009C7C07">
        <w:t xml:space="preserve"> applicables</w:t>
      </w:r>
      <w:r w:rsidR="006C4CE8">
        <w:t xml:space="preserve">, qui comprendraient généralement des modalités relatives au remboursement des Billets et à la manière dont les porteurs feront valoir leurs droits relatifs aux Billets. Certains investisseurs préfèrent parfois avoir une convention </w:t>
      </w:r>
      <w:r w:rsidR="006F7EAF">
        <w:t>entre créanciers</w:t>
      </w:r>
      <w:r w:rsidR="006C4CE8">
        <w:t xml:space="preserve"> autonome, auquel cas le Billet devrait être </w:t>
      </w:r>
      <w:r w:rsidR="009C7C07">
        <w:t>modifié</w:t>
      </w:r>
      <w:r w:rsidR="006C4CE8">
        <w:t xml:space="preserve"> pour faire référence à cette convention. Si un prêteur garanti de rang</w:t>
      </w:r>
      <w:r w:rsidR="00D57B9D">
        <w:t xml:space="preserve"> supérieur</w:t>
      </w:r>
      <w:r w:rsidR="006C4CE8">
        <w:t xml:space="preserve"> participe à l</w:t>
      </w:r>
      <w:r w:rsidR="00D57B9D">
        <w:t>’opération</w:t>
      </w:r>
      <w:r w:rsidR="006C4CE8">
        <w:t xml:space="preserve">, ce prêteur voudra probablement </w:t>
      </w:r>
      <w:r w:rsidR="00D57B9D">
        <w:t xml:space="preserve">que soit mise en place </w:t>
      </w:r>
      <w:r w:rsidR="006C4CE8">
        <w:t xml:space="preserve">une convention </w:t>
      </w:r>
      <w:r w:rsidR="00EF7838">
        <w:t xml:space="preserve">entre </w:t>
      </w:r>
      <w:r w:rsidR="006C4CE8">
        <w:t>créanciers et/ou une convention de subordination ou de report pour protéger ses intérêts</w:t>
      </w:r>
      <w:r w:rsidRPr="00EB6D2F">
        <w:t>.</w:t>
      </w:r>
    </w:p>
  </w:footnote>
  <w:footnote w:id="5">
    <w:p w14:paraId="00B305D1" w14:textId="0B995261" w:rsidR="00F0406C" w:rsidRPr="00EB6D2F" w:rsidRDefault="00073CFA" w:rsidP="00E5787D">
      <w:pPr>
        <w:pStyle w:val="FootnoteText"/>
        <w:ind w:left="0" w:firstLine="0"/>
      </w:pPr>
      <w:r w:rsidRPr="00060926">
        <w:rPr>
          <w:rStyle w:val="FootnoteReference"/>
        </w:rPr>
        <w:footnoteRef/>
      </w:r>
      <w:r w:rsidR="00FB21FE">
        <w:t xml:space="preserve"> </w:t>
      </w:r>
      <w:r w:rsidR="00A83977">
        <w:t>Dans le présent Billet</w:t>
      </w:r>
      <w:r w:rsidRPr="00EB6D2F">
        <w:t xml:space="preserve">, </w:t>
      </w:r>
      <w:r w:rsidR="00173EB8">
        <w:t>un</w:t>
      </w:r>
      <w:r w:rsidR="00D80569">
        <w:t>e</w:t>
      </w:r>
      <w:r w:rsidRPr="00EB6D2F">
        <w:t xml:space="preserve"> </w:t>
      </w:r>
      <w:r w:rsidR="00BE556D" w:rsidRPr="00EB6D2F">
        <w:t>convention d’achat de billets</w:t>
      </w:r>
      <w:r w:rsidRPr="00EB6D2F">
        <w:t xml:space="preserve"> (</w:t>
      </w:r>
      <w:r w:rsidR="00D80569">
        <w:t xml:space="preserve">qui pourrait être semblable au </w:t>
      </w:r>
      <w:r w:rsidR="00F909AC" w:rsidRPr="00F909AC">
        <w:t>modèle de Convention d’achat d’actions</w:t>
      </w:r>
      <w:r w:rsidRPr="00EB6D2F">
        <w:t xml:space="preserve">) </w:t>
      </w:r>
      <w:r w:rsidR="00D80569">
        <w:t>serait conclue entre la Société et l’investisseur pour y prévoir la souscription du Billet</w:t>
      </w:r>
      <w:r w:rsidRPr="00EB6D2F">
        <w:t xml:space="preserve">. </w:t>
      </w:r>
      <w:r w:rsidR="00A10C6A">
        <w:t xml:space="preserve">Par conséquent, certaines dispositions (y compris les déclarations, garanties et engagements de la Société et de l’investisseur et l’emploi du produit) peuvent être incluses dans la convention d’achat plutôt que dans le Billet. En outre, si le Billet est garanti, d’autres engagements ou clauses restrictives </w:t>
      </w:r>
      <w:r w:rsidR="00EF7838">
        <w:t>pourraient être énoncés</w:t>
      </w:r>
      <w:r w:rsidR="00A10C6A">
        <w:t xml:space="preserve"> dans le Billet, dans la convention de sûreté générale ou dans l’hypothèque. Les parties devraient examiner ensemble tous les documents connexes afin de s’assurer que l’ensemble des déclarations, garanties, engagements et autres modalités voulus sont abordés de manière adéquate</w:t>
      </w:r>
      <w:r w:rsidRPr="00EB6D2F">
        <w:t>.</w:t>
      </w:r>
    </w:p>
  </w:footnote>
  <w:footnote w:id="6">
    <w:p w14:paraId="6EF2D008" w14:textId="12252EF7" w:rsidR="00F0406C" w:rsidRPr="00EB6D2F" w:rsidRDefault="00073CFA" w:rsidP="00E5787D">
      <w:pPr>
        <w:pStyle w:val="FootnoteText"/>
        <w:ind w:left="0" w:firstLine="0"/>
      </w:pPr>
      <w:r w:rsidRPr="00060926">
        <w:rPr>
          <w:rStyle w:val="FootnoteReference"/>
        </w:rPr>
        <w:footnoteRef/>
      </w:r>
      <w:r w:rsidR="00FB21FE">
        <w:t xml:space="preserve"> </w:t>
      </w:r>
      <w:r w:rsidR="00A9577B">
        <w:t xml:space="preserve">Les trois options de conversion que prévoit le </w:t>
      </w:r>
      <w:r w:rsidR="002C5937">
        <w:t>présent Billet</w:t>
      </w:r>
      <w:r w:rsidRPr="00EB6D2F">
        <w:t xml:space="preserve"> (</w:t>
      </w:r>
      <w:r w:rsidR="00A9577B">
        <w:t>conversion automatique</w:t>
      </w:r>
      <w:r w:rsidRPr="00EB6D2F">
        <w:t xml:space="preserve"> </w:t>
      </w:r>
      <w:r w:rsidR="009F44E9">
        <w:t>lors d’un</w:t>
      </w:r>
      <w:r w:rsidRPr="00EB6D2F">
        <w:t xml:space="preserve"> </w:t>
      </w:r>
      <w:r w:rsidR="002C5937">
        <w:t>financement admissible</w:t>
      </w:r>
      <w:r w:rsidRPr="00EB6D2F">
        <w:t xml:space="preserve">, </w:t>
      </w:r>
      <w:r w:rsidR="009F44E9">
        <w:t>conversion facultative</w:t>
      </w:r>
      <w:r w:rsidRPr="00EB6D2F">
        <w:t xml:space="preserve"> </w:t>
      </w:r>
      <w:r w:rsidR="009F44E9">
        <w:t xml:space="preserve">à la vente de la société ou advenant un autre </w:t>
      </w:r>
      <w:r w:rsidR="002C5937">
        <w:t>événement de liquidité</w:t>
      </w:r>
      <w:r w:rsidRPr="00EB6D2F">
        <w:t xml:space="preserve">, </w:t>
      </w:r>
      <w:r w:rsidR="009F44E9">
        <w:t>et</w:t>
      </w:r>
      <w:r w:rsidRPr="00EB6D2F">
        <w:t xml:space="preserve"> </w:t>
      </w:r>
      <w:r w:rsidR="009F44E9">
        <w:t>conversion facultative</w:t>
      </w:r>
      <w:r w:rsidRPr="00EB6D2F">
        <w:t xml:space="preserve"> </w:t>
      </w:r>
      <w:r w:rsidR="009F44E9">
        <w:t>à tout moment</w:t>
      </w:r>
      <w:r w:rsidRPr="00EB6D2F">
        <w:t xml:space="preserve">) </w:t>
      </w:r>
      <w:r w:rsidR="009F44E9">
        <w:t xml:space="preserve">sont courantes dans les </w:t>
      </w:r>
      <w:r w:rsidR="002C5937">
        <w:t>financements par capital de risque</w:t>
      </w:r>
      <w:r w:rsidRPr="00EB6D2F">
        <w:t xml:space="preserve">. </w:t>
      </w:r>
      <w:r w:rsidR="00EA3FDC">
        <w:t>Les parties peuvent négocier l’inclusion de toutes ces options de conversion ou de certaines d’entre elles seulement, ou d’autres variantes</w:t>
      </w:r>
      <w:r w:rsidRPr="00EB6D2F">
        <w:t>.</w:t>
      </w:r>
    </w:p>
  </w:footnote>
  <w:footnote w:id="7">
    <w:p w14:paraId="69BA2DA9" w14:textId="77777777" w:rsidR="00EF7033" w:rsidRPr="00EB6D2F" w:rsidRDefault="00EF7033" w:rsidP="00EF7033">
      <w:pPr>
        <w:pStyle w:val="FootnoteText"/>
        <w:ind w:left="0" w:firstLine="0"/>
        <w:rPr>
          <w:b/>
        </w:rPr>
      </w:pPr>
      <w:r w:rsidRPr="00060926">
        <w:rPr>
          <w:rStyle w:val="FootnoteReference"/>
        </w:rPr>
        <w:footnoteRef/>
      </w:r>
      <w:r>
        <w:t xml:space="preserve"> Il convient de prendre en considération les événements qui déclencheraient la conversion ou le remboursement. Un changement de contrôle ou la vente de la totalité ou de la quasi-totalité des actifs sont des déclencheurs courants. Une liquidation ou une dissolution de la Société devrait également être incluse si elle n’entraîne pas autrement le remboursement anticipé du Billet en tant que cas de défaut</w:t>
      </w:r>
      <w:r w:rsidRPr="00EB6D2F">
        <w:t>.</w:t>
      </w:r>
    </w:p>
  </w:footnote>
  <w:footnote w:id="8">
    <w:p w14:paraId="64978C22" w14:textId="77777777" w:rsidR="00EF7033" w:rsidRPr="00EB6D2F" w:rsidRDefault="00EF7033" w:rsidP="008A7310">
      <w:pPr>
        <w:pStyle w:val="FootnoteText"/>
        <w:ind w:left="0" w:firstLine="0"/>
        <w:rPr>
          <w:b/>
        </w:rPr>
      </w:pPr>
      <w:r w:rsidRPr="00060926">
        <w:rPr>
          <w:rStyle w:val="FootnoteReference"/>
        </w:rPr>
        <w:footnoteRef/>
      </w:r>
      <w:r>
        <w:t xml:space="preserve"> Aux termes du présent Billet, les intérêts courent jusqu’à l’échéance ou la conversion. Les parties devraient examiner les incidences fiscales des intérêts au moment de </w:t>
      </w:r>
      <w:r w:rsidRPr="00BC1F6D">
        <w:t>l’accumulation,</w:t>
      </w:r>
      <w:r>
        <w:t xml:space="preserve"> du versement et de la conversion (y compris la question de savoir si les intérêts devront être comptabilisés comme un revenu pour l’investisseur ou s’ils seront déductibles pour la Société) et toute obligation de retenue qui pourrait s’appliquer</w:t>
      </w:r>
      <w:r w:rsidRPr="00EB6D2F">
        <w:t>.</w:t>
      </w:r>
    </w:p>
  </w:footnote>
  <w:footnote w:id="9">
    <w:p w14:paraId="24E7D2FD" w14:textId="77777777" w:rsidR="00EF7033" w:rsidRPr="00EB6D2F" w:rsidRDefault="00EF7033" w:rsidP="00E0537F">
      <w:pPr>
        <w:pStyle w:val="FootnoteText"/>
        <w:ind w:left="0" w:firstLine="0"/>
      </w:pPr>
      <w:r w:rsidRPr="00060926">
        <w:rPr>
          <w:rStyle w:val="FootnoteReference"/>
        </w:rPr>
        <w:footnoteRef/>
      </w:r>
      <w:r>
        <w:t xml:space="preserve"> Le libellé facultatif de cet article permet à un investisseur de recevoir un escompte sur le prix dans le cadre du financement admissible ou un prix de conversion fondé sur une évaluation plafonnée de la Société. Les parties peuvent négocier l’inclusion de l’un ou l’autre de ces concepts, ou des deux</w:t>
      </w:r>
      <w:r w:rsidRPr="00EB6D2F">
        <w:t>.</w:t>
      </w:r>
    </w:p>
  </w:footnote>
  <w:footnote w:id="10">
    <w:p w14:paraId="6C95F732" w14:textId="77777777" w:rsidR="00EF7033" w:rsidRPr="00EB6D2F" w:rsidRDefault="00EF7033" w:rsidP="0018673E">
      <w:pPr>
        <w:pStyle w:val="FootnoteText"/>
        <w:ind w:left="0" w:firstLine="0"/>
      </w:pPr>
      <w:r w:rsidRPr="00060926">
        <w:rPr>
          <w:rStyle w:val="FootnoteReference"/>
        </w:rPr>
        <w:footnoteRef/>
      </w:r>
      <w:r>
        <w:t xml:space="preserve"> Cette définition prévoit qu’une conversion lors d’un Événement de liquidité sera fondée sur un plafond d’évaluation. Les parties pourraient souhaiter fixer un autre prix de conversion, comme un prix fixe par action ou un prix basé sur le prix le plus récent auquel ces actions ont été émises avant la conversion</w:t>
      </w:r>
      <w:r w:rsidRPr="00EB6D2F">
        <w:t>.</w:t>
      </w:r>
    </w:p>
  </w:footnote>
  <w:footnote w:id="11">
    <w:p w14:paraId="50391759" w14:textId="77777777" w:rsidR="00EF7033" w:rsidRPr="00EB6D2F" w:rsidRDefault="00EF7033" w:rsidP="0018673E">
      <w:pPr>
        <w:pStyle w:val="FootnoteText"/>
        <w:ind w:left="0" w:firstLine="0"/>
      </w:pPr>
      <w:r w:rsidRPr="00060926">
        <w:rPr>
          <w:rStyle w:val="FootnoteReference"/>
        </w:rPr>
        <w:footnoteRef/>
      </w:r>
      <w:r>
        <w:t xml:space="preserve"> Comme pour le prix de conversion lors d’un événement de liquidité, les parties pourraient souhaiter fixer un autre prix de conversion que celui fondé sur un plafond d’évaluation</w:t>
      </w:r>
      <w:r w:rsidRPr="00EB6D2F">
        <w:t>.</w:t>
      </w:r>
    </w:p>
  </w:footnote>
  <w:footnote w:id="12">
    <w:p w14:paraId="3186154D" w14:textId="55160128" w:rsidR="00D454DC" w:rsidRPr="00EB6D2F" w:rsidRDefault="00D454DC" w:rsidP="00D454DC">
      <w:pPr>
        <w:pStyle w:val="FootnoteText"/>
        <w:ind w:left="0" w:firstLine="0"/>
        <w:rPr>
          <w:b/>
        </w:rPr>
      </w:pPr>
      <w:r w:rsidRPr="00060926">
        <w:rPr>
          <w:rStyle w:val="FootnoteReference"/>
        </w:rPr>
        <w:footnoteRef/>
      </w:r>
      <w:r w:rsidR="00F9369D">
        <w:t xml:space="preserve"> </w:t>
      </w:r>
      <w:r>
        <w:t>Ce</w:t>
      </w:r>
      <w:r w:rsidR="000C38B4">
        <w:t>tte clause prévoit la conversion du</w:t>
      </w:r>
      <w:r>
        <w:t xml:space="preserve"> Billet en titres de la même catégorie ou de la même série que celle des titres émis dans le cadre du financement admissible. Si le porteur du billet</w:t>
      </w:r>
      <w:r w:rsidR="000C38B4">
        <w:t xml:space="preserve"> devait recevoir</w:t>
      </w:r>
      <w:r>
        <w:t xml:space="preserve"> les mêmes actions que les nouveaux investisseurs et qu’un escompte ou un plafond d’évaluation était appliqué au prix de conversion, le porteur du billet recevrait des actions dont le prix d’émission initial </w:t>
      </w:r>
      <w:r w:rsidR="00634871">
        <w:t>serait</w:t>
      </w:r>
      <w:r>
        <w:t xml:space="preserve"> plus élevé que le prix de conversion de son Billet, ce qui pourrait lui donner droit à une </w:t>
      </w:r>
      <w:r w:rsidR="00EB77FD">
        <w:t>priorité</w:t>
      </w:r>
      <w:r>
        <w:t xml:space="preserve"> supérieure en cas de liquidation ou à un droit à des dividendes plus élevés par rapport au montant qu’il a investi </w:t>
      </w:r>
      <w:r w:rsidR="00EB77FD">
        <w:t>aux termes du</w:t>
      </w:r>
      <w:r>
        <w:t xml:space="preserve"> Billet. Pour cette raison, les parties peuvent convenir que le Billet sera converti en titres d’une série distincte de la même catégorie d’actions, assortis d’un prix d’émission initial égal au prix de conversion de leur Billet</w:t>
      </w:r>
      <w:r w:rsidRPr="00EB6D2F">
        <w:t xml:space="preserve">, </w:t>
      </w:r>
      <w:r>
        <w:t xml:space="preserve">titres qui sont </w:t>
      </w:r>
      <w:r w:rsidR="00634871">
        <w:t xml:space="preserve">inclus dans </w:t>
      </w:r>
      <w:r>
        <w:t>les « </w:t>
      </w:r>
      <w:r w:rsidR="00F6211A" w:rsidRPr="00F6211A">
        <w:t xml:space="preserve">Actions </w:t>
      </w:r>
      <w:r w:rsidR="000C38B4">
        <w:t xml:space="preserve">issues de </w:t>
      </w:r>
      <w:r w:rsidR="00F6211A" w:rsidRPr="00F6211A">
        <w:t>la conversion dans le cadre du financement admissible</w:t>
      </w:r>
      <w:r>
        <w:t> »</w:t>
      </w:r>
      <w:r w:rsidRPr="00EB6D2F">
        <w:t xml:space="preserve"> </w:t>
      </w:r>
      <w:r>
        <w:t>dans le présent Billet</w:t>
      </w:r>
      <w:r w:rsidRPr="00EB6D2F">
        <w:t>.</w:t>
      </w:r>
    </w:p>
  </w:footnote>
  <w:footnote w:id="13">
    <w:p w14:paraId="06DC7C43" w14:textId="1BA7B2E8" w:rsidR="00F0406C" w:rsidRPr="00EB6D2F" w:rsidRDefault="00073CFA">
      <w:pPr>
        <w:pStyle w:val="FootnoteText"/>
      </w:pPr>
      <w:r w:rsidRPr="00060926">
        <w:rPr>
          <w:rStyle w:val="FootnoteReference"/>
        </w:rPr>
        <w:footnoteRef/>
      </w:r>
      <w:r w:rsidR="00F9369D">
        <w:t xml:space="preserve"> </w:t>
      </w:r>
      <w:r w:rsidR="00E91DC7">
        <w:t>Ce pourcentage peut s</w:t>
      </w:r>
      <w:r w:rsidR="00B735CB">
        <w:t>e situer</w:t>
      </w:r>
      <w:r w:rsidR="00E91DC7">
        <w:t xml:space="preserve"> dans une fourchette de </w:t>
      </w:r>
      <w:r w:rsidR="00E91DC7" w:rsidRPr="00060926">
        <w:t>1</w:t>
      </w:r>
      <w:r w:rsidR="00E91DC7">
        <w:t xml:space="preserve">x à </w:t>
      </w:r>
      <w:r w:rsidR="00E91DC7" w:rsidRPr="00060926">
        <w:t>2</w:t>
      </w:r>
      <w:r w:rsidR="00E91DC7">
        <w:t xml:space="preserve">x </w:t>
      </w:r>
      <w:r w:rsidRPr="00EB6D2F">
        <w:t>(</w:t>
      </w:r>
      <w:r w:rsidRPr="00060926">
        <w:t>100</w:t>
      </w:r>
      <w:r w:rsidR="00E91DC7">
        <w:t> %</w:t>
      </w:r>
      <w:r w:rsidRPr="00EB6D2F">
        <w:t>-</w:t>
      </w:r>
      <w:r w:rsidRPr="00060926">
        <w:t>200</w:t>
      </w:r>
      <w:r w:rsidR="00CB696A" w:rsidRPr="00EB6D2F">
        <w:t> %</w:t>
      </w:r>
      <w:r w:rsidRPr="00EB6D2F">
        <w:t xml:space="preserve">) </w:t>
      </w:r>
      <w:r w:rsidR="00E91DC7">
        <w:t>du capital</w:t>
      </w:r>
      <w:r w:rsidRPr="00EB6D2F">
        <w:t>.</w:t>
      </w:r>
    </w:p>
  </w:footnote>
  <w:footnote w:id="14">
    <w:p w14:paraId="5397D14F" w14:textId="150579DB" w:rsidR="00F0406C" w:rsidRPr="00EB6D2F" w:rsidRDefault="00073CFA" w:rsidP="00E5787D">
      <w:pPr>
        <w:pStyle w:val="FootnoteText"/>
        <w:ind w:left="0" w:firstLine="0"/>
      </w:pPr>
      <w:r w:rsidRPr="00060926">
        <w:rPr>
          <w:rStyle w:val="FootnoteReference"/>
        </w:rPr>
        <w:footnoteRef/>
      </w:r>
      <w:r w:rsidR="00F9369D">
        <w:t xml:space="preserve"> </w:t>
      </w:r>
      <w:r w:rsidR="00C262A4">
        <w:t>Les investisseurs situés à l’extérieur du Canada pourraient être préoccupés par</w:t>
      </w:r>
      <w:r w:rsidR="004C420B">
        <w:t xml:space="preserve"> le fait que de</w:t>
      </w:r>
      <w:r w:rsidR="00C262A4">
        <w:t xml:space="preserve"> l’impôt </w:t>
      </w:r>
      <w:r w:rsidR="009752EB">
        <w:t>d</w:t>
      </w:r>
      <w:r w:rsidR="004C420B">
        <w:t>oit</w:t>
      </w:r>
      <w:r w:rsidR="00C262A4">
        <w:t xml:space="preserve"> être retenu sur les paiements</w:t>
      </w:r>
      <w:r w:rsidR="004C420B">
        <w:t xml:space="preserve"> qui leur sont</w:t>
      </w:r>
      <w:r w:rsidR="00C262A4">
        <w:t xml:space="preserve"> versés aux termes du Billet. Dans un tel cas, </w:t>
      </w:r>
      <w:r w:rsidR="004C420B">
        <w:t>ils</w:t>
      </w:r>
      <w:r w:rsidR="00C262A4">
        <w:t xml:space="preserve"> pourrai</w:t>
      </w:r>
      <w:r w:rsidR="004C420B">
        <w:t>en</w:t>
      </w:r>
      <w:r w:rsidR="00C262A4">
        <w:t xml:space="preserve">t demander qu’une disposition compensatoire soit </w:t>
      </w:r>
      <w:r w:rsidR="009752EB">
        <w:t>prévue</w:t>
      </w:r>
      <w:r w:rsidR="00C262A4">
        <w:t xml:space="preserve"> dans le Billet pour exiger que la Société </w:t>
      </w:r>
      <w:r w:rsidR="004C420B">
        <w:t xml:space="preserve">leur </w:t>
      </w:r>
      <w:r w:rsidR="00C262A4">
        <w:t>verse un montant supplémentaire de sorte qu’il</w:t>
      </w:r>
      <w:r w:rsidR="004C420B">
        <w:t>s</w:t>
      </w:r>
      <w:r w:rsidR="00C262A4">
        <w:t xml:space="preserve"> reçoive</w:t>
      </w:r>
      <w:r w:rsidR="004C420B">
        <w:t>nt</w:t>
      </w:r>
      <w:r w:rsidR="00C262A4">
        <w:t xml:space="preserve"> le montant qu’il</w:t>
      </w:r>
      <w:r w:rsidR="004C420B">
        <w:t>s</w:t>
      </w:r>
      <w:r w:rsidR="00C262A4">
        <w:t xml:space="preserve"> aurai</w:t>
      </w:r>
      <w:r w:rsidR="004C420B">
        <w:t>en</w:t>
      </w:r>
      <w:r w:rsidR="00C262A4">
        <w:t xml:space="preserve">t reçu </w:t>
      </w:r>
      <w:r w:rsidR="009752EB">
        <w:t>n’e</w:t>
      </w:r>
      <w:r w:rsidR="001321EB">
        <w:t>û</w:t>
      </w:r>
      <w:r w:rsidR="009752EB">
        <w:t>t été la</w:t>
      </w:r>
      <w:r w:rsidR="00C262A4">
        <w:t xml:space="preserve"> retenue. Les sociétés devraient demander </w:t>
      </w:r>
      <w:r w:rsidR="009752EB">
        <w:t>des conseils</w:t>
      </w:r>
      <w:r w:rsidR="00C262A4">
        <w:t xml:space="preserve"> juridique</w:t>
      </w:r>
      <w:r w:rsidR="009752EB">
        <w:t>s</w:t>
      </w:r>
      <w:r w:rsidR="00C262A4">
        <w:t xml:space="preserve"> sur les risques associés à ce type de disposition</w:t>
      </w:r>
      <w:r w:rsidRPr="00EB6D2F">
        <w:t>.</w:t>
      </w:r>
    </w:p>
  </w:footnote>
  <w:footnote w:id="15">
    <w:p w14:paraId="02459BAB" w14:textId="4F998882" w:rsidR="00F0406C" w:rsidRPr="00EB6D2F" w:rsidRDefault="00073CFA" w:rsidP="00E5787D">
      <w:pPr>
        <w:pStyle w:val="FootnoteText"/>
        <w:ind w:left="0" w:firstLine="0"/>
      </w:pPr>
      <w:r w:rsidRPr="00060926">
        <w:rPr>
          <w:rStyle w:val="FootnoteReference"/>
        </w:rPr>
        <w:footnoteRef/>
      </w:r>
      <w:r w:rsidR="00F9369D">
        <w:t xml:space="preserve"> </w:t>
      </w:r>
      <w:r w:rsidR="009A431C">
        <w:t>Un investisseur pourrait exiger que l’emprunt aux termes du Billet soit garanti par une sûreté. Le présent modèle suppose que les modalités de cette sûreté seront prévues dans un</w:t>
      </w:r>
      <w:r w:rsidR="007C4D42">
        <w:t>e</w:t>
      </w:r>
      <w:r w:rsidR="009A431C">
        <w:t xml:space="preserve"> </w:t>
      </w:r>
      <w:r w:rsidR="007C4D42">
        <w:t>convention</w:t>
      </w:r>
      <w:r w:rsidR="009A431C">
        <w:t xml:space="preserve"> de sûreté générale distinct</w:t>
      </w:r>
      <w:r w:rsidR="007C4D42">
        <w:t>e</w:t>
      </w:r>
      <w:r w:rsidR="009A431C">
        <w:t xml:space="preserve"> ou dans une hypothèque distincte (voir ci-dessous). Par ailleurs, les modalités de la sûreté pourraient </w:t>
      </w:r>
      <w:r w:rsidR="009752EB">
        <w:t xml:space="preserve">également </w:t>
      </w:r>
      <w:r w:rsidR="009A431C">
        <w:t xml:space="preserve">être énoncées dans une annexe au Billet. S’il y a plusieurs Billets, les </w:t>
      </w:r>
      <w:r w:rsidR="00BF3549">
        <w:t>arrangements</w:t>
      </w:r>
      <w:r w:rsidR="009A431C">
        <w:t xml:space="preserve"> </w:t>
      </w:r>
      <w:r w:rsidR="00BE6A7C">
        <w:t xml:space="preserve">entre </w:t>
      </w:r>
      <w:r w:rsidR="009A431C">
        <w:t xml:space="preserve">créanciers concernant l’exécution de la sûreté devraient être énoncés dans la convention d’achat ou </w:t>
      </w:r>
      <w:r w:rsidR="009752EB">
        <w:t xml:space="preserve">dans </w:t>
      </w:r>
      <w:r w:rsidR="009A431C">
        <w:t>la convention</w:t>
      </w:r>
      <w:r w:rsidR="00BE6A7C">
        <w:t xml:space="preserve"> entre </w:t>
      </w:r>
      <w:r w:rsidR="009A431C">
        <w:t>créanciers autonome. Dans la mesure où le siège social/domicile de la Société est situé dans la province de Québec ou que les actifs de la Société sont utilisés ou situés dans la province de Québec, la disposition suivante devrait être insérée et remplacer ou compléter la version actuelle de l’article </w:t>
      </w:r>
      <w:r w:rsidR="009A431C" w:rsidRPr="00060926">
        <w:fldChar w:fldCharType="begin"/>
      </w:r>
      <w:r w:rsidR="009A431C" w:rsidRPr="00060926">
        <w:instrText xml:space="preserve"> REF _Ref117260903 \r \h </w:instrText>
      </w:r>
      <w:r w:rsidR="009A431C" w:rsidRPr="00060926">
        <w:fldChar w:fldCharType="separate"/>
      </w:r>
      <w:r w:rsidR="00BF3E18">
        <w:t>6</w:t>
      </w:r>
      <w:r w:rsidR="009A431C" w:rsidRPr="00060926">
        <w:fldChar w:fldCharType="end"/>
      </w:r>
      <w:r w:rsidR="009A431C">
        <w:t> :</w:t>
      </w:r>
      <w:r w:rsidRPr="00EB6D2F">
        <w:t xml:space="preserve"> </w:t>
      </w:r>
      <w:r w:rsidR="00ED7391">
        <w:t xml:space="preserve">« En garantie permanente du paiement </w:t>
      </w:r>
      <w:r w:rsidR="001B7C5B">
        <w:t xml:space="preserve">en bonne et due forme et en temps voulu </w:t>
      </w:r>
      <w:r w:rsidR="00EE52A1">
        <w:t>par la Société du Capital, des intérêts et de toutes les autres sommes</w:t>
      </w:r>
      <w:r w:rsidR="00ED7391">
        <w:t xml:space="preserve"> dues aux termes du présent Billet, la Société </w:t>
      </w:r>
      <w:r w:rsidR="00BE6A7C">
        <w:t>constitue</w:t>
      </w:r>
      <w:r w:rsidR="00ED7391">
        <w:t xml:space="preserve"> une hypothèque en faveur du Porteur conformément aux modalités d’une hypothèque (l’« </w:t>
      </w:r>
      <w:r w:rsidR="00ED7391" w:rsidRPr="00ED7391">
        <w:rPr>
          <w:b/>
          <w:bCs/>
        </w:rPr>
        <w:t>Hypothèque</w:t>
      </w:r>
      <w:r w:rsidR="00ED7391">
        <w:t> ») cons</w:t>
      </w:r>
      <w:r w:rsidR="00BE6A7C">
        <w:t>tituée</w:t>
      </w:r>
      <w:r w:rsidR="00ED7391">
        <w:t xml:space="preserve"> par la Société en faveur du Porteur. [Conformément à la [Convention d’achat], les Porteurs convie</w:t>
      </w:r>
      <w:r w:rsidR="00BE6A7C">
        <w:t>nnent</w:t>
      </w:r>
      <w:r w:rsidR="00ED7391">
        <w:t xml:space="preserve"> que les hypothèques </w:t>
      </w:r>
      <w:r w:rsidR="0032328A">
        <w:t>cons</w:t>
      </w:r>
      <w:r w:rsidR="00BF3549">
        <w:t>tituées</w:t>
      </w:r>
      <w:r w:rsidR="00ED7391">
        <w:t xml:space="preserve"> par la Société en faveur des Porteurs pour garantir les Billets ont égalité de rang. Le Porteur reconnaît que </w:t>
      </w:r>
      <w:r w:rsidR="00ED7391" w:rsidRPr="00BE6A7C">
        <w:t>toute demande de paiement</w:t>
      </w:r>
      <w:r w:rsidR="00ED7391">
        <w:t xml:space="preserve"> aux termes du présent Billet et de l’Hypothèque ne peut être présentée ou remise que selon ce que permet la [Convention d’achat].] »</w:t>
      </w:r>
    </w:p>
  </w:footnote>
  <w:footnote w:id="16">
    <w:p w14:paraId="4371AC0A" w14:textId="1573CEED" w:rsidR="00F0406C" w:rsidRPr="00EB6D2F" w:rsidRDefault="00073CFA">
      <w:pPr>
        <w:pStyle w:val="FootnoteText"/>
      </w:pPr>
      <w:r w:rsidRPr="00060926">
        <w:rPr>
          <w:rStyle w:val="FootnoteReference"/>
        </w:rPr>
        <w:footnoteRef/>
      </w:r>
      <w:r w:rsidR="008D16E3">
        <w:t>Ces</w:t>
      </w:r>
      <w:r w:rsidRPr="00EB6D2F">
        <w:t xml:space="preserve"> </w:t>
      </w:r>
      <w:r w:rsidR="008D16E3">
        <w:t>déclarations et garanties</w:t>
      </w:r>
      <w:r w:rsidRPr="00EB6D2F">
        <w:t xml:space="preserve"> </w:t>
      </w:r>
      <w:r w:rsidR="008D16E3">
        <w:t xml:space="preserve">pourraient aussi être prévues dans une </w:t>
      </w:r>
      <w:r w:rsidR="00BE556D" w:rsidRPr="00EB6D2F">
        <w:t>convention d’achat de billets</w:t>
      </w:r>
      <w:r w:rsidRPr="00EB6D2F">
        <w:t xml:space="preserve">. </w:t>
      </w:r>
      <w:r w:rsidR="008D16E3">
        <w:t>Se reporter à la</w:t>
      </w:r>
      <w:r w:rsidRPr="00EB6D2F">
        <w:t xml:space="preserve"> note</w:t>
      </w:r>
      <w:r w:rsidR="0032328A">
        <w:t> </w:t>
      </w:r>
      <w:r w:rsidR="00F9369D" w:rsidRPr="00060926">
        <w:fldChar w:fldCharType="begin"/>
      </w:r>
      <w:r w:rsidR="00F9369D" w:rsidRPr="00060926">
        <w:instrText xml:space="preserve"> NOTEREF _Ref119419833 \h </w:instrText>
      </w:r>
      <w:r w:rsidR="00F9369D" w:rsidRPr="00060926">
        <w:fldChar w:fldCharType="separate"/>
      </w:r>
      <w:r w:rsidR="00BF3E18">
        <w:t>4</w:t>
      </w:r>
      <w:r w:rsidR="00F9369D" w:rsidRPr="00060926">
        <w:fldChar w:fldCharType="end"/>
      </w:r>
      <w:r w:rsidRPr="00EB6D2F">
        <w:t>.</w:t>
      </w:r>
    </w:p>
  </w:footnote>
  <w:footnote w:id="17">
    <w:p w14:paraId="7AE1C8F5" w14:textId="0FCA775B" w:rsidR="00F0406C" w:rsidRPr="00EB6D2F" w:rsidRDefault="00073CFA" w:rsidP="00132656">
      <w:pPr>
        <w:pStyle w:val="FootnoteText"/>
        <w:ind w:left="0" w:firstLine="0"/>
      </w:pPr>
      <w:r w:rsidRPr="00060926">
        <w:rPr>
          <w:rStyle w:val="FootnoteReference"/>
        </w:rPr>
        <w:footnoteRef/>
      </w:r>
      <w:r w:rsidR="00F9369D">
        <w:t xml:space="preserve"> </w:t>
      </w:r>
      <w:r w:rsidR="005838CD" w:rsidRPr="005838CD">
        <w:t xml:space="preserve">Cette restriction vise à protéger les porteurs de billets contre </w:t>
      </w:r>
      <w:r w:rsidR="006062C3">
        <w:t>d</w:t>
      </w:r>
      <w:r w:rsidR="005838CD" w:rsidRPr="005838CD">
        <w:t xml:space="preserve">es modifications défavorables </w:t>
      </w:r>
      <w:r w:rsidR="006062C3">
        <w:t>qui pourraient être apportées aux</w:t>
      </w:r>
      <w:r w:rsidR="005838CD" w:rsidRPr="005838CD">
        <w:t xml:space="preserve"> modalités économiques ou </w:t>
      </w:r>
      <w:r w:rsidR="006062C3">
        <w:t>d</w:t>
      </w:r>
      <w:r w:rsidR="005838CD" w:rsidRPr="005838CD">
        <w:t>es modifications qui touchent les porteurs de billets différemment les uns des autres, sans leur consentement</w:t>
      </w:r>
      <w:r w:rsidRPr="00EB6D2F">
        <w:t>.</w:t>
      </w:r>
    </w:p>
  </w:footnote>
  <w:footnote w:id="18">
    <w:p w14:paraId="42E7613B" w14:textId="24148305" w:rsidR="00F0406C" w:rsidRPr="00EB6D2F" w:rsidRDefault="00073CFA" w:rsidP="005838CD">
      <w:pPr>
        <w:pStyle w:val="FootnoteText"/>
        <w:ind w:left="0" w:firstLine="0"/>
      </w:pPr>
      <w:r w:rsidRPr="00060926">
        <w:rPr>
          <w:rStyle w:val="FootnoteReference"/>
        </w:rPr>
        <w:footnoteRef/>
      </w:r>
      <w:r w:rsidR="00F9369D">
        <w:t xml:space="preserve"> </w:t>
      </w:r>
      <w:r w:rsidR="005838CD" w:rsidRPr="005838CD">
        <w:t>Lorsqu</w:t>
      </w:r>
      <w:r w:rsidR="009F5619">
        <w:t>’</w:t>
      </w:r>
      <w:r w:rsidR="005838CD" w:rsidRPr="005838CD">
        <w:t>il y a plusieurs porteurs de billets, les parties prévoient généralement que les modifications ne peuvent être apportées qu</w:t>
      </w:r>
      <w:r w:rsidR="009F5619">
        <w:t>’</w:t>
      </w:r>
      <w:r w:rsidR="005838CD" w:rsidRPr="005838CD">
        <w:t>avec l</w:t>
      </w:r>
      <w:r w:rsidR="009F5619">
        <w:t>’</w:t>
      </w:r>
      <w:r w:rsidR="005838CD" w:rsidRPr="005838CD">
        <w:t>approbation d</w:t>
      </w:r>
      <w:r w:rsidR="009F5619">
        <w:t>’</w:t>
      </w:r>
      <w:r w:rsidR="005838CD" w:rsidRPr="005838CD">
        <w:t>un seuil déterminé de porteurs de billets. Ces modalités de modification peuvent être incluses dans le Billet, dans la convention d</w:t>
      </w:r>
      <w:r w:rsidR="009F5619">
        <w:t>’</w:t>
      </w:r>
      <w:r w:rsidR="005838CD" w:rsidRPr="005838CD">
        <w:t xml:space="preserve">achat ou dans la convention </w:t>
      </w:r>
      <w:r w:rsidR="00BE6A7C">
        <w:t xml:space="preserve">entre </w:t>
      </w:r>
      <w:r w:rsidR="005838CD" w:rsidRPr="005838CD">
        <w:t>créanciers autonome, au choix. Le libellé facultatif présenté dans cet article traite de ces possibilités</w:t>
      </w:r>
      <w:r w:rsidR="005838CD">
        <w:t>.</w:t>
      </w:r>
    </w:p>
  </w:footnote>
  <w:footnote w:id="19">
    <w:p w14:paraId="489BCB32" w14:textId="77777777" w:rsidR="0031008B" w:rsidRPr="00060926" w:rsidRDefault="0031008B" w:rsidP="0031008B">
      <w:pPr>
        <w:pStyle w:val="FootnoteText"/>
        <w:ind w:left="0" w:firstLine="0"/>
      </w:pPr>
      <w:r w:rsidRPr="00060926">
        <w:rPr>
          <w:rStyle w:val="FootnoteReference"/>
        </w:rPr>
        <w:footnoteRef/>
      </w:r>
      <w:r w:rsidRPr="00060926">
        <w:t xml:space="preserve"> Avant de signer le présent Billet, les parties devraient déterminer si une signature électronique ou un facsimilé de signature sera suffisant ou si une signature originale doit être apposée. Les instruments négociables, ce qui comprend de nombreux billets à ordre, sont généralement exclus de l'application de la législation sur le commerce électronique au Canada.</w:t>
      </w:r>
    </w:p>
  </w:footnote>
  <w:footnote w:id="20">
    <w:p w14:paraId="61C65946" w14:textId="3EA973AF" w:rsidR="00F0406C" w:rsidRPr="00EB6D2F" w:rsidRDefault="00073CFA" w:rsidP="007D2CBC">
      <w:pPr>
        <w:pStyle w:val="FootnoteText"/>
        <w:ind w:left="0" w:firstLine="0"/>
      </w:pPr>
      <w:r w:rsidRPr="00060926">
        <w:rPr>
          <w:rStyle w:val="FootnoteReference"/>
        </w:rPr>
        <w:footnoteRef/>
      </w:r>
      <w:r w:rsidR="00F9369D">
        <w:t xml:space="preserve"> </w:t>
      </w:r>
      <w:r w:rsidR="004B1318">
        <w:t>Les</w:t>
      </w:r>
      <w:r w:rsidR="0005299A">
        <w:t xml:space="preserve"> </w:t>
      </w:r>
      <w:r w:rsidR="004B1318">
        <w:t>déclarations figurant dans la présente Annexe ne sont pas exhaustives</w:t>
      </w:r>
      <w:r w:rsidRPr="00EB6D2F">
        <w:t>.</w:t>
      </w:r>
      <w:r w:rsidR="004B1318">
        <w:t xml:space="preserve"> Les investisseurs devraient déterminer si des déclarations et garanties plus robustes </w:t>
      </w:r>
      <w:r w:rsidRPr="00EB6D2F">
        <w:t>(</w:t>
      </w:r>
      <w:r w:rsidR="004B1318">
        <w:t>comme celles compris</w:t>
      </w:r>
      <w:r w:rsidR="00B15FBA">
        <w:t>es</w:t>
      </w:r>
      <w:r w:rsidR="004B1318">
        <w:t xml:space="preserve"> dans le </w:t>
      </w:r>
      <w:r w:rsidR="00D9037B">
        <w:t>modèle de Convention d’achat d’actions</w:t>
      </w:r>
      <w:r w:rsidR="00D9037B" w:rsidRPr="00EB6D2F">
        <w:t xml:space="preserve"> </w:t>
      </w:r>
      <w:r w:rsidR="00D9037B">
        <w:t>de l’</w:t>
      </w:r>
      <w:r w:rsidR="005D1F30" w:rsidRPr="00EB6D2F">
        <w:t>ACCRI</w:t>
      </w:r>
      <w:r w:rsidRPr="00EB6D2F">
        <w:t xml:space="preserve">) </w:t>
      </w:r>
      <w:r w:rsidR="004B1318">
        <w:t xml:space="preserve">s’imposent pour une </w:t>
      </w:r>
      <w:r w:rsidR="0078293A">
        <w:t>opération</w:t>
      </w:r>
      <w:r w:rsidR="004B1318">
        <w:t xml:space="preserve"> donnée</w:t>
      </w:r>
      <w:r w:rsidRPr="00EB6D2F">
        <w:t>.</w:t>
      </w:r>
    </w:p>
  </w:footnote>
  <w:footnote w:id="21">
    <w:p w14:paraId="115BC8E5" w14:textId="212CFDD7" w:rsidR="00F0406C" w:rsidRPr="00EB6D2F" w:rsidRDefault="00073CFA" w:rsidP="007C42ED">
      <w:pPr>
        <w:pStyle w:val="FootnoteText"/>
        <w:ind w:left="0" w:firstLine="0"/>
      </w:pPr>
      <w:r w:rsidRPr="00060926">
        <w:rPr>
          <w:rStyle w:val="FootnoteReference"/>
        </w:rPr>
        <w:footnoteRef/>
      </w:r>
      <w:r w:rsidR="00F9369D">
        <w:t xml:space="preserve"> </w:t>
      </w:r>
      <w:r w:rsidR="003D3216" w:rsidRPr="003D3216">
        <w:t>Des engagements supplémentaires pourraient être souhaitables si le Billet est garanti, y compris des engagements concernant la constitution de sûretés ou d</w:t>
      </w:r>
      <w:r w:rsidR="008F0F99">
        <w:t>’</w:t>
      </w:r>
      <w:r w:rsidR="003D3216" w:rsidRPr="003D3216">
        <w:t xml:space="preserve">hypothèques et la protection et le traitement des actifs garantis. Ces engagements pourraient être abordés dans la présente Annexe ou, le cas échéant, dans </w:t>
      </w:r>
      <w:r w:rsidR="007C4D42">
        <w:t>la convention</w:t>
      </w:r>
      <w:r w:rsidR="003D3216" w:rsidRPr="003D3216">
        <w:t xml:space="preserve"> de sûreté générale ou l</w:t>
      </w:r>
      <w:r w:rsidR="008F0F99">
        <w:t>’</w:t>
      </w:r>
      <w:r w:rsidR="003D3216" w:rsidRPr="003D3216">
        <w:t>hypothèque</w:t>
      </w:r>
      <w:r w:rsidRPr="00EB6D2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78B6" w14:textId="77777777" w:rsidR="00255E03" w:rsidRDefault="00255E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1341" w14:textId="77777777" w:rsidR="00255E03" w:rsidRDefault="00255E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0522" w14:textId="77777777" w:rsidR="00255E03" w:rsidRDefault="00255E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2265" w14:textId="77777777" w:rsidR="00F0406C" w:rsidRPr="00C26BB8" w:rsidRDefault="00F0406C" w:rsidP="00E57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B09FC"/>
    <w:multiLevelType w:val="multilevel"/>
    <w:tmpl w:val="316438FE"/>
    <w:name w:val="ArticleBJ"/>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810"/>
        </w:tabs>
        <w:ind w:left="90" w:firstLine="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288"/>
        </w:tabs>
        <w:ind w:left="1288"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3240"/>
        </w:tabs>
        <w:ind w:left="3240" w:hanging="360"/>
      </w:pPr>
    </w:lvl>
  </w:abstractNum>
  <w:abstractNum w:abstractNumId="1"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2"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B215BE"/>
    <w:multiLevelType w:val="multilevel"/>
    <w:tmpl w:val="B83413BE"/>
    <w:name w:val="zzmpExhibits||Exhibits|3|1|1|0|12|32||1|12|32||1|12|32||1|12|32||1|12|32||1|12|32||1|12|32||1|12|32||1|12|32||"/>
    <w:lvl w:ilvl="0">
      <w:start w:val="1"/>
      <w:numFmt w:val="none"/>
      <w:pStyle w:val="ExhibitsL1"/>
      <w:suff w:val="nothing"/>
      <w:lvlText w:val=""/>
      <w:lvlJc w:val="left"/>
      <w:pPr>
        <w:tabs>
          <w:tab w:val="num" w:pos="720"/>
        </w:tabs>
        <w:ind w:left="720" w:hanging="720"/>
      </w:pPr>
      <w:rPr>
        <w:b w:val="0"/>
        <w:i w:val="0"/>
        <w:caps w:val="0"/>
        <w:color w:val="auto"/>
        <w:u w:val="none"/>
      </w:rPr>
    </w:lvl>
    <w:lvl w:ilvl="1">
      <w:start w:val="1"/>
      <w:numFmt w:val="lowerLetter"/>
      <w:pStyle w:val="ExhibitsL2"/>
      <w:lvlText w:val="(%2)"/>
      <w:lvlJc w:val="left"/>
      <w:pPr>
        <w:tabs>
          <w:tab w:val="num" w:pos="720"/>
        </w:tabs>
        <w:ind w:left="720" w:hanging="720"/>
      </w:pPr>
      <w:rPr>
        <w:b w:val="0"/>
        <w:i w:val="0"/>
        <w:caps w:val="0"/>
        <w:color w:val="auto"/>
        <w:u w:val="none"/>
      </w:rPr>
    </w:lvl>
    <w:lvl w:ilvl="2">
      <w:start w:val="1"/>
      <w:numFmt w:val="lowerRoman"/>
      <w:pStyle w:val="ExhibitsL3"/>
      <w:lvlText w:val="(%3)"/>
      <w:lvlJc w:val="left"/>
      <w:pPr>
        <w:tabs>
          <w:tab w:val="num" w:pos="1440"/>
        </w:tabs>
        <w:ind w:left="1440" w:hanging="720"/>
      </w:pPr>
      <w:rPr>
        <w:b w:val="0"/>
        <w:i w:val="0"/>
        <w:caps w:val="0"/>
        <w:color w:val="auto"/>
        <w:u w:val="none"/>
      </w:rPr>
    </w:lvl>
    <w:lvl w:ilvl="3">
      <w:start w:val="1"/>
      <w:numFmt w:val="upperLetter"/>
      <w:pStyle w:val="ExhibitsL4"/>
      <w:lvlText w:val="(%4)"/>
      <w:lvlJc w:val="left"/>
      <w:pPr>
        <w:tabs>
          <w:tab w:val="num" w:pos="2880"/>
        </w:tabs>
        <w:ind w:left="2880" w:hanging="720"/>
      </w:pPr>
      <w:rPr>
        <w:b w:val="0"/>
        <w:i w:val="0"/>
        <w:caps w:val="0"/>
        <w:color w:val="auto"/>
        <w:u w:val="none"/>
      </w:rPr>
    </w:lvl>
    <w:lvl w:ilvl="4">
      <w:start w:val="1"/>
      <w:numFmt w:val="decimal"/>
      <w:pStyle w:val="ExhibitsL5"/>
      <w:lvlText w:val="(%5)"/>
      <w:lvlJc w:val="left"/>
      <w:pPr>
        <w:tabs>
          <w:tab w:val="num" w:pos="3600"/>
        </w:tabs>
        <w:ind w:left="3600" w:hanging="720"/>
      </w:pPr>
      <w:rPr>
        <w:b w:val="0"/>
        <w:i w:val="0"/>
        <w:caps w:val="0"/>
        <w:color w:val="auto"/>
        <w:u w:val="none"/>
      </w:rPr>
    </w:lvl>
    <w:lvl w:ilvl="5">
      <w:start w:val="1"/>
      <w:numFmt w:val="lowerLetter"/>
      <w:pStyle w:val="ExhibitsL6"/>
      <w:lvlText w:val="%6)"/>
      <w:lvlJc w:val="left"/>
      <w:pPr>
        <w:tabs>
          <w:tab w:val="num" w:pos="4320"/>
        </w:tabs>
        <w:ind w:left="4320" w:hanging="720"/>
      </w:pPr>
      <w:rPr>
        <w:b w:val="0"/>
        <w:i w:val="0"/>
        <w:caps w:val="0"/>
        <w:color w:val="auto"/>
        <w:u w:val="none"/>
      </w:rPr>
    </w:lvl>
    <w:lvl w:ilvl="6">
      <w:start w:val="1"/>
      <w:numFmt w:val="lowerRoman"/>
      <w:pStyle w:val="ExhibitsL7"/>
      <w:lvlText w:val="%7)"/>
      <w:lvlJc w:val="left"/>
      <w:pPr>
        <w:tabs>
          <w:tab w:val="num" w:pos="5040"/>
        </w:tabs>
        <w:ind w:left="5040" w:hanging="720"/>
      </w:pPr>
      <w:rPr>
        <w:b w:val="0"/>
        <w:i w:val="0"/>
        <w:caps w:val="0"/>
        <w:color w:val="auto"/>
        <w:u w:val="none"/>
      </w:rPr>
    </w:lvl>
    <w:lvl w:ilvl="7">
      <w:start w:val="1"/>
      <w:numFmt w:val="upperLetter"/>
      <w:pStyle w:val="ExhibitsL8"/>
      <w:lvlText w:val="%8)"/>
      <w:lvlJc w:val="left"/>
      <w:pPr>
        <w:tabs>
          <w:tab w:val="num" w:pos="5760"/>
        </w:tabs>
        <w:ind w:left="5760" w:hanging="720"/>
      </w:pPr>
      <w:rPr>
        <w:b w:val="0"/>
        <w:i w:val="0"/>
        <w:caps w:val="0"/>
        <w:color w:val="auto"/>
        <w:u w:val="none"/>
      </w:rPr>
    </w:lvl>
    <w:lvl w:ilvl="8">
      <w:start w:val="1"/>
      <w:numFmt w:val="decimal"/>
      <w:pStyle w:val="ExhibitsL9"/>
      <w:lvlText w:val="%9)"/>
      <w:lvlJc w:val="left"/>
      <w:pPr>
        <w:tabs>
          <w:tab w:val="num" w:pos="6480"/>
        </w:tabs>
        <w:ind w:left="6480" w:hanging="720"/>
      </w:pPr>
      <w:rPr>
        <w:b w:val="0"/>
        <w:i w:val="0"/>
        <w:caps w:val="0"/>
        <w:color w:val="auto"/>
        <w:u w:val="none"/>
      </w:rPr>
    </w:lvl>
  </w:abstractNum>
  <w:abstractNum w:abstractNumId="4" w15:restartNumberingAfterBreak="0">
    <w:nsid w:val="47D73AD9"/>
    <w:multiLevelType w:val="multilevel"/>
    <w:tmpl w:val="4B9045A8"/>
    <w:name w:val="zzmpStandard||Standard|2|1|1|1|12|32||1|12|32||1|12|32||1|12|32||1|12|32||1|12|32||1|12|32||1|12|32||1|12|32||"/>
    <w:lvl w:ilvl="0">
      <w:start w:val="1"/>
      <w:numFmt w:val="decimal"/>
      <w:pStyle w:val="StandardL1"/>
      <w:lvlText w:val="%1."/>
      <w:lvlJc w:val="left"/>
      <w:pPr>
        <w:tabs>
          <w:tab w:val="num" w:pos="72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1">
      <w:start w:val="1"/>
      <w:numFmt w:val="lowerLetter"/>
      <w:pStyle w:val="StandardL2"/>
      <w:lvlText w:val="%2)"/>
      <w:lvlJc w:val="left"/>
      <w:pPr>
        <w:tabs>
          <w:tab w:val="num" w:pos="144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2">
      <w:start w:val="1"/>
      <w:numFmt w:val="lowerRoman"/>
      <w:pStyle w:val="StandardL3"/>
      <w:lvlText w:val="(%3)"/>
      <w:lvlJc w:val="left"/>
      <w:pPr>
        <w:tabs>
          <w:tab w:val="num" w:pos="2160"/>
        </w:tabs>
        <w:ind w:left="2160" w:hanging="72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upperLetter"/>
      <w:pStyle w:val="StandardL4"/>
      <w:lvlText w:val="(%4)"/>
      <w:lvlJc w:val="left"/>
      <w:pPr>
        <w:tabs>
          <w:tab w:val="num" w:pos="2880"/>
        </w:tabs>
        <w:ind w:left="2880" w:hanging="72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pStyle w:val="StandardL5"/>
      <w:lvlText w:val="(%5)"/>
      <w:lvlJc w:val="left"/>
      <w:pPr>
        <w:tabs>
          <w:tab w:val="num" w:pos="3600"/>
        </w:tabs>
        <w:ind w:left="3600" w:hanging="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StandardL6"/>
      <w:lvlText w:val="%6)"/>
      <w:lvlJc w:val="left"/>
      <w:pPr>
        <w:tabs>
          <w:tab w:val="num" w:pos="4320"/>
        </w:tabs>
        <w:ind w:left="4320" w:hanging="72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lowerRoman"/>
      <w:pStyle w:val="StandardL7"/>
      <w:lvlText w:val="%7)"/>
      <w:lvlJc w:val="left"/>
      <w:pPr>
        <w:tabs>
          <w:tab w:val="num" w:pos="5040"/>
        </w:tabs>
        <w:ind w:left="504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upperLetter"/>
      <w:pStyle w:val="StandardL8"/>
      <w:lvlText w:val="%8)"/>
      <w:lvlJc w:val="left"/>
      <w:pPr>
        <w:tabs>
          <w:tab w:val="num" w:pos="5760"/>
        </w:tabs>
        <w:ind w:left="576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decimal"/>
      <w:pStyle w:val="StandardL9"/>
      <w:lvlText w:val="%9)"/>
      <w:lvlJc w:val="left"/>
      <w:pPr>
        <w:tabs>
          <w:tab w:val="num" w:pos="6480"/>
        </w:tabs>
        <w:ind w:left="6480" w:hanging="720"/>
      </w:pPr>
      <w:rPr>
        <w:rFonts w:hint="default"/>
        <w:b w:val="0"/>
        <w:i w:val="0"/>
        <w:caps w:val="0"/>
        <w:strike w:val="0"/>
        <w:dstrike w:val="0"/>
        <w:outline w:val="0"/>
        <w:shadow w:val="0"/>
        <w:emboss w:val="0"/>
        <w:imprint w:val="0"/>
        <w:vanish w:val="0"/>
        <w:color w:val="auto"/>
        <w:u w:val="none"/>
        <w:effect w:val="none"/>
        <w:vertAlign w:val="baseline"/>
      </w:rPr>
    </w:lvl>
  </w:abstractNum>
  <w:abstractNum w:abstractNumId="5"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8971CC"/>
    <w:multiLevelType w:val="multilevel"/>
    <w:tmpl w:val="A1549EF2"/>
    <w:name w:val="SME"/>
    <w:lvl w:ilvl="0">
      <w:start w:val="1"/>
      <w:numFmt w:val="decimal"/>
      <w:lvlText w:val="%1."/>
      <w:lvlJc w:val="left"/>
      <w:pPr>
        <w:tabs>
          <w:tab w:val="num" w:pos="720"/>
        </w:tabs>
        <w:ind w:left="720" w:hanging="720"/>
      </w:pPr>
      <w:rPr>
        <w:b w:val="0"/>
      </w:rPr>
    </w:lvl>
    <w:lvl w:ilvl="1">
      <w:start w:val="1"/>
      <w:numFmt w:val="decimal"/>
      <w:lvlText w:val="%1.%2"/>
      <w:lvlJc w:val="left"/>
      <w:pPr>
        <w:tabs>
          <w:tab w:val="num" w:pos="720"/>
        </w:tabs>
        <w:ind w:left="720" w:hanging="720"/>
      </w:pPr>
      <w:rPr>
        <w:b w:val="0"/>
      </w:rPr>
    </w:lvl>
    <w:lvl w:ilvl="2">
      <w:start w:val="1"/>
      <w:numFmt w:val="lowerLetter"/>
      <w:lvlText w:val="(%3)"/>
      <w:lvlJc w:val="left"/>
      <w:pPr>
        <w:tabs>
          <w:tab w:val="num" w:pos="1440"/>
        </w:tabs>
        <w:ind w:left="1440" w:hanging="720"/>
      </w:pPr>
    </w:lvl>
    <w:lvl w:ilvl="3">
      <w:start w:val="1"/>
      <w:numFmt w:val="lowerRoman"/>
      <w:lvlText w:val="(%4)"/>
      <w:lvlJc w:val="right"/>
      <w:pPr>
        <w:tabs>
          <w:tab w:val="num" w:pos="2160"/>
        </w:tabs>
        <w:ind w:left="2160" w:hanging="432"/>
      </w:pPr>
      <w:rPr>
        <w:rFonts w:ascii="Arial" w:hAnsi="Arial" w:cs="Symbol" w:hint="default"/>
        <w:sz w:val="22"/>
        <w:szCs w:val="22"/>
      </w:rPr>
    </w:lvl>
    <w:lvl w:ilvl="4">
      <w:start w:val="1"/>
      <w:numFmt w:val="upperLetter"/>
      <w:lvlText w:val="(%5)"/>
      <w:lvlJc w:val="left"/>
      <w:pPr>
        <w:tabs>
          <w:tab w:val="num" w:pos="2880"/>
        </w:tabs>
        <w:ind w:left="2880" w:hanging="720"/>
      </w:pPr>
    </w:lvl>
    <w:lvl w:ilvl="5">
      <w:start w:val="1"/>
      <w:numFmt w:val="upperRoman"/>
      <w:lvlText w:val="(%6)"/>
      <w:lvlJc w:val="right"/>
      <w:pPr>
        <w:tabs>
          <w:tab w:val="num" w:pos="3600"/>
        </w:tabs>
        <w:ind w:left="3600" w:hanging="432"/>
      </w:pPr>
    </w:lvl>
    <w:lvl w:ilvl="6">
      <w:start w:val="1"/>
      <w:numFmt w:val="decimal"/>
      <w:lvlText w:val="%7)"/>
      <w:lvlJc w:val="left"/>
      <w:pPr>
        <w:tabs>
          <w:tab w:val="num" w:pos="4320"/>
        </w:tabs>
        <w:ind w:left="4320" w:hanging="720"/>
      </w:pPr>
    </w:lvl>
    <w:lvl w:ilvl="7">
      <w:start w:val="1"/>
      <w:numFmt w:val="lowerLetter"/>
      <w:lvlText w:val="%8)"/>
      <w:lvlJc w:val="left"/>
      <w:pPr>
        <w:tabs>
          <w:tab w:val="num" w:pos="5040"/>
        </w:tabs>
        <w:ind w:left="5040" w:hanging="720"/>
      </w:pPr>
    </w:lvl>
    <w:lvl w:ilvl="8">
      <w:start w:val="1"/>
      <w:numFmt w:val="lowerRoman"/>
      <w:lvlText w:val="%9)"/>
      <w:lvlJc w:val="right"/>
      <w:pPr>
        <w:tabs>
          <w:tab w:val="num" w:pos="5760"/>
        </w:tabs>
        <w:ind w:left="5760" w:hanging="432"/>
      </w:pPr>
    </w:lvl>
  </w:abstractNum>
  <w:num w:numId="1" w16cid:durableId="684019898">
    <w:abstractNumId w:val="1"/>
  </w:num>
  <w:num w:numId="2" w16cid:durableId="537470105">
    <w:abstractNumId w:val="2"/>
  </w:num>
  <w:num w:numId="3" w16cid:durableId="1735666891">
    <w:abstractNumId w:val="5"/>
  </w:num>
  <w:num w:numId="4" w16cid:durableId="208955692">
    <w:abstractNumId w:val="4"/>
  </w:num>
  <w:num w:numId="5" w16cid:durableId="1873030100">
    <w:abstractNumId w:val="6"/>
  </w:num>
  <w:num w:numId="6" w16cid:durableId="250891237">
    <w:abstractNumId w:val="0"/>
  </w:num>
  <w:num w:numId="7" w16cid:durableId="17500337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2556614">
    <w:abstractNumId w:val="3"/>
  </w:num>
  <w:num w:numId="9" w16cid:durableId="1394817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0954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0656529">
    <w:abstractNumId w:val="4"/>
  </w:num>
  <w:num w:numId="12" w16cid:durableId="1900702623">
    <w:abstractNumId w:val="4"/>
  </w:num>
  <w:num w:numId="13" w16cid:durableId="2062240625">
    <w:abstractNumId w:val="4"/>
  </w:num>
  <w:num w:numId="14" w16cid:durableId="1941641095">
    <w:abstractNumId w:val="4"/>
  </w:num>
  <w:num w:numId="15" w16cid:durableId="1990477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Natalie\AppData\Local\Temp\39b8892d-3156-45cb-82bc-018106fb9e11.docx"/>
    <w:docVar w:name="zzmp10LastTrailerInserted" w:val="^`~#mp!@⌔#`#⌕┗┭43A}{Ŝm~Z⌍”I⌓‣⌊¤pë⌐%‼Û⌡⌛‛á⌟!}‖e$+⁂¶£⌎z1Ø@Óê‣⌋⌗»ÍÏ×Í:⌊Ï⌍‣c*Uµ₭ë¿z[¤‼÷Eû«•Ò⌖tÊ°w{ìÕø⌓„­‧jìÿŢRa{8õ3XK˝⌏H/è¸Ð`iÁZéP‣‡S⌍p©?«⌞ƁäÂY⌊eÖ÷Ù2OøÍî=ñ7vÿÈQ©&lt;ÚØ2⌇Ýq¨°KOŕöªX¯ªZ =è\73`[011"/>
    <w:docVar w:name="zzmp10LastTrailerInserted_1078" w:val="^`~#mp!@⌔#`#⌕┗┭43A}{Ŝm~Z⌍”I⌓‣⌊¤pë⌐%‼Û⌡⌛‛á⌟!}‖e$+⁂¶£⌎z1Ø@Óê‣⌋⌗»ÍÏ×Í:⌊Ï⌍‣c*Uµ₭ë¿z[¤‼÷Eû«•Ò⌖tÊ°w{ìÕø⌓„­‧jìÿŢRa{8õ3XK˝⌏H/è¸Ð`iÁZéP‣‡S⌍p©?«⌞ƁäÂY⌊eÖ÷Ù2OøÍî=ñ7vÿÈQ©&lt;ÚØ2⌇Ýq¨°KOŕöªX¯ªZ =è\73`[011"/>
    <w:docVar w:name="zzmp10mSEGsValidated" w:val="1"/>
    <w:docVar w:name="zzmpCompatibilityMode" w:val="15"/>
  </w:docVars>
  <w:rsids>
    <w:rsidRoot w:val="00233974"/>
    <w:rsid w:val="00002F7E"/>
    <w:rsid w:val="00011B8F"/>
    <w:rsid w:val="00015650"/>
    <w:rsid w:val="00015FAB"/>
    <w:rsid w:val="000222C6"/>
    <w:rsid w:val="00025837"/>
    <w:rsid w:val="0003061A"/>
    <w:rsid w:val="00034E98"/>
    <w:rsid w:val="00037D07"/>
    <w:rsid w:val="0004675A"/>
    <w:rsid w:val="0005299A"/>
    <w:rsid w:val="00060926"/>
    <w:rsid w:val="00060CC0"/>
    <w:rsid w:val="00061552"/>
    <w:rsid w:val="00066F72"/>
    <w:rsid w:val="00067882"/>
    <w:rsid w:val="00073CFA"/>
    <w:rsid w:val="000807B9"/>
    <w:rsid w:val="00083C83"/>
    <w:rsid w:val="00090C9A"/>
    <w:rsid w:val="000A28EC"/>
    <w:rsid w:val="000B0B42"/>
    <w:rsid w:val="000B16A9"/>
    <w:rsid w:val="000B199D"/>
    <w:rsid w:val="000C267D"/>
    <w:rsid w:val="000C38B4"/>
    <w:rsid w:val="000C65EF"/>
    <w:rsid w:val="000D0619"/>
    <w:rsid w:val="000D4966"/>
    <w:rsid w:val="000F3FF0"/>
    <w:rsid w:val="00101C13"/>
    <w:rsid w:val="00105790"/>
    <w:rsid w:val="0012163D"/>
    <w:rsid w:val="001267F4"/>
    <w:rsid w:val="001321EB"/>
    <w:rsid w:val="00142586"/>
    <w:rsid w:val="00143E16"/>
    <w:rsid w:val="00150423"/>
    <w:rsid w:val="00154F78"/>
    <w:rsid w:val="00173EB8"/>
    <w:rsid w:val="001826FF"/>
    <w:rsid w:val="0018711D"/>
    <w:rsid w:val="001B7C5B"/>
    <w:rsid w:val="001C607A"/>
    <w:rsid w:val="001D20C6"/>
    <w:rsid w:val="001E05B2"/>
    <w:rsid w:val="001E263D"/>
    <w:rsid w:val="001F1498"/>
    <w:rsid w:val="001F2132"/>
    <w:rsid w:val="00200001"/>
    <w:rsid w:val="002002DC"/>
    <w:rsid w:val="0023154E"/>
    <w:rsid w:val="00233974"/>
    <w:rsid w:val="0023440A"/>
    <w:rsid w:val="00235C6F"/>
    <w:rsid w:val="00244868"/>
    <w:rsid w:val="002460B5"/>
    <w:rsid w:val="00247407"/>
    <w:rsid w:val="00252D6E"/>
    <w:rsid w:val="00255E03"/>
    <w:rsid w:val="002810EB"/>
    <w:rsid w:val="0028355A"/>
    <w:rsid w:val="002C08F9"/>
    <w:rsid w:val="002C18F5"/>
    <w:rsid w:val="002C4927"/>
    <w:rsid w:val="002C5937"/>
    <w:rsid w:val="002D2E20"/>
    <w:rsid w:val="002D5CB8"/>
    <w:rsid w:val="002E0578"/>
    <w:rsid w:val="002E6F67"/>
    <w:rsid w:val="002F5774"/>
    <w:rsid w:val="00303943"/>
    <w:rsid w:val="003053DC"/>
    <w:rsid w:val="0031008B"/>
    <w:rsid w:val="00313A99"/>
    <w:rsid w:val="00317415"/>
    <w:rsid w:val="0032328A"/>
    <w:rsid w:val="003236E5"/>
    <w:rsid w:val="00324BCA"/>
    <w:rsid w:val="00332CCD"/>
    <w:rsid w:val="00335435"/>
    <w:rsid w:val="0034687A"/>
    <w:rsid w:val="003500CD"/>
    <w:rsid w:val="00350F90"/>
    <w:rsid w:val="0035115F"/>
    <w:rsid w:val="00356C94"/>
    <w:rsid w:val="00386CCD"/>
    <w:rsid w:val="003963E6"/>
    <w:rsid w:val="003C4988"/>
    <w:rsid w:val="003C708F"/>
    <w:rsid w:val="003D3216"/>
    <w:rsid w:val="003D5F29"/>
    <w:rsid w:val="003E03B8"/>
    <w:rsid w:val="003E2737"/>
    <w:rsid w:val="003F1A41"/>
    <w:rsid w:val="0040283E"/>
    <w:rsid w:val="00405A6D"/>
    <w:rsid w:val="004076D7"/>
    <w:rsid w:val="004206FC"/>
    <w:rsid w:val="004240FF"/>
    <w:rsid w:val="00432788"/>
    <w:rsid w:val="00433426"/>
    <w:rsid w:val="0045209C"/>
    <w:rsid w:val="004539D0"/>
    <w:rsid w:val="00455B54"/>
    <w:rsid w:val="004623A8"/>
    <w:rsid w:val="00463643"/>
    <w:rsid w:val="004732C0"/>
    <w:rsid w:val="00477BF0"/>
    <w:rsid w:val="00484342"/>
    <w:rsid w:val="00484F62"/>
    <w:rsid w:val="00487F58"/>
    <w:rsid w:val="004904A5"/>
    <w:rsid w:val="00491C06"/>
    <w:rsid w:val="004A1587"/>
    <w:rsid w:val="004A59BB"/>
    <w:rsid w:val="004B1318"/>
    <w:rsid w:val="004B3737"/>
    <w:rsid w:val="004C420B"/>
    <w:rsid w:val="004C4BAE"/>
    <w:rsid w:val="004C4BC0"/>
    <w:rsid w:val="004D1DAF"/>
    <w:rsid w:val="004D39DC"/>
    <w:rsid w:val="004E19F2"/>
    <w:rsid w:val="004E37AC"/>
    <w:rsid w:val="004E64BE"/>
    <w:rsid w:val="004F001F"/>
    <w:rsid w:val="004F1221"/>
    <w:rsid w:val="004F4FC9"/>
    <w:rsid w:val="0050259D"/>
    <w:rsid w:val="00504C6A"/>
    <w:rsid w:val="00511060"/>
    <w:rsid w:val="00513686"/>
    <w:rsid w:val="0052409D"/>
    <w:rsid w:val="00524A53"/>
    <w:rsid w:val="0052567C"/>
    <w:rsid w:val="00527166"/>
    <w:rsid w:val="00531915"/>
    <w:rsid w:val="00546AB8"/>
    <w:rsid w:val="00561253"/>
    <w:rsid w:val="005619E6"/>
    <w:rsid w:val="005736D0"/>
    <w:rsid w:val="005838CD"/>
    <w:rsid w:val="005868E3"/>
    <w:rsid w:val="00591571"/>
    <w:rsid w:val="005956FF"/>
    <w:rsid w:val="005A50C1"/>
    <w:rsid w:val="005A6263"/>
    <w:rsid w:val="005A7021"/>
    <w:rsid w:val="005B4373"/>
    <w:rsid w:val="005D1F30"/>
    <w:rsid w:val="005D2682"/>
    <w:rsid w:val="005D2877"/>
    <w:rsid w:val="005D5568"/>
    <w:rsid w:val="006062C3"/>
    <w:rsid w:val="00623965"/>
    <w:rsid w:val="00634871"/>
    <w:rsid w:val="00646184"/>
    <w:rsid w:val="00652540"/>
    <w:rsid w:val="006540DE"/>
    <w:rsid w:val="006705F1"/>
    <w:rsid w:val="006712ED"/>
    <w:rsid w:val="00672F11"/>
    <w:rsid w:val="00681F16"/>
    <w:rsid w:val="00694CA7"/>
    <w:rsid w:val="006A2E6A"/>
    <w:rsid w:val="006A3082"/>
    <w:rsid w:val="006B13F2"/>
    <w:rsid w:val="006C459E"/>
    <w:rsid w:val="006C4CE8"/>
    <w:rsid w:val="006D6992"/>
    <w:rsid w:val="006F7EAF"/>
    <w:rsid w:val="00711B37"/>
    <w:rsid w:val="007130AF"/>
    <w:rsid w:val="00715C36"/>
    <w:rsid w:val="00735399"/>
    <w:rsid w:val="0073618C"/>
    <w:rsid w:val="00737616"/>
    <w:rsid w:val="00741E67"/>
    <w:rsid w:val="007430EF"/>
    <w:rsid w:val="007432BA"/>
    <w:rsid w:val="00764E0E"/>
    <w:rsid w:val="007655B1"/>
    <w:rsid w:val="00772277"/>
    <w:rsid w:val="0078293A"/>
    <w:rsid w:val="00796D72"/>
    <w:rsid w:val="007B21DC"/>
    <w:rsid w:val="007B269D"/>
    <w:rsid w:val="007B3C84"/>
    <w:rsid w:val="007C4D42"/>
    <w:rsid w:val="007F1EAA"/>
    <w:rsid w:val="0080269B"/>
    <w:rsid w:val="00822A06"/>
    <w:rsid w:val="008403CC"/>
    <w:rsid w:val="00841EA3"/>
    <w:rsid w:val="00843E0A"/>
    <w:rsid w:val="0085305E"/>
    <w:rsid w:val="008542E8"/>
    <w:rsid w:val="008568F7"/>
    <w:rsid w:val="008571A5"/>
    <w:rsid w:val="008714A4"/>
    <w:rsid w:val="00873BB1"/>
    <w:rsid w:val="008768CC"/>
    <w:rsid w:val="00895311"/>
    <w:rsid w:val="00897F5A"/>
    <w:rsid w:val="008A05EE"/>
    <w:rsid w:val="008A10D0"/>
    <w:rsid w:val="008A118F"/>
    <w:rsid w:val="008B2ADD"/>
    <w:rsid w:val="008C4F45"/>
    <w:rsid w:val="008C5409"/>
    <w:rsid w:val="008C5EE5"/>
    <w:rsid w:val="008D16E3"/>
    <w:rsid w:val="008D63E4"/>
    <w:rsid w:val="008D7BD7"/>
    <w:rsid w:val="008E40C9"/>
    <w:rsid w:val="008F0F99"/>
    <w:rsid w:val="008F33F8"/>
    <w:rsid w:val="00913FEF"/>
    <w:rsid w:val="00916267"/>
    <w:rsid w:val="00930B5B"/>
    <w:rsid w:val="00943A28"/>
    <w:rsid w:val="00944F9E"/>
    <w:rsid w:val="00946BA7"/>
    <w:rsid w:val="00951D92"/>
    <w:rsid w:val="009556BB"/>
    <w:rsid w:val="009601CC"/>
    <w:rsid w:val="00960A24"/>
    <w:rsid w:val="00960F29"/>
    <w:rsid w:val="009619D7"/>
    <w:rsid w:val="00964F19"/>
    <w:rsid w:val="009731ED"/>
    <w:rsid w:val="009752EB"/>
    <w:rsid w:val="009759BB"/>
    <w:rsid w:val="009905F6"/>
    <w:rsid w:val="00996185"/>
    <w:rsid w:val="009A431C"/>
    <w:rsid w:val="009B31F3"/>
    <w:rsid w:val="009C08F5"/>
    <w:rsid w:val="009C7C07"/>
    <w:rsid w:val="009D5449"/>
    <w:rsid w:val="009E0078"/>
    <w:rsid w:val="009F44E9"/>
    <w:rsid w:val="009F4C72"/>
    <w:rsid w:val="009F5619"/>
    <w:rsid w:val="00A02708"/>
    <w:rsid w:val="00A10C6A"/>
    <w:rsid w:val="00A1263B"/>
    <w:rsid w:val="00A156B8"/>
    <w:rsid w:val="00A20643"/>
    <w:rsid w:val="00A3568D"/>
    <w:rsid w:val="00A3579A"/>
    <w:rsid w:val="00A4744F"/>
    <w:rsid w:val="00A52DC5"/>
    <w:rsid w:val="00A56648"/>
    <w:rsid w:val="00A56F98"/>
    <w:rsid w:val="00A61D29"/>
    <w:rsid w:val="00A83977"/>
    <w:rsid w:val="00A9577B"/>
    <w:rsid w:val="00AA23BD"/>
    <w:rsid w:val="00AC1F10"/>
    <w:rsid w:val="00AC2030"/>
    <w:rsid w:val="00AD2C89"/>
    <w:rsid w:val="00AD3C60"/>
    <w:rsid w:val="00AE2031"/>
    <w:rsid w:val="00AE3139"/>
    <w:rsid w:val="00AE5DBA"/>
    <w:rsid w:val="00AF2CE5"/>
    <w:rsid w:val="00B01DDB"/>
    <w:rsid w:val="00B06673"/>
    <w:rsid w:val="00B12567"/>
    <w:rsid w:val="00B15FBA"/>
    <w:rsid w:val="00B2640C"/>
    <w:rsid w:val="00B27D37"/>
    <w:rsid w:val="00B3163F"/>
    <w:rsid w:val="00B36E2B"/>
    <w:rsid w:val="00B37A95"/>
    <w:rsid w:val="00B50A0E"/>
    <w:rsid w:val="00B510A4"/>
    <w:rsid w:val="00B613C5"/>
    <w:rsid w:val="00B72737"/>
    <w:rsid w:val="00B72816"/>
    <w:rsid w:val="00B735CB"/>
    <w:rsid w:val="00B86B47"/>
    <w:rsid w:val="00B946A7"/>
    <w:rsid w:val="00BA0A5C"/>
    <w:rsid w:val="00BA2BF3"/>
    <w:rsid w:val="00BA57A1"/>
    <w:rsid w:val="00BB0FAC"/>
    <w:rsid w:val="00BB4BCF"/>
    <w:rsid w:val="00BC1F6D"/>
    <w:rsid w:val="00BD3A24"/>
    <w:rsid w:val="00BD5076"/>
    <w:rsid w:val="00BD7817"/>
    <w:rsid w:val="00BE1EEE"/>
    <w:rsid w:val="00BE556D"/>
    <w:rsid w:val="00BE6A7C"/>
    <w:rsid w:val="00BF3549"/>
    <w:rsid w:val="00BF3E18"/>
    <w:rsid w:val="00C01BF5"/>
    <w:rsid w:val="00C262A4"/>
    <w:rsid w:val="00C265C7"/>
    <w:rsid w:val="00C306B0"/>
    <w:rsid w:val="00C409CB"/>
    <w:rsid w:val="00C4195C"/>
    <w:rsid w:val="00C43DAD"/>
    <w:rsid w:val="00C574C9"/>
    <w:rsid w:val="00C7205D"/>
    <w:rsid w:val="00C76E55"/>
    <w:rsid w:val="00CB696A"/>
    <w:rsid w:val="00CC1011"/>
    <w:rsid w:val="00CC33A4"/>
    <w:rsid w:val="00CC3D47"/>
    <w:rsid w:val="00CD2CE3"/>
    <w:rsid w:val="00CD3179"/>
    <w:rsid w:val="00CE4E22"/>
    <w:rsid w:val="00CE6CD2"/>
    <w:rsid w:val="00CF5CE1"/>
    <w:rsid w:val="00CF7845"/>
    <w:rsid w:val="00D06DFD"/>
    <w:rsid w:val="00D11CBE"/>
    <w:rsid w:val="00D15005"/>
    <w:rsid w:val="00D260F9"/>
    <w:rsid w:val="00D35BBD"/>
    <w:rsid w:val="00D37726"/>
    <w:rsid w:val="00D44247"/>
    <w:rsid w:val="00D454DC"/>
    <w:rsid w:val="00D57B9D"/>
    <w:rsid w:val="00D57BF4"/>
    <w:rsid w:val="00D616D2"/>
    <w:rsid w:val="00D61BCB"/>
    <w:rsid w:val="00D74318"/>
    <w:rsid w:val="00D75BE2"/>
    <w:rsid w:val="00D777BA"/>
    <w:rsid w:val="00D80569"/>
    <w:rsid w:val="00D861AB"/>
    <w:rsid w:val="00D9037B"/>
    <w:rsid w:val="00DA6FFB"/>
    <w:rsid w:val="00DB482A"/>
    <w:rsid w:val="00DB6765"/>
    <w:rsid w:val="00DC4284"/>
    <w:rsid w:val="00DC54CA"/>
    <w:rsid w:val="00DD51C0"/>
    <w:rsid w:val="00DE54FC"/>
    <w:rsid w:val="00DF3E94"/>
    <w:rsid w:val="00E132AE"/>
    <w:rsid w:val="00E202FF"/>
    <w:rsid w:val="00E27289"/>
    <w:rsid w:val="00E313C9"/>
    <w:rsid w:val="00E3613B"/>
    <w:rsid w:val="00E36633"/>
    <w:rsid w:val="00E70B96"/>
    <w:rsid w:val="00E712F1"/>
    <w:rsid w:val="00E807CB"/>
    <w:rsid w:val="00E80CD9"/>
    <w:rsid w:val="00E813A0"/>
    <w:rsid w:val="00E83007"/>
    <w:rsid w:val="00E91DC7"/>
    <w:rsid w:val="00EA3FDC"/>
    <w:rsid w:val="00EA5220"/>
    <w:rsid w:val="00EB311B"/>
    <w:rsid w:val="00EB6923"/>
    <w:rsid w:val="00EB6D2F"/>
    <w:rsid w:val="00EB77FD"/>
    <w:rsid w:val="00EC400B"/>
    <w:rsid w:val="00ED43AC"/>
    <w:rsid w:val="00ED7167"/>
    <w:rsid w:val="00ED7391"/>
    <w:rsid w:val="00EE29D4"/>
    <w:rsid w:val="00EE52A1"/>
    <w:rsid w:val="00EF7033"/>
    <w:rsid w:val="00EF7838"/>
    <w:rsid w:val="00F0406C"/>
    <w:rsid w:val="00F168EA"/>
    <w:rsid w:val="00F24846"/>
    <w:rsid w:val="00F512D6"/>
    <w:rsid w:val="00F56BA1"/>
    <w:rsid w:val="00F56EC4"/>
    <w:rsid w:val="00F579A8"/>
    <w:rsid w:val="00F6211A"/>
    <w:rsid w:val="00F82C61"/>
    <w:rsid w:val="00F868E0"/>
    <w:rsid w:val="00F909AC"/>
    <w:rsid w:val="00F917C7"/>
    <w:rsid w:val="00F9304A"/>
    <w:rsid w:val="00F93654"/>
    <w:rsid w:val="00F9369D"/>
    <w:rsid w:val="00FB21FE"/>
    <w:rsid w:val="00FB3E4A"/>
    <w:rsid w:val="00FE61F5"/>
    <w:rsid w:val="00FF1A9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A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3"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3"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F7033"/>
    <w:pPr>
      <w:spacing w:after="0"/>
      <w:jc w:val="both"/>
    </w:pPr>
    <w:rPr>
      <w:sz w:val="22"/>
      <w:lang w:val="fr-CA"/>
    </w:r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1"/>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semiHidden/>
    <w:unhideWhenUsed/>
    <w:pPr>
      <w:ind w:left="720" w:hanging="720"/>
    </w:pPr>
    <w:rPr>
      <w:sz w:val="16"/>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rPr>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C3">
    <w:name w:val="toc 3"/>
    <w:basedOn w:val="Normal"/>
    <w:next w:val="Normal"/>
    <w:uiPriority w:val="39"/>
    <w:pPr>
      <w:keepLines/>
      <w:tabs>
        <w:tab w:val="right" w:leader="dot" w:pos="9288"/>
      </w:tabs>
      <w:spacing w:after="120"/>
      <w:ind w:left="144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2"/>
      </w:numPr>
    </w:pPr>
  </w:style>
  <w:style w:type="numbering" w:styleId="1ai">
    <w:name w:val="Outline List 1"/>
    <w:basedOn w:val="NoList"/>
    <w:semiHidden/>
    <w:pPr>
      <w:numPr>
        <w:numId w:val="3"/>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paragraph" w:customStyle="1" w:styleId="StandardCont1">
    <w:name w:val="Standard Cont 1"/>
    <w:basedOn w:val="Normal"/>
    <w:link w:val="StandardCont1Char"/>
    <w:rsid w:val="001A50D8"/>
    <w:pPr>
      <w:spacing w:after="240"/>
      <w:ind w:left="720"/>
    </w:pPr>
    <w:rPr>
      <w:rFonts w:eastAsia="Times New Roman" w:cs="Times New Roman"/>
      <w:szCs w:val="20"/>
    </w:rPr>
  </w:style>
  <w:style w:type="character" w:customStyle="1" w:styleId="StandardCont1Char">
    <w:name w:val="Standard Cont 1 Char"/>
    <w:basedOn w:val="BodyTextChar"/>
    <w:link w:val="StandardCont1"/>
    <w:rsid w:val="001A50D8"/>
    <w:rPr>
      <w:rFonts w:ascii="Times New Roman" w:eastAsia="Times New Roman" w:hAnsi="Times New Roman" w:cs="Times New Roman"/>
      <w:sz w:val="24"/>
      <w:szCs w:val="20"/>
      <w:lang w:val="en-CA"/>
    </w:rPr>
  </w:style>
  <w:style w:type="paragraph" w:customStyle="1" w:styleId="StandardCont2">
    <w:name w:val="Standard Cont 2"/>
    <w:basedOn w:val="StandardCont1"/>
    <w:link w:val="StandardCont2Char"/>
    <w:rsid w:val="001A50D8"/>
    <w:pPr>
      <w:ind w:left="1440"/>
    </w:pPr>
  </w:style>
  <w:style w:type="character" w:customStyle="1" w:styleId="StandardCont2Char">
    <w:name w:val="Standard Cont 2 Char"/>
    <w:basedOn w:val="BodyTextChar"/>
    <w:link w:val="StandardCont2"/>
    <w:rsid w:val="001A50D8"/>
    <w:rPr>
      <w:rFonts w:ascii="Times New Roman" w:eastAsia="Times New Roman" w:hAnsi="Times New Roman" w:cs="Times New Roman"/>
      <w:sz w:val="24"/>
      <w:szCs w:val="20"/>
      <w:lang w:val="en-CA"/>
    </w:rPr>
  </w:style>
  <w:style w:type="paragraph" w:customStyle="1" w:styleId="StandardCont3">
    <w:name w:val="Standard Cont 3"/>
    <w:basedOn w:val="StandardCont2"/>
    <w:link w:val="StandardCont3Char"/>
    <w:rsid w:val="001A50D8"/>
    <w:pPr>
      <w:ind w:left="2160"/>
    </w:pPr>
  </w:style>
  <w:style w:type="character" w:customStyle="1" w:styleId="StandardCont3Char">
    <w:name w:val="Standard Cont 3 Char"/>
    <w:basedOn w:val="BodyTextChar"/>
    <w:link w:val="StandardCont3"/>
    <w:rsid w:val="001A50D8"/>
    <w:rPr>
      <w:rFonts w:ascii="Times New Roman" w:eastAsia="Times New Roman" w:hAnsi="Times New Roman" w:cs="Times New Roman"/>
      <w:sz w:val="24"/>
      <w:szCs w:val="20"/>
      <w:lang w:val="en-CA"/>
    </w:rPr>
  </w:style>
  <w:style w:type="paragraph" w:customStyle="1" w:styleId="StandardCont4">
    <w:name w:val="Standard Cont 4"/>
    <w:basedOn w:val="StandardCont3"/>
    <w:link w:val="StandardCont4Char"/>
    <w:rsid w:val="001A50D8"/>
    <w:pPr>
      <w:ind w:left="2880"/>
    </w:pPr>
  </w:style>
  <w:style w:type="character" w:customStyle="1" w:styleId="StandardCont4Char">
    <w:name w:val="Standard Cont 4 Char"/>
    <w:basedOn w:val="BodyTextChar"/>
    <w:link w:val="StandardCont4"/>
    <w:rsid w:val="001A50D8"/>
    <w:rPr>
      <w:rFonts w:ascii="Times New Roman" w:eastAsia="Times New Roman" w:hAnsi="Times New Roman" w:cs="Times New Roman"/>
      <w:sz w:val="24"/>
      <w:szCs w:val="20"/>
      <w:lang w:val="en-CA"/>
    </w:rPr>
  </w:style>
  <w:style w:type="paragraph" w:customStyle="1" w:styleId="StandardCont5">
    <w:name w:val="Standard Cont 5"/>
    <w:basedOn w:val="StandardCont4"/>
    <w:link w:val="StandardCont5Char"/>
    <w:rsid w:val="001A50D8"/>
    <w:pPr>
      <w:ind w:left="3600"/>
    </w:pPr>
  </w:style>
  <w:style w:type="character" w:customStyle="1" w:styleId="StandardCont5Char">
    <w:name w:val="Standard Cont 5 Char"/>
    <w:basedOn w:val="BodyTextChar"/>
    <w:link w:val="StandardCont5"/>
    <w:rsid w:val="001A50D8"/>
    <w:rPr>
      <w:rFonts w:ascii="Times New Roman" w:eastAsia="Times New Roman" w:hAnsi="Times New Roman" w:cs="Times New Roman"/>
      <w:sz w:val="24"/>
      <w:szCs w:val="20"/>
      <w:lang w:val="en-CA"/>
    </w:rPr>
  </w:style>
  <w:style w:type="paragraph" w:customStyle="1" w:styleId="StandardCont6">
    <w:name w:val="Standard Cont 6"/>
    <w:basedOn w:val="StandardCont5"/>
    <w:link w:val="StandardCont6Char"/>
    <w:rsid w:val="001A50D8"/>
    <w:pPr>
      <w:ind w:left="4320"/>
    </w:pPr>
  </w:style>
  <w:style w:type="character" w:customStyle="1" w:styleId="StandardCont6Char">
    <w:name w:val="Standard Cont 6 Char"/>
    <w:basedOn w:val="BodyTextChar"/>
    <w:link w:val="StandardCont6"/>
    <w:rsid w:val="001A50D8"/>
    <w:rPr>
      <w:rFonts w:ascii="Times New Roman" w:eastAsia="Times New Roman" w:hAnsi="Times New Roman" w:cs="Times New Roman"/>
      <w:sz w:val="24"/>
      <w:szCs w:val="20"/>
      <w:lang w:val="en-CA"/>
    </w:rPr>
  </w:style>
  <w:style w:type="paragraph" w:customStyle="1" w:styleId="StandardCont7">
    <w:name w:val="Standard Cont 7"/>
    <w:basedOn w:val="StandardCont6"/>
    <w:link w:val="StandardCont7Char"/>
    <w:rsid w:val="001A50D8"/>
    <w:pPr>
      <w:ind w:left="5040"/>
    </w:pPr>
  </w:style>
  <w:style w:type="character" w:customStyle="1" w:styleId="StandardCont7Char">
    <w:name w:val="Standard Cont 7 Char"/>
    <w:basedOn w:val="BodyTextChar"/>
    <w:link w:val="StandardCont7"/>
    <w:rsid w:val="001A50D8"/>
    <w:rPr>
      <w:rFonts w:ascii="Times New Roman" w:eastAsia="Times New Roman" w:hAnsi="Times New Roman" w:cs="Times New Roman"/>
      <w:sz w:val="24"/>
      <w:szCs w:val="20"/>
      <w:lang w:val="en-CA"/>
    </w:rPr>
  </w:style>
  <w:style w:type="paragraph" w:customStyle="1" w:styleId="StandardCont8">
    <w:name w:val="Standard Cont 8"/>
    <w:basedOn w:val="StandardCont7"/>
    <w:link w:val="StandardCont8Char"/>
    <w:rsid w:val="001A50D8"/>
    <w:pPr>
      <w:ind w:left="5760"/>
    </w:pPr>
  </w:style>
  <w:style w:type="character" w:customStyle="1" w:styleId="StandardCont8Char">
    <w:name w:val="Standard Cont 8 Char"/>
    <w:basedOn w:val="BodyTextChar"/>
    <w:link w:val="StandardCont8"/>
    <w:rsid w:val="001A50D8"/>
    <w:rPr>
      <w:rFonts w:ascii="Times New Roman" w:eastAsia="Times New Roman" w:hAnsi="Times New Roman" w:cs="Times New Roman"/>
      <w:sz w:val="24"/>
      <w:szCs w:val="20"/>
      <w:lang w:val="en-CA"/>
    </w:rPr>
  </w:style>
  <w:style w:type="paragraph" w:customStyle="1" w:styleId="StandardCont9">
    <w:name w:val="Standard Cont 9"/>
    <w:basedOn w:val="StandardCont8"/>
    <w:link w:val="StandardCont9Char"/>
    <w:rsid w:val="001A50D8"/>
    <w:pPr>
      <w:ind w:left="6480"/>
    </w:pPr>
  </w:style>
  <w:style w:type="character" w:customStyle="1" w:styleId="StandardCont9Char">
    <w:name w:val="Standard Cont 9 Char"/>
    <w:basedOn w:val="BodyTextChar"/>
    <w:link w:val="StandardCont9"/>
    <w:rsid w:val="001A50D8"/>
    <w:rPr>
      <w:rFonts w:ascii="Times New Roman" w:eastAsia="Times New Roman" w:hAnsi="Times New Roman" w:cs="Times New Roman"/>
      <w:sz w:val="24"/>
      <w:szCs w:val="20"/>
      <w:lang w:val="en-CA"/>
    </w:rPr>
  </w:style>
  <w:style w:type="paragraph" w:customStyle="1" w:styleId="StandardL1">
    <w:name w:val="Standard_L1"/>
    <w:basedOn w:val="Normal"/>
    <w:link w:val="StandardL1Char"/>
    <w:rsid w:val="001A50D8"/>
    <w:pPr>
      <w:numPr>
        <w:numId w:val="4"/>
      </w:numPr>
      <w:spacing w:after="240"/>
      <w:outlineLvl w:val="0"/>
    </w:pPr>
    <w:rPr>
      <w:rFonts w:eastAsia="Times New Roman" w:cs="Times New Roman"/>
      <w:szCs w:val="20"/>
    </w:rPr>
  </w:style>
  <w:style w:type="character" w:customStyle="1" w:styleId="StandardL1Char">
    <w:name w:val="Standard_L1 Char"/>
    <w:basedOn w:val="DefaultParagraphFont"/>
    <w:link w:val="StandardL1"/>
    <w:rsid w:val="001A50D8"/>
    <w:rPr>
      <w:rFonts w:eastAsia="Times New Roman" w:cs="Times New Roman"/>
      <w:sz w:val="22"/>
      <w:szCs w:val="20"/>
      <w:lang w:val="en-CA"/>
    </w:rPr>
  </w:style>
  <w:style w:type="paragraph" w:customStyle="1" w:styleId="StandardL2">
    <w:name w:val="Standard_L2"/>
    <w:basedOn w:val="StandardL1"/>
    <w:link w:val="StandardL2Char"/>
    <w:rsid w:val="001A50D8"/>
    <w:pPr>
      <w:numPr>
        <w:ilvl w:val="1"/>
      </w:numPr>
      <w:outlineLvl w:val="1"/>
    </w:pPr>
  </w:style>
  <w:style w:type="character" w:customStyle="1" w:styleId="StandardL2Char">
    <w:name w:val="Standard_L2 Char"/>
    <w:basedOn w:val="DefaultParagraphFont"/>
    <w:link w:val="StandardL2"/>
    <w:rsid w:val="001A50D8"/>
    <w:rPr>
      <w:rFonts w:eastAsia="Times New Roman" w:cs="Times New Roman"/>
      <w:sz w:val="22"/>
      <w:szCs w:val="20"/>
      <w:lang w:val="en-CA"/>
    </w:rPr>
  </w:style>
  <w:style w:type="paragraph" w:customStyle="1" w:styleId="StandardL3">
    <w:name w:val="Standard_L3"/>
    <w:basedOn w:val="StandardL2"/>
    <w:link w:val="StandardL3Char"/>
    <w:rsid w:val="001A50D8"/>
    <w:pPr>
      <w:numPr>
        <w:ilvl w:val="2"/>
      </w:numPr>
      <w:outlineLvl w:val="2"/>
    </w:pPr>
  </w:style>
  <w:style w:type="character" w:customStyle="1" w:styleId="StandardL3Char">
    <w:name w:val="Standard_L3 Char"/>
    <w:basedOn w:val="DefaultParagraphFont"/>
    <w:link w:val="StandardL3"/>
    <w:rsid w:val="001A50D8"/>
    <w:rPr>
      <w:rFonts w:eastAsia="Times New Roman" w:cs="Times New Roman"/>
      <w:sz w:val="22"/>
      <w:szCs w:val="20"/>
      <w:lang w:val="en-CA"/>
    </w:rPr>
  </w:style>
  <w:style w:type="paragraph" w:customStyle="1" w:styleId="StandardL4">
    <w:name w:val="Standard_L4"/>
    <w:basedOn w:val="StandardL3"/>
    <w:link w:val="StandardL4Char"/>
    <w:rsid w:val="001A50D8"/>
    <w:pPr>
      <w:numPr>
        <w:ilvl w:val="3"/>
      </w:numPr>
      <w:outlineLvl w:val="3"/>
    </w:pPr>
  </w:style>
  <w:style w:type="character" w:customStyle="1" w:styleId="StandardL4Char">
    <w:name w:val="Standard_L4 Char"/>
    <w:basedOn w:val="DefaultParagraphFont"/>
    <w:link w:val="StandardL4"/>
    <w:rsid w:val="001A50D8"/>
    <w:rPr>
      <w:rFonts w:eastAsia="Times New Roman" w:cs="Times New Roman"/>
      <w:sz w:val="22"/>
      <w:szCs w:val="20"/>
      <w:lang w:val="en-CA"/>
    </w:rPr>
  </w:style>
  <w:style w:type="paragraph" w:customStyle="1" w:styleId="StandardL5">
    <w:name w:val="Standard_L5"/>
    <w:basedOn w:val="StandardL4"/>
    <w:link w:val="StandardL5Char"/>
    <w:rsid w:val="001A50D8"/>
    <w:pPr>
      <w:numPr>
        <w:ilvl w:val="4"/>
      </w:numPr>
      <w:outlineLvl w:val="4"/>
    </w:pPr>
  </w:style>
  <w:style w:type="character" w:customStyle="1" w:styleId="StandardL5Char">
    <w:name w:val="Standard_L5 Char"/>
    <w:basedOn w:val="DefaultParagraphFont"/>
    <w:link w:val="StandardL5"/>
    <w:rsid w:val="001A50D8"/>
    <w:rPr>
      <w:rFonts w:eastAsia="Times New Roman" w:cs="Times New Roman"/>
      <w:sz w:val="22"/>
      <w:szCs w:val="20"/>
      <w:lang w:val="en-CA"/>
    </w:rPr>
  </w:style>
  <w:style w:type="paragraph" w:customStyle="1" w:styleId="StandardL6">
    <w:name w:val="Standard_L6"/>
    <w:basedOn w:val="StandardL5"/>
    <w:link w:val="StandardL6Char"/>
    <w:rsid w:val="001A50D8"/>
    <w:pPr>
      <w:numPr>
        <w:ilvl w:val="5"/>
      </w:numPr>
      <w:outlineLvl w:val="5"/>
    </w:pPr>
  </w:style>
  <w:style w:type="character" w:customStyle="1" w:styleId="StandardL6Char">
    <w:name w:val="Standard_L6 Char"/>
    <w:basedOn w:val="DefaultParagraphFont"/>
    <w:link w:val="StandardL6"/>
    <w:rsid w:val="001A50D8"/>
    <w:rPr>
      <w:rFonts w:eastAsia="Times New Roman" w:cs="Times New Roman"/>
      <w:sz w:val="22"/>
      <w:szCs w:val="20"/>
      <w:lang w:val="en-CA"/>
    </w:rPr>
  </w:style>
  <w:style w:type="paragraph" w:customStyle="1" w:styleId="StandardL7">
    <w:name w:val="Standard_L7"/>
    <w:basedOn w:val="StandardL6"/>
    <w:link w:val="StandardL7Char"/>
    <w:rsid w:val="001A50D8"/>
    <w:pPr>
      <w:numPr>
        <w:ilvl w:val="6"/>
      </w:numPr>
      <w:outlineLvl w:val="6"/>
    </w:pPr>
  </w:style>
  <w:style w:type="character" w:customStyle="1" w:styleId="StandardL7Char">
    <w:name w:val="Standard_L7 Char"/>
    <w:basedOn w:val="DefaultParagraphFont"/>
    <w:link w:val="StandardL7"/>
    <w:rsid w:val="001A50D8"/>
    <w:rPr>
      <w:rFonts w:eastAsia="Times New Roman" w:cs="Times New Roman"/>
      <w:sz w:val="22"/>
      <w:szCs w:val="20"/>
      <w:lang w:val="en-CA"/>
    </w:rPr>
  </w:style>
  <w:style w:type="paragraph" w:customStyle="1" w:styleId="StandardL8">
    <w:name w:val="Standard_L8"/>
    <w:basedOn w:val="StandardL7"/>
    <w:link w:val="StandardL8Char"/>
    <w:rsid w:val="001A50D8"/>
    <w:pPr>
      <w:numPr>
        <w:ilvl w:val="7"/>
      </w:numPr>
      <w:outlineLvl w:val="7"/>
    </w:pPr>
  </w:style>
  <w:style w:type="character" w:customStyle="1" w:styleId="StandardL8Char">
    <w:name w:val="Standard_L8 Char"/>
    <w:basedOn w:val="DefaultParagraphFont"/>
    <w:link w:val="StandardL8"/>
    <w:rsid w:val="001A50D8"/>
    <w:rPr>
      <w:rFonts w:eastAsia="Times New Roman" w:cs="Times New Roman"/>
      <w:sz w:val="22"/>
      <w:szCs w:val="20"/>
      <w:lang w:val="en-CA"/>
    </w:rPr>
  </w:style>
  <w:style w:type="paragraph" w:customStyle="1" w:styleId="StandardL9">
    <w:name w:val="Standard_L9"/>
    <w:basedOn w:val="StandardL8"/>
    <w:link w:val="StandardL9Char"/>
    <w:rsid w:val="001A50D8"/>
    <w:pPr>
      <w:numPr>
        <w:ilvl w:val="8"/>
      </w:numPr>
      <w:outlineLvl w:val="8"/>
    </w:pPr>
  </w:style>
  <w:style w:type="character" w:customStyle="1" w:styleId="StandardL9Char">
    <w:name w:val="Standard_L9 Char"/>
    <w:basedOn w:val="DefaultParagraphFont"/>
    <w:link w:val="StandardL9"/>
    <w:rsid w:val="001A50D8"/>
    <w:rPr>
      <w:rFonts w:eastAsia="Times New Roman" w:cs="Times New Roman"/>
      <w:sz w:val="22"/>
      <w:szCs w:val="20"/>
      <w:lang w:val="en-CA"/>
    </w:rPr>
  </w:style>
  <w:style w:type="table" w:styleId="TableGrid">
    <w:name w:val="Table Grid"/>
    <w:basedOn w:val="TableNormal"/>
    <w:uiPriority w:val="59"/>
    <w:rsid w:val="00E000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A382C"/>
    <w:rPr>
      <w:color w:val="808080"/>
    </w:rPr>
  </w:style>
  <w:style w:type="character" w:styleId="FootnoteReference">
    <w:name w:val="footnote reference"/>
    <w:basedOn w:val="DefaultParagraphFont"/>
    <w:uiPriority w:val="99"/>
    <w:rsid w:val="008C0269"/>
    <w:rPr>
      <w:vertAlign w:val="superscript"/>
    </w:rPr>
  </w:style>
  <w:style w:type="character" w:styleId="Hyperlink">
    <w:name w:val="Hyperlink"/>
    <w:uiPriority w:val="99"/>
    <w:unhideWhenUsed/>
    <w:rsid w:val="00B36783"/>
    <w:rPr>
      <w:color w:val="0000FF"/>
      <w:u w:val="single"/>
    </w:rPr>
  </w:style>
  <w:style w:type="paragraph" w:customStyle="1" w:styleId="ExhibitsL1">
    <w:name w:val="Exhibits_L1"/>
    <w:basedOn w:val="Normal"/>
    <w:rsid w:val="00247D35"/>
    <w:pPr>
      <w:numPr>
        <w:numId w:val="8"/>
      </w:numPr>
      <w:spacing w:after="240"/>
      <w:outlineLvl w:val="0"/>
    </w:pPr>
    <w:rPr>
      <w:rFonts w:eastAsia="Times New Roman" w:cs="Times New Roman"/>
      <w:szCs w:val="20"/>
      <w:lang w:val="en-US"/>
    </w:rPr>
  </w:style>
  <w:style w:type="paragraph" w:customStyle="1" w:styleId="ExhibitsL2">
    <w:name w:val="Exhibits_L2"/>
    <w:basedOn w:val="ExhibitsL1"/>
    <w:link w:val="ExhibitsL2Char"/>
    <w:rsid w:val="00247D35"/>
    <w:pPr>
      <w:numPr>
        <w:ilvl w:val="1"/>
      </w:numPr>
      <w:outlineLvl w:val="1"/>
    </w:pPr>
  </w:style>
  <w:style w:type="character" w:customStyle="1" w:styleId="ExhibitsL2Char">
    <w:name w:val="Exhibits_L2 Char"/>
    <w:basedOn w:val="DefaultParagraphFont"/>
    <w:link w:val="ExhibitsL2"/>
    <w:rsid w:val="00247D35"/>
    <w:rPr>
      <w:rFonts w:eastAsia="Times New Roman" w:cs="Times New Roman"/>
      <w:sz w:val="22"/>
      <w:szCs w:val="20"/>
    </w:rPr>
  </w:style>
  <w:style w:type="paragraph" w:customStyle="1" w:styleId="ExhibitsL3">
    <w:name w:val="Exhibits_L3"/>
    <w:basedOn w:val="ExhibitsL2"/>
    <w:link w:val="ExhibitsL3Char"/>
    <w:rsid w:val="00247D35"/>
    <w:pPr>
      <w:numPr>
        <w:ilvl w:val="2"/>
      </w:numPr>
      <w:outlineLvl w:val="2"/>
    </w:pPr>
  </w:style>
  <w:style w:type="character" w:customStyle="1" w:styleId="ExhibitsL3Char">
    <w:name w:val="Exhibits_L3 Char"/>
    <w:basedOn w:val="DefaultParagraphFont"/>
    <w:link w:val="ExhibitsL3"/>
    <w:rsid w:val="00247D35"/>
    <w:rPr>
      <w:rFonts w:eastAsia="Times New Roman" w:cs="Times New Roman"/>
      <w:sz w:val="22"/>
      <w:szCs w:val="20"/>
    </w:rPr>
  </w:style>
  <w:style w:type="paragraph" w:customStyle="1" w:styleId="ExhibitsL4">
    <w:name w:val="Exhibits_L4"/>
    <w:basedOn w:val="ExhibitsL3"/>
    <w:rsid w:val="00247D35"/>
    <w:pPr>
      <w:numPr>
        <w:ilvl w:val="3"/>
      </w:numPr>
      <w:outlineLvl w:val="3"/>
    </w:pPr>
  </w:style>
  <w:style w:type="paragraph" w:customStyle="1" w:styleId="ExhibitsL5">
    <w:name w:val="Exhibits_L5"/>
    <w:basedOn w:val="ExhibitsL4"/>
    <w:rsid w:val="00247D35"/>
    <w:pPr>
      <w:numPr>
        <w:ilvl w:val="4"/>
      </w:numPr>
      <w:outlineLvl w:val="4"/>
    </w:pPr>
  </w:style>
  <w:style w:type="paragraph" w:customStyle="1" w:styleId="ExhibitsL6">
    <w:name w:val="Exhibits_L6"/>
    <w:basedOn w:val="ExhibitsL5"/>
    <w:rsid w:val="00247D35"/>
    <w:pPr>
      <w:numPr>
        <w:ilvl w:val="5"/>
      </w:numPr>
      <w:outlineLvl w:val="5"/>
    </w:pPr>
  </w:style>
  <w:style w:type="paragraph" w:customStyle="1" w:styleId="ExhibitsL7">
    <w:name w:val="Exhibits_L7"/>
    <w:basedOn w:val="ExhibitsL6"/>
    <w:rsid w:val="00247D35"/>
    <w:pPr>
      <w:numPr>
        <w:ilvl w:val="6"/>
      </w:numPr>
      <w:outlineLvl w:val="6"/>
    </w:pPr>
  </w:style>
  <w:style w:type="paragraph" w:customStyle="1" w:styleId="ExhibitsL8">
    <w:name w:val="Exhibits_L8"/>
    <w:basedOn w:val="ExhibitsL7"/>
    <w:rsid w:val="00247D35"/>
    <w:pPr>
      <w:numPr>
        <w:ilvl w:val="7"/>
      </w:numPr>
      <w:outlineLvl w:val="7"/>
    </w:pPr>
  </w:style>
  <w:style w:type="paragraph" w:customStyle="1" w:styleId="ExhibitsL9">
    <w:name w:val="Exhibits_L9"/>
    <w:basedOn w:val="ExhibitsL8"/>
    <w:rsid w:val="00247D35"/>
    <w:pPr>
      <w:numPr>
        <w:ilvl w:val="8"/>
      </w:numPr>
      <w:outlineLvl w:val="8"/>
    </w:pPr>
  </w:style>
  <w:style w:type="character" w:styleId="CommentReference">
    <w:name w:val="annotation reference"/>
    <w:basedOn w:val="DefaultParagraphFont"/>
    <w:uiPriority w:val="99"/>
    <w:semiHidden/>
    <w:unhideWhenUsed/>
    <w:rsid w:val="007D2CBC"/>
    <w:rPr>
      <w:sz w:val="16"/>
      <w:szCs w:val="16"/>
    </w:rPr>
  </w:style>
  <w:style w:type="paragraph" w:styleId="CommentText">
    <w:name w:val="annotation text"/>
    <w:basedOn w:val="Normal"/>
    <w:link w:val="CommentTextChar"/>
    <w:uiPriority w:val="99"/>
    <w:unhideWhenUsed/>
    <w:rsid w:val="007D2CBC"/>
    <w:pPr>
      <w:spacing w:after="240"/>
    </w:pPr>
    <w:rPr>
      <w:rFonts w:ascii="Arial" w:hAnsi="Arial"/>
      <w:sz w:val="20"/>
      <w:szCs w:val="20"/>
    </w:rPr>
  </w:style>
  <w:style w:type="character" w:customStyle="1" w:styleId="CommentTextChar">
    <w:name w:val="Comment Text Char"/>
    <w:basedOn w:val="DefaultParagraphFont"/>
    <w:link w:val="CommentText"/>
    <w:uiPriority w:val="99"/>
    <w:rsid w:val="007D2CBC"/>
    <w:rPr>
      <w:rFonts w:ascii="Arial" w:hAnsi="Arial"/>
      <w:sz w:val="20"/>
      <w:szCs w:val="20"/>
      <w:lang w:val="en-CA"/>
    </w:rPr>
  </w:style>
  <w:style w:type="paragraph" w:styleId="BalloonText">
    <w:name w:val="Balloon Text"/>
    <w:basedOn w:val="Normal"/>
    <w:link w:val="BalloonTextChar"/>
    <w:uiPriority w:val="99"/>
    <w:semiHidden/>
    <w:unhideWhenUsed/>
    <w:rsid w:val="00694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AFB"/>
    <w:rPr>
      <w:rFonts w:ascii="Segoe UI" w:hAnsi="Segoe UI" w:cs="Segoe UI"/>
      <w:sz w:val="18"/>
      <w:szCs w:val="18"/>
      <w:lang w:val="en-CA"/>
    </w:rPr>
  </w:style>
  <w:style w:type="character" w:styleId="Emphasis">
    <w:name w:val="Emphasis"/>
    <w:basedOn w:val="DefaultParagraphFont"/>
    <w:uiPriority w:val="13"/>
    <w:qFormat/>
    <w:rsid w:val="0082149A"/>
    <w:rPr>
      <w:i/>
      <w:iCs/>
    </w:rPr>
  </w:style>
  <w:style w:type="paragraph" w:customStyle="1" w:styleId="TitlePage">
    <w:name w:val="TitlePage"/>
    <w:basedOn w:val="BodyText"/>
    <w:uiPriority w:val="1"/>
    <w:qFormat/>
    <w:rsid w:val="00C44BAF"/>
    <w:pPr>
      <w:spacing w:before="2160" w:after="2160"/>
      <w:jc w:val="center"/>
    </w:pPr>
    <w:rPr>
      <w:b/>
      <w:sz w:val="24"/>
      <w:lang w:val="en-US"/>
    </w:rPr>
  </w:style>
  <w:style w:type="character" w:styleId="UnresolvedMention">
    <w:name w:val="Unresolved Mention"/>
    <w:basedOn w:val="DefaultParagraphFont"/>
    <w:uiPriority w:val="99"/>
    <w:semiHidden/>
    <w:unhideWhenUsed/>
    <w:rsid w:val="008B2ADD"/>
    <w:rPr>
      <w:color w:val="605E5C"/>
      <w:shd w:val="clear" w:color="auto" w:fill="E1DFDD"/>
    </w:rPr>
  </w:style>
  <w:style w:type="paragraph" w:styleId="Revision">
    <w:name w:val="Revision"/>
    <w:hidden/>
    <w:uiPriority w:val="99"/>
    <w:semiHidden/>
    <w:rsid w:val="0035115F"/>
    <w:pPr>
      <w:spacing w:after="0"/>
    </w:pPr>
    <w:rPr>
      <w:sz w:val="22"/>
      <w:lang w:val="fr-CA"/>
    </w:rPr>
  </w:style>
  <w:style w:type="paragraph" w:styleId="CommentSubject">
    <w:name w:val="annotation subject"/>
    <w:basedOn w:val="CommentText"/>
    <w:next w:val="CommentText"/>
    <w:link w:val="CommentSubjectChar"/>
    <w:uiPriority w:val="99"/>
    <w:semiHidden/>
    <w:unhideWhenUsed/>
    <w:rsid w:val="001E05B2"/>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E05B2"/>
    <w:rPr>
      <w:rFonts w:ascii="Arial" w:hAnsi="Arial"/>
      <w:b/>
      <w:bCs/>
      <w:sz w:val="20"/>
      <w:szCs w:val="20"/>
      <w:lang w:val="fr-CA"/>
    </w:rPr>
  </w:style>
  <w:style w:type="paragraph" w:customStyle="1" w:styleId="MacPacTrailer">
    <w:name w:val="MacPac Trailer"/>
    <w:rsid w:val="00255E03"/>
    <w:pPr>
      <w:widowControl w:val="0"/>
      <w:spacing w:after="0" w:line="200" w:lineRule="exact"/>
    </w:pPr>
    <w:rPr>
      <w:rFonts w:eastAsia="Times New Roman" w:cs="Times New Roman"/>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robinson@mcinnescooper.com" TargetMode="Externa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7231</Words>
  <Characters>41219</Characters>
  <Application>Microsoft Office Word</Application>
  <DocSecurity>0</DocSecurity>
  <Lines>343</Lines>
  <Paragraphs>96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2024-01-03T16:25:00Z</dcterms:created>
  <dcterms:modified xsi:type="dcterms:W3CDTF">2024-01-03T16:25:00Z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ies>
</file>